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37BBBD">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
          <w:bCs w:val="0"/>
          <w:color w:val="auto"/>
          <w:kern w:val="2"/>
          <w:sz w:val="44"/>
          <w:szCs w:val="44"/>
          <w:highlight w:val="none"/>
          <w:lang w:eastAsia="zh-CN" w:bidi="ar"/>
        </w:rPr>
      </w:pPr>
    </w:p>
    <w:p w14:paraId="4589B3C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color w:val="auto"/>
          <w:spacing w:val="26"/>
          <w:kern w:val="2"/>
          <w:sz w:val="96"/>
          <w:szCs w:val="96"/>
          <w:highlight w:val="none"/>
          <w:lang w:val="en-US" w:eastAsia="zh-CN" w:bidi="ar"/>
        </w:rPr>
      </w:pPr>
      <w:r>
        <w:rPr>
          <w:rFonts w:hint="eastAsia" w:ascii="宋体" w:hAnsi="宋体" w:eastAsia="宋体" w:cs="宋体"/>
          <w:b/>
          <w:bCs w:val="0"/>
          <w:color w:val="auto"/>
          <w:kern w:val="2"/>
          <w:sz w:val="44"/>
          <w:szCs w:val="44"/>
          <w:highlight w:val="none"/>
          <w:lang w:eastAsia="zh-CN" w:bidi="ar"/>
        </w:rPr>
        <w:t>广州天河体育中心整体景观提升（开幕式）建筑工程、广州天河体育中心篮球城维修改造项目、广州市羽毛球运动管理中心训练馆改造项目、广州天河体育中心田径副场改造项目施工总承包</w:t>
      </w:r>
    </w:p>
    <w:p w14:paraId="2FE248C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color w:val="auto"/>
          <w:spacing w:val="26"/>
          <w:kern w:val="2"/>
          <w:sz w:val="96"/>
          <w:szCs w:val="96"/>
          <w:highlight w:val="none"/>
          <w:lang w:val="en-US" w:eastAsia="zh-CN" w:bidi="ar"/>
        </w:rPr>
      </w:pPr>
    </w:p>
    <w:p w14:paraId="0E4A7D8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color w:val="auto"/>
          <w:spacing w:val="26"/>
          <w:kern w:val="2"/>
          <w:sz w:val="110"/>
          <w:szCs w:val="110"/>
          <w:highlight w:val="none"/>
        </w:rPr>
      </w:pPr>
      <w:r>
        <w:rPr>
          <w:rFonts w:hint="eastAsia" w:ascii="宋体" w:hAnsi="宋体" w:eastAsia="宋体" w:cs="宋体"/>
          <w:b/>
          <w:color w:val="auto"/>
          <w:spacing w:val="26"/>
          <w:kern w:val="2"/>
          <w:sz w:val="96"/>
          <w:szCs w:val="96"/>
          <w:highlight w:val="none"/>
          <w:lang w:val="en-US" w:eastAsia="zh-CN" w:bidi="ar"/>
        </w:rPr>
        <w:t>招标文件</w:t>
      </w:r>
    </w:p>
    <w:p w14:paraId="57F8EAE1">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Times New Roman"/>
          <w:color w:val="auto"/>
          <w:kern w:val="2"/>
          <w:sz w:val="32"/>
          <w:szCs w:val="32"/>
          <w:highlight w:val="none"/>
        </w:rPr>
      </w:pPr>
      <w:r>
        <w:rPr>
          <w:rFonts w:hint="default" w:ascii="Calibri" w:hAnsi="Calibri" w:eastAsia="宋体" w:cs="Times New Roman"/>
          <w:color w:val="auto"/>
          <w:kern w:val="2"/>
          <w:sz w:val="32"/>
          <w:szCs w:val="32"/>
          <w:highlight w:val="none"/>
          <w:lang w:val="en-US" w:eastAsia="zh-CN" w:bidi="ar"/>
        </w:rPr>
        <w:t xml:space="preserve"> </w:t>
      </w:r>
    </w:p>
    <w:p w14:paraId="06726087">
      <w:pPr>
        <w:pStyle w:val="14"/>
        <w:keepNext w:val="0"/>
        <w:keepLines w:val="0"/>
        <w:widowControl w:val="0"/>
        <w:suppressLineNumbers w:val="0"/>
        <w:spacing w:before="0" w:beforeAutospacing="0" w:after="0" w:afterAutospacing="0" w:line="360" w:lineRule="auto"/>
        <w:ind w:left="0" w:right="0"/>
        <w:jc w:val="both"/>
        <w:rPr>
          <w:rFonts w:hint="eastAsia" w:ascii="宋体" w:hAnsi="Courier New" w:eastAsia="宋体" w:cs="Times New Roman"/>
          <w:color w:val="auto"/>
          <w:kern w:val="2"/>
          <w:sz w:val="21"/>
          <w:szCs w:val="21"/>
          <w:highlight w:val="none"/>
        </w:rPr>
      </w:pPr>
      <w:r>
        <w:rPr>
          <w:rFonts w:hint="eastAsia" w:ascii="宋体" w:hAnsi="Courier New" w:eastAsia="宋体" w:cs="Times New Roman"/>
          <w:color w:val="auto"/>
          <w:kern w:val="2"/>
          <w:sz w:val="21"/>
          <w:szCs w:val="21"/>
          <w:highlight w:val="none"/>
          <w:lang w:val="en-US" w:eastAsia="zh-CN" w:bidi="ar"/>
        </w:rPr>
        <w:t xml:space="preserve"> </w:t>
      </w:r>
    </w:p>
    <w:p w14:paraId="0B035796">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Times New Roman"/>
          <w:color w:val="auto"/>
          <w:kern w:val="2"/>
          <w:sz w:val="52"/>
          <w:szCs w:val="52"/>
          <w:highlight w:val="none"/>
        </w:rPr>
      </w:pPr>
      <w:r>
        <w:rPr>
          <w:rFonts w:hint="default" w:ascii="Calibri" w:hAnsi="Calibri" w:eastAsia="宋体" w:cs="Times New Roman"/>
          <w:color w:val="auto"/>
          <w:kern w:val="2"/>
          <w:sz w:val="52"/>
          <w:szCs w:val="52"/>
          <w:highlight w:val="none"/>
          <w:lang w:val="en-US" w:eastAsia="zh-CN" w:bidi="ar"/>
        </w:rPr>
        <w:t xml:space="preserve"> </w:t>
      </w:r>
    </w:p>
    <w:p w14:paraId="77E9FC18">
      <w:pPr>
        <w:pStyle w:val="14"/>
        <w:keepNext w:val="0"/>
        <w:keepLines w:val="0"/>
        <w:widowControl w:val="0"/>
        <w:suppressLineNumbers w:val="0"/>
        <w:spacing w:before="0" w:beforeAutospacing="0" w:after="0" w:afterAutospacing="0"/>
        <w:ind w:left="0" w:right="0"/>
        <w:jc w:val="both"/>
        <w:rPr>
          <w:rFonts w:hint="eastAsia" w:ascii="宋体" w:hAnsi="Courier New" w:eastAsia="宋体" w:cs="Times New Roman"/>
          <w:color w:val="auto"/>
          <w:kern w:val="2"/>
          <w:sz w:val="52"/>
          <w:szCs w:val="52"/>
          <w:highlight w:val="none"/>
        </w:rPr>
      </w:pPr>
      <w:r>
        <w:rPr>
          <w:rFonts w:hint="eastAsia" w:ascii="宋体" w:hAnsi="Courier New" w:eastAsia="宋体" w:cs="Times New Roman"/>
          <w:color w:val="auto"/>
          <w:kern w:val="2"/>
          <w:sz w:val="52"/>
          <w:szCs w:val="52"/>
          <w:highlight w:val="none"/>
          <w:lang w:val="en-US" w:eastAsia="zh-CN" w:bidi="ar"/>
        </w:rPr>
        <w:t xml:space="preserve"> </w:t>
      </w:r>
    </w:p>
    <w:p w14:paraId="0F14E033">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Times New Roman"/>
          <w:color w:val="auto"/>
          <w:kern w:val="2"/>
          <w:sz w:val="52"/>
          <w:szCs w:val="52"/>
          <w:highlight w:val="none"/>
        </w:rPr>
      </w:pPr>
      <w:r>
        <w:rPr>
          <w:rFonts w:hint="default" w:ascii="Calibri" w:hAnsi="Calibri" w:eastAsia="宋体" w:cs="Times New Roman"/>
          <w:color w:val="auto"/>
          <w:kern w:val="2"/>
          <w:sz w:val="52"/>
          <w:szCs w:val="52"/>
          <w:highlight w:val="none"/>
          <w:lang w:val="en-US" w:eastAsia="zh-CN" w:bidi="ar"/>
        </w:rPr>
        <w:t xml:space="preserve"> </w:t>
      </w:r>
    </w:p>
    <w:p w14:paraId="43EBED33">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Times New Roman"/>
          <w:color w:val="auto"/>
          <w:kern w:val="2"/>
          <w:sz w:val="52"/>
          <w:szCs w:val="52"/>
          <w:highlight w:val="none"/>
        </w:rPr>
      </w:pPr>
      <w:r>
        <w:rPr>
          <w:rFonts w:hint="default" w:ascii="Calibri" w:hAnsi="Calibri" w:eastAsia="宋体" w:cs="Times New Roman"/>
          <w:color w:val="auto"/>
          <w:kern w:val="2"/>
          <w:sz w:val="52"/>
          <w:szCs w:val="52"/>
          <w:highlight w:val="none"/>
          <w:lang w:val="en-US" w:eastAsia="zh-CN" w:bidi="ar"/>
        </w:rPr>
        <w:t xml:space="preserve"> </w:t>
      </w:r>
    </w:p>
    <w:p w14:paraId="0675AB37">
      <w:pPr>
        <w:keepNext w:val="0"/>
        <w:keepLines w:val="0"/>
        <w:widowControl w:val="0"/>
        <w:suppressLineNumbers w:val="0"/>
        <w:spacing w:before="0" w:beforeAutospacing="0" w:after="0" w:afterAutospacing="0" w:line="360" w:lineRule="auto"/>
        <w:ind w:left="0" w:right="0" w:firstLine="1280" w:firstLineChars="400"/>
        <w:jc w:val="left"/>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bidi="ar"/>
        </w:rPr>
        <w:t>招标单位：</w:t>
      </w:r>
      <w:r>
        <w:rPr>
          <w:rFonts w:hint="eastAsia" w:ascii="宋体" w:hAnsi="宋体" w:eastAsia="宋体" w:cs="宋体"/>
          <w:color w:val="auto"/>
          <w:kern w:val="2"/>
          <w:sz w:val="32"/>
          <w:szCs w:val="32"/>
          <w:highlight w:val="none"/>
          <w:u w:val="single"/>
          <w:lang w:val="en-US" w:eastAsia="zh-CN" w:bidi="ar"/>
        </w:rPr>
        <w:t>广州市重点公共建设项目管理中心</w:t>
      </w:r>
    </w:p>
    <w:p w14:paraId="043ABBDE">
      <w:pPr>
        <w:keepNext w:val="0"/>
        <w:keepLines w:val="0"/>
        <w:widowControl w:val="0"/>
        <w:suppressLineNumbers w:val="0"/>
        <w:spacing w:before="0" w:beforeAutospacing="0" w:after="0" w:afterAutospacing="0" w:line="360" w:lineRule="auto"/>
        <w:ind w:left="0" w:right="0" w:firstLine="1280" w:firstLineChars="400"/>
        <w:jc w:val="left"/>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bidi="ar"/>
        </w:rPr>
        <w:t>招标代理机构：</w:t>
      </w:r>
      <w:r>
        <w:rPr>
          <w:rFonts w:hint="eastAsia" w:ascii="宋体" w:hAnsi="宋体" w:eastAsia="宋体" w:cs="宋体"/>
          <w:color w:val="auto"/>
          <w:kern w:val="2"/>
          <w:sz w:val="32"/>
          <w:szCs w:val="32"/>
          <w:highlight w:val="none"/>
          <w:u w:val="single"/>
          <w:lang w:val="en-US" w:eastAsia="zh-CN" w:bidi="ar"/>
        </w:rPr>
        <w:t>广东建瀚工程管理有限公司</w:t>
      </w:r>
    </w:p>
    <w:p w14:paraId="6111FCE1">
      <w:pPr>
        <w:keepNext w:val="0"/>
        <w:keepLines w:val="0"/>
        <w:widowControl/>
        <w:suppressLineNumbers w:val="0"/>
        <w:snapToGrid w:val="0"/>
        <w:spacing w:before="0" w:beforeAutospacing="0" w:after="0" w:afterAutospacing="0" w:line="480" w:lineRule="auto"/>
        <w:ind w:left="0" w:right="102" w:firstLine="1280" w:firstLineChars="400"/>
        <w:jc w:val="left"/>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bidi="ar"/>
        </w:rPr>
        <w:t>日    期：</w:t>
      </w:r>
      <w:r>
        <w:rPr>
          <w:rFonts w:hint="eastAsia" w:ascii="宋体" w:hAnsi="宋体" w:eastAsia="宋体" w:cs="宋体"/>
          <w:color w:val="auto"/>
          <w:kern w:val="2"/>
          <w:sz w:val="32"/>
          <w:szCs w:val="32"/>
          <w:highlight w:val="none"/>
          <w:u w:val="single"/>
          <w:lang w:val="en-US" w:eastAsia="zh-CN" w:bidi="ar"/>
        </w:rPr>
        <w:t>2024</w:t>
      </w:r>
      <w:r>
        <w:rPr>
          <w:rFonts w:hint="eastAsia" w:ascii="宋体" w:hAnsi="宋体" w:eastAsia="宋体" w:cs="宋体"/>
          <w:color w:val="auto"/>
          <w:kern w:val="2"/>
          <w:sz w:val="32"/>
          <w:szCs w:val="32"/>
          <w:highlight w:val="none"/>
          <w:lang w:val="en-US" w:eastAsia="zh-CN" w:bidi="ar"/>
        </w:rPr>
        <w:t>年</w:t>
      </w:r>
      <w:r>
        <w:rPr>
          <w:rFonts w:hint="eastAsia" w:ascii="宋体" w:hAnsi="宋体" w:eastAsia="宋体" w:cs="宋体"/>
          <w:color w:val="auto"/>
          <w:kern w:val="2"/>
          <w:sz w:val="32"/>
          <w:szCs w:val="32"/>
          <w:highlight w:val="none"/>
          <w:u w:val="single"/>
          <w:lang w:val="en-US" w:eastAsia="zh-CN" w:bidi="ar"/>
        </w:rPr>
        <w:t xml:space="preserve"> 9 </w:t>
      </w:r>
      <w:r>
        <w:rPr>
          <w:rFonts w:hint="eastAsia" w:ascii="宋体" w:hAnsi="宋体" w:eastAsia="宋体" w:cs="宋体"/>
          <w:color w:val="auto"/>
          <w:kern w:val="2"/>
          <w:sz w:val="32"/>
          <w:szCs w:val="32"/>
          <w:highlight w:val="none"/>
          <w:lang w:val="en-US" w:eastAsia="zh-CN" w:bidi="ar"/>
        </w:rPr>
        <w:t>月</w:t>
      </w:r>
    </w:p>
    <w:p w14:paraId="6C315C02">
      <w:pPr>
        <w:pStyle w:val="14"/>
        <w:keepNext w:val="0"/>
        <w:keepLines w:val="0"/>
        <w:widowControl w:val="0"/>
        <w:suppressLineNumbers w:val="0"/>
        <w:spacing w:before="0" w:beforeAutospacing="0" w:after="0" w:afterAutospacing="0"/>
        <w:ind w:left="0" w:right="0" w:firstLine="420"/>
        <w:jc w:val="both"/>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bidi="ar"/>
        </w:rPr>
        <w:t xml:space="preserve"> </w:t>
      </w:r>
    </w:p>
    <w:p w14:paraId="1B99A3F5">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bidi="ar"/>
        </w:rPr>
        <w:t xml:space="preserve"> </w:t>
      </w:r>
    </w:p>
    <w:p w14:paraId="40C2C926">
      <w:pPr>
        <w:rPr>
          <w:rFonts w:hint="eastAsia" w:ascii="宋体" w:hAnsi="Courier New" w:eastAsia="宋体" w:cs="Times New Roman"/>
          <w:color w:val="auto"/>
          <w:kern w:val="2"/>
          <w:sz w:val="21"/>
          <w:szCs w:val="21"/>
          <w:highlight w:val="none"/>
        </w:rPr>
        <w:sectPr>
          <w:headerReference r:id="rId3" w:type="default"/>
          <w:footerReference r:id="rId4" w:type="default"/>
          <w:pgSz w:w="11906" w:h="16838"/>
          <w:pgMar w:top="1134" w:right="1418" w:bottom="1247" w:left="1418" w:header="851" w:footer="907" w:gutter="0"/>
          <w:cols w:space="425" w:num="1"/>
          <w:docGrid w:type="lines" w:linePitch="312" w:charSpace="0"/>
        </w:sectPr>
      </w:pPr>
    </w:p>
    <w:p w14:paraId="00EA3175">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14:paraId="1A888848">
      <w:pPr>
        <w:keepNext w:val="0"/>
        <w:keepLines w:val="0"/>
        <w:widowControl w:val="0"/>
        <w:suppressLineNumbers w:val="0"/>
        <w:spacing w:before="0" w:beforeAutospacing="0" w:after="0" w:afterAutospacing="0"/>
        <w:ind w:left="0" w:right="0"/>
        <w:jc w:val="center"/>
        <w:rPr>
          <w:rFonts w:hint="eastAsia" w:ascii="宋体" w:hAnsi="宋体" w:eastAsia="宋体" w:cs="Times New Roman"/>
          <w:b/>
          <w:bCs w:val="0"/>
          <w:caps/>
          <w:color w:val="auto"/>
          <w:kern w:val="0"/>
          <w:sz w:val="21"/>
          <w:szCs w:val="21"/>
          <w:highlight w:val="none"/>
        </w:rPr>
      </w:pPr>
      <w:r>
        <w:rPr>
          <w:rFonts w:hint="eastAsia" w:ascii="宋体" w:hAnsi="宋体" w:eastAsia="宋体" w:cs="宋体"/>
          <w:b/>
          <w:color w:val="auto"/>
          <w:kern w:val="2"/>
          <w:sz w:val="28"/>
          <w:szCs w:val="28"/>
          <w:highlight w:val="none"/>
          <w:u w:val="single"/>
          <w:lang w:val="en-US" w:eastAsia="zh-CN" w:bidi="ar"/>
        </w:rPr>
        <w:t>目</w:t>
      </w:r>
      <w:r>
        <w:rPr>
          <w:rFonts w:hint="eastAsia" w:ascii="Calibri" w:hAnsi="Calibri" w:eastAsia="宋体" w:cs="Times New Roman"/>
          <w:b/>
          <w:color w:val="auto"/>
          <w:kern w:val="2"/>
          <w:sz w:val="28"/>
          <w:szCs w:val="28"/>
          <w:highlight w:val="none"/>
          <w:u w:val="single"/>
          <w:lang w:val="en-US" w:eastAsia="zh-CN" w:bidi="ar"/>
        </w:rPr>
        <w:t xml:space="preserve">  </w:t>
      </w:r>
      <w:r>
        <w:rPr>
          <w:rFonts w:hint="eastAsia" w:ascii="宋体" w:hAnsi="宋体" w:eastAsia="宋体" w:cs="宋体"/>
          <w:b/>
          <w:color w:val="auto"/>
          <w:kern w:val="2"/>
          <w:sz w:val="28"/>
          <w:szCs w:val="28"/>
          <w:highlight w:val="none"/>
          <w:u w:val="single"/>
          <w:lang w:val="en-US" w:eastAsia="zh-CN" w:bidi="ar"/>
        </w:rPr>
        <w:t>录</w:t>
      </w:r>
    </w:p>
    <w:p w14:paraId="1F2ADB4C">
      <w:pPr>
        <w:pStyle w:val="11"/>
        <w:widowControl/>
        <w:rPr>
          <w:rFonts w:hint="default" w:ascii="Calibri" w:hAnsi="Calibri" w:eastAsia="宋体" w:cs="Times New Roman"/>
          <w:caps w:val="0"/>
          <w:color w:val="auto"/>
          <w:kern w:val="2"/>
          <w:sz w:val="21"/>
          <w:szCs w:val="21"/>
          <w:highlight w:val="none"/>
        </w:rPr>
      </w:pPr>
      <w:r>
        <w:rPr>
          <w:color w:val="auto"/>
          <w:highlight w:val="none"/>
        </w:rPr>
        <w:fldChar w:fldCharType="begin"/>
      </w:r>
      <w:r>
        <w:rPr>
          <w:color w:val="auto"/>
          <w:highlight w:val="none"/>
        </w:rPr>
        <w:instrText xml:space="preserve"> HYPERLINK "" \l "_Toc21525489" </w:instrText>
      </w:r>
      <w:r>
        <w:rPr>
          <w:color w:val="auto"/>
          <w:highlight w:val="none"/>
        </w:rPr>
        <w:fldChar w:fldCharType="separate"/>
      </w:r>
      <w:r>
        <w:rPr>
          <w:rStyle w:val="20"/>
          <w:rFonts w:hint="eastAsia" w:ascii="宋体" w:hAnsi="宋体" w:eastAsia="宋体" w:cs="宋体"/>
          <w:color w:val="auto"/>
          <w:highlight w:val="none"/>
          <w:u w:val="single"/>
        </w:rPr>
        <w:t>第一章</w:t>
      </w:r>
      <w:r>
        <w:rPr>
          <w:rStyle w:val="20"/>
          <w:rFonts w:hint="eastAsia" w:ascii="宋体" w:hAnsi="宋体" w:eastAsia="宋体" w:cs="Times New Roman"/>
          <w:color w:val="auto"/>
          <w:highlight w:val="none"/>
          <w:u w:val="single"/>
        </w:rPr>
        <w:t xml:space="preserve">  </w:t>
      </w:r>
      <w:r>
        <w:rPr>
          <w:rStyle w:val="20"/>
          <w:rFonts w:hint="eastAsia" w:ascii="宋体" w:hAnsi="宋体" w:eastAsia="宋体" w:cs="宋体"/>
          <w:color w:val="auto"/>
          <w:highlight w:val="none"/>
          <w:u w:val="single"/>
        </w:rPr>
        <w:t>投标须知</w:t>
      </w:r>
      <w:r>
        <w:rPr>
          <w:rStyle w:val="20"/>
          <w:rFonts w:hint="eastAsia" w:ascii="宋体" w:hAnsi="宋体" w:eastAsia="宋体" w:cs="Times New Roman"/>
          <w:caps/>
          <w:color w:val="auto"/>
          <w:kern w:val="0"/>
          <w:sz w:val="24"/>
          <w:szCs w:val="24"/>
          <w:highlight w:val="none"/>
        </w:rPr>
        <w:tab/>
      </w:r>
      <w:r>
        <w:rPr>
          <w:rStyle w:val="20"/>
          <w:rFonts w:hint="eastAsia" w:ascii="宋体" w:hAnsi="宋体" w:eastAsia="宋体" w:cs="Times New Roman"/>
          <w:caps/>
          <w:color w:val="auto"/>
          <w:kern w:val="0"/>
          <w:sz w:val="24"/>
          <w:szCs w:val="24"/>
          <w:highlight w:val="none"/>
        </w:rPr>
        <w:fldChar w:fldCharType="begin"/>
      </w:r>
      <w:r>
        <w:rPr>
          <w:rStyle w:val="20"/>
          <w:rFonts w:hint="eastAsia" w:ascii="宋体" w:hAnsi="宋体" w:eastAsia="宋体" w:cs="Times New Roman"/>
          <w:caps/>
          <w:color w:val="auto"/>
          <w:kern w:val="0"/>
          <w:sz w:val="24"/>
          <w:szCs w:val="24"/>
          <w:highlight w:val="none"/>
        </w:rPr>
        <w:instrText xml:space="preserve"> PAGEREF _Toc21525489 \h </w:instrText>
      </w:r>
      <w:r>
        <w:rPr>
          <w:rStyle w:val="20"/>
          <w:rFonts w:hint="eastAsia" w:ascii="宋体" w:hAnsi="宋体" w:eastAsia="宋体" w:cs="Times New Roman"/>
          <w:caps/>
          <w:color w:val="auto"/>
          <w:kern w:val="0"/>
          <w:sz w:val="24"/>
          <w:szCs w:val="24"/>
          <w:highlight w:val="none"/>
        </w:rPr>
        <w:fldChar w:fldCharType="separate"/>
      </w:r>
      <w:r>
        <w:rPr>
          <w:rStyle w:val="20"/>
          <w:rFonts w:hint="eastAsia" w:ascii="宋体" w:hAnsi="宋体" w:eastAsia="宋体" w:cs="Times New Roman"/>
          <w:caps/>
          <w:color w:val="auto"/>
          <w:kern w:val="0"/>
          <w:sz w:val="24"/>
          <w:szCs w:val="24"/>
          <w:highlight w:val="none"/>
        </w:rPr>
        <w:t>3</w:t>
      </w:r>
      <w:r>
        <w:rPr>
          <w:rStyle w:val="20"/>
          <w:rFonts w:hint="eastAsia" w:ascii="宋体" w:hAnsi="宋体" w:eastAsia="宋体" w:cs="Times New Roman"/>
          <w:caps/>
          <w:color w:val="auto"/>
          <w:kern w:val="0"/>
          <w:sz w:val="24"/>
          <w:szCs w:val="24"/>
          <w:highlight w:val="none"/>
        </w:rPr>
        <w:fldChar w:fldCharType="end"/>
      </w:r>
      <w:r>
        <w:rPr>
          <w:color w:val="auto"/>
          <w:highlight w:val="none"/>
        </w:rPr>
        <w:fldChar w:fldCharType="end"/>
      </w:r>
    </w:p>
    <w:p w14:paraId="0D7ECBCF">
      <w:pPr>
        <w:pStyle w:val="14"/>
        <w:keepNext w:val="0"/>
        <w:keepLines w:val="0"/>
        <w:widowControl w:val="0"/>
        <w:suppressLineNumbers w:val="0"/>
        <w:snapToGrid w:val="0"/>
        <w:spacing w:before="0" w:beforeAutospacing="1" w:after="0" w:afterAutospacing="1" w:line="360" w:lineRule="auto"/>
        <w:ind w:left="420" w:leftChars="200" w:right="0"/>
        <w:jc w:val="left"/>
        <w:rPr>
          <w:rFonts w:hint="default" w:ascii="Calibri" w:hAnsi="Calibri" w:eastAsia="宋体"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"_Toc21525490"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20"/>
          <w:rFonts w:hint="eastAsia" w:ascii="宋体" w:hAnsi="宋体" w:eastAsia="宋体" w:cs="宋体"/>
          <w:color w:val="auto"/>
          <w:highlight w:val="none"/>
          <w:u w:val="single"/>
        </w:rPr>
        <w:t>一、投标须知前附表</w:t>
      </w:r>
      <w:r>
        <w:rPr>
          <w:rStyle w:val="20"/>
          <w:rFonts w:hint="default" w:ascii="Times New Roman" w:hAnsi="Times New Roman" w:eastAsia="宋体" w:cs="Times New Roman"/>
          <w:color w:val="auto"/>
          <w:kern w:val="2"/>
          <w:sz w:val="24"/>
          <w:szCs w:val="24"/>
          <w:highlight w:val="none"/>
        </w:rPr>
        <w:tab/>
      </w:r>
      <w:r>
        <w:rPr>
          <w:rStyle w:val="20"/>
          <w:rFonts w:hint="default" w:ascii="Times New Roman" w:hAnsi="Times New Roman" w:eastAsia="宋体" w:cs="Times New Roman"/>
          <w:color w:val="auto"/>
          <w:kern w:val="2"/>
          <w:sz w:val="24"/>
          <w:szCs w:val="24"/>
          <w:highlight w:val="none"/>
        </w:rPr>
        <w:fldChar w:fldCharType="begin"/>
      </w:r>
      <w:r>
        <w:rPr>
          <w:rStyle w:val="20"/>
          <w:rFonts w:hint="default" w:ascii="Times New Roman" w:hAnsi="Times New Roman" w:eastAsia="宋体" w:cs="Times New Roman"/>
          <w:color w:val="auto"/>
          <w:kern w:val="2"/>
          <w:sz w:val="24"/>
          <w:szCs w:val="24"/>
          <w:highlight w:val="none"/>
        </w:rPr>
        <w:instrText xml:space="preserve"> PAGEREF _Toc21525490 \h </w:instrText>
      </w:r>
      <w:r>
        <w:rPr>
          <w:rStyle w:val="20"/>
          <w:rFonts w:hint="default" w:ascii="Times New Roman" w:hAnsi="Times New Roman" w:eastAsia="宋体" w:cs="Times New Roman"/>
          <w:color w:val="auto"/>
          <w:kern w:val="2"/>
          <w:sz w:val="24"/>
          <w:szCs w:val="24"/>
          <w:highlight w:val="none"/>
        </w:rPr>
        <w:fldChar w:fldCharType="separate"/>
      </w:r>
      <w:r>
        <w:rPr>
          <w:rStyle w:val="20"/>
          <w:rFonts w:hint="default" w:ascii="Times New Roman" w:hAnsi="Times New Roman" w:eastAsia="宋体" w:cs="Times New Roman"/>
          <w:color w:val="auto"/>
          <w:kern w:val="2"/>
          <w:sz w:val="24"/>
          <w:szCs w:val="24"/>
          <w:highlight w:val="none"/>
        </w:rPr>
        <w:t>3</w:t>
      </w:r>
      <w:r>
        <w:rPr>
          <w:rStyle w:val="20"/>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14:paraId="0F8FA0C1">
      <w:pPr>
        <w:pStyle w:val="14"/>
        <w:keepNext w:val="0"/>
        <w:keepLines w:val="0"/>
        <w:widowControl w:val="0"/>
        <w:suppressLineNumbers w:val="0"/>
        <w:snapToGrid w:val="0"/>
        <w:spacing w:before="0" w:beforeAutospacing="1" w:after="0" w:afterAutospacing="1" w:line="360" w:lineRule="auto"/>
        <w:ind w:left="420" w:leftChars="200" w:right="0"/>
        <w:jc w:val="left"/>
        <w:rPr>
          <w:rFonts w:hint="default" w:ascii="Calibri" w:hAnsi="Calibri" w:eastAsia="宋体"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"_Toc21525491"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20"/>
          <w:rFonts w:hint="eastAsia" w:ascii="宋体" w:hAnsi="宋体" w:eastAsia="宋体" w:cs="宋体"/>
          <w:color w:val="auto"/>
          <w:highlight w:val="none"/>
          <w:u w:val="single"/>
        </w:rPr>
        <w:t>二、投标须知修改表</w:t>
      </w:r>
      <w:r>
        <w:rPr>
          <w:rStyle w:val="20"/>
          <w:rFonts w:hint="default" w:ascii="Times New Roman" w:hAnsi="Times New Roman" w:eastAsia="宋体" w:cs="Times New Roman"/>
          <w:color w:val="auto"/>
          <w:kern w:val="2"/>
          <w:sz w:val="24"/>
          <w:szCs w:val="24"/>
          <w:highlight w:val="none"/>
        </w:rPr>
        <w:tab/>
      </w:r>
      <w:r>
        <w:rPr>
          <w:rStyle w:val="20"/>
          <w:rFonts w:hint="default" w:ascii="Times New Roman" w:hAnsi="Times New Roman" w:eastAsia="宋体" w:cs="Times New Roman"/>
          <w:color w:val="auto"/>
          <w:kern w:val="2"/>
          <w:sz w:val="24"/>
          <w:szCs w:val="24"/>
          <w:highlight w:val="none"/>
        </w:rPr>
        <w:fldChar w:fldCharType="begin"/>
      </w:r>
      <w:r>
        <w:rPr>
          <w:rStyle w:val="20"/>
          <w:rFonts w:hint="default" w:ascii="Times New Roman" w:hAnsi="Times New Roman" w:eastAsia="宋体" w:cs="Times New Roman"/>
          <w:color w:val="auto"/>
          <w:kern w:val="2"/>
          <w:sz w:val="24"/>
          <w:szCs w:val="24"/>
          <w:highlight w:val="none"/>
        </w:rPr>
        <w:instrText xml:space="preserve"> PAGEREF _Toc21525491 \h </w:instrText>
      </w:r>
      <w:r>
        <w:rPr>
          <w:rStyle w:val="20"/>
          <w:rFonts w:hint="default" w:ascii="Times New Roman" w:hAnsi="Times New Roman" w:eastAsia="宋体" w:cs="Times New Roman"/>
          <w:color w:val="auto"/>
          <w:kern w:val="2"/>
          <w:sz w:val="24"/>
          <w:szCs w:val="24"/>
          <w:highlight w:val="none"/>
        </w:rPr>
        <w:fldChar w:fldCharType="separate"/>
      </w:r>
      <w:r>
        <w:rPr>
          <w:rStyle w:val="20"/>
          <w:rFonts w:hint="default" w:ascii="Times New Roman" w:hAnsi="Times New Roman" w:eastAsia="宋体" w:cs="Times New Roman"/>
          <w:color w:val="auto"/>
          <w:kern w:val="2"/>
          <w:sz w:val="24"/>
          <w:szCs w:val="24"/>
          <w:highlight w:val="none"/>
        </w:rPr>
        <w:t>9</w:t>
      </w:r>
      <w:r>
        <w:rPr>
          <w:rStyle w:val="20"/>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14:paraId="194F22AD">
      <w:pPr>
        <w:pStyle w:val="14"/>
        <w:keepNext w:val="0"/>
        <w:keepLines w:val="0"/>
        <w:widowControl w:val="0"/>
        <w:suppressLineNumbers w:val="0"/>
        <w:snapToGrid w:val="0"/>
        <w:spacing w:before="0" w:beforeAutospacing="1" w:after="0" w:afterAutospacing="1" w:line="360" w:lineRule="auto"/>
        <w:ind w:left="420" w:leftChars="200" w:right="0"/>
        <w:jc w:val="left"/>
        <w:rPr>
          <w:rFonts w:hint="default" w:ascii="Calibri" w:hAnsi="Calibri" w:eastAsia="宋体"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"_Toc21525492"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20"/>
          <w:rFonts w:hint="eastAsia" w:ascii="宋体" w:hAnsi="宋体" w:eastAsia="宋体" w:cs="宋体"/>
          <w:color w:val="auto"/>
          <w:highlight w:val="none"/>
          <w:u w:val="single"/>
        </w:rPr>
        <w:t>三、投标须知通用条款</w:t>
      </w:r>
      <w:r>
        <w:rPr>
          <w:rStyle w:val="20"/>
          <w:rFonts w:hint="default" w:ascii="Times New Roman" w:hAnsi="Times New Roman" w:eastAsia="宋体" w:cs="Times New Roman"/>
          <w:color w:val="auto"/>
          <w:kern w:val="2"/>
          <w:sz w:val="24"/>
          <w:szCs w:val="24"/>
          <w:highlight w:val="none"/>
        </w:rPr>
        <w:tab/>
      </w:r>
      <w:r>
        <w:rPr>
          <w:rStyle w:val="20"/>
          <w:rFonts w:hint="default" w:ascii="Times New Roman" w:hAnsi="Times New Roman" w:eastAsia="宋体" w:cs="Times New Roman"/>
          <w:color w:val="auto"/>
          <w:kern w:val="2"/>
          <w:sz w:val="24"/>
          <w:szCs w:val="24"/>
          <w:highlight w:val="none"/>
        </w:rPr>
        <w:fldChar w:fldCharType="begin"/>
      </w:r>
      <w:r>
        <w:rPr>
          <w:rStyle w:val="20"/>
          <w:rFonts w:hint="default" w:ascii="Times New Roman" w:hAnsi="Times New Roman" w:eastAsia="宋体" w:cs="Times New Roman"/>
          <w:color w:val="auto"/>
          <w:kern w:val="2"/>
          <w:sz w:val="24"/>
          <w:szCs w:val="24"/>
          <w:highlight w:val="none"/>
        </w:rPr>
        <w:instrText xml:space="preserve"> PAGEREF _Toc21525492 \h </w:instrText>
      </w:r>
      <w:r>
        <w:rPr>
          <w:rStyle w:val="20"/>
          <w:rFonts w:hint="default" w:ascii="Times New Roman" w:hAnsi="Times New Roman" w:eastAsia="宋体" w:cs="Times New Roman"/>
          <w:color w:val="auto"/>
          <w:kern w:val="2"/>
          <w:sz w:val="24"/>
          <w:szCs w:val="24"/>
          <w:highlight w:val="none"/>
        </w:rPr>
        <w:fldChar w:fldCharType="separate"/>
      </w:r>
      <w:r>
        <w:rPr>
          <w:rStyle w:val="20"/>
          <w:rFonts w:hint="default" w:ascii="Times New Roman" w:hAnsi="Times New Roman" w:eastAsia="宋体" w:cs="Times New Roman"/>
          <w:color w:val="auto"/>
          <w:kern w:val="2"/>
          <w:sz w:val="24"/>
          <w:szCs w:val="24"/>
          <w:highlight w:val="none"/>
        </w:rPr>
        <w:t>24</w:t>
      </w:r>
      <w:r>
        <w:rPr>
          <w:rStyle w:val="20"/>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14:paraId="6D6643DC">
      <w:pPr>
        <w:pStyle w:val="11"/>
        <w:widowControl/>
        <w:rPr>
          <w:rFonts w:hint="default" w:ascii="Calibri" w:hAnsi="Calibri" w:eastAsia="宋体" w:cs="Times New Roman"/>
          <w:caps w:val="0"/>
          <w:color w:val="auto"/>
          <w:kern w:val="2"/>
          <w:sz w:val="21"/>
          <w:szCs w:val="21"/>
          <w:highlight w:val="none"/>
        </w:rPr>
      </w:pPr>
      <w:r>
        <w:rPr>
          <w:color w:val="auto"/>
          <w:highlight w:val="none"/>
        </w:rPr>
        <w:fldChar w:fldCharType="begin"/>
      </w:r>
      <w:r>
        <w:rPr>
          <w:color w:val="auto"/>
          <w:highlight w:val="none"/>
        </w:rPr>
        <w:instrText xml:space="preserve"> HYPERLINK "" \l "_Toc21525498" </w:instrText>
      </w:r>
      <w:r>
        <w:rPr>
          <w:color w:val="auto"/>
          <w:highlight w:val="none"/>
        </w:rPr>
        <w:fldChar w:fldCharType="separate"/>
      </w:r>
      <w:r>
        <w:rPr>
          <w:rStyle w:val="20"/>
          <w:rFonts w:hint="eastAsia" w:ascii="宋体" w:hAnsi="宋体" w:eastAsia="宋体" w:cs="宋体"/>
          <w:color w:val="auto"/>
          <w:highlight w:val="none"/>
          <w:u w:val="single"/>
        </w:rPr>
        <w:t>第二章</w:t>
      </w:r>
      <w:r>
        <w:rPr>
          <w:rStyle w:val="20"/>
          <w:rFonts w:hint="eastAsia" w:ascii="宋体" w:hAnsi="宋体" w:eastAsia="宋体" w:cs="Times New Roman"/>
          <w:color w:val="auto"/>
          <w:highlight w:val="none"/>
          <w:u w:val="single"/>
        </w:rPr>
        <w:t xml:space="preserve">  </w:t>
      </w:r>
      <w:r>
        <w:rPr>
          <w:rStyle w:val="20"/>
          <w:rFonts w:hint="eastAsia" w:ascii="宋体" w:hAnsi="宋体" w:eastAsia="宋体" w:cs="宋体"/>
          <w:color w:val="auto"/>
          <w:highlight w:val="none"/>
          <w:u w:val="single"/>
        </w:rPr>
        <w:t>开标、评标及定标办法</w:t>
      </w:r>
      <w:r>
        <w:rPr>
          <w:rStyle w:val="20"/>
          <w:rFonts w:hint="eastAsia" w:ascii="宋体" w:hAnsi="宋体" w:eastAsia="宋体" w:cs="Times New Roman"/>
          <w:caps/>
          <w:color w:val="auto"/>
          <w:kern w:val="0"/>
          <w:sz w:val="24"/>
          <w:szCs w:val="24"/>
          <w:highlight w:val="none"/>
        </w:rPr>
        <w:tab/>
      </w:r>
      <w:r>
        <w:rPr>
          <w:rStyle w:val="20"/>
          <w:rFonts w:hint="eastAsia" w:ascii="宋体" w:hAnsi="宋体" w:eastAsia="宋体" w:cs="Times New Roman"/>
          <w:caps/>
          <w:color w:val="auto"/>
          <w:kern w:val="0"/>
          <w:sz w:val="24"/>
          <w:szCs w:val="24"/>
          <w:highlight w:val="none"/>
        </w:rPr>
        <w:fldChar w:fldCharType="begin"/>
      </w:r>
      <w:r>
        <w:rPr>
          <w:rStyle w:val="20"/>
          <w:rFonts w:hint="eastAsia" w:ascii="宋体" w:hAnsi="宋体" w:eastAsia="宋体" w:cs="Times New Roman"/>
          <w:caps/>
          <w:color w:val="auto"/>
          <w:kern w:val="0"/>
          <w:sz w:val="24"/>
          <w:szCs w:val="24"/>
          <w:highlight w:val="none"/>
        </w:rPr>
        <w:instrText xml:space="preserve"> PAGEREF _Toc21525498 \h </w:instrText>
      </w:r>
      <w:r>
        <w:rPr>
          <w:rStyle w:val="20"/>
          <w:rFonts w:hint="eastAsia" w:ascii="宋体" w:hAnsi="宋体" w:eastAsia="宋体" w:cs="Times New Roman"/>
          <w:caps/>
          <w:color w:val="auto"/>
          <w:kern w:val="0"/>
          <w:sz w:val="24"/>
          <w:szCs w:val="24"/>
          <w:highlight w:val="none"/>
        </w:rPr>
        <w:fldChar w:fldCharType="separate"/>
      </w:r>
      <w:r>
        <w:rPr>
          <w:rStyle w:val="20"/>
          <w:rFonts w:hint="eastAsia" w:ascii="宋体" w:hAnsi="宋体" w:eastAsia="宋体" w:cs="Times New Roman"/>
          <w:caps/>
          <w:color w:val="auto"/>
          <w:kern w:val="0"/>
          <w:sz w:val="24"/>
          <w:szCs w:val="24"/>
          <w:highlight w:val="none"/>
        </w:rPr>
        <w:t>34</w:t>
      </w:r>
      <w:r>
        <w:rPr>
          <w:rStyle w:val="20"/>
          <w:rFonts w:hint="eastAsia" w:ascii="宋体" w:hAnsi="宋体" w:eastAsia="宋体" w:cs="Times New Roman"/>
          <w:caps/>
          <w:color w:val="auto"/>
          <w:kern w:val="0"/>
          <w:sz w:val="24"/>
          <w:szCs w:val="24"/>
          <w:highlight w:val="none"/>
        </w:rPr>
        <w:fldChar w:fldCharType="end"/>
      </w:r>
      <w:r>
        <w:rPr>
          <w:color w:val="auto"/>
          <w:highlight w:val="none"/>
        </w:rPr>
        <w:fldChar w:fldCharType="end"/>
      </w:r>
    </w:p>
    <w:p w14:paraId="6A5EA422">
      <w:pPr>
        <w:pStyle w:val="14"/>
        <w:keepNext w:val="0"/>
        <w:keepLines w:val="0"/>
        <w:widowControl w:val="0"/>
        <w:suppressLineNumbers w:val="0"/>
        <w:snapToGrid w:val="0"/>
        <w:spacing w:before="0" w:beforeAutospacing="1" w:after="0" w:afterAutospacing="1" w:line="360" w:lineRule="auto"/>
        <w:ind w:left="420" w:leftChars="200" w:right="0"/>
        <w:jc w:val="left"/>
        <w:rPr>
          <w:rFonts w:hint="default" w:ascii="Calibri" w:hAnsi="Calibri" w:eastAsia="宋体"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"_Toc21525499"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20"/>
          <w:rFonts w:hint="eastAsia" w:ascii="宋体" w:hAnsi="宋体" w:eastAsia="宋体" w:cs="宋体"/>
          <w:color w:val="auto"/>
          <w:highlight w:val="none"/>
          <w:u w:val="single"/>
        </w:rPr>
        <w:t>一、开标、评标及定标办法修改表</w:t>
      </w:r>
      <w:r>
        <w:rPr>
          <w:rStyle w:val="20"/>
          <w:rFonts w:hint="default" w:ascii="Times New Roman" w:hAnsi="Times New Roman" w:eastAsia="宋体" w:cs="Times New Roman"/>
          <w:color w:val="auto"/>
          <w:kern w:val="2"/>
          <w:sz w:val="24"/>
          <w:szCs w:val="24"/>
          <w:highlight w:val="none"/>
        </w:rPr>
        <w:tab/>
      </w:r>
      <w:r>
        <w:rPr>
          <w:rStyle w:val="20"/>
          <w:rFonts w:hint="default" w:ascii="Times New Roman" w:hAnsi="Times New Roman" w:eastAsia="宋体" w:cs="Times New Roman"/>
          <w:color w:val="auto"/>
          <w:kern w:val="2"/>
          <w:sz w:val="24"/>
          <w:szCs w:val="24"/>
          <w:highlight w:val="none"/>
        </w:rPr>
        <w:fldChar w:fldCharType="begin"/>
      </w:r>
      <w:r>
        <w:rPr>
          <w:rStyle w:val="20"/>
          <w:rFonts w:hint="default" w:ascii="Times New Roman" w:hAnsi="Times New Roman" w:eastAsia="宋体" w:cs="Times New Roman"/>
          <w:color w:val="auto"/>
          <w:kern w:val="2"/>
          <w:sz w:val="24"/>
          <w:szCs w:val="24"/>
          <w:highlight w:val="none"/>
        </w:rPr>
        <w:instrText xml:space="preserve"> PAGEREF _Toc21525499 \h </w:instrText>
      </w:r>
      <w:r>
        <w:rPr>
          <w:rStyle w:val="20"/>
          <w:rFonts w:hint="default" w:ascii="Times New Roman" w:hAnsi="Times New Roman" w:eastAsia="宋体" w:cs="Times New Roman"/>
          <w:color w:val="auto"/>
          <w:kern w:val="2"/>
          <w:sz w:val="24"/>
          <w:szCs w:val="24"/>
          <w:highlight w:val="none"/>
        </w:rPr>
        <w:fldChar w:fldCharType="separate"/>
      </w:r>
      <w:r>
        <w:rPr>
          <w:rStyle w:val="20"/>
          <w:rFonts w:hint="default" w:ascii="Times New Roman" w:hAnsi="Times New Roman" w:eastAsia="宋体" w:cs="Times New Roman"/>
          <w:color w:val="auto"/>
          <w:kern w:val="2"/>
          <w:sz w:val="24"/>
          <w:szCs w:val="24"/>
          <w:highlight w:val="none"/>
        </w:rPr>
        <w:t>34</w:t>
      </w:r>
      <w:r>
        <w:rPr>
          <w:rStyle w:val="20"/>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14:paraId="1BE499F3">
      <w:pPr>
        <w:pStyle w:val="14"/>
        <w:keepNext w:val="0"/>
        <w:keepLines w:val="0"/>
        <w:widowControl w:val="0"/>
        <w:suppressLineNumbers w:val="0"/>
        <w:snapToGrid w:val="0"/>
        <w:spacing w:before="0" w:beforeAutospacing="1" w:after="0" w:afterAutospacing="1" w:line="360" w:lineRule="auto"/>
        <w:ind w:left="420" w:leftChars="200" w:right="0"/>
        <w:jc w:val="left"/>
        <w:rPr>
          <w:rFonts w:hint="default" w:ascii="Calibri" w:hAnsi="Calibri" w:eastAsia="宋体" w:cs="Times New Roman"/>
          <w:color w:val="auto"/>
          <w:kern w:val="2"/>
          <w:sz w:val="21"/>
          <w:szCs w:val="21"/>
          <w:highlight w:val="none"/>
        </w:rPr>
      </w:pP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HYPERLINK "" \l "_Toc21525500"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Style w:val="20"/>
          <w:rFonts w:hint="eastAsia" w:ascii="宋体" w:hAnsi="宋体" w:eastAsia="宋体" w:cs="宋体"/>
          <w:color w:val="auto"/>
          <w:highlight w:val="none"/>
          <w:u w:val="single"/>
        </w:rPr>
        <w:t>二、开标、评标及定标办法通用条款</w:t>
      </w:r>
      <w:r>
        <w:rPr>
          <w:rStyle w:val="20"/>
          <w:rFonts w:hint="default" w:ascii="Times New Roman" w:hAnsi="Times New Roman" w:eastAsia="宋体" w:cs="Times New Roman"/>
          <w:color w:val="auto"/>
          <w:kern w:val="2"/>
          <w:sz w:val="24"/>
          <w:szCs w:val="24"/>
          <w:highlight w:val="none"/>
        </w:rPr>
        <w:tab/>
      </w:r>
      <w:r>
        <w:rPr>
          <w:rStyle w:val="20"/>
          <w:rFonts w:hint="default" w:ascii="Times New Roman" w:hAnsi="Times New Roman" w:eastAsia="宋体" w:cs="Times New Roman"/>
          <w:color w:val="auto"/>
          <w:kern w:val="2"/>
          <w:sz w:val="24"/>
          <w:szCs w:val="24"/>
          <w:highlight w:val="none"/>
        </w:rPr>
        <w:fldChar w:fldCharType="begin"/>
      </w:r>
      <w:r>
        <w:rPr>
          <w:rStyle w:val="20"/>
          <w:rFonts w:hint="default" w:ascii="Times New Roman" w:hAnsi="Times New Roman" w:eastAsia="宋体" w:cs="Times New Roman"/>
          <w:color w:val="auto"/>
          <w:kern w:val="2"/>
          <w:sz w:val="24"/>
          <w:szCs w:val="24"/>
          <w:highlight w:val="none"/>
        </w:rPr>
        <w:instrText xml:space="preserve"> PAGEREF _Toc21525500 \h </w:instrText>
      </w:r>
      <w:r>
        <w:rPr>
          <w:rStyle w:val="20"/>
          <w:rFonts w:hint="default" w:ascii="Times New Roman" w:hAnsi="Times New Roman" w:eastAsia="宋体" w:cs="Times New Roman"/>
          <w:color w:val="auto"/>
          <w:kern w:val="2"/>
          <w:sz w:val="24"/>
          <w:szCs w:val="24"/>
          <w:highlight w:val="none"/>
        </w:rPr>
        <w:fldChar w:fldCharType="separate"/>
      </w:r>
      <w:r>
        <w:rPr>
          <w:rStyle w:val="20"/>
          <w:rFonts w:hint="default" w:ascii="Times New Roman" w:hAnsi="Times New Roman" w:eastAsia="宋体" w:cs="Times New Roman"/>
          <w:color w:val="auto"/>
          <w:kern w:val="2"/>
          <w:sz w:val="24"/>
          <w:szCs w:val="24"/>
          <w:highlight w:val="none"/>
        </w:rPr>
        <w:t>43</w:t>
      </w:r>
      <w:r>
        <w:rPr>
          <w:rStyle w:val="20"/>
          <w:rFonts w:hint="default" w:ascii="Times New Roman" w:hAnsi="Times New Roman" w:eastAsia="宋体" w:cs="Times New Roman"/>
          <w:color w:val="auto"/>
          <w:kern w:val="2"/>
          <w:sz w:val="24"/>
          <w:szCs w:val="24"/>
          <w:highlight w:val="none"/>
        </w:rPr>
        <w:fldChar w:fldCharType="end"/>
      </w:r>
      <w:r>
        <w:rPr>
          <w:rFonts w:hint="default" w:ascii="Times New Roman" w:hAnsi="Times New Roman" w:eastAsia="宋体" w:cs="Times New Roman"/>
          <w:color w:val="auto"/>
          <w:kern w:val="2"/>
          <w:sz w:val="24"/>
          <w:szCs w:val="24"/>
          <w:highlight w:val="none"/>
          <w:lang w:val="en-US" w:eastAsia="zh-CN" w:bidi="ar"/>
        </w:rPr>
        <w:fldChar w:fldCharType="end"/>
      </w:r>
    </w:p>
    <w:p w14:paraId="22BFC643">
      <w:pPr>
        <w:pStyle w:val="11"/>
        <w:widowControl/>
        <w:rPr>
          <w:rFonts w:hint="default" w:ascii="Calibri" w:hAnsi="Calibri" w:eastAsia="宋体" w:cs="Times New Roman"/>
          <w:caps w:val="0"/>
          <w:color w:val="auto"/>
          <w:kern w:val="2"/>
          <w:sz w:val="21"/>
          <w:szCs w:val="21"/>
          <w:highlight w:val="none"/>
        </w:rPr>
      </w:pPr>
      <w:r>
        <w:rPr>
          <w:color w:val="auto"/>
          <w:highlight w:val="none"/>
        </w:rPr>
        <w:fldChar w:fldCharType="begin"/>
      </w:r>
      <w:r>
        <w:rPr>
          <w:color w:val="auto"/>
          <w:highlight w:val="none"/>
        </w:rPr>
        <w:instrText xml:space="preserve"> HYPERLINK "" \l "_Toc21525511" </w:instrText>
      </w:r>
      <w:r>
        <w:rPr>
          <w:color w:val="auto"/>
          <w:highlight w:val="none"/>
        </w:rPr>
        <w:fldChar w:fldCharType="separate"/>
      </w:r>
      <w:r>
        <w:rPr>
          <w:rStyle w:val="20"/>
          <w:rFonts w:hint="eastAsia" w:ascii="宋体" w:hAnsi="宋体" w:eastAsia="宋体" w:cs="宋体"/>
          <w:color w:val="auto"/>
          <w:highlight w:val="none"/>
          <w:u w:val="single"/>
        </w:rPr>
        <w:t>第三章</w:t>
      </w:r>
      <w:r>
        <w:rPr>
          <w:rStyle w:val="20"/>
          <w:rFonts w:hint="eastAsia" w:ascii="宋体" w:hAnsi="宋体" w:eastAsia="宋体" w:cs="Times New Roman"/>
          <w:color w:val="auto"/>
          <w:highlight w:val="none"/>
          <w:u w:val="single"/>
        </w:rPr>
        <w:t xml:space="preserve">  </w:t>
      </w:r>
      <w:r>
        <w:rPr>
          <w:rStyle w:val="20"/>
          <w:rFonts w:hint="eastAsia" w:ascii="宋体" w:hAnsi="宋体" w:eastAsia="宋体" w:cs="宋体"/>
          <w:color w:val="auto"/>
          <w:highlight w:val="none"/>
          <w:u w:val="single"/>
        </w:rPr>
        <w:t>合同条款</w:t>
      </w:r>
      <w:r>
        <w:rPr>
          <w:rStyle w:val="20"/>
          <w:rFonts w:hint="eastAsia" w:ascii="宋体" w:hAnsi="宋体" w:eastAsia="宋体" w:cs="Times New Roman"/>
          <w:caps/>
          <w:color w:val="auto"/>
          <w:kern w:val="0"/>
          <w:sz w:val="24"/>
          <w:szCs w:val="24"/>
          <w:highlight w:val="none"/>
        </w:rPr>
        <w:tab/>
      </w:r>
      <w:r>
        <w:rPr>
          <w:rStyle w:val="20"/>
          <w:rFonts w:hint="eastAsia" w:ascii="宋体" w:hAnsi="宋体" w:eastAsia="宋体" w:cs="Times New Roman"/>
          <w:caps/>
          <w:color w:val="auto"/>
          <w:kern w:val="0"/>
          <w:sz w:val="24"/>
          <w:szCs w:val="24"/>
          <w:highlight w:val="none"/>
        </w:rPr>
        <w:fldChar w:fldCharType="begin"/>
      </w:r>
      <w:r>
        <w:rPr>
          <w:rStyle w:val="20"/>
          <w:rFonts w:hint="eastAsia" w:ascii="宋体" w:hAnsi="宋体" w:eastAsia="宋体" w:cs="Times New Roman"/>
          <w:caps/>
          <w:color w:val="auto"/>
          <w:kern w:val="0"/>
          <w:sz w:val="24"/>
          <w:szCs w:val="24"/>
          <w:highlight w:val="none"/>
        </w:rPr>
        <w:instrText xml:space="preserve"> PAGEREF _Toc21525511 \h </w:instrText>
      </w:r>
      <w:r>
        <w:rPr>
          <w:rStyle w:val="20"/>
          <w:rFonts w:hint="eastAsia" w:ascii="宋体" w:hAnsi="宋体" w:eastAsia="宋体" w:cs="Times New Roman"/>
          <w:caps/>
          <w:color w:val="auto"/>
          <w:kern w:val="0"/>
          <w:sz w:val="24"/>
          <w:szCs w:val="24"/>
          <w:highlight w:val="none"/>
        </w:rPr>
        <w:fldChar w:fldCharType="separate"/>
      </w:r>
      <w:r>
        <w:rPr>
          <w:rStyle w:val="20"/>
          <w:rFonts w:hint="eastAsia" w:ascii="宋体" w:hAnsi="宋体" w:eastAsia="宋体" w:cs="Times New Roman"/>
          <w:caps/>
          <w:color w:val="auto"/>
          <w:kern w:val="0"/>
          <w:sz w:val="24"/>
          <w:szCs w:val="24"/>
          <w:highlight w:val="none"/>
        </w:rPr>
        <w:t>61</w:t>
      </w:r>
      <w:r>
        <w:rPr>
          <w:rStyle w:val="20"/>
          <w:rFonts w:hint="eastAsia" w:ascii="宋体" w:hAnsi="宋体" w:eastAsia="宋体" w:cs="Times New Roman"/>
          <w:caps/>
          <w:color w:val="auto"/>
          <w:kern w:val="0"/>
          <w:sz w:val="24"/>
          <w:szCs w:val="24"/>
          <w:highlight w:val="none"/>
        </w:rPr>
        <w:fldChar w:fldCharType="end"/>
      </w:r>
      <w:r>
        <w:rPr>
          <w:color w:val="auto"/>
          <w:highlight w:val="none"/>
        </w:rPr>
        <w:fldChar w:fldCharType="end"/>
      </w:r>
    </w:p>
    <w:p w14:paraId="07954D02">
      <w:pPr>
        <w:pStyle w:val="11"/>
        <w:widowControl/>
        <w:rPr>
          <w:rFonts w:hint="default" w:ascii="Calibri" w:hAnsi="Calibri" w:eastAsia="宋体" w:cs="Times New Roman"/>
          <w:caps w:val="0"/>
          <w:color w:val="auto"/>
          <w:kern w:val="2"/>
          <w:sz w:val="21"/>
          <w:szCs w:val="21"/>
          <w:highlight w:val="none"/>
        </w:rPr>
      </w:pPr>
      <w:r>
        <w:rPr>
          <w:color w:val="auto"/>
          <w:highlight w:val="none"/>
        </w:rPr>
        <w:fldChar w:fldCharType="begin"/>
      </w:r>
      <w:r>
        <w:rPr>
          <w:color w:val="auto"/>
          <w:highlight w:val="none"/>
        </w:rPr>
        <w:instrText xml:space="preserve"> HYPERLINK "" \l "_Toc21525512" </w:instrText>
      </w:r>
      <w:r>
        <w:rPr>
          <w:color w:val="auto"/>
          <w:highlight w:val="none"/>
        </w:rPr>
        <w:fldChar w:fldCharType="separate"/>
      </w:r>
      <w:r>
        <w:rPr>
          <w:rStyle w:val="20"/>
          <w:rFonts w:hint="eastAsia" w:ascii="宋体" w:hAnsi="宋体" w:eastAsia="宋体" w:cs="宋体"/>
          <w:color w:val="auto"/>
          <w:highlight w:val="none"/>
          <w:u w:val="single"/>
        </w:rPr>
        <w:t>第四章</w:t>
      </w:r>
      <w:r>
        <w:rPr>
          <w:rStyle w:val="20"/>
          <w:rFonts w:hint="eastAsia" w:ascii="宋体" w:hAnsi="宋体" w:eastAsia="宋体" w:cs="Times New Roman"/>
          <w:color w:val="auto"/>
          <w:highlight w:val="none"/>
          <w:u w:val="single"/>
        </w:rPr>
        <w:t xml:space="preserve">  </w:t>
      </w:r>
      <w:r>
        <w:rPr>
          <w:rStyle w:val="20"/>
          <w:rFonts w:hint="eastAsia" w:ascii="宋体" w:hAnsi="宋体" w:eastAsia="宋体" w:cs="宋体"/>
          <w:color w:val="auto"/>
          <w:highlight w:val="none"/>
          <w:u w:val="single"/>
        </w:rPr>
        <w:t>投标文件格式</w:t>
      </w:r>
      <w:r>
        <w:rPr>
          <w:rStyle w:val="20"/>
          <w:rFonts w:hint="eastAsia" w:ascii="宋体" w:hAnsi="宋体" w:eastAsia="宋体" w:cs="Times New Roman"/>
          <w:caps/>
          <w:color w:val="auto"/>
          <w:kern w:val="0"/>
          <w:sz w:val="24"/>
          <w:szCs w:val="24"/>
          <w:highlight w:val="none"/>
        </w:rPr>
        <w:tab/>
      </w:r>
      <w:r>
        <w:rPr>
          <w:rStyle w:val="20"/>
          <w:rFonts w:hint="eastAsia" w:ascii="宋体" w:hAnsi="宋体" w:eastAsia="宋体" w:cs="Times New Roman"/>
          <w:caps/>
          <w:color w:val="auto"/>
          <w:kern w:val="0"/>
          <w:sz w:val="24"/>
          <w:szCs w:val="24"/>
          <w:highlight w:val="none"/>
        </w:rPr>
        <w:fldChar w:fldCharType="begin"/>
      </w:r>
      <w:r>
        <w:rPr>
          <w:rStyle w:val="20"/>
          <w:rFonts w:hint="eastAsia" w:ascii="宋体" w:hAnsi="宋体" w:eastAsia="宋体" w:cs="Times New Roman"/>
          <w:caps/>
          <w:color w:val="auto"/>
          <w:kern w:val="0"/>
          <w:sz w:val="24"/>
          <w:szCs w:val="24"/>
          <w:highlight w:val="none"/>
        </w:rPr>
        <w:instrText xml:space="preserve"> PAGEREF _Toc21525512 \h </w:instrText>
      </w:r>
      <w:r>
        <w:rPr>
          <w:rStyle w:val="20"/>
          <w:rFonts w:hint="eastAsia" w:ascii="宋体" w:hAnsi="宋体" w:eastAsia="宋体" w:cs="Times New Roman"/>
          <w:caps/>
          <w:color w:val="auto"/>
          <w:kern w:val="0"/>
          <w:sz w:val="24"/>
          <w:szCs w:val="24"/>
          <w:highlight w:val="none"/>
        </w:rPr>
        <w:fldChar w:fldCharType="separate"/>
      </w:r>
      <w:r>
        <w:rPr>
          <w:rStyle w:val="20"/>
          <w:rFonts w:hint="eastAsia" w:ascii="宋体" w:hAnsi="宋体" w:eastAsia="宋体" w:cs="Times New Roman"/>
          <w:caps/>
          <w:color w:val="auto"/>
          <w:kern w:val="0"/>
          <w:sz w:val="24"/>
          <w:szCs w:val="24"/>
          <w:highlight w:val="none"/>
        </w:rPr>
        <w:t>62</w:t>
      </w:r>
      <w:r>
        <w:rPr>
          <w:rStyle w:val="20"/>
          <w:rFonts w:hint="eastAsia" w:ascii="宋体" w:hAnsi="宋体" w:eastAsia="宋体" w:cs="Times New Roman"/>
          <w:caps/>
          <w:color w:val="auto"/>
          <w:kern w:val="0"/>
          <w:sz w:val="24"/>
          <w:szCs w:val="24"/>
          <w:highlight w:val="none"/>
        </w:rPr>
        <w:fldChar w:fldCharType="end"/>
      </w:r>
      <w:r>
        <w:rPr>
          <w:color w:val="auto"/>
          <w:highlight w:val="none"/>
        </w:rPr>
        <w:fldChar w:fldCharType="end"/>
      </w:r>
    </w:p>
    <w:p w14:paraId="0801D066">
      <w:pPr>
        <w:pStyle w:val="11"/>
        <w:widowControl/>
        <w:rPr>
          <w:rFonts w:hint="default" w:ascii="Calibri" w:hAnsi="Calibri" w:eastAsia="宋体" w:cs="Times New Roman"/>
          <w:caps w:val="0"/>
          <w:color w:val="auto"/>
          <w:kern w:val="2"/>
          <w:sz w:val="21"/>
          <w:szCs w:val="21"/>
          <w:highlight w:val="none"/>
        </w:rPr>
      </w:pPr>
      <w:r>
        <w:rPr>
          <w:color w:val="auto"/>
          <w:highlight w:val="none"/>
        </w:rPr>
        <w:fldChar w:fldCharType="begin"/>
      </w:r>
      <w:r>
        <w:rPr>
          <w:color w:val="auto"/>
          <w:highlight w:val="none"/>
        </w:rPr>
        <w:instrText xml:space="preserve"> HYPERLINK "" \l "_Toc21525513" </w:instrText>
      </w:r>
      <w:r>
        <w:rPr>
          <w:color w:val="auto"/>
          <w:highlight w:val="none"/>
        </w:rPr>
        <w:fldChar w:fldCharType="separate"/>
      </w:r>
      <w:r>
        <w:rPr>
          <w:rStyle w:val="20"/>
          <w:rFonts w:hint="eastAsia" w:ascii="宋体" w:hAnsi="宋体" w:eastAsia="宋体" w:cs="宋体"/>
          <w:color w:val="auto"/>
          <w:highlight w:val="none"/>
          <w:u w:val="single"/>
        </w:rPr>
        <w:t>第五章</w:t>
      </w:r>
      <w:r>
        <w:rPr>
          <w:rStyle w:val="20"/>
          <w:rFonts w:hint="eastAsia" w:ascii="宋体" w:hAnsi="宋体" w:eastAsia="宋体" w:cs="Times New Roman"/>
          <w:color w:val="auto"/>
          <w:highlight w:val="none"/>
          <w:u w:val="single"/>
        </w:rPr>
        <w:t xml:space="preserve">  </w:t>
      </w:r>
      <w:r>
        <w:rPr>
          <w:rStyle w:val="20"/>
          <w:rFonts w:hint="eastAsia" w:ascii="宋体" w:hAnsi="宋体" w:eastAsia="宋体" w:cs="宋体"/>
          <w:color w:val="auto"/>
          <w:highlight w:val="none"/>
          <w:u w:val="single"/>
        </w:rPr>
        <w:t>技术条件（工程建设标准）</w:t>
      </w:r>
      <w:r>
        <w:rPr>
          <w:rStyle w:val="20"/>
          <w:rFonts w:hint="eastAsia" w:ascii="宋体" w:hAnsi="宋体" w:eastAsia="宋体" w:cs="Times New Roman"/>
          <w:caps/>
          <w:color w:val="auto"/>
          <w:kern w:val="0"/>
          <w:sz w:val="24"/>
          <w:szCs w:val="24"/>
          <w:highlight w:val="none"/>
        </w:rPr>
        <w:tab/>
      </w:r>
      <w:r>
        <w:rPr>
          <w:rStyle w:val="20"/>
          <w:rFonts w:hint="eastAsia" w:ascii="宋体" w:hAnsi="宋体" w:eastAsia="宋体" w:cs="Times New Roman"/>
          <w:caps/>
          <w:color w:val="auto"/>
          <w:kern w:val="0"/>
          <w:sz w:val="24"/>
          <w:szCs w:val="24"/>
          <w:highlight w:val="none"/>
        </w:rPr>
        <w:fldChar w:fldCharType="begin"/>
      </w:r>
      <w:r>
        <w:rPr>
          <w:rStyle w:val="20"/>
          <w:rFonts w:hint="eastAsia" w:ascii="宋体" w:hAnsi="宋体" w:eastAsia="宋体" w:cs="Times New Roman"/>
          <w:caps/>
          <w:color w:val="auto"/>
          <w:kern w:val="0"/>
          <w:sz w:val="24"/>
          <w:szCs w:val="24"/>
          <w:highlight w:val="none"/>
        </w:rPr>
        <w:instrText xml:space="preserve"> PAGEREF _Toc21525513 \h </w:instrText>
      </w:r>
      <w:r>
        <w:rPr>
          <w:rStyle w:val="20"/>
          <w:rFonts w:hint="eastAsia" w:ascii="宋体" w:hAnsi="宋体" w:eastAsia="宋体" w:cs="Times New Roman"/>
          <w:caps/>
          <w:color w:val="auto"/>
          <w:kern w:val="0"/>
          <w:sz w:val="24"/>
          <w:szCs w:val="24"/>
          <w:highlight w:val="none"/>
        </w:rPr>
        <w:fldChar w:fldCharType="separate"/>
      </w:r>
      <w:r>
        <w:rPr>
          <w:rStyle w:val="20"/>
          <w:rFonts w:hint="eastAsia" w:ascii="宋体" w:hAnsi="宋体" w:eastAsia="宋体" w:cs="Times New Roman"/>
          <w:caps/>
          <w:color w:val="auto"/>
          <w:kern w:val="0"/>
          <w:sz w:val="24"/>
          <w:szCs w:val="24"/>
          <w:highlight w:val="none"/>
        </w:rPr>
        <w:t>109</w:t>
      </w:r>
      <w:r>
        <w:rPr>
          <w:rStyle w:val="20"/>
          <w:rFonts w:hint="eastAsia" w:ascii="宋体" w:hAnsi="宋体" w:eastAsia="宋体" w:cs="Times New Roman"/>
          <w:caps/>
          <w:color w:val="auto"/>
          <w:kern w:val="0"/>
          <w:sz w:val="24"/>
          <w:szCs w:val="24"/>
          <w:highlight w:val="none"/>
        </w:rPr>
        <w:fldChar w:fldCharType="end"/>
      </w:r>
      <w:r>
        <w:rPr>
          <w:color w:val="auto"/>
          <w:highlight w:val="none"/>
        </w:rPr>
        <w:fldChar w:fldCharType="end"/>
      </w:r>
    </w:p>
    <w:p w14:paraId="5A46AE8B">
      <w:pPr>
        <w:pStyle w:val="11"/>
        <w:widowControl/>
        <w:rPr>
          <w:rFonts w:hint="default" w:ascii="Calibri" w:hAnsi="Calibri" w:eastAsia="宋体" w:cs="Times New Roman"/>
          <w:caps w:val="0"/>
          <w:color w:val="auto"/>
          <w:kern w:val="2"/>
          <w:sz w:val="21"/>
          <w:szCs w:val="21"/>
          <w:highlight w:val="none"/>
        </w:rPr>
      </w:pPr>
      <w:r>
        <w:rPr>
          <w:color w:val="auto"/>
          <w:highlight w:val="none"/>
        </w:rPr>
        <w:fldChar w:fldCharType="begin"/>
      </w:r>
      <w:r>
        <w:rPr>
          <w:color w:val="auto"/>
          <w:highlight w:val="none"/>
        </w:rPr>
        <w:instrText xml:space="preserve"> HYPERLINK "" \l "_Toc21525514" </w:instrText>
      </w:r>
      <w:r>
        <w:rPr>
          <w:color w:val="auto"/>
          <w:highlight w:val="none"/>
        </w:rPr>
        <w:fldChar w:fldCharType="separate"/>
      </w:r>
      <w:r>
        <w:rPr>
          <w:rStyle w:val="20"/>
          <w:rFonts w:hint="eastAsia" w:ascii="宋体" w:hAnsi="宋体" w:eastAsia="宋体" w:cs="宋体"/>
          <w:color w:val="auto"/>
          <w:highlight w:val="none"/>
          <w:u w:val="single"/>
        </w:rPr>
        <w:t>第六章</w:t>
      </w:r>
      <w:r>
        <w:rPr>
          <w:rStyle w:val="20"/>
          <w:rFonts w:hint="eastAsia" w:ascii="宋体" w:hAnsi="宋体" w:eastAsia="宋体" w:cs="Times New Roman"/>
          <w:color w:val="auto"/>
          <w:highlight w:val="none"/>
          <w:u w:val="single"/>
        </w:rPr>
        <w:t xml:space="preserve">  </w:t>
      </w:r>
      <w:r>
        <w:rPr>
          <w:rStyle w:val="20"/>
          <w:rFonts w:hint="eastAsia" w:ascii="宋体" w:hAnsi="宋体" w:eastAsia="宋体" w:cs="宋体"/>
          <w:color w:val="auto"/>
          <w:highlight w:val="none"/>
          <w:u w:val="single"/>
        </w:rPr>
        <w:t>图纸及勘察资料</w:t>
      </w:r>
      <w:r>
        <w:rPr>
          <w:rStyle w:val="20"/>
          <w:rFonts w:hint="eastAsia" w:ascii="宋体" w:hAnsi="宋体" w:eastAsia="宋体" w:cs="Times New Roman"/>
          <w:caps/>
          <w:color w:val="auto"/>
          <w:kern w:val="0"/>
          <w:sz w:val="24"/>
          <w:szCs w:val="24"/>
          <w:highlight w:val="none"/>
        </w:rPr>
        <w:tab/>
      </w:r>
      <w:r>
        <w:rPr>
          <w:rStyle w:val="20"/>
          <w:rFonts w:hint="eastAsia" w:ascii="宋体" w:hAnsi="宋体" w:eastAsia="宋体" w:cs="Times New Roman"/>
          <w:caps/>
          <w:color w:val="auto"/>
          <w:kern w:val="0"/>
          <w:sz w:val="24"/>
          <w:szCs w:val="24"/>
          <w:highlight w:val="none"/>
        </w:rPr>
        <w:fldChar w:fldCharType="begin"/>
      </w:r>
      <w:r>
        <w:rPr>
          <w:rStyle w:val="20"/>
          <w:rFonts w:hint="eastAsia" w:ascii="宋体" w:hAnsi="宋体" w:eastAsia="宋体" w:cs="Times New Roman"/>
          <w:caps/>
          <w:color w:val="auto"/>
          <w:kern w:val="0"/>
          <w:sz w:val="24"/>
          <w:szCs w:val="24"/>
          <w:highlight w:val="none"/>
        </w:rPr>
        <w:instrText xml:space="preserve"> PAGEREF _Toc21525514 \h </w:instrText>
      </w:r>
      <w:r>
        <w:rPr>
          <w:rStyle w:val="20"/>
          <w:rFonts w:hint="eastAsia" w:ascii="宋体" w:hAnsi="宋体" w:eastAsia="宋体" w:cs="Times New Roman"/>
          <w:caps/>
          <w:color w:val="auto"/>
          <w:kern w:val="0"/>
          <w:sz w:val="24"/>
          <w:szCs w:val="24"/>
          <w:highlight w:val="none"/>
        </w:rPr>
        <w:fldChar w:fldCharType="separate"/>
      </w:r>
      <w:r>
        <w:rPr>
          <w:rStyle w:val="20"/>
          <w:rFonts w:hint="eastAsia" w:ascii="宋体" w:hAnsi="宋体" w:eastAsia="宋体" w:cs="Times New Roman"/>
          <w:caps/>
          <w:color w:val="auto"/>
          <w:kern w:val="0"/>
          <w:sz w:val="24"/>
          <w:szCs w:val="24"/>
          <w:highlight w:val="none"/>
        </w:rPr>
        <w:t>109</w:t>
      </w:r>
      <w:r>
        <w:rPr>
          <w:rStyle w:val="20"/>
          <w:rFonts w:hint="eastAsia" w:ascii="宋体" w:hAnsi="宋体" w:eastAsia="宋体" w:cs="Times New Roman"/>
          <w:caps/>
          <w:color w:val="auto"/>
          <w:kern w:val="0"/>
          <w:sz w:val="24"/>
          <w:szCs w:val="24"/>
          <w:highlight w:val="none"/>
        </w:rPr>
        <w:fldChar w:fldCharType="end"/>
      </w:r>
      <w:r>
        <w:rPr>
          <w:color w:val="auto"/>
          <w:highlight w:val="none"/>
        </w:rPr>
        <w:fldChar w:fldCharType="end"/>
      </w:r>
    </w:p>
    <w:p w14:paraId="3A671A23">
      <w:pPr>
        <w:pStyle w:val="11"/>
        <w:widowControl/>
        <w:rPr>
          <w:rFonts w:hint="default" w:ascii="Calibri" w:hAnsi="Calibri" w:eastAsia="宋体" w:cs="Times New Roman"/>
          <w:caps w:val="0"/>
          <w:color w:val="auto"/>
          <w:kern w:val="2"/>
          <w:sz w:val="21"/>
          <w:szCs w:val="21"/>
          <w:highlight w:val="none"/>
        </w:rPr>
      </w:pPr>
      <w:r>
        <w:rPr>
          <w:color w:val="auto"/>
          <w:highlight w:val="none"/>
        </w:rPr>
        <w:fldChar w:fldCharType="begin"/>
      </w:r>
      <w:r>
        <w:rPr>
          <w:color w:val="auto"/>
          <w:highlight w:val="none"/>
        </w:rPr>
        <w:instrText xml:space="preserve"> HYPERLINK "" \l "_Toc21525515" </w:instrText>
      </w:r>
      <w:r>
        <w:rPr>
          <w:color w:val="auto"/>
          <w:highlight w:val="none"/>
        </w:rPr>
        <w:fldChar w:fldCharType="separate"/>
      </w:r>
      <w:r>
        <w:rPr>
          <w:rStyle w:val="20"/>
          <w:rFonts w:hint="eastAsia" w:ascii="宋体" w:hAnsi="宋体" w:eastAsia="宋体" w:cs="宋体"/>
          <w:color w:val="auto"/>
          <w:highlight w:val="none"/>
          <w:u w:val="single"/>
        </w:rPr>
        <w:t>第七章</w:t>
      </w:r>
      <w:r>
        <w:rPr>
          <w:rStyle w:val="20"/>
          <w:rFonts w:hint="eastAsia" w:ascii="宋体" w:hAnsi="宋体" w:eastAsia="宋体" w:cs="Times New Roman"/>
          <w:color w:val="auto"/>
          <w:highlight w:val="none"/>
          <w:u w:val="single"/>
        </w:rPr>
        <w:t xml:space="preserve">  </w:t>
      </w:r>
      <w:r>
        <w:rPr>
          <w:rStyle w:val="20"/>
          <w:rFonts w:hint="eastAsia" w:ascii="宋体" w:hAnsi="宋体" w:eastAsia="宋体" w:cs="宋体"/>
          <w:color w:val="auto"/>
          <w:highlight w:val="none"/>
          <w:u w:val="single"/>
        </w:rPr>
        <w:t>工程量清单</w:t>
      </w:r>
      <w:r>
        <w:rPr>
          <w:rStyle w:val="20"/>
          <w:rFonts w:hint="eastAsia" w:ascii="宋体" w:hAnsi="宋体" w:eastAsia="宋体" w:cs="Times New Roman"/>
          <w:caps/>
          <w:color w:val="auto"/>
          <w:kern w:val="0"/>
          <w:sz w:val="24"/>
          <w:szCs w:val="24"/>
          <w:highlight w:val="none"/>
        </w:rPr>
        <w:tab/>
      </w:r>
      <w:r>
        <w:rPr>
          <w:rStyle w:val="20"/>
          <w:rFonts w:hint="eastAsia" w:ascii="宋体" w:hAnsi="宋体" w:eastAsia="宋体" w:cs="Times New Roman"/>
          <w:caps/>
          <w:color w:val="auto"/>
          <w:kern w:val="0"/>
          <w:sz w:val="24"/>
          <w:szCs w:val="24"/>
          <w:highlight w:val="none"/>
        </w:rPr>
        <w:fldChar w:fldCharType="begin"/>
      </w:r>
      <w:r>
        <w:rPr>
          <w:rStyle w:val="20"/>
          <w:rFonts w:hint="eastAsia" w:ascii="宋体" w:hAnsi="宋体" w:eastAsia="宋体" w:cs="Times New Roman"/>
          <w:caps/>
          <w:color w:val="auto"/>
          <w:kern w:val="0"/>
          <w:sz w:val="24"/>
          <w:szCs w:val="24"/>
          <w:highlight w:val="none"/>
        </w:rPr>
        <w:instrText xml:space="preserve"> PAGEREF _Toc21525515 \h </w:instrText>
      </w:r>
      <w:r>
        <w:rPr>
          <w:rStyle w:val="20"/>
          <w:rFonts w:hint="eastAsia" w:ascii="宋体" w:hAnsi="宋体" w:eastAsia="宋体" w:cs="Times New Roman"/>
          <w:caps/>
          <w:color w:val="auto"/>
          <w:kern w:val="0"/>
          <w:sz w:val="24"/>
          <w:szCs w:val="24"/>
          <w:highlight w:val="none"/>
        </w:rPr>
        <w:fldChar w:fldCharType="separate"/>
      </w:r>
      <w:r>
        <w:rPr>
          <w:rStyle w:val="20"/>
          <w:rFonts w:hint="eastAsia" w:ascii="宋体" w:hAnsi="宋体" w:eastAsia="宋体" w:cs="Times New Roman"/>
          <w:caps/>
          <w:color w:val="auto"/>
          <w:kern w:val="0"/>
          <w:sz w:val="24"/>
          <w:szCs w:val="24"/>
          <w:highlight w:val="none"/>
        </w:rPr>
        <w:t>111</w:t>
      </w:r>
      <w:r>
        <w:rPr>
          <w:rStyle w:val="20"/>
          <w:rFonts w:hint="eastAsia" w:ascii="宋体" w:hAnsi="宋体" w:eastAsia="宋体" w:cs="Times New Roman"/>
          <w:caps/>
          <w:color w:val="auto"/>
          <w:kern w:val="0"/>
          <w:sz w:val="24"/>
          <w:szCs w:val="24"/>
          <w:highlight w:val="none"/>
        </w:rPr>
        <w:fldChar w:fldCharType="end"/>
      </w:r>
      <w:r>
        <w:rPr>
          <w:color w:val="auto"/>
          <w:highlight w:val="none"/>
        </w:rPr>
        <w:fldChar w:fldCharType="end"/>
      </w:r>
    </w:p>
    <w:p w14:paraId="1151F046">
      <w:pPr>
        <w:pStyle w:val="11"/>
        <w:widowControl/>
        <w:rPr>
          <w:rFonts w:hint="eastAsia" w:ascii="宋体" w:hAnsi="宋体" w:eastAsia="宋体" w:cs="Times New Roman"/>
          <w:caps/>
          <w:color w:val="auto"/>
          <w:kern w:val="0"/>
          <w:sz w:val="24"/>
          <w:szCs w:val="24"/>
          <w:highlight w:val="none"/>
        </w:rPr>
      </w:pPr>
      <w:r>
        <w:rPr>
          <w:color w:val="auto"/>
          <w:highlight w:val="none"/>
        </w:rPr>
        <w:fldChar w:fldCharType="begin"/>
      </w:r>
      <w:r>
        <w:rPr>
          <w:color w:val="auto"/>
          <w:highlight w:val="none"/>
        </w:rPr>
        <w:instrText xml:space="preserve"> HYPERLINK "" \l "_Toc21525516" </w:instrText>
      </w:r>
      <w:r>
        <w:rPr>
          <w:color w:val="auto"/>
          <w:highlight w:val="none"/>
        </w:rPr>
        <w:fldChar w:fldCharType="separate"/>
      </w:r>
      <w:r>
        <w:rPr>
          <w:rStyle w:val="20"/>
          <w:rFonts w:hint="eastAsia" w:ascii="宋体" w:hAnsi="宋体" w:eastAsia="宋体" w:cs="宋体"/>
          <w:color w:val="auto"/>
          <w:highlight w:val="none"/>
          <w:u w:val="single"/>
        </w:rPr>
        <w:t>第八章</w:t>
      </w:r>
      <w:r>
        <w:rPr>
          <w:rStyle w:val="20"/>
          <w:rFonts w:hint="eastAsia" w:ascii="宋体" w:hAnsi="宋体" w:eastAsia="宋体" w:cs="Times New Roman"/>
          <w:color w:val="auto"/>
          <w:highlight w:val="none"/>
          <w:u w:val="single"/>
        </w:rPr>
        <w:t xml:space="preserve">  </w:t>
      </w:r>
      <w:r>
        <w:rPr>
          <w:rStyle w:val="20"/>
          <w:rFonts w:hint="eastAsia" w:ascii="宋体" w:hAnsi="宋体" w:eastAsia="宋体" w:cs="宋体"/>
          <w:color w:val="auto"/>
          <w:highlight w:val="none"/>
          <w:u w:val="single"/>
        </w:rPr>
        <w:t>最高投标限价</w:t>
      </w:r>
      <w:r>
        <w:rPr>
          <w:rStyle w:val="20"/>
          <w:rFonts w:hint="eastAsia" w:ascii="宋体" w:hAnsi="宋体" w:eastAsia="宋体" w:cs="Times New Roman"/>
          <w:caps/>
          <w:color w:val="auto"/>
          <w:kern w:val="0"/>
          <w:sz w:val="24"/>
          <w:szCs w:val="24"/>
          <w:highlight w:val="none"/>
        </w:rPr>
        <w:tab/>
      </w:r>
      <w:r>
        <w:rPr>
          <w:rStyle w:val="20"/>
          <w:rFonts w:hint="eastAsia" w:ascii="宋体" w:hAnsi="宋体" w:eastAsia="宋体" w:cs="Times New Roman"/>
          <w:caps/>
          <w:color w:val="auto"/>
          <w:kern w:val="0"/>
          <w:sz w:val="24"/>
          <w:szCs w:val="24"/>
          <w:highlight w:val="none"/>
        </w:rPr>
        <w:fldChar w:fldCharType="begin"/>
      </w:r>
      <w:r>
        <w:rPr>
          <w:rStyle w:val="20"/>
          <w:rFonts w:hint="eastAsia" w:ascii="宋体" w:hAnsi="宋体" w:eastAsia="宋体" w:cs="Times New Roman"/>
          <w:caps/>
          <w:color w:val="auto"/>
          <w:kern w:val="0"/>
          <w:sz w:val="24"/>
          <w:szCs w:val="24"/>
          <w:highlight w:val="none"/>
        </w:rPr>
        <w:instrText xml:space="preserve"> PAGEREF _Toc21525516 \h </w:instrText>
      </w:r>
      <w:r>
        <w:rPr>
          <w:rStyle w:val="20"/>
          <w:rFonts w:hint="eastAsia" w:ascii="宋体" w:hAnsi="宋体" w:eastAsia="宋体" w:cs="Times New Roman"/>
          <w:caps/>
          <w:color w:val="auto"/>
          <w:kern w:val="0"/>
          <w:sz w:val="24"/>
          <w:szCs w:val="24"/>
          <w:highlight w:val="none"/>
        </w:rPr>
        <w:fldChar w:fldCharType="separate"/>
      </w:r>
      <w:r>
        <w:rPr>
          <w:rStyle w:val="20"/>
          <w:rFonts w:hint="eastAsia" w:ascii="宋体" w:hAnsi="宋体" w:eastAsia="宋体" w:cs="Times New Roman"/>
          <w:caps/>
          <w:color w:val="auto"/>
          <w:kern w:val="0"/>
          <w:sz w:val="24"/>
          <w:szCs w:val="24"/>
          <w:highlight w:val="none"/>
        </w:rPr>
        <w:t>112</w:t>
      </w:r>
      <w:r>
        <w:rPr>
          <w:rStyle w:val="20"/>
          <w:rFonts w:hint="eastAsia" w:ascii="宋体" w:hAnsi="宋体" w:eastAsia="宋体" w:cs="Times New Roman"/>
          <w:caps/>
          <w:color w:val="auto"/>
          <w:kern w:val="0"/>
          <w:sz w:val="24"/>
          <w:szCs w:val="24"/>
          <w:highlight w:val="none"/>
        </w:rPr>
        <w:fldChar w:fldCharType="end"/>
      </w:r>
      <w:r>
        <w:rPr>
          <w:color w:val="auto"/>
          <w:highlight w:val="none"/>
        </w:rPr>
        <w:fldChar w:fldCharType="end"/>
      </w:r>
    </w:p>
    <w:p w14:paraId="21A3CC63">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14:paraId="14522679">
      <w:pPr>
        <w:pStyle w:val="14"/>
        <w:keepNext w:val="0"/>
        <w:keepLines w:val="0"/>
        <w:widowControl w:val="0"/>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 xml:space="preserve"> </w:t>
      </w:r>
    </w:p>
    <w:p w14:paraId="7DA646FC">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14:paraId="7999B401">
      <w:pPr>
        <w:pStyle w:val="14"/>
        <w:keepNext w:val="0"/>
        <w:keepLines w:val="0"/>
        <w:widowControl w:val="0"/>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 xml:space="preserve"> </w:t>
      </w:r>
    </w:p>
    <w:p w14:paraId="37A4B7EC">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14:paraId="18500DE1">
      <w:pPr>
        <w:pStyle w:val="14"/>
        <w:keepNext w:val="0"/>
        <w:keepLines w:val="0"/>
        <w:widowControl w:val="0"/>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 xml:space="preserve"> </w:t>
      </w:r>
    </w:p>
    <w:p w14:paraId="3C294B8B">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14:paraId="31240D3B">
      <w:pPr>
        <w:pStyle w:val="14"/>
        <w:keepNext w:val="0"/>
        <w:keepLines w:val="0"/>
        <w:widowControl w:val="0"/>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 xml:space="preserve"> </w:t>
      </w:r>
    </w:p>
    <w:p w14:paraId="52339262">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14:paraId="34FA02B5">
      <w:pPr>
        <w:pStyle w:val="14"/>
        <w:keepNext w:val="0"/>
        <w:keepLines w:val="0"/>
        <w:widowControl w:val="0"/>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 xml:space="preserve"> </w:t>
      </w:r>
    </w:p>
    <w:p w14:paraId="2C46585F">
      <w:pPr>
        <w:pStyle w:val="14"/>
        <w:keepNext w:val="0"/>
        <w:keepLines w:val="0"/>
        <w:widowControl w:val="0"/>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 xml:space="preserve"> </w:t>
      </w:r>
    </w:p>
    <w:p w14:paraId="7F3461E5">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14:paraId="66FAB372">
      <w:pPr>
        <w:pStyle w:val="14"/>
        <w:keepNext w:val="0"/>
        <w:keepLines w:val="0"/>
        <w:widowControl w:val="0"/>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 xml:space="preserve"> </w:t>
      </w:r>
    </w:p>
    <w:p w14:paraId="33CD8364">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14:paraId="376D5503">
      <w:pPr>
        <w:pStyle w:val="14"/>
        <w:keepNext w:val="0"/>
        <w:keepLines w:val="0"/>
        <w:widowControl w:val="0"/>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 xml:space="preserve"> </w:t>
      </w:r>
    </w:p>
    <w:p w14:paraId="4AB68961">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14:paraId="24D54030">
      <w:pPr>
        <w:pStyle w:val="14"/>
        <w:keepNext w:val="0"/>
        <w:keepLines w:val="0"/>
        <w:widowControl w:val="0"/>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 xml:space="preserve"> </w:t>
      </w:r>
    </w:p>
    <w:p w14:paraId="111B455D">
      <w:pPr>
        <w:rPr>
          <w:rFonts w:hint="default" w:ascii="Arial" w:hAnsi="Arial" w:eastAsia="宋体" w:cs="Times New Roman"/>
          <w:b/>
          <w:color w:val="auto"/>
          <w:kern w:val="44"/>
          <w:sz w:val="28"/>
          <w:szCs w:val="28"/>
          <w:highlight w:val="none"/>
        </w:rPr>
        <w:sectPr>
          <w:pgSz w:w="11906" w:h="16838"/>
          <w:pgMar w:top="1134" w:right="1418" w:bottom="1247" w:left="1418" w:header="851" w:footer="907" w:gutter="0"/>
          <w:pgNumType w:fmt="decimal"/>
          <w:cols w:space="425" w:num="1"/>
          <w:docGrid w:type="lines" w:linePitch="312" w:charSpace="0"/>
        </w:sectPr>
      </w:pPr>
    </w:p>
    <w:p w14:paraId="34022B2E">
      <w:pPr>
        <w:pStyle w:val="2"/>
        <w:widowControl/>
        <w:rPr>
          <w:rFonts w:hint="default" w:ascii="Arial" w:hAnsi="Arial" w:eastAsia="宋体" w:cs="Times New Roman"/>
          <w:b/>
          <w:bCs w:val="0"/>
          <w:color w:val="auto"/>
          <w:kern w:val="44"/>
          <w:sz w:val="28"/>
          <w:szCs w:val="28"/>
          <w:highlight w:val="none"/>
        </w:rPr>
      </w:pPr>
      <w:bookmarkStart w:id="0" w:name="_Toc2272545"/>
      <w:bookmarkEnd w:id="0"/>
      <w:bookmarkStart w:id="1" w:name="_Toc21525489"/>
      <w:r>
        <w:rPr>
          <w:rFonts w:hint="eastAsia" w:ascii="宋体" w:hAnsi="宋体" w:eastAsia="宋体" w:cs="宋体"/>
          <w:b/>
          <w:bCs w:val="0"/>
          <w:color w:val="auto"/>
          <w:kern w:val="44"/>
          <w:sz w:val="28"/>
          <w:szCs w:val="28"/>
          <w:highlight w:val="none"/>
        </w:rPr>
        <w:t>第一章</w:t>
      </w:r>
      <w:bookmarkEnd w:id="1"/>
      <w:r>
        <w:rPr>
          <w:rFonts w:hint="default" w:ascii="Arial" w:hAnsi="Arial" w:eastAsia="宋体" w:cs="Times New Roman"/>
          <w:b/>
          <w:bCs w:val="0"/>
          <w:color w:val="auto"/>
          <w:kern w:val="44"/>
          <w:sz w:val="28"/>
          <w:szCs w:val="28"/>
          <w:highlight w:val="none"/>
        </w:rPr>
        <w:t xml:space="preserve">  </w:t>
      </w:r>
      <w:r>
        <w:rPr>
          <w:rFonts w:hint="eastAsia" w:ascii="宋体" w:hAnsi="宋体" w:eastAsia="宋体" w:cs="宋体"/>
          <w:b/>
          <w:bCs w:val="0"/>
          <w:color w:val="auto"/>
          <w:kern w:val="44"/>
          <w:sz w:val="28"/>
          <w:szCs w:val="28"/>
          <w:highlight w:val="none"/>
        </w:rPr>
        <w:t>投标须知</w:t>
      </w:r>
    </w:p>
    <w:p w14:paraId="4076C3E3">
      <w:pPr>
        <w:pStyle w:val="3"/>
        <w:widowControl/>
        <w:rPr>
          <w:rFonts w:hint="default" w:ascii="Arial" w:hAnsi="Arial" w:eastAsia="宋体" w:cs="Times New Roman"/>
          <w:b/>
          <w:bCs w:val="0"/>
          <w:color w:val="auto"/>
          <w:kern w:val="2"/>
          <w:sz w:val="24"/>
          <w:szCs w:val="24"/>
          <w:highlight w:val="none"/>
        </w:rPr>
      </w:pPr>
      <w:bookmarkStart w:id="2" w:name="_Toc2272546"/>
      <w:bookmarkEnd w:id="2"/>
      <w:bookmarkStart w:id="3" w:name="_Toc21525490"/>
      <w:r>
        <w:rPr>
          <w:rFonts w:hint="eastAsia" w:ascii="宋体" w:hAnsi="宋体" w:eastAsia="宋体" w:cs="宋体"/>
          <w:b/>
          <w:bCs w:val="0"/>
          <w:color w:val="auto"/>
          <w:kern w:val="2"/>
          <w:sz w:val="24"/>
          <w:szCs w:val="24"/>
          <w:highlight w:val="none"/>
        </w:rPr>
        <w:t>一、投标须知前附表</w:t>
      </w:r>
      <w:bookmarkEnd w:id="3"/>
    </w:p>
    <w:p w14:paraId="4CDF3E93">
      <w:pPr>
        <w:pStyle w:val="14"/>
        <w:keepNext w:val="0"/>
        <w:keepLines w:val="0"/>
        <w:widowControl w:val="0"/>
        <w:suppressLineNumbers w:val="0"/>
        <w:spacing w:before="0" w:beforeAutospacing="0" w:after="0" w:afterAutospacing="0" w:line="360" w:lineRule="auto"/>
        <w:ind w:left="0" w:right="0" w:firstLine="0"/>
        <w:jc w:val="both"/>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声明：本投标须知前附表使用GZZB2018-3招标文件范本，与范本不同之处均以下划线标明，所有标明下划线部分属于本表的组成部分，同其他部分具有同样的效力。对范本《投标须知通用条款》和《开标、评标和定标办法通用条款》可选择部分的选择使用，均已在本表中注明，通用条款可选择部分中未被本投标须知前附表选择的部分无效。</w:t>
      </w:r>
    </w:p>
    <w:tbl>
      <w:tblPr>
        <w:tblStyle w:val="17"/>
        <w:tblW w:w="9350" w:type="dxa"/>
        <w:tblInd w:w="0" w:type="dxa"/>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02"/>
        <w:gridCol w:w="981"/>
        <w:gridCol w:w="1810"/>
        <w:gridCol w:w="5857"/>
      </w:tblGrid>
      <w:tr w14:paraId="7F726FD8">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702" w:type="dxa"/>
            <w:tcBorders>
              <w:top w:val="double" w:color="auto" w:sz="2" w:space="0"/>
              <w:left w:val="double" w:color="auto" w:sz="2" w:space="0"/>
              <w:bottom w:val="single" w:color="auto" w:sz="4" w:space="0"/>
              <w:right w:val="single" w:color="auto" w:sz="4" w:space="0"/>
            </w:tcBorders>
            <w:shd w:val="clear" w:color="auto" w:fill="auto"/>
            <w:vAlign w:val="center"/>
          </w:tcPr>
          <w:p w14:paraId="1DA0B2F2">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项目</w:t>
            </w:r>
          </w:p>
        </w:tc>
        <w:tc>
          <w:tcPr>
            <w:tcW w:w="981" w:type="dxa"/>
            <w:tcBorders>
              <w:top w:val="double" w:color="auto" w:sz="2" w:space="0"/>
              <w:left w:val="nil"/>
              <w:bottom w:val="single" w:color="auto" w:sz="4" w:space="0"/>
              <w:right w:val="single" w:color="auto" w:sz="4" w:space="0"/>
            </w:tcBorders>
            <w:shd w:val="clear" w:color="auto" w:fill="auto"/>
            <w:vAlign w:val="center"/>
          </w:tcPr>
          <w:p w14:paraId="0CC08C93">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条款号</w:t>
            </w:r>
          </w:p>
        </w:tc>
        <w:tc>
          <w:tcPr>
            <w:tcW w:w="1810" w:type="dxa"/>
            <w:tcBorders>
              <w:top w:val="double" w:color="auto" w:sz="2" w:space="0"/>
              <w:left w:val="nil"/>
              <w:bottom w:val="single" w:color="auto" w:sz="4" w:space="0"/>
              <w:right w:val="single" w:color="auto" w:sz="4" w:space="0"/>
            </w:tcBorders>
            <w:shd w:val="clear" w:color="auto" w:fill="auto"/>
            <w:vAlign w:val="center"/>
          </w:tcPr>
          <w:p w14:paraId="7A3DDC3C">
            <w:pPr>
              <w:keepNext w:val="0"/>
              <w:keepLines w:val="0"/>
              <w:widowControl w:val="0"/>
              <w:suppressLineNumbers w:val="0"/>
              <w:spacing w:before="0" w:beforeAutospacing="0" w:after="0" w:afterAutospacing="0"/>
              <w:ind w:left="0" w:right="0" w:firstLine="458"/>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内容</w:t>
            </w:r>
          </w:p>
        </w:tc>
        <w:tc>
          <w:tcPr>
            <w:tcW w:w="5857" w:type="dxa"/>
            <w:tcBorders>
              <w:top w:val="double" w:color="auto" w:sz="2" w:space="0"/>
              <w:left w:val="nil"/>
              <w:bottom w:val="single" w:color="auto" w:sz="4" w:space="0"/>
              <w:right w:val="double" w:color="auto" w:sz="2" w:space="0"/>
            </w:tcBorders>
            <w:shd w:val="clear" w:color="auto" w:fill="auto"/>
            <w:vAlign w:val="center"/>
          </w:tcPr>
          <w:p w14:paraId="101759F7">
            <w:pPr>
              <w:pStyle w:val="8"/>
              <w:keepNext w:val="0"/>
              <w:keepLines w:val="0"/>
              <w:widowControl w:val="0"/>
              <w:suppressLineNumbers w:val="0"/>
              <w:spacing w:before="0" w:beforeAutospacing="0" w:after="0" w:afterAutospacing="0"/>
              <w:ind w:left="0" w:right="0" w:firstLine="458"/>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rPr>
              <w:t>说明与要求</w:t>
            </w:r>
          </w:p>
        </w:tc>
      </w:tr>
      <w:tr w14:paraId="7310B243">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1304"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36CA5FC2">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p>
        </w:tc>
        <w:tc>
          <w:tcPr>
            <w:tcW w:w="981" w:type="dxa"/>
            <w:tcBorders>
              <w:top w:val="single" w:color="auto" w:sz="4" w:space="0"/>
              <w:left w:val="nil"/>
              <w:bottom w:val="single" w:color="auto" w:sz="4" w:space="0"/>
              <w:right w:val="single" w:color="auto" w:sz="4" w:space="0"/>
            </w:tcBorders>
            <w:shd w:val="clear" w:color="auto" w:fill="auto"/>
            <w:vAlign w:val="center"/>
          </w:tcPr>
          <w:p w14:paraId="78F50553">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p>
        </w:tc>
        <w:tc>
          <w:tcPr>
            <w:tcW w:w="1810" w:type="dxa"/>
            <w:tcBorders>
              <w:top w:val="single" w:color="auto" w:sz="4" w:space="0"/>
              <w:left w:val="nil"/>
              <w:bottom w:val="single" w:color="auto" w:sz="4" w:space="0"/>
              <w:right w:val="single" w:color="auto" w:sz="4" w:space="0"/>
            </w:tcBorders>
            <w:shd w:val="clear" w:color="auto" w:fill="auto"/>
            <w:vAlign w:val="center"/>
          </w:tcPr>
          <w:p w14:paraId="1997DCCD">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定义</w:t>
            </w:r>
          </w:p>
        </w:tc>
        <w:tc>
          <w:tcPr>
            <w:tcW w:w="5857" w:type="dxa"/>
            <w:tcBorders>
              <w:top w:val="single" w:color="auto" w:sz="4" w:space="0"/>
              <w:left w:val="nil"/>
              <w:bottom w:val="single" w:color="auto" w:sz="4" w:space="0"/>
              <w:right w:val="double" w:color="auto" w:sz="2" w:space="0"/>
            </w:tcBorders>
            <w:shd w:val="clear" w:color="auto" w:fill="auto"/>
            <w:vAlign w:val="center"/>
          </w:tcPr>
          <w:p w14:paraId="75F8A581">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招标人（即发包人）：</w:t>
            </w:r>
            <w:r>
              <w:rPr>
                <w:rFonts w:hint="eastAsia" w:ascii="宋体" w:hAnsi="宋体" w:eastAsia="宋体" w:cs="宋体"/>
                <w:color w:val="auto"/>
                <w:kern w:val="2"/>
                <w:sz w:val="21"/>
                <w:szCs w:val="21"/>
                <w:highlight w:val="none"/>
                <w:u w:val="single"/>
                <w:lang w:val="en-US" w:eastAsia="zh-CN" w:bidi="ar"/>
              </w:rPr>
              <w:t>广州市重点公共建设项目管理中心</w:t>
            </w:r>
          </w:p>
          <w:p w14:paraId="2310A7D9">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招标代理：</w:t>
            </w:r>
            <w:r>
              <w:rPr>
                <w:rFonts w:hint="eastAsia" w:ascii="宋体" w:hAnsi="宋体" w:eastAsia="宋体" w:cs="宋体"/>
                <w:color w:val="auto"/>
                <w:kern w:val="2"/>
                <w:sz w:val="21"/>
                <w:szCs w:val="21"/>
                <w:highlight w:val="none"/>
                <w:u w:val="single"/>
                <w:lang w:val="en-US" w:eastAsia="zh-CN" w:bidi="ar"/>
              </w:rPr>
              <w:t>广东建瀚工程管理有限公司</w:t>
            </w:r>
          </w:p>
          <w:p w14:paraId="337043A0">
            <w:pPr>
              <w:keepNext w:val="0"/>
              <w:keepLines w:val="0"/>
              <w:widowControl w:val="0"/>
              <w:suppressLineNumbers w:val="0"/>
              <w:spacing w:before="0" w:beforeAutospacing="0" w:after="0" w:afterAutospacing="0"/>
              <w:ind w:left="0" w:right="0"/>
              <w:jc w:val="both"/>
              <w:rPr>
                <w:rFonts w:hint="default" w:ascii="宋体" w:hAnsi="宋体" w:eastAsia="宋体" w:cs="Times New Roman"/>
                <w:color w:val="auto"/>
                <w:kern w:val="2"/>
                <w:sz w:val="21"/>
                <w:szCs w:val="21"/>
                <w:highlight w:val="none"/>
                <w:lang w:val="en-US"/>
              </w:rPr>
            </w:pPr>
            <w:r>
              <w:rPr>
                <w:rFonts w:hint="eastAsia" w:ascii="宋体" w:hAnsi="宋体" w:eastAsia="宋体" w:cs="宋体"/>
                <w:color w:val="auto"/>
                <w:kern w:val="2"/>
                <w:sz w:val="21"/>
                <w:szCs w:val="21"/>
                <w:highlight w:val="none"/>
                <w:lang w:val="en-US" w:eastAsia="zh-CN" w:bidi="ar"/>
              </w:rPr>
              <w:t>设计单位：</w:t>
            </w:r>
            <w:r>
              <w:rPr>
                <w:rFonts w:hint="eastAsia" w:ascii="宋体" w:hAnsi="宋体" w:eastAsia="宋体" w:cs="宋体"/>
                <w:color w:val="auto"/>
                <w:kern w:val="2"/>
                <w:sz w:val="21"/>
                <w:szCs w:val="21"/>
                <w:highlight w:val="none"/>
                <w:u w:val="single"/>
                <w:lang w:val="en-US" w:eastAsia="zh-CN" w:bidi="ar"/>
              </w:rPr>
              <w:t xml:space="preserve">  （另行通知）   </w:t>
            </w:r>
          </w:p>
          <w:p w14:paraId="45139E2C">
            <w:pPr>
              <w:keepNext w:val="0"/>
              <w:keepLines w:val="0"/>
              <w:widowControl w:val="0"/>
              <w:suppressLineNumbers w:val="0"/>
              <w:spacing w:before="0" w:beforeAutospacing="0" w:after="0" w:afterAutospacing="0"/>
              <w:ind w:left="0" w:right="0"/>
              <w:jc w:val="both"/>
              <w:rPr>
                <w:rFonts w:hint="default" w:ascii="宋体" w:hAnsi="宋体" w:eastAsia="宋体" w:cs="Times New Roman"/>
                <w:color w:val="auto"/>
                <w:kern w:val="2"/>
                <w:sz w:val="21"/>
                <w:szCs w:val="21"/>
                <w:highlight w:val="none"/>
                <w:u w:val="single"/>
              </w:rPr>
            </w:pPr>
            <w:r>
              <w:rPr>
                <w:rFonts w:hint="eastAsia" w:ascii="宋体" w:hAnsi="宋体" w:eastAsia="宋体" w:cs="宋体"/>
                <w:color w:val="auto"/>
                <w:kern w:val="2"/>
                <w:sz w:val="21"/>
                <w:szCs w:val="21"/>
                <w:highlight w:val="none"/>
                <w:lang w:val="en-US" w:eastAsia="zh-CN" w:bidi="ar"/>
              </w:rPr>
              <w:t>监理单位：</w:t>
            </w:r>
            <w:r>
              <w:rPr>
                <w:rFonts w:hint="eastAsia" w:ascii="宋体" w:hAnsi="宋体" w:eastAsia="宋体" w:cs="宋体"/>
                <w:color w:val="auto"/>
                <w:kern w:val="2"/>
                <w:sz w:val="21"/>
                <w:szCs w:val="21"/>
                <w:highlight w:val="none"/>
                <w:u w:val="single"/>
                <w:lang w:val="en-US" w:eastAsia="zh-CN" w:bidi="ar"/>
              </w:rPr>
              <w:t>（另行通知）</w:t>
            </w:r>
          </w:p>
          <w:p w14:paraId="16332661">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检测机构：</w:t>
            </w:r>
            <w:r>
              <w:rPr>
                <w:rFonts w:hint="eastAsia" w:ascii="宋体" w:hAnsi="宋体" w:eastAsia="宋体" w:cs="宋体"/>
                <w:color w:val="auto"/>
                <w:kern w:val="2"/>
                <w:sz w:val="21"/>
                <w:szCs w:val="21"/>
                <w:highlight w:val="none"/>
                <w:u w:val="single"/>
                <w:lang w:val="en-US" w:eastAsia="zh-CN" w:bidi="ar"/>
              </w:rPr>
              <w:t>（另行通知）</w:t>
            </w:r>
          </w:p>
        </w:tc>
      </w:tr>
      <w:tr w14:paraId="4E43A273">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58"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5BDF8A9E">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w:t>
            </w:r>
          </w:p>
        </w:tc>
        <w:tc>
          <w:tcPr>
            <w:tcW w:w="981" w:type="dxa"/>
            <w:tcBorders>
              <w:top w:val="single" w:color="auto" w:sz="4" w:space="0"/>
              <w:left w:val="nil"/>
              <w:bottom w:val="single" w:color="auto" w:sz="4" w:space="0"/>
              <w:right w:val="single" w:color="auto" w:sz="4" w:space="0"/>
            </w:tcBorders>
            <w:shd w:val="clear" w:color="auto" w:fill="auto"/>
            <w:vAlign w:val="center"/>
          </w:tcPr>
          <w:p w14:paraId="6D7C7CBE">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2.2</w:t>
            </w:r>
          </w:p>
        </w:tc>
        <w:tc>
          <w:tcPr>
            <w:tcW w:w="1810" w:type="dxa"/>
            <w:tcBorders>
              <w:top w:val="single" w:color="auto" w:sz="4" w:space="0"/>
              <w:left w:val="nil"/>
              <w:bottom w:val="single" w:color="auto" w:sz="4" w:space="0"/>
              <w:right w:val="single" w:color="auto" w:sz="4" w:space="0"/>
            </w:tcBorders>
            <w:shd w:val="clear" w:color="auto" w:fill="auto"/>
            <w:vAlign w:val="center"/>
          </w:tcPr>
          <w:p w14:paraId="62321895">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工程名称</w:t>
            </w:r>
          </w:p>
        </w:tc>
        <w:tc>
          <w:tcPr>
            <w:tcW w:w="5857" w:type="dxa"/>
            <w:tcBorders>
              <w:top w:val="single" w:color="auto" w:sz="4" w:space="0"/>
              <w:left w:val="nil"/>
              <w:bottom w:val="single" w:color="auto" w:sz="4" w:space="0"/>
              <w:right w:val="double" w:color="auto" w:sz="2" w:space="0"/>
            </w:tcBorders>
            <w:shd w:val="clear" w:color="auto" w:fill="auto"/>
            <w:vAlign w:val="center"/>
          </w:tcPr>
          <w:p w14:paraId="6970F939">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u w:val="single"/>
              </w:rPr>
            </w:pPr>
            <w:r>
              <w:rPr>
                <w:rFonts w:hint="eastAsia" w:ascii="宋体" w:hAnsi="宋体" w:eastAsia="宋体" w:cs="宋体"/>
                <w:color w:val="auto"/>
                <w:kern w:val="2"/>
                <w:sz w:val="21"/>
                <w:szCs w:val="21"/>
                <w:highlight w:val="none"/>
                <w:u w:val="single"/>
                <w:lang w:eastAsia="zh-CN" w:bidi="ar"/>
              </w:rPr>
              <w:t>广州天河体育中心整体景观提升（开幕式）建筑工程、广州天河体育中心篮球城维修改造项目、广州市羽毛球运动管理中心训练馆改造项目、广州天河体育中心田径副场改造项目施工总承包</w:t>
            </w:r>
          </w:p>
        </w:tc>
      </w:tr>
      <w:tr w14:paraId="3FCEABCF">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452"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1CF9BAF8">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w:t>
            </w:r>
          </w:p>
        </w:tc>
        <w:tc>
          <w:tcPr>
            <w:tcW w:w="981" w:type="dxa"/>
            <w:tcBorders>
              <w:top w:val="single" w:color="auto" w:sz="4" w:space="0"/>
              <w:left w:val="nil"/>
              <w:bottom w:val="single" w:color="auto" w:sz="4" w:space="0"/>
              <w:right w:val="single" w:color="auto" w:sz="4" w:space="0"/>
            </w:tcBorders>
            <w:shd w:val="clear" w:color="auto" w:fill="auto"/>
            <w:vAlign w:val="center"/>
          </w:tcPr>
          <w:p w14:paraId="12EE7E7E">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2.2</w:t>
            </w:r>
          </w:p>
        </w:tc>
        <w:tc>
          <w:tcPr>
            <w:tcW w:w="1810" w:type="dxa"/>
            <w:tcBorders>
              <w:top w:val="single" w:color="auto" w:sz="4" w:space="0"/>
              <w:left w:val="nil"/>
              <w:bottom w:val="single" w:color="auto" w:sz="4" w:space="0"/>
              <w:right w:val="single" w:color="auto" w:sz="4" w:space="0"/>
            </w:tcBorders>
            <w:shd w:val="clear" w:color="auto" w:fill="auto"/>
            <w:vAlign w:val="center"/>
          </w:tcPr>
          <w:p w14:paraId="201855AC">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建设地点</w:t>
            </w:r>
          </w:p>
        </w:tc>
        <w:tc>
          <w:tcPr>
            <w:tcW w:w="5857" w:type="dxa"/>
            <w:tcBorders>
              <w:top w:val="single" w:color="auto" w:sz="4" w:space="0"/>
              <w:left w:val="nil"/>
              <w:bottom w:val="single" w:color="auto" w:sz="4" w:space="0"/>
              <w:right w:val="double" w:color="auto" w:sz="2" w:space="0"/>
            </w:tcBorders>
            <w:shd w:val="clear" w:color="auto" w:fill="auto"/>
            <w:vAlign w:val="center"/>
          </w:tcPr>
          <w:p w14:paraId="51874400">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u w:val="single"/>
              </w:rPr>
            </w:pPr>
            <w:r>
              <w:rPr>
                <w:rFonts w:hint="eastAsia" w:ascii="宋体" w:hAnsi="宋体" w:eastAsia="宋体" w:cs="宋体"/>
                <w:color w:val="auto"/>
                <w:kern w:val="2"/>
                <w:sz w:val="21"/>
                <w:szCs w:val="21"/>
                <w:highlight w:val="none"/>
                <w:u w:val="single"/>
                <w:lang w:val="en-US" w:eastAsia="zh-CN" w:bidi="ar"/>
              </w:rPr>
              <w:t>广州市天河区广州天河体育中心内。</w:t>
            </w:r>
          </w:p>
        </w:tc>
      </w:tr>
      <w:tr w14:paraId="4A78567F">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9"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77B58F39">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w:t>
            </w:r>
          </w:p>
        </w:tc>
        <w:tc>
          <w:tcPr>
            <w:tcW w:w="981" w:type="dxa"/>
            <w:tcBorders>
              <w:top w:val="single" w:color="auto" w:sz="4" w:space="0"/>
              <w:left w:val="nil"/>
              <w:bottom w:val="single" w:color="auto" w:sz="4" w:space="0"/>
              <w:right w:val="single" w:color="auto" w:sz="4" w:space="0"/>
            </w:tcBorders>
            <w:shd w:val="clear" w:color="auto" w:fill="auto"/>
            <w:vAlign w:val="center"/>
          </w:tcPr>
          <w:p w14:paraId="0B949B76">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2.2</w:t>
            </w:r>
          </w:p>
        </w:tc>
        <w:tc>
          <w:tcPr>
            <w:tcW w:w="1810" w:type="dxa"/>
            <w:tcBorders>
              <w:top w:val="single" w:color="auto" w:sz="4" w:space="0"/>
              <w:left w:val="nil"/>
              <w:bottom w:val="single" w:color="auto" w:sz="4" w:space="0"/>
              <w:right w:val="single" w:color="auto" w:sz="4" w:space="0"/>
            </w:tcBorders>
            <w:shd w:val="clear" w:color="auto" w:fill="auto"/>
            <w:vAlign w:val="center"/>
          </w:tcPr>
          <w:p w14:paraId="7FB3341B">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建设规模</w:t>
            </w:r>
          </w:p>
        </w:tc>
        <w:tc>
          <w:tcPr>
            <w:tcW w:w="5857" w:type="dxa"/>
            <w:tcBorders>
              <w:top w:val="single" w:color="auto" w:sz="4" w:space="0"/>
              <w:left w:val="nil"/>
              <w:bottom w:val="single" w:color="auto" w:sz="4" w:space="0"/>
              <w:right w:val="double" w:color="auto" w:sz="2" w:space="0"/>
            </w:tcBorders>
            <w:shd w:val="clear" w:color="auto" w:fill="auto"/>
            <w:vAlign w:val="center"/>
          </w:tcPr>
          <w:p w14:paraId="52EBD4C2">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u w:val="single"/>
              </w:rPr>
            </w:pPr>
            <w:r>
              <w:rPr>
                <w:rFonts w:hint="eastAsia" w:ascii="宋体" w:hAnsi="宋体" w:eastAsia="宋体" w:cs="宋体"/>
                <w:color w:val="auto"/>
                <w:kern w:val="2"/>
                <w:sz w:val="21"/>
                <w:szCs w:val="21"/>
                <w:highlight w:val="none"/>
                <w:u w:val="single"/>
                <w:lang w:val="en-US" w:eastAsia="zh-CN" w:bidi="ar"/>
              </w:rPr>
              <w:t>详见本工程招标公告。</w:t>
            </w:r>
          </w:p>
        </w:tc>
      </w:tr>
      <w:tr w14:paraId="2A193AF4">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674"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216EA805">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w:t>
            </w:r>
          </w:p>
        </w:tc>
        <w:tc>
          <w:tcPr>
            <w:tcW w:w="981" w:type="dxa"/>
            <w:tcBorders>
              <w:top w:val="single" w:color="auto" w:sz="4" w:space="0"/>
              <w:left w:val="nil"/>
              <w:bottom w:val="single" w:color="auto" w:sz="4" w:space="0"/>
              <w:right w:val="single" w:color="auto" w:sz="4" w:space="0"/>
            </w:tcBorders>
            <w:shd w:val="clear" w:color="auto" w:fill="auto"/>
            <w:vAlign w:val="center"/>
          </w:tcPr>
          <w:p w14:paraId="43E07236">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2.2</w:t>
            </w:r>
          </w:p>
        </w:tc>
        <w:tc>
          <w:tcPr>
            <w:tcW w:w="1810" w:type="dxa"/>
            <w:tcBorders>
              <w:top w:val="single" w:color="auto" w:sz="4" w:space="0"/>
              <w:left w:val="nil"/>
              <w:bottom w:val="single" w:color="auto" w:sz="4" w:space="0"/>
              <w:right w:val="single" w:color="auto" w:sz="4" w:space="0"/>
            </w:tcBorders>
            <w:shd w:val="clear" w:color="auto" w:fill="auto"/>
            <w:vAlign w:val="center"/>
          </w:tcPr>
          <w:p w14:paraId="5796EA2F">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承包方式</w:t>
            </w:r>
          </w:p>
        </w:tc>
        <w:tc>
          <w:tcPr>
            <w:tcW w:w="5857" w:type="dxa"/>
            <w:tcBorders>
              <w:top w:val="single" w:color="auto" w:sz="4" w:space="0"/>
              <w:left w:val="nil"/>
              <w:bottom w:val="single" w:color="auto" w:sz="4" w:space="0"/>
              <w:right w:val="double" w:color="auto" w:sz="2" w:space="0"/>
            </w:tcBorders>
            <w:shd w:val="clear" w:color="auto" w:fill="auto"/>
            <w:vAlign w:val="center"/>
          </w:tcPr>
          <w:p w14:paraId="5B9143C6">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0"/>
                <w:sz w:val="21"/>
                <w:szCs w:val="21"/>
                <w:highlight w:val="none"/>
                <w:u w:val="single"/>
                <w:lang w:val="en-US" w:eastAsia="zh-CN" w:bidi="ar"/>
              </w:rPr>
              <w:t>投标人根据招标人的招标文件、施工图纸及工程量清单等规定的范围内的工程内容，结合现场实际情况进行投标报价，由承包人按照合同约定范围和图纸内容实行工程施工总承包，包括但不限于包工、包料、包工期、包质量、包安全生产、包文明施工、包各系统调试及联合调试、包承包范围内工程验收通过、包移交、包结算、包运行维护管理（含本场馆在赛事期间</w:t>
            </w:r>
            <w:r>
              <w:rPr>
                <w:rFonts w:hint="default" w:ascii="宋体" w:hAnsi="宋体" w:eastAsia="宋体" w:cs="宋体"/>
                <w:color w:val="auto"/>
                <w:kern w:val="0"/>
                <w:sz w:val="21"/>
                <w:szCs w:val="21"/>
                <w:highlight w:val="none"/>
                <w:u w:val="single"/>
                <w:lang w:eastAsia="zh-CN" w:bidi="ar"/>
              </w:rPr>
              <w:t>、开开幕式期间</w:t>
            </w:r>
            <w:r>
              <w:rPr>
                <w:rFonts w:hint="eastAsia" w:ascii="宋体" w:hAnsi="宋体" w:eastAsia="宋体" w:cs="宋体"/>
                <w:color w:val="auto"/>
                <w:kern w:val="0"/>
                <w:sz w:val="21"/>
                <w:szCs w:val="21"/>
                <w:highlight w:val="none"/>
                <w:u w:val="single"/>
                <w:lang w:val="en-US" w:eastAsia="zh-CN" w:bidi="ar"/>
              </w:rPr>
              <w:t>的工程运维保障）及相关部门报建/报批手续、包创优工程的组织实施工作和资料整理（如有）、包城市建设档案组卷移交和市重点建设项目档案组卷移交（如有）、包施工总承包管理和现场整体组织、包专业协调及配合、</w:t>
            </w:r>
            <w:r>
              <w:rPr>
                <w:rFonts w:hint="eastAsia" w:ascii="宋体" w:hAnsi="宋体" w:eastAsia="宋体" w:cs="宋体"/>
                <w:b w:val="0"/>
                <w:color w:val="auto"/>
                <w:kern w:val="0"/>
                <w:sz w:val="21"/>
                <w:szCs w:val="21"/>
                <w:highlight w:val="none"/>
                <w:u w:val="single"/>
                <w:lang w:val="en-US" w:eastAsia="zh-CN" w:bidi="ar"/>
              </w:rPr>
              <w:t>包工程保险（含建筑（安装）工程一切险、安全生产责任险及其他保险）、</w:t>
            </w:r>
            <w:r>
              <w:rPr>
                <w:rFonts w:hint="eastAsia" w:ascii="宋体" w:hAnsi="宋体" w:eastAsia="宋体" w:cs="宋体"/>
                <w:color w:val="auto"/>
                <w:kern w:val="0"/>
                <w:sz w:val="21"/>
                <w:szCs w:val="21"/>
                <w:highlight w:val="none"/>
                <w:u w:val="single"/>
                <w:lang w:val="en-US" w:eastAsia="zh-CN" w:bidi="ar"/>
              </w:rPr>
              <w:t>包竣工图编制（须满足规划等各专项验收要求）等。</w:t>
            </w:r>
          </w:p>
        </w:tc>
      </w:tr>
      <w:tr w14:paraId="4C37DD3C">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835"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46478593">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w:t>
            </w:r>
          </w:p>
        </w:tc>
        <w:tc>
          <w:tcPr>
            <w:tcW w:w="981" w:type="dxa"/>
            <w:tcBorders>
              <w:top w:val="single" w:color="auto" w:sz="4" w:space="0"/>
              <w:left w:val="nil"/>
              <w:bottom w:val="single" w:color="auto" w:sz="4" w:space="0"/>
              <w:right w:val="single" w:color="auto" w:sz="4" w:space="0"/>
            </w:tcBorders>
            <w:shd w:val="clear" w:color="auto" w:fill="auto"/>
            <w:vAlign w:val="center"/>
          </w:tcPr>
          <w:p w14:paraId="205D2CEB">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2.2</w:t>
            </w:r>
          </w:p>
        </w:tc>
        <w:tc>
          <w:tcPr>
            <w:tcW w:w="1810" w:type="dxa"/>
            <w:tcBorders>
              <w:top w:val="single" w:color="auto" w:sz="4" w:space="0"/>
              <w:left w:val="nil"/>
              <w:bottom w:val="single" w:color="auto" w:sz="4" w:space="0"/>
              <w:right w:val="single" w:color="auto" w:sz="4" w:space="0"/>
            </w:tcBorders>
            <w:shd w:val="clear" w:color="auto" w:fill="auto"/>
            <w:vAlign w:val="center"/>
          </w:tcPr>
          <w:p w14:paraId="56A32AEF">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质量标准</w:t>
            </w:r>
          </w:p>
        </w:tc>
        <w:tc>
          <w:tcPr>
            <w:tcW w:w="5857" w:type="dxa"/>
            <w:tcBorders>
              <w:top w:val="single" w:color="auto" w:sz="4" w:space="0"/>
              <w:left w:val="nil"/>
              <w:bottom w:val="single" w:color="auto" w:sz="4" w:space="0"/>
              <w:right w:val="double" w:color="auto" w:sz="2" w:space="0"/>
            </w:tcBorders>
            <w:shd w:val="clear" w:color="auto" w:fill="auto"/>
            <w:vAlign w:val="center"/>
          </w:tcPr>
          <w:p w14:paraId="6778F922">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1"/>
                <w:szCs w:val="21"/>
                <w:highlight w:val="none"/>
                <w:u w:val="single"/>
                <w:lang w:val="en-US" w:eastAsia="zh-CN" w:bidi="ar"/>
              </w:rPr>
              <w:t>广州天河体育中心整体景观提升（开幕式）建筑工程质量标准：一次竣工验收合格，确保满足残特奥开幕式的相关要求</w:t>
            </w:r>
            <w:r>
              <w:rPr>
                <w:rFonts w:hint="eastAsia" w:ascii="宋体" w:hAnsi="宋体" w:eastAsia="宋体" w:cs="宋体"/>
                <w:color w:val="auto"/>
                <w:kern w:val="2"/>
                <w:sz w:val="24"/>
                <w:szCs w:val="24"/>
                <w:highlight w:val="none"/>
                <w:u w:val="single"/>
                <w:lang w:val="en-US" w:eastAsia="zh-CN" w:bidi="ar"/>
              </w:rPr>
              <w:t>。</w:t>
            </w:r>
          </w:p>
          <w:p w14:paraId="75F4AAA9">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Times New Roman"/>
                <w:color w:val="auto"/>
                <w:kern w:val="2"/>
                <w:sz w:val="21"/>
                <w:szCs w:val="21"/>
                <w:highlight w:val="none"/>
                <w:u w:val="single"/>
              </w:rPr>
            </w:pPr>
            <w:r>
              <w:rPr>
                <w:rFonts w:hint="eastAsia" w:ascii="宋体" w:hAnsi="宋体" w:eastAsia="宋体" w:cs="宋体"/>
                <w:color w:val="auto"/>
                <w:kern w:val="2"/>
                <w:sz w:val="21"/>
                <w:szCs w:val="21"/>
                <w:highlight w:val="none"/>
                <w:u w:val="single"/>
                <w:lang w:val="en-US" w:eastAsia="zh-CN" w:bidi="ar"/>
              </w:rPr>
              <w:t>广州天河体育中心篮球城维修改造项目、广州市羽毛球运动管理中心训练馆改造项目、广州天河体育中心田径副场改造项目质量标准：一次性竣工验收合格率（100%）。满足全运会及残特奥会的赛事要求。</w:t>
            </w:r>
          </w:p>
        </w:tc>
      </w:tr>
      <w:tr w14:paraId="1D0CDB46">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18"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418351A6">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7</w:t>
            </w:r>
          </w:p>
        </w:tc>
        <w:tc>
          <w:tcPr>
            <w:tcW w:w="981" w:type="dxa"/>
            <w:tcBorders>
              <w:top w:val="single" w:color="auto" w:sz="4" w:space="0"/>
              <w:left w:val="nil"/>
              <w:bottom w:val="single" w:color="auto" w:sz="4" w:space="0"/>
              <w:right w:val="single" w:color="auto" w:sz="4" w:space="0"/>
            </w:tcBorders>
            <w:shd w:val="clear" w:color="auto" w:fill="auto"/>
            <w:vAlign w:val="center"/>
          </w:tcPr>
          <w:p w14:paraId="14839A40">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2.2</w:t>
            </w:r>
          </w:p>
        </w:tc>
        <w:tc>
          <w:tcPr>
            <w:tcW w:w="1810" w:type="dxa"/>
            <w:tcBorders>
              <w:top w:val="single" w:color="auto" w:sz="4" w:space="0"/>
              <w:left w:val="nil"/>
              <w:bottom w:val="single" w:color="auto" w:sz="4" w:space="0"/>
              <w:right w:val="single" w:color="auto" w:sz="4" w:space="0"/>
            </w:tcBorders>
            <w:shd w:val="clear" w:color="auto" w:fill="auto"/>
            <w:vAlign w:val="center"/>
          </w:tcPr>
          <w:p w14:paraId="38A4C27D">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招标范围</w:t>
            </w:r>
          </w:p>
        </w:tc>
        <w:tc>
          <w:tcPr>
            <w:tcW w:w="5857" w:type="dxa"/>
            <w:tcBorders>
              <w:top w:val="single" w:color="auto" w:sz="4" w:space="0"/>
              <w:left w:val="nil"/>
              <w:bottom w:val="single" w:color="auto" w:sz="4" w:space="0"/>
              <w:right w:val="double" w:color="auto" w:sz="2" w:space="0"/>
            </w:tcBorders>
            <w:shd w:val="clear" w:color="auto" w:fill="auto"/>
            <w:vAlign w:val="center"/>
          </w:tcPr>
          <w:p w14:paraId="03FD3D0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u w:val="single"/>
              </w:rPr>
            </w:pPr>
            <w:r>
              <w:rPr>
                <w:rFonts w:hint="eastAsia" w:ascii="宋体" w:hAnsi="宋体" w:eastAsia="宋体" w:cs="宋体"/>
                <w:bCs/>
                <w:color w:val="auto"/>
                <w:kern w:val="0"/>
                <w:sz w:val="21"/>
                <w:szCs w:val="21"/>
                <w:highlight w:val="none"/>
                <w:u w:val="single"/>
                <w:lang w:val="en-US" w:eastAsia="zh-CN" w:bidi="ar"/>
              </w:rPr>
              <w:t>详见本工程招标公告。</w:t>
            </w:r>
          </w:p>
        </w:tc>
      </w:tr>
      <w:tr w14:paraId="7DAAA5C5">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588DD966">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8</w:t>
            </w:r>
          </w:p>
        </w:tc>
        <w:tc>
          <w:tcPr>
            <w:tcW w:w="981" w:type="dxa"/>
            <w:tcBorders>
              <w:top w:val="single" w:color="auto" w:sz="4" w:space="0"/>
              <w:left w:val="nil"/>
              <w:bottom w:val="single" w:color="auto" w:sz="4" w:space="0"/>
              <w:right w:val="single" w:color="auto" w:sz="4" w:space="0"/>
            </w:tcBorders>
            <w:shd w:val="clear" w:color="auto" w:fill="auto"/>
            <w:vAlign w:val="center"/>
          </w:tcPr>
          <w:p w14:paraId="3CCC3A69">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2.2</w:t>
            </w:r>
          </w:p>
        </w:tc>
        <w:tc>
          <w:tcPr>
            <w:tcW w:w="1810" w:type="dxa"/>
            <w:tcBorders>
              <w:top w:val="single" w:color="auto" w:sz="4" w:space="0"/>
              <w:left w:val="nil"/>
              <w:bottom w:val="single" w:color="auto" w:sz="4" w:space="0"/>
              <w:right w:val="single" w:color="auto" w:sz="4" w:space="0"/>
            </w:tcBorders>
            <w:shd w:val="clear" w:color="auto" w:fill="auto"/>
            <w:vAlign w:val="center"/>
          </w:tcPr>
          <w:p w14:paraId="2D57A6A2">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工期要求</w:t>
            </w:r>
          </w:p>
        </w:tc>
        <w:tc>
          <w:tcPr>
            <w:tcW w:w="5857" w:type="dxa"/>
            <w:tcBorders>
              <w:top w:val="single" w:color="auto" w:sz="4" w:space="0"/>
              <w:left w:val="nil"/>
              <w:bottom w:val="single" w:color="auto" w:sz="4" w:space="0"/>
              <w:right w:val="double" w:color="auto" w:sz="2" w:space="0"/>
            </w:tcBorders>
            <w:shd w:val="clear" w:color="auto" w:fill="auto"/>
            <w:vAlign w:val="center"/>
          </w:tcPr>
          <w:p w14:paraId="3723C46D">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4"/>
                <w:szCs w:val="24"/>
                <w:highlight w:val="none"/>
                <w:u w:val="single"/>
                <w:lang w:val="en-US" w:eastAsia="zh-CN" w:bidi="ar"/>
              </w:rPr>
              <w:t>广州天河体育中心整体景观提升（开幕式）建筑工程</w:t>
            </w:r>
            <w:r>
              <w:rPr>
                <w:rFonts w:hint="default" w:ascii="宋体" w:hAnsi="宋体" w:eastAsia="宋体" w:cs="宋体"/>
                <w:color w:val="auto"/>
                <w:kern w:val="2"/>
                <w:sz w:val="24"/>
                <w:szCs w:val="24"/>
                <w:highlight w:val="none"/>
                <w:u w:val="single"/>
                <w:lang w:eastAsia="zh-CN" w:bidi="ar"/>
              </w:rPr>
              <w:t>：</w:t>
            </w:r>
            <w:r>
              <w:rPr>
                <w:rFonts w:hint="eastAsia" w:ascii="宋体" w:hAnsi="宋体" w:eastAsia="宋体" w:cs="宋体"/>
                <w:color w:val="auto"/>
                <w:kern w:val="2"/>
                <w:sz w:val="24"/>
                <w:szCs w:val="24"/>
                <w:highlight w:val="none"/>
                <w:u w:val="single"/>
                <w:lang w:val="en-US" w:eastAsia="zh-CN" w:bidi="ar"/>
              </w:rPr>
              <w:t>总工期目标：自</w:t>
            </w:r>
            <w:r>
              <w:rPr>
                <w:rFonts w:hint="eastAsia" w:ascii="宋体" w:hAnsi="宋体" w:eastAsia="宋体" w:cs="Times New Roman"/>
                <w:color w:val="auto"/>
                <w:kern w:val="2"/>
                <w:sz w:val="24"/>
                <w:szCs w:val="24"/>
                <w:highlight w:val="none"/>
                <w:u w:val="single"/>
                <w:lang w:val="en-US" w:eastAsia="zh-CN" w:bidi="ar"/>
              </w:rPr>
              <w:t>2024年</w:t>
            </w:r>
            <w:r>
              <w:rPr>
                <w:rFonts w:hint="eastAsia" w:ascii="宋体" w:hAnsi="宋体" w:eastAsia="宋体" w:cs="宋体"/>
                <w:color w:val="auto"/>
                <w:kern w:val="2"/>
                <w:sz w:val="24"/>
                <w:szCs w:val="24"/>
                <w:highlight w:val="none"/>
                <w:u w:val="single"/>
                <w:lang w:val="en-US" w:eastAsia="zh-CN" w:bidi="ar"/>
              </w:rPr>
              <w:t>10月1日始（具体开工日期以总监理工程师发出的开工令为准），至</w:t>
            </w:r>
            <w:r>
              <w:rPr>
                <w:rFonts w:hint="eastAsia" w:ascii="宋体" w:hAnsi="宋体" w:eastAsia="宋体" w:cs="Times New Roman"/>
                <w:color w:val="auto"/>
                <w:kern w:val="2"/>
                <w:sz w:val="24"/>
                <w:szCs w:val="24"/>
                <w:highlight w:val="none"/>
                <w:u w:val="single"/>
                <w:lang w:val="en-US" w:eastAsia="zh-CN" w:bidi="ar"/>
              </w:rPr>
              <w:t>202</w:t>
            </w:r>
            <w:r>
              <w:rPr>
                <w:rFonts w:hint="eastAsia" w:ascii="宋体" w:hAnsi="宋体" w:eastAsia="宋体" w:cs="宋体"/>
                <w:color w:val="auto"/>
                <w:kern w:val="2"/>
                <w:sz w:val="24"/>
                <w:szCs w:val="24"/>
                <w:highlight w:val="none"/>
                <w:u w:val="single"/>
                <w:lang w:val="en-US" w:eastAsia="zh-CN" w:bidi="ar"/>
              </w:rPr>
              <w:t>5年5月</w:t>
            </w:r>
            <w:r>
              <w:rPr>
                <w:rFonts w:hint="eastAsia" w:ascii="宋体" w:hAnsi="宋体" w:eastAsia="宋体" w:cs="Times New Roman"/>
                <w:color w:val="auto"/>
                <w:kern w:val="2"/>
                <w:sz w:val="24"/>
                <w:szCs w:val="24"/>
                <w:highlight w:val="none"/>
                <w:u w:val="single"/>
                <w:lang w:val="en-US" w:eastAsia="zh-CN" w:bidi="ar"/>
              </w:rPr>
              <w:t>30日完成全部实体工程,2025年</w:t>
            </w:r>
            <w:r>
              <w:rPr>
                <w:rFonts w:hint="eastAsia" w:ascii="宋体" w:hAnsi="宋体" w:eastAsia="宋体" w:cs="宋体"/>
                <w:color w:val="auto"/>
                <w:kern w:val="2"/>
                <w:sz w:val="24"/>
                <w:szCs w:val="24"/>
                <w:highlight w:val="none"/>
                <w:u w:val="single"/>
                <w:lang w:val="en-US" w:eastAsia="zh-CN" w:bidi="ar"/>
              </w:rPr>
              <w:t>6月</w:t>
            </w:r>
            <w:r>
              <w:rPr>
                <w:rFonts w:hint="eastAsia" w:ascii="宋体" w:hAnsi="宋体" w:eastAsia="宋体" w:cs="Times New Roman"/>
                <w:color w:val="auto"/>
                <w:kern w:val="2"/>
                <w:sz w:val="24"/>
                <w:szCs w:val="24"/>
                <w:highlight w:val="none"/>
                <w:u w:val="single"/>
                <w:lang w:val="en-US" w:eastAsia="zh-CN" w:bidi="ar"/>
              </w:rPr>
              <w:t>30日竣工验收。总工期约</w:t>
            </w:r>
            <w:r>
              <w:rPr>
                <w:rFonts w:hint="eastAsia" w:ascii="宋体" w:hAnsi="宋体" w:eastAsia="宋体" w:cs="宋体"/>
                <w:color w:val="auto"/>
                <w:kern w:val="2"/>
                <w:sz w:val="24"/>
                <w:szCs w:val="24"/>
                <w:highlight w:val="none"/>
                <w:u w:val="single"/>
                <w:lang w:val="en-US" w:eastAsia="zh-CN" w:bidi="ar"/>
              </w:rPr>
              <w:t>272个日历天</w:t>
            </w:r>
            <w:r>
              <w:rPr>
                <w:rFonts w:hint="default" w:ascii="宋体" w:hAnsi="宋体" w:eastAsia="宋体" w:cs="宋体"/>
                <w:color w:val="auto"/>
                <w:kern w:val="2"/>
                <w:sz w:val="24"/>
                <w:szCs w:val="24"/>
                <w:highlight w:val="none"/>
                <w:u w:val="single"/>
                <w:lang w:eastAsia="zh-CN" w:bidi="ar"/>
              </w:rPr>
              <w:t>；</w:t>
            </w:r>
            <w:r>
              <w:rPr>
                <w:rFonts w:hint="eastAsia" w:ascii="宋体" w:hAnsi="宋体" w:eastAsia="宋体" w:cs="宋体"/>
                <w:color w:val="auto"/>
                <w:kern w:val="2"/>
                <w:sz w:val="24"/>
                <w:szCs w:val="24"/>
                <w:highlight w:val="none"/>
                <w:u w:val="single"/>
                <w:lang w:val="en-US" w:eastAsia="zh-CN" w:bidi="ar"/>
              </w:rPr>
              <w:t>广州天河体育中心篮球城维修改造项目</w:t>
            </w:r>
            <w:r>
              <w:rPr>
                <w:rFonts w:hint="default" w:ascii="宋体" w:hAnsi="宋体" w:eastAsia="宋体" w:cs="宋体"/>
                <w:color w:val="auto"/>
                <w:kern w:val="2"/>
                <w:sz w:val="24"/>
                <w:szCs w:val="24"/>
                <w:highlight w:val="none"/>
                <w:u w:val="single"/>
                <w:lang w:eastAsia="zh-CN" w:bidi="ar"/>
              </w:rPr>
              <w:t>：</w:t>
            </w:r>
            <w:r>
              <w:rPr>
                <w:rFonts w:hint="eastAsia" w:ascii="宋体" w:hAnsi="宋体" w:eastAsia="宋体" w:cs="宋体"/>
                <w:color w:val="auto"/>
                <w:kern w:val="2"/>
                <w:sz w:val="24"/>
                <w:szCs w:val="24"/>
                <w:highlight w:val="none"/>
                <w:u w:val="single"/>
                <w:lang w:val="en-US" w:eastAsia="zh-CN" w:bidi="ar"/>
              </w:rPr>
              <w:t>计划</w:t>
            </w:r>
            <w:r>
              <w:rPr>
                <w:rFonts w:hint="default" w:ascii="Calibri" w:hAnsi="Calibri" w:eastAsia="宋体" w:cs="Times New Roman"/>
                <w:color w:val="auto"/>
                <w:kern w:val="2"/>
                <w:sz w:val="24"/>
                <w:szCs w:val="24"/>
                <w:highlight w:val="none"/>
                <w:u w:val="single"/>
                <w:lang w:val="en-US" w:eastAsia="zh-CN" w:bidi="ar"/>
              </w:rPr>
              <w:t>2024</w:t>
            </w:r>
            <w:r>
              <w:rPr>
                <w:rFonts w:hint="eastAsia" w:ascii="宋体" w:hAnsi="宋体" w:eastAsia="宋体" w:cs="宋体"/>
                <w:color w:val="auto"/>
                <w:kern w:val="2"/>
                <w:sz w:val="24"/>
                <w:szCs w:val="24"/>
                <w:highlight w:val="none"/>
                <w:u w:val="single"/>
                <w:lang w:val="en-US" w:eastAsia="zh-CN" w:bidi="ar"/>
              </w:rPr>
              <w:t>年</w:t>
            </w:r>
            <w:r>
              <w:rPr>
                <w:rFonts w:hint="default" w:ascii="Calibri" w:hAnsi="Calibri" w:eastAsia="宋体" w:cs="Calibri"/>
                <w:color w:val="auto"/>
                <w:kern w:val="2"/>
                <w:sz w:val="24"/>
                <w:szCs w:val="24"/>
                <w:highlight w:val="none"/>
                <w:u w:val="single"/>
                <w:lang w:val="en-US" w:eastAsia="zh-CN" w:bidi="ar"/>
              </w:rPr>
              <w:t>1</w:t>
            </w:r>
            <w:r>
              <w:rPr>
                <w:rFonts w:hint="eastAsia" w:ascii="宋体" w:hAnsi="宋体" w:eastAsia="宋体" w:cs="宋体"/>
                <w:color w:val="auto"/>
                <w:kern w:val="2"/>
                <w:sz w:val="24"/>
                <w:szCs w:val="24"/>
                <w:highlight w:val="none"/>
                <w:u w:val="single"/>
                <w:lang w:val="en-US" w:eastAsia="zh-CN" w:bidi="ar"/>
              </w:rPr>
              <w:t>月</w:t>
            </w:r>
            <w:r>
              <w:rPr>
                <w:rFonts w:hint="default" w:ascii="Calibri" w:hAnsi="Calibri" w:eastAsia="宋体" w:cs="Times New Roman"/>
                <w:color w:val="auto"/>
                <w:kern w:val="2"/>
                <w:sz w:val="24"/>
                <w:szCs w:val="24"/>
                <w:highlight w:val="none"/>
                <w:u w:val="single"/>
                <w:lang w:val="en-US" w:eastAsia="zh-CN" w:bidi="ar"/>
              </w:rPr>
              <w:t>1</w:t>
            </w:r>
            <w:r>
              <w:rPr>
                <w:rFonts w:hint="eastAsia" w:ascii="宋体" w:hAnsi="宋体" w:eastAsia="宋体" w:cs="宋体"/>
                <w:color w:val="auto"/>
                <w:kern w:val="2"/>
                <w:sz w:val="24"/>
                <w:szCs w:val="24"/>
                <w:highlight w:val="none"/>
                <w:u w:val="single"/>
                <w:lang w:val="en-US" w:eastAsia="zh-CN" w:bidi="ar"/>
              </w:rPr>
              <w:t>日开工，至</w:t>
            </w:r>
            <w:r>
              <w:rPr>
                <w:rFonts w:hint="default" w:ascii="Calibri" w:hAnsi="Calibri" w:eastAsia="宋体" w:cs="Calibri"/>
                <w:color w:val="auto"/>
                <w:kern w:val="2"/>
                <w:sz w:val="24"/>
                <w:szCs w:val="24"/>
                <w:highlight w:val="none"/>
                <w:u w:val="single"/>
                <w:lang w:val="en-US" w:eastAsia="zh-CN" w:bidi="ar"/>
              </w:rPr>
              <w:t>2025</w:t>
            </w:r>
            <w:r>
              <w:rPr>
                <w:rFonts w:hint="eastAsia" w:ascii="宋体" w:hAnsi="宋体" w:eastAsia="宋体" w:cs="宋体"/>
                <w:color w:val="auto"/>
                <w:kern w:val="2"/>
                <w:sz w:val="24"/>
                <w:szCs w:val="24"/>
                <w:highlight w:val="none"/>
                <w:u w:val="single"/>
                <w:lang w:val="en-US" w:eastAsia="zh-CN" w:bidi="ar"/>
              </w:rPr>
              <w:t>年</w:t>
            </w:r>
            <w:r>
              <w:rPr>
                <w:rFonts w:hint="default" w:ascii="Calibri" w:hAnsi="Calibri" w:eastAsia="宋体" w:cs="Calibri"/>
                <w:color w:val="auto"/>
                <w:kern w:val="2"/>
                <w:sz w:val="24"/>
                <w:szCs w:val="24"/>
                <w:highlight w:val="none"/>
                <w:u w:val="single"/>
                <w:lang w:val="en-US" w:eastAsia="zh-CN" w:bidi="ar"/>
              </w:rPr>
              <w:t>3</w:t>
            </w:r>
            <w:r>
              <w:rPr>
                <w:rFonts w:hint="eastAsia" w:ascii="宋体" w:hAnsi="宋体" w:eastAsia="宋体" w:cs="宋体"/>
                <w:color w:val="auto"/>
                <w:kern w:val="2"/>
                <w:sz w:val="24"/>
                <w:szCs w:val="24"/>
                <w:highlight w:val="none"/>
                <w:u w:val="single"/>
                <w:lang w:val="en-US" w:eastAsia="zh-CN" w:bidi="ar"/>
              </w:rPr>
              <w:t>月</w:t>
            </w:r>
            <w:r>
              <w:rPr>
                <w:rFonts w:hint="default" w:ascii="Calibri" w:hAnsi="Calibri" w:eastAsia="宋体" w:cs="Times New Roman"/>
                <w:color w:val="auto"/>
                <w:kern w:val="2"/>
                <w:sz w:val="24"/>
                <w:szCs w:val="24"/>
                <w:highlight w:val="none"/>
                <w:u w:val="single"/>
                <w:lang w:val="en-US" w:eastAsia="zh-CN" w:bidi="ar"/>
              </w:rPr>
              <w:t>30</w:t>
            </w:r>
            <w:r>
              <w:rPr>
                <w:rFonts w:hint="eastAsia" w:ascii="宋体" w:hAnsi="宋体" w:eastAsia="宋体" w:cs="宋体"/>
                <w:color w:val="auto"/>
                <w:kern w:val="2"/>
                <w:sz w:val="24"/>
                <w:szCs w:val="24"/>
                <w:highlight w:val="none"/>
                <w:u w:val="single"/>
                <w:lang w:val="en-US" w:eastAsia="zh-CN" w:bidi="ar"/>
              </w:rPr>
              <w:t>日完成全部实体工程</w:t>
            </w:r>
            <w:r>
              <w:rPr>
                <w:rFonts w:hint="default" w:ascii="Calibri" w:hAnsi="Calibri" w:eastAsia="宋体" w:cs="Calibri"/>
                <w:color w:val="auto"/>
                <w:kern w:val="2"/>
                <w:sz w:val="24"/>
                <w:szCs w:val="24"/>
                <w:highlight w:val="none"/>
                <w:u w:val="single"/>
                <w:lang w:val="en-US" w:eastAsia="zh-CN" w:bidi="ar"/>
              </w:rPr>
              <w:t>,2025</w:t>
            </w:r>
            <w:r>
              <w:rPr>
                <w:rFonts w:hint="eastAsia" w:ascii="宋体" w:hAnsi="宋体" w:eastAsia="宋体" w:cs="宋体"/>
                <w:color w:val="auto"/>
                <w:kern w:val="2"/>
                <w:sz w:val="24"/>
                <w:szCs w:val="24"/>
                <w:highlight w:val="none"/>
                <w:u w:val="single"/>
                <w:lang w:val="en-US" w:eastAsia="zh-CN" w:bidi="ar"/>
              </w:rPr>
              <w:t>年</w:t>
            </w:r>
            <w:r>
              <w:rPr>
                <w:rFonts w:hint="default" w:ascii="Calibri" w:hAnsi="Calibri" w:eastAsia="宋体" w:cs="Calibri"/>
                <w:color w:val="auto"/>
                <w:kern w:val="2"/>
                <w:sz w:val="24"/>
                <w:szCs w:val="24"/>
                <w:highlight w:val="none"/>
                <w:u w:val="single"/>
                <w:lang w:val="en-US" w:eastAsia="zh-CN" w:bidi="ar"/>
              </w:rPr>
              <w:t>4</w:t>
            </w:r>
            <w:r>
              <w:rPr>
                <w:rFonts w:hint="eastAsia" w:ascii="宋体" w:hAnsi="宋体" w:eastAsia="宋体" w:cs="宋体"/>
                <w:color w:val="auto"/>
                <w:kern w:val="2"/>
                <w:sz w:val="24"/>
                <w:szCs w:val="24"/>
                <w:highlight w:val="none"/>
                <w:u w:val="single"/>
                <w:lang w:val="en-US" w:eastAsia="zh-CN" w:bidi="ar"/>
              </w:rPr>
              <w:t>月</w:t>
            </w:r>
            <w:r>
              <w:rPr>
                <w:rFonts w:hint="default" w:ascii="Calibri" w:hAnsi="Calibri" w:eastAsia="宋体" w:cs="Times New Roman"/>
                <w:color w:val="auto"/>
                <w:kern w:val="2"/>
                <w:sz w:val="24"/>
                <w:szCs w:val="24"/>
                <w:highlight w:val="none"/>
                <w:u w:val="single"/>
                <w:lang w:val="en-US" w:eastAsia="zh-CN" w:bidi="ar"/>
              </w:rPr>
              <w:t>30</w:t>
            </w:r>
            <w:r>
              <w:rPr>
                <w:rFonts w:hint="eastAsia" w:ascii="宋体" w:hAnsi="宋体" w:eastAsia="宋体" w:cs="宋体"/>
                <w:color w:val="auto"/>
                <w:kern w:val="2"/>
                <w:sz w:val="24"/>
                <w:szCs w:val="24"/>
                <w:highlight w:val="none"/>
                <w:u w:val="single"/>
                <w:lang w:val="en-US" w:eastAsia="zh-CN" w:bidi="ar"/>
              </w:rPr>
              <w:t>日竣工验收。总工期约</w:t>
            </w:r>
            <w:r>
              <w:rPr>
                <w:rFonts w:hint="default" w:ascii="Calibri" w:hAnsi="Calibri" w:eastAsia="宋体" w:cs="Calibri"/>
                <w:color w:val="auto"/>
                <w:kern w:val="2"/>
                <w:sz w:val="24"/>
                <w:szCs w:val="24"/>
                <w:highlight w:val="none"/>
                <w:u w:val="single"/>
                <w:lang w:val="en-US" w:eastAsia="zh-CN" w:bidi="ar"/>
              </w:rPr>
              <w:t>119</w:t>
            </w:r>
            <w:r>
              <w:rPr>
                <w:rFonts w:hint="eastAsia" w:ascii="宋体" w:hAnsi="宋体" w:eastAsia="宋体" w:cs="宋体"/>
                <w:color w:val="auto"/>
                <w:kern w:val="2"/>
                <w:sz w:val="24"/>
                <w:szCs w:val="24"/>
                <w:highlight w:val="none"/>
                <w:u w:val="single"/>
                <w:lang w:val="en-US" w:eastAsia="zh-CN" w:bidi="ar"/>
              </w:rPr>
              <w:t>个日历天</w:t>
            </w:r>
            <w:r>
              <w:rPr>
                <w:rFonts w:hint="default" w:ascii="宋体" w:hAnsi="宋体" w:eastAsia="宋体" w:cs="宋体"/>
                <w:color w:val="auto"/>
                <w:kern w:val="2"/>
                <w:sz w:val="24"/>
                <w:szCs w:val="24"/>
                <w:highlight w:val="none"/>
                <w:u w:val="single"/>
                <w:lang w:eastAsia="zh-CN" w:bidi="ar"/>
              </w:rPr>
              <w:t>；</w:t>
            </w:r>
            <w:r>
              <w:rPr>
                <w:rFonts w:hint="eastAsia" w:ascii="宋体" w:hAnsi="宋体" w:eastAsia="宋体" w:cs="宋体"/>
                <w:color w:val="auto"/>
                <w:kern w:val="2"/>
                <w:sz w:val="24"/>
                <w:szCs w:val="24"/>
                <w:highlight w:val="none"/>
                <w:u w:val="single"/>
                <w:lang w:val="en-US" w:eastAsia="zh-CN" w:bidi="ar"/>
              </w:rPr>
              <w:t>广州市羽毛球运动管理中心训练馆改造项目</w:t>
            </w:r>
            <w:r>
              <w:rPr>
                <w:rFonts w:hint="default" w:ascii="宋体" w:hAnsi="宋体" w:eastAsia="宋体" w:cs="宋体"/>
                <w:color w:val="auto"/>
                <w:kern w:val="2"/>
                <w:sz w:val="24"/>
                <w:szCs w:val="24"/>
                <w:highlight w:val="none"/>
                <w:u w:val="single"/>
                <w:lang w:eastAsia="zh-CN" w:bidi="ar"/>
              </w:rPr>
              <w:t>：</w:t>
            </w:r>
            <w:r>
              <w:rPr>
                <w:rFonts w:hint="eastAsia" w:ascii="宋体" w:hAnsi="宋体" w:eastAsia="宋体" w:cs="宋体"/>
                <w:color w:val="auto"/>
                <w:kern w:val="2"/>
                <w:sz w:val="24"/>
                <w:szCs w:val="24"/>
                <w:highlight w:val="none"/>
                <w:u w:val="single"/>
                <w:lang w:val="en-US" w:eastAsia="zh-CN" w:bidi="ar"/>
              </w:rPr>
              <w:t>计划</w:t>
            </w:r>
            <w:r>
              <w:rPr>
                <w:rFonts w:hint="default" w:ascii="Calibri" w:hAnsi="Calibri" w:eastAsia="宋体" w:cs="Times New Roman"/>
                <w:color w:val="auto"/>
                <w:kern w:val="2"/>
                <w:sz w:val="24"/>
                <w:szCs w:val="24"/>
                <w:highlight w:val="none"/>
                <w:u w:val="single"/>
                <w:lang w:val="en-US" w:eastAsia="zh-CN" w:bidi="ar"/>
              </w:rPr>
              <w:t>2024</w:t>
            </w:r>
            <w:r>
              <w:rPr>
                <w:rFonts w:hint="eastAsia" w:ascii="宋体" w:hAnsi="宋体" w:eastAsia="宋体" w:cs="宋体"/>
                <w:color w:val="auto"/>
                <w:kern w:val="2"/>
                <w:sz w:val="24"/>
                <w:szCs w:val="24"/>
                <w:highlight w:val="none"/>
                <w:u w:val="single"/>
                <w:lang w:val="en-US" w:eastAsia="zh-CN" w:bidi="ar"/>
              </w:rPr>
              <w:t>年</w:t>
            </w:r>
            <w:r>
              <w:rPr>
                <w:rFonts w:hint="default" w:ascii="Calibri" w:hAnsi="Calibri" w:eastAsia="宋体" w:cs="Calibri"/>
                <w:color w:val="auto"/>
                <w:kern w:val="2"/>
                <w:sz w:val="24"/>
                <w:szCs w:val="24"/>
                <w:highlight w:val="none"/>
                <w:u w:val="single"/>
                <w:lang w:val="en-US" w:eastAsia="zh-CN" w:bidi="ar"/>
              </w:rPr>
              <w:t>10</w:t>
            </w:r>
            <w:r>
              <w:rPr>
                <w:rFonts w:hint="eastAsia" w:ascii="宋体" w:hAnsi="宋体" w:eastAsia="宋体" w:cs="宋体"/>
                <w:color w:val="auto"/>
                <w:kern w:val="2"/>
                <w:sz w:val="24"/>
                <w:szCs w:val="24"/>
                <w:highlight w:val="none"/>
                <w:u w:val="single"/>
                <w:lang w:val="en-US" w:eastAsia="zh-CN" w:bidi="ar"/>
              </w:rPr>
              <w:t>月</w:t>
            </w:r>
            <w:r>
              <w:rPr>
                <w:rFonts w:hint="default" w:ascii="Calibri" w:hAnsi="Calibri" w:eastAsia="宋体" w:cs="Calibri"/>
                <w:color w:val="auto"/>
                <w:kern w:val="2"/>
                <w:sz w:val="24"/>
                <w:szCs w:val="24"/>
                <w:highlight w:val="none"/>
                <w:u w:val="single"/>
                <w:lang w:val="en-US" w:eastAsia="zh-CN" w:bidi="ar"/>
              </w:rPr>
              <w:t>1</w:t>
            </w:r>
            <w:r>
              <w:rPr>
                <w:rFonts w:hint="eastAsia" w:ascii="宋体" w:hAnsi="宋体" w:eastAsia="宋体" w:cs="宋体"/>
                <w:color w:val="auto"/>
                <w:kern w:val="2"/>
                <w:sz w:val="24"/>
                <w:szCs w:val="24"/>
                <w:highlight w:val="none"/>
                <w:u w:val="single"/>
                <w:lang w:val="en-US" w:eastAsia="zh-CN" w:bidi="ar"/>
              </w:rPr>
              <w:t>日开工，至</w:t>
            </w:r>
            <w:r>
              <w:rPr>
                <w:rFonts w:hint="default" w:ascii="Calibri" w:hAnsi="Calibri" w:eastAsia="宋体" w:cs="Times New Roman"/>
                <w:color w:val="auto"/>
                <w:kern w:val="2"/>
                <w:sz w:val="24"/>
                <w:szCs w:val="24"/>
                <w:highlight w:val="none"/>
                <w:u w:val="single"/>
                <w:lang w:val="en-US" w:eastAsia="zh-CN" w:bidi="ar"/>
              </w:rPr>
              <w:t>202</w:t>
            </w:r>
            <w:r>
              <w:rPr>
                <w:rFonts w:hint="default" w:ascii="Calibri" w:hAnsi="Calibri" w:eastAsia="宋体" w:cs="Calibri"/>
                <w:color w:val="auto"/>
                <w:kern w:val="2"/>
                <w:sz w:val="24"/>
                <w:szCs w:val="24"/>
                <w:highlight w:val="none"/>
                <w:u w:val="single"/>
                <w:lang w:val="en-US" w:eastAsia="zh-CN" w:bidi="ar"/>
              </w:rPr>
              <w:t>5</w:t>
            </w:r>
            <w:r>
              <w:rPr>
                <w:rFonts w:hint="eastAsia" w:ascii="宋体" w:hAnsi="宋体" w:eastAsia="宋体" w:cs="宋体"/>
                <w:color w:val="auto"/>
                <w:kern w:val="2"/>
                <w:sz w:val="24"/>
                <w:szCs w:val="24"/>
                <w:highlight w:val="none"/>
                <w:u w:val="single"/>
                <w:lang w:val="en-US" w:eastAsia="zh-CN" w:bidi="ar"/>
              </w:rPr>
              <w:t>年</w:t>
            </w:r>
            <w:r>
              <w:rPr>
                <w:rFonts w:hint="default" w:ascii="Calibri" w:hAnsi="Calibri" w:eastAsia="宋体" w:cs="Calibri"/>
                <w:color w:val="auto"/>
                <w:kern w:val="2"/>
                <w:sz w:val="24"/>
                <w:szCs w:val="24"/>
                <w:highlight w:val="none"/>
                <w:u w:val="single"/>
                <w:lang w:val="en-US" w:eastAsia="zh-CN" w:bidi="ar"/>
              </w:rPr>
              <w:t>3</w:t>
            </w:r>
            <w:r>
              <w:rPr>
                <w:rFonts w:hint="eastAsia" w:ascii="宋体" w:hAnsi="宋体" w:eastAsia="宋体" w:cs="宋体"/>
                <w:color w:val="auto"/>
                <w:kern w:val="2"/>
                <w:sz w:val="24"/>
                <w:szCs w:val="24"/>
                <w:highlight w:val="none"/>
                <w:u w:val="single"/>
                <w:lang w:val="en-US" w:eastAsia="zh-CN" w:bidi="ar"/>
              </w:rPr>
              <w:t>月</w:t>
            </w:r>
            <w:r>
              <w:rPr>
                <w:rFonts w:hint="default" w:ascii="Calibri" w:hAnsi="Calibri" w:eastAsia="宋体" w:cs="Times New Roman"/>
                <w:color w:val="auto"/>
                <w:kern w:val="2"/>
                <w:sz w:val="24"/>
                <w:szCs w:val="24"/>
                <w:highlight w:val="none"/>
                <w:u w:val="single"/>
                <w:lang w:val="en-US" w:eastAsia="zh-CN" w:bidi="ar"/>
              </w:rPr>
              <w:t>30</w:t>
            </w:r>
            <w:r>
              <w:rPr>
                <w:rFonts w:hint="eastAsia" w:ascii="宋体" w:hAnsi="宋体" w:eastAsia="宋体" w:cs="宋体"/>
                <w:color w:val="auto"/>
                <w:kern w:val="2"/>
                <w:sz w:val="24"/>
                <w:szCs w:val="24"/>
                <w:highlight w:val="none"/>
                <w:u w:val="single"/>
                <w:lang w:val="en-US" w:eastAsia="zh-CN" w:bidi="ar"/>
              </w:rPr>
              <w:t>日完成全部实体工程</w:t>
            </w:r>
            <w:r>
              <w:rPr>
                <w:rFonts w:hint="default" w:ascii="Calibri" w:hAnsi="Calibri" w:eastAsia="宋体" w:cs="Calibri"/>
                <w:color w:val="auto"/>
                <w:kern w:val="2"/>
                <w:sz w:val="24"/>
                <w:szCs w:val="24"/>
                <w:highlight w:val="none"/>
                <w:u w:val="single"/>
                <w:lang w:val="en-US" w:eastAsia="zh-CN" w:bidi="ar"/>
              </w:rPr>
              <w:t>,2025</w:t>
            </w:r>
            <w:r>
              <w:rPr>
                <w:rFonts w:hint="eastAsia" w:ascii="宋体" w:hAnsi="宋体" w:eastAsia="宋体" w:cs="宋体"/>
                <w:color w:val="auto"/>
                <w:kern w:val="2"/>
                <w:sz w:val="24"/>
                <w:szCs w:val="24"/>
                <w:highlight w:val="none"/>
                <w:u w:val="single"/>
                <w:lang w:val="en-US" w:eastAsia="zh-CN" w:bidi="ar"/>
              </w:rPr>
              <w:t>年</w:t>
            </w:r>
            <w:r>
              <w:rPr>
                <w:rFonts w:hint="default" w:ascii="Calibri" w:hAnsi="Calibri" w:eastAsia="宋体" w:cs="Calibri"/>
                <w:color w:val="auto"/>
                <w:kern w:val="2"/>
                <w:sz w:val="24"/>
                <w:szCs w:val="24"/>
                <w:highlight w:val="none"/>
                <w:u w:val="single"/>
                <w:lang w:val="en-US" w:eastAsia="zh-CN" w:bidi="ar"/>
              </w:rPr>
              <w:t>5</w:t>
            </w:r>
            <w:r>
              <w:rPr>
                <w:rFonts w:hint="eastAsia" w:ascii="宋体" w:hAnsi="宋体" w:eastAsia="宋体" w:cs="宋体"/>
                <w:color w:val="auto"/>
                <w:kern w:val="2"/>
                <w:sz w:val="24"/>
                <w:szCs w:val="24"/>
                <w:highlight w:val="none"/>
                <w:u w:val="single"/>
                <w:lang w:val="en-US" w:eastAsia="zh-CN" w:bidi="ar"/>
              </w:rPr>
              <w:t>月</w:t>
            </w:r>
            <w:r>
              <w:rPr>
                <w:rFonts w:hint="default" w:ascii="Calibri" w:hAnsi="Calibri" w:eastAsia="宋体" w:cs="Times New Roman"/>
                <w:color w:val="auto"/>
                <w:kern w:val="2"/>
                <w:sz w:val="24"/>
                <w:szCs w:val="24"/>
                <w:highlight w:val="none"/>
                <w:u w:val="single"/>
                <w:lang w:val="en-US" w:eastAsia="zh-CN" w:bidi="ar"/>
              </w:rPr>
              <w:t>30</w:t>
            </w:r>
            <w:r>
              <w:rPr>
                <w:rFonts w:hint="eastAsia" w:ascii="宋体" w:hAnsi="宋体" w:eastAsia="宋体" w:cs="宋体"/>
                <w:color w:val="auto"/>
                <w:kern w:val="2"/>
                <w:sz w:val="24"/>
                <w:szCs w:val="24"/>
                <w:highlight w:val="none"/>
                <w:u w:val="single"/>
                <w:lang w:val="en-US" w:eastAsia="zh-CN" w:bidi="ar"/>
              </w:rPr>
              <w:t>日竣工验收。总工期约</w:t>
            </w:r>
            <w:r>
              <w:rPr>
                <w:rFonts w:hint="default" w:ascii="Calibri" w:hAnsi="Calibri" w:eastAsia="宋体" w:cs="Calibri"/>
                <w:color w:val="auto"/>
                <w:kern w:val="2"/>
                <w:sz w:val="24"/>
                <w:szCs w:val="24"/>
                <w:highlight w:val="none"/>
                <w:u w:val="single"/>
                <w:lang w:val="en-US" w:eastAsia="zh-CN" w:bidi="ar"/>
              </w:rPr>
              <w:t>241</w:t>
            </w:r>
            <w:r>
              <w:rPr>
                <w:rFonts w:hint="eastAsia" w:ascii="宋体" w:hAnsi="宋体" w:eastAsia="宋体" w:cs="宋体"/>
                <w:color w:val="auto"/>
                <w:kern w:val="2"/>
                <w:sz w:val="24"/>
                <w:szCs w:val="24"/>
                <w:highlight w:val="none"/>
                <w:u w:val="single"/>
                <w:lang w:val="en-US" w:eastAsia="zh-CN" w:bidi="ar"/>
              </w:rPr>
              <w:t>个日历天</w:t>
            </w:r>
            <w:r>
              <w:rPr>
                <w:rFonts w:hint="default" w:ascii="宋体" w:hAnsi="宋体" w:eastAsia="宋体" w:cs="宋体"/>
                <w:color w:val="auto"/>
                <w:kern w:val="2"/>
                <w:sz w:val="24"/>
                <w:szCs w:val="24"/>
                <w:highlight w:val="none"/>
                <w:u w:val="single"/>
                <w:lang w:eastAsia="zh-CN" w:bidi="ar"/>
              </w:rPr>
              <w:t>；</w:t>
            </w:r>
            <w:r>
              <w:rPr>
                <w:rFonts w:hint="eastAsia" w:ascii="宋体" w:hAnsi="宋体" w:eastAsia="宋体" w:cs="宋体"/>
                <w:color w:val="auto"/>
                <w:kern w:val="2"/>
                <w:sz w:val="24"/>
                <w:szCs w:val="24"/>
                <w:highlight w:val="none"/>
                <w:u w:val="single"/>
                <w:lang w:val="en-US" w:eastAsia="zh-CN" w:bidi="ar"/>
              </w:rPr>
              <w:t>广州天河体育中心田径副场改造项目</w:t>
            </w:r>
            <w:r>
              <w:rPr>
                <w:rFonts w:hint="default" w:ascii="宋体" w:hAnsi="宋体" w:eastAsia="宋体" w:cs="宋体"/>
                <w:color w:val="auto"/>
                <w:kern w:val="2"/>
                <w:sz w:val="24"/>
                <w:szCs w:val="24"/>
                <w:highlight w:val="none"/>
                <w:u w:val="single"/>
                <w:lang w:eastAsia="zh-CN" w:bidi="ar"/>
              </w:rPr>
              <w:t>：</w:t>
            </w:r>
            <w:r>
              <w:rPr>
                <w:rFonts w:hint="eastAsia" w:ascii="宋体" w:hAnsi="宋体" w:eastAsia="宋体" w:cs="宋体"/>
                <w:color w:val="auto"/>
                <w:kern w:val="2"/>
                <w:sz w:val="24"/>
                <w:szCs w:val="24"/>
                <w:highlight w:val="none"/>
                <w:u w:val="single"/>
                <w:lang w:val="en-US" w:eastAsia="zh-CN" w:bidi="ar"/>
              </w:rPr>
              <w:t>计划</w:t>
            </w:r>
            <w:r>
              <w:rPr>
                <w:rFonts w:hint="default" w:ascii="Calibri" w:hAnsi="Calibri" w:eastAsia="宋体" w:cs="Times New Roman"/>
                <w:color w:val="auto"/>
                <w:kern w:val="2"/>
                <w:sz w:val="24"/>
                <w:szCs w:val="24"/>
                <w:highlight w:val="none"/>
                <w:u w:val="single"/>
                <w:lang w:val="en-US" w:eastAsia="zh-CN" w:bidi="ar"/>
              </w:rPr>
              <w:t>2024</w:t>
            </w:r>
            <w:r>
              <w:rPr>
                <w:rFonts w:hint="eastAsia" w:ascii="宋体" w:hAnsi="宋体" w:eastAsia="宋体" w:cs="宋体"/>
                <w:color w:val="auto"/>
                <w:kern w:val="2"/>
                <w:sz w:val="24"/>
                <w:szCs w:val="24"/>
                <w:highlight w:val="none"/>
                <w:u w:val="single"/>
                <w:lang w:val="en-US" w:eastAsia="zh-CN" w:bidi="ar"/>
              </w:rPr>
              <w:t>年</w:t>
            </w:r>
            <w:r>
              <w:rPr>
                <w:rFonts w:hint="default" w:ascii="Calibri" w:hAnsi="Calibri" w:eastAsia="宋体" w:cs="Calibri"/>
                <w:color w:val="auto"/>
                <w:kern w:val="2"/>
                <w:sz w:val="24"/>
                <w:szCs w:val="24"/>
                <w:highlight w:val="none"/>
                <w:u w:val="single"/>
                <w:lang w:val="en-US" w:eastAsia="zh-CN" w:bidi="ar"/>
              </w:rPr>
              <w:t>11</w:t>
            </w:r>
            <w:r>
              <w:rPr>
                <w:rFonts w:hint="eastAsia" w:ascii="宋体" w:hAnsi="宋体" w:eastAsia="宋体" w:cs="宋体"/>
                <w:color w:val="auto"/>
                <w:kern w:val="2"/>
                <w:sz w:val="24"/>
                <w:szCs w:val="24"/>
                <w:highlight w:val="none"/>
                <w:u w:val="single"/>
                <w:lang w:val="en-US" w:eastAsia="zh-CN" w:bidi="ar"/>
              </w:rPr>
              <w:t>月</w:t>
            </w:r>
            <w:r>
              <w:rPr>
                <w:rFonts w:hint="default" w:ascii="Calibri" w:hAnsi="Calibri" w:eastAsia="宋体" w:cs="Calibri"/>
                <w:color w:val="auto"/>
                <w:kern w:val="2"/>
                <w:sz w:val="24"/>
                <w:szCs w:val="24"/>
                <w:highlight w:val="none"/>
                <w:u w:val="single"/>
                <w:lang w:val="en-US" w:eastAsia="zh-CN" w:bidi="ar"/>
              </w:rPr>
              <w:t>1</w:t>
            </w:r>
            <w:r>
              <w:rPr>
                <w:rFonts w:hint="eastAsia" w:ascii="宋体" w:hAnsi="宋体" w:eastAsia="宋体" w:cs="宋体"/>
                <w:color w:val="auto"/>
                <w:kern w:val="2"/>
                <w:sz w:val="24"/>
                <w:szCs w:val="24"/>
                <w:highlight w:val="none"/>
                <w:u w:val="single"/>
                <w:lang w:val="en-US" w:eastAsia="zh-CN" w:bidi="ar"/>
              </w:rPr>
              <w:t>日开工，至</w:t>
            </w:r>
            <w:r>
              <w:rPr>
                <w:rFonts w:hint="default" w:ascii="Calibri" w:hAnsi="Calibri" w:eastAsia="宋体" w:cs="Times New Roman"/>
                <w:color w:val="auto"/>
                <w:kern w:val="2"/>
                <w:sz w:val="24"/>
                <w:szCs w:val="24"/>
                <w:highlight w:val="none"/>
                <w:u w:val="single"/>
                <w:lang w:val="en-US" w:eastAsia="zh-CN" w:bidi="ar"/>
              </w:rPr>
              <w:t>202</w:t>
            </w:r>
            <w:r>
              <w:rPr>
                <w:rFonts w:hint="default" w:ascii="Calibri" w:hAnsi="Calibri" w:eastAsia="宋体" w:cs="Calibri"/>
                <w:color w:val="auto"/>
                <w:kern w:val="2"/>
                <w:sz w:val="24"/>
                <w:szCs w:val="24"/>
                <w:highlight w:val="none"/>
                <w:u w:val="single"/>
                <w:lang w:val="en-US" w:eastAsia="zh-CN" w:bidi="ar"/>
              </w:rPr>
              <w:t>4</w:t>
            </w:r>
            <w:r>
              <w:rPr>
                <w:rFonts w:hint="eastAsia" w:ascii="宋体" w:hAnsi="宋体" w:eastAsia="宋体" w:cs="宋体"/>
                <w:color w:val="auto"/>
                <w:kern w:val="2"/>
                <w:sz w:val="24"/>
                <w:szCs w:val="24"/>
                <w:highlight w:val="none"/>
                <w:u w:val="single"/>
                <w:lang w:val="en-US" w:eastAsia="zh-CN" w:bidi="ar"/>
              </w:rPr>
              <w:t>年</w:t>
            </w:r>
            <w:r>
              <w:rPr>
                <w:rFonts w:hint="default" w:ascii="Calibri" w:hAnsi="Calibri" w:eastAsia="宋体" w:cs="Calibri"/>
                <w:color w:val="auto"/>
                <w:kern w:val="2"/>
                <w:sz w:val="24"/>
                <w:szCs w:val="24"/>
                <w:highlight w:val="none"/>
                <w:u w:val="single"/>
                <w:lang w:val="en-US" w:eastAsia="zh-CN" w:bidi="ar"/>
              </w:rPr>
              <w:t>12</w:t>
            </w:r>
            <w:r>
              <w:rPr>
                <w:rFonts w:hint="eastAsia" w:ascii="宋体" w:hAnsi="宋体" w:eastAsia="宋体" w:cs="宋体"/>
                <w:color w:val="auto"/>
                <w:kern w:val="2"/>
                <w:sz w:val="24"/>
                <w:szCs w:val="24"/>
                <w:highlight w:val="none"/>
                <w:u w:val="single"/>
                <w:lang w:val="en-US" w:eastAsia="zh-CN" w:bidi="ar"/>
              </w:rPr>
              <w:t>月</w:t>
            </w:r>
            <w:r>
              <w:rPr>
                <w:rFonts w:hint="default" w:ascii="Calibri" w:hAnsi="Calibri" w:eastAsia="宋体" w:cs="Times New Roman"/>
                <w:color w:val="auto"/>
                <w:kern w:val="2"/>
                <w:sz w:val="24"/>
                <w:szCs w:val="24"/>
                <w:highlight w:val="none"/>
                <w:u w:val="single"/>
                <w:lang w:val="en-US" w:eastAsia="zh-CN" w:bidi="ar"/>
              </w:rPr>
              <w:t>30</w:t>
            </w:r>
            <w:r>
              <w:rPr>
                <w:rFonts w:hint="eastAsia" w:ascii="宋体" w:hAnsi="宋体" w:eastAsia="宋体" w:cs="宋体"/>
                <w:color w:val="auto"/>
                <w:kern w:val="2"/>
                <w:sz w:val="24"/>
                <w:szCs w:val="24"/>
                <w:highlight w:val="none"/>
                <w:u w:val="single"/>
                <w:lang w:val="en-US" w:eastAsia="zh-CN" w:bidi="ar"/>
              </w:rPr>
              <w:t>日完成全部实体工程</w:t>
            </w:r>
            <w:r>
              <w:rPr>
                <w:rFonts w:hint="default" w:ascii="Calibri" w:hAnsi="Calibri" w:eastAsia="宋体" w:cs="Calibri"/>
                <w:color w:val="auto"/>
                <w:kern w:val="2"/>
                <w:sz w:val="24"/>
                <w:szCs w:val="24"/>
                <w:highlight w:val="none"/>
                <w:u w:val="single"/>
                <w:lang w:val="en-US" w:eastAsia="zh-CN" w:bidi="ar"/>
              </w:rPr>
              <w:t>,2025</w:t>
            </w:r>
            <w:r>
              <w:rPr>
                <w:rFonts w:hint="eastAsia" w:ascii="宋体" w:hAnsi="宋体" w:eastAsia="宋体" w:cs="宋体"/>
                <w:color w:val="auto"/>
                <w:kern w:val="2"/>
                <w:sz w:val="24"/>
                <w:szCs w:val="24"/>
                <w:highlight w:val="none"/>
                <w:u w:val="single"/>
                <w:lang w:val="en-US" w:eastAsia="zh-CN" w:bidi="ar"/>
              </w:rPr>
              <w:t>年</w:t>
            </w:r>
            <w:r>
              <w:rPr>
                <w:rFonts w:hint="default" w:ascii="Calibri" w:hAnsi="Calibri" w:eastAsia="宋体" w:cs="Calibri"/>
                <w:color w:val="auto"/>
                <w:kern w:val="2"/>
                <w:sz w:val="24"/>
                <w:szCs w:val="24"/>
                <w:highlight w:val="none"/>
                <w:u w:val="single"/>
                <w:lang w:val="en-US" w:eastAsia="zh-CN" w:bidi="ar"/>
              </w:rPr>
              <w:t>1</w:t>
            </w:r>
            <w:r>
              <w:rPr>
                <w:rFonts w:hint="eastAsia" w:ascii="宋体" w:hAnsi="宋体" w:eastAsia="宋体" w:cs="宋体"/>
                <w:color w:val="auto"/>
                <w:kern w:val="2"/>
                <w:sz w:val="24"/>
                <w:szCs w:val="24"/>
                <w:highlight w:val="none"/>
                <w:u w:val="single"/>
                <w:lang w:val="en-US" w:eastAsia="zh-CN" w:bidi="ar"/>
              </w:rPr>
              <w:t>月</w:t>
            </w:r>
            <w:r>
              <w:rPr>
                <w:rFonts w:hint="default" w:ascii="Calibri" w:hAnsi="Calibri" w:eastAsia="宋体" w:cs="Times New Roman"/>
                <w:color w:val="auto"/>
                <w:kern w:val="2"/>
                <w:sz w:val="24"/>
                <w:szCs w:val="24"/>
                <w:highlight w:val="none"/>
                <w:u w:val="single"/>
                <w:lang w:val="en-US" w:eastAsia="zh-CN" w:bidi="ar"/>
              </w:rPr>
              <w:t>30</w:t>
            </w:r>
            <w:r>
              <w:rPr>
                <w:rFonts w:hint="eastAsia" w:ascii="宋体" w:hAnsi="宋体" w:eastAsia="宋体" w:cs="宋体"/>
                <w:color w:val="auto"/>
                <w:kern w:val="2"/>
                <w:sz w:val="24"/>
                <w:szCs w:val="24"/>
                <w:highlight w:val="none"/>
                <w:u w:val="single"/>
                <w:lang w:val="en-US" w:eastAsia="zh-CN" w:bidi="ar"/>
              </w:rPr>
              <w:t>日竣工验收。总工期约</w:t>
            </w:r>
            <w:r>
              <w:rPr>
                <w:rFonts w:hint="default" w:ascii="Calibri" w:hAnsi="Calibri" w:eastAsia="宋体" w:cs="Calibri"/>
                <w:color w:val="auto"/>
                <w:kern w:val="2"/>
                <w:sz w:val="24"/>
                <w:szCs w:val="24"/>
                <w:highlight w:val="none"/>
                <w:u w:val="single"/>
                <w:lang w:val="en-US" w:eastAsia="zh-CN" w:bidi="ar"/>
              </w:rPr>
              <w:t>90</w:t>
            </w:r>
            <w:r>
              <w:rPr>
                <w:rFonts w:hint="eastAsia" w:ascii="宋体" w:hAnsi="宋体" w:eastAsia="宋体" w:cs="宋体"/>
                <w:color w:val="auto"/>
                <w:kern w:val="2"/>
                <w:sz w:val="24"/>
                <w:szCs w:val="24"/>
                <w:highlight w:val="none"/>
                <w:u w:val="single"/>
                <w:lang w:val="en-US" w:eastAsia="zh-CN" w:bidi="ar"/>
              </w:rPr>
              <w:t>个日历天。具体开工日期以总监理工程师发出的开工令为准。</w:t>
            </w:r>
            <w:r>
              <w:rPr>
                <w:rFonts w:hint="eastAsia" w:ascii="宋体" w:hAnsi="宋体" w:eastAsia="宋体" w:cs="宋体"/>
                <w:color w:val="auto"/>
                <w:kern w:val="2"/>
                <w:sz w:val="24"/>
                <w:szCs w:val="24"/>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r>
      <w:tr w14:paraId="7A2CE7B0">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0CBC8955">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9</w:t>
            </w:r>
          </w:p>
        </w:tc>
        <w:tc>
          <w:tcPr>
            <w:tcW w:w="981" w:type="dxa"/>
            <w:tcBorders>
              <w:top w:val="single" w:color="auto" w:sz="4" w:space="0"/>
              <w:left w:val="nil"/>
              <w:bottom w:val="single" w:color="auto" w:sz="4" w:space="0"/>
              <w:right w:val="single" w:color="auto" w:sz="4" w:space="0"/>
            </w:tcBorders>
            <w:shd w:val="clear" w:color="auto" w:fill="auto"/>
            <w:vAlign w:val="center"/>
          </w:tcPr>
          <w:p w14:paraId="16622718">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3.1</w:t>
            </w:r>
          </w:p>
        </w:tc>
        <w:tc>
          <w:tcPr>
            <w:tcW w:w="1810" w:type="dxa"/>
            <w:tcBorders>
              <w:top w:val="single" w:color="auto" w:sz="4" w:space="0"/>
              <w:left w:val="nil"/>
              <w:bottom w:val="single" w:color="auto" w:sz="4" w:space="0"/>
              <w:right w:val="single" w:color="auto" w:sz="4" w:space="0"/>
            </w:tcBorders>
            <w:shd w:val="clear" w:color="auto" w:fill="auto"/>
            <w:vAlign w:val="center"/>
          </w:tcPr>
          <w:p w14:paraId="1283A2B1">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资金来源</w:t>
            </w:r>
          </w:p>
        </w:tc>
        <w:tc>
          <w:tcPr>
            <w:tcW w:w="5857" w:type="dxa"/>
            <w:tcBorders>
              <w:top w:val="single" w:color="auto" w:sz="4" w:space="0"/>
              <w:left w:val="nil"/>
              <w:bottom w:val="single" w:color="auto" w:sz="4" w:space="0"/>
              <w:right w:val="double" w:color="auto" w:sz="2" w:space="0"/>
            </w:tcBorders>
            <w:shd w:val="clear" w:color="auto" w:fill="auto"/>
            <w:vAlign w:val="center"/>
          </w:tcPr>
          <w:p w14:paraId="4040BEA8">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u w:val="single"/>
              </w:rPr>
            </w:pPr>
            <w:r>
              <w:rPr>
                <w:rFonts w:hint="eastAsia" w:ascii="宋体" w:hAnsi="宋体" w:eastAsia="宋体" w:cs="宋体"/>
                <w:bCs/>
                <w:color w:val="auto"/>
                <w:kern w:val="0"/>
                <w:sz w:val="21"/>
                <w:szCs w:val="21"/>
                <w:highlight w:val="none"/>
                <w:u w:val="single"/>
                <w:lang w:val="en-US" w:eastAsia="zh-CN" w:bidi="ar"/>
              </w:rPr>
              <w:t>详见本工程招标公告。</w:t>
            </w:r>
          </w:p>
        </w:tc>
      </w:tr>
      <w:tr w14:paraId="7A5978AB">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987"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5BA86532">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10</w:t>
            </w:r>
          </w:p>
        </w:tc>
        <w:tc>
          <w:tcPr>
            <w:tcW w:w="981" w:type="dxa"/>
            <w:tcBorders>
              <w:top w:val="single" w:color="auto" w:sz="4" w:space="0"/>
              <w:left w:val="nil"/>
              <w:bottom w:val="single" w:color="auto" w:sz="4" w:space="0"/>
              <w:right w:val="single" w:color="auto" w:sz="4" w:space="0"/>
            </w:tcBorders>
            <w:shd w:val="clear" w:color="auto" w:fill="auto"/>
            <w:vAlign w:val="center"/>
          </w:tcPr>
          <w:p w14:paraId="753BD9FF">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4.1</w:t>
            </w:r>
          </w:p>
        </w:tc>
        <w:tc>
          <w:tcPr>
            <w:tcW w:w="1810" w:type="dxa"/>
            <w:tcBorders>
              <w:top w:val="single" w:color="auto" w:sz="4" w:space="0"/>
              <w:left w:val="nil"/>
              <w:bottom w:val="single" w:color="auto" w:sz="4" w:space="0"/>
              <w:right w:val="single" w:color="auto" w:sz="4" w:space="0"/>
            </w:tcBorders>
            <w:shd w:val="clear" w:color="auto" w:fill="auto"/>
            <w:vAlign w:val="center"/>
          </w:tcPr>
          <w:p w14:paraId="2FE888F9">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投标人资质等级及项目负责人等级要求</w:t>
            </w:r>
          </w:p>
        </w:tc>
        <w:tc>
          <w:tcPr>
            <w:tcW w:w="5857" w:type="dxa"/>
            <w:tcBorders>
              <w:top w:val="single" w:color="auto" w:sz="4" w:space="0"/>
              <w:left w:val="nil"/>
              <w:bottom w:val="single" w:color="auto" w:sz="4" w:space="0"/>
              <w:right w:val="double" w:color="auto" w:sz="2" w:space="0"/>
            </w:tcBorders>
            <w:shd w:val="clear" w:color="auto" w:fill="auto"/>
            <w:vAlign w:val="center"/>
          </w:tcPr>
          <w:p w14:paraId="3AD0B849">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详见本工程招标公告。</w:t>
            </w:r>
          </w:p>
        </w:tc>
      </w:tr>
      <w:tr w14:paraId="432594F8">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7F1420BD">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11</w:t>
            </w:r>
          </w:p>
        </w:tc>
        <w:tc>
          <w:tcPr>
            <w:tcW w:w="981" w:type="dxa"/>
            <w:tcBorders>
              <w:top w:val="single" w:color="auto" w:sz="4" w:space="0"/>
              <w:left w:val="nil"/>
              <w:bottom w:val="single" w:color="auto" w:sz="4" w:space="0"/>
              <w:right w:val="single" w:color="auto" w:sz="4" w:space="0"/>
            </w:tcBorders>
            <w:shd w:val="clear" w:color="auto" w:fill="auto"/>
            <w:vAlign w:val="center"/>
          </w:tcPr>
          <w:p w14:paraId="24D11953">
            <w:pPr>
              <w:keepNext w:val="0"/>
              <w:keepLines w:val="0"/>
              <w:widowControl w:val="0"/>
              <w:suppressLineNumbers w:val="0"/>
              <w:spacing w:before="0" w:beforeAutospacing="0" w:after="0" w:afterAutospacing="0"/>
              <w:ind w:left="0" w:right="0" w:firstLine="458"/>
              <w:jc w:val="both"/>
              <w:rPr>
                <w:rFonts w:hint="eastAsia" w:ascii="宋体" w:hAnsi="宋体" w:eastAsia="宋体" w:cs="Times New Roman"/>
                <w:color w:val="auto"/>
                <w:kern w:val="2"/>
                <w:sz w:val="21"/>
                <w:szCs w:val="21"/>
                <w:highlight w:val="none"/>
              </w:rPr>
            </w:pPr>
          </w:p>
        </w:tc>
        <w:tc>
          <w:tcPr>
            <w:tcW w:w="1810" w:type="dxa"/>
            <w:tcBorders>
              <w:top w:val="single" w:color="auto" w:sz="4" w:space="0"/>
              <w:left w:val="nil"/>
              <w:bottom w:val="single" w:color="auto" w:sz="4" w:space="0"/>
              <w:right w:val="single" w:color="auto" w:sz="4" w:space="0"/>
            </w:tcBorders>
            <w:shd w:val="clear" w:color="auto" w:fill="auto"/>
            <w:vAlign w:val="center"/>
          </w:tcPr>
          <w:p w14:paraId="3D47F23A">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资格审查方式</w:t>
            </w:r>
          </w:p>
        </w:tc>
        <w:tc>
          <w:tcPr>
            <w:tcW w:w="5857" w:type="dxa"/>
            <w:tcBorders>
              <w:top w:val="single" w:color="auto" w:sz="4" w:space="0"/>
              <w:left w:val="nil"/>
              <w:bottom w:val="single" w:color="auto" w:sz="4" w:space="0"/>
              <w:right w:val="double" w:color="auto" w:sz="2" w:space="0"/>
            </w:tcBorders>
            <w:shd w:val="clear" w:color="auto" w:fill="auto"/>
            <w:vAlign w:val="center"/>
          </w:tcPr>
          <w:p w14:paraId="4F88DB90">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详见本工程招标公告。</w:t>
            </w:r>
          </w:p>
        </w:tc>
      </w:tr>
      <w:tr w14:paraId="6109B3B2">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3C8B644B">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12</w:t>
            </w:r>
          </w:p>
        </w:tc>
        <w:tc>
          <w:tcPr>
            <w:tcW w:w="981" w:type="dxa"/>
            <w:tcBorders>
              <w:top w:val="single" w:color="auto" w:sz="4" w:space="0"/>
              <w:left w:val="nil"/>
              <w:bottom w:val="single" w:color="auto" w:sz="4" w:space="0"/>
              <w:right w:val="single" w:color="auto" w:sz="4" w:space="0"/>
            </w:tcBorders>
            <w:shd w:val="clear" w:color="auto" w:fill="auto"/>
            <w:vAlign w:val="center"/>
          </w:tcPr>
          <w:p w14:paraId="1B4ACCD9">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13.1</w:t>
            </w:r>
          </w:p>
        </w:tc>
        <w:tc>
          <w:tcPr>
            <w:tcW w:w="1810" w:type="dxa"/>
            <w:tcBorders>
              <w:top w:val="single" w:color="auto" w:sz="4" w:space="0"/>
              <w:left w:val="nil"/>
              <w:bottom w:val="single" w:color="auto" w:sz="4" w:space="0"/>
              <w:right w:val="single" w:color="auto" w:sz="4" w:space="0"/>
            </w:tcBorders>
            <w:shd w:val="clear" w:color="auto" w:fill="auto"/>
            <w:vAlign w:val="center"/>
          </w:tcPr>
          <w:p w14:paraId="6F408531">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报价以及单价和总价计算方式</w:t>
            </w:r>
          </w:p>
        </w:tc>
        <w:tc>
          <w:tcPr>
            <w:tcW w:w="5857" w:type="dxa"/>
            <w:tcBorders>
              <w:top w:val="single" w:color="auto" w:sz="4" w:space="0"/>
              <w:left w:val="nil"/>
              <w:bottom w:val="single" w:color="auto" w:sz="4" w:space="0"/>
              <w:right w:val="double" w:color="auto" w:sz="2" w:space="0"/>
            </w:tcBorders>
            <w:shd w:val="clear" w:color="auto" w:fill="auto"/>
            <w:vAlign w:val="center"/>
          </w:tcPr>
          <w:p w14:paraId="5C4F28DF">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工程量清单计价。</w:t>
            </w:r>
          </w:p>
        </w:tc>
      </w:tr>
      <w:tr w14:paraId="5FE4F104">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192CB9EC">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13</w:t>
            </w:r>
          </w:p>
        </w:tc>
        <w:tc>
          <w:tcPr>
            <w:tcW w:w="981" w:type="dxa"/>
            <w:tcBorders>
              <w:top w:val="single" w:color="auto" w:sz="4" w:space="0"/>
              <w:left w:val="nil"/>
              <w:bottom w:val="single" w:color="auto" w:sz="4" w:space="0"/>
              <w:right w:val="single" w:color="auto" w:sz="4" w:space="0"/>
            </w:tcBorders>
            <w:shd w:val="clear" w:color="auto" w:fill="auto"/>
            <w:vAlign w:val="center"/>
          </w:tcPr>
          <w:p w14:paraId="70E40333">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15.1</w:t>
            </w:r>
          </w:p>
        </w:tc>
        <w:tc>
          <w:tcPr>
            <w:tcW w:w="1810" w:type="dxa"/>
            <w:tcBorders>
              <w:top w:val="single" w:color="auto" w:sz="4" w:space="0"/>
              <w:left w:val="nil"/>
              <w:bottom w:val="single" w:color="auto" w:sz="4" w:space="0"/>
              <w:right w:val="single" w:color="auto" w:sz="4" w:space="0"/>
            </w:tcBorders>
            <w:shd w:val="clear" w:color="auto" w:fill="auto"/>
            <w:vAlign w:val="center"/>
          </w:tcPr>
          <w:p w14:paraId="31E28791">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投标有效期</w:t>
            </w:r>
          </w:p>
        </w:tc>
        <w:tc>
          <w:tcPr>
            <w:tcW w:w="5857" w:type="dxa"/>
            <w:tcBorders>
              <w:top w:val="single" w:color="auto" w:sz="4" w:space="0"/>
              <w:left w:val="nil"/>
              <w:bottom w:val="single" w:color="auto" w:sz="4" w:space="0"/>
              <w:right w:val="double" w:color="auto" w:sz="2" w:space="0"/>
            </w:tcBorders>
            <w:shd w:val="clear" w:color="auto" w:fill="auto"/>
            <w:vAlign w:val="center"/>
          </w:tcPr>
          <w:p w14:paraId="0942E83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u w:val="single"/>
              </w:rPr>
            </w:pPr>
            <w:r>
              <w:rPr>
                <w:rFonts w:hint="eastAsia" w:ascii="宋体" w:hAnsi="宋体" w:eastAsia="宋体" w:cs="宋体"/>
                <w:color w:val="auto"/>
                <w:kern w:val="2"/>
                <w:sz w:val="21"/>
                <w:szCs w:val="21"/>
                <w:highlight w:val="none"/>
                <w:u w:val="single"/>
                <w:lang w:val="en-US" w:eastAsia="zh-CN" w:bidi="ar"/>
              </w:rPr>
              <w:t>120</w:t>
            </w:r>
            <w:r>
              <w:rPr>
                <w:rFonts w:hint="eastAsia" w:ascii="宋体" w:hAnsi="宋体" w:eastAsia="宋体" w:cs="宋体"/>
                <w:color w:val="auto"/>
                <w:kern w:val="2"/>
                <w:sz w:val="21"/>
                <w:szCs w:val="21"/>
                <w:highlight w:val="none"/>
                <w:lang w:val="en-US" w:eastAsia="zh-CN" w:bidi="ar"/>
              </w:rPr>
              <w:t>日历天。（从投标截止之日计起）</w:t>
            </w:r>
          </w:p>
        </w:tc>
      </w:tr>
      <w:tr w14:paraId="46F0ACB7">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7F0F5122">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14</w:t>
            </w:r>
          </w:p>
        </w:tc>
        <w:tc>
          <w:tcPr>
            <w:tcW w:w="981" w:type="dxa"/>
            <w:tcBorders>
              <w:top w:val="single" w:color="auto" w:sz="4" w:space="0"/>
              <w:left w:val="nil"/>
              <w:bottom w:val="single" w:color="auto" w:sz="4" w:space="0"/>
              <w:right w:val="single" w:color="auto" w:sz="4" w:space="0"/>
            </w:tcBorders>
            <w:shd w:val="clear" w:color="auto" w:fill="auto"/>
            <w:vAlign w:val="center"/>
          </w:tcPr>
          <w:p w14:paraId="2E9EAB32">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16.1</w:t>
            </w:r>
          </w:p>
        </w:tc>
        <w:tc>
          <w:tcPr>
            <w:tcW w:w="1810" w:type="dxa"/>
            <w:tcBorders>
              <w:top w:val="single" w:color="auto" w:sz="4" w:space="0"/>
              <w:left w:val="nil"/>
              <w:bottom w:val="single" w:color="auto" w:sz="4" w:space="0"/>
              <w:right w:val="single" w:color="auto" w:sz="4" w:space="0"/>
            </w:tcBorders>
            <w:shd w:val="clear" w:color="auto" w:fill="auto"/>
            <w:vAlign w:val="center"/>
          </w:tcPr>
          <w:p w14:paraId="6C682AEA">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投标保证金</w:t>
            </w:r>
          </w:p>
        </w:tc>
        <w:tc>
          <w:tcPr>
            <w:tcW w:w="5857" w:type="dxa"/>
            <w:tcBorders>
              <w:top w:val="single" w:color="auto" w:sz="4" w:space="0"/>
              <w:left w:val="nil"/>
              <w:bottom w:val="single" w:color="auto" w:sz="4" w:space="0"/>
              <w:right w:val="double" w:color="auto" w:sz="2" w:space="0"/>
            </w:tcBorders>
            <w:shd w:val="clear" w:color="auto" w:fill="auto"/>
            <w:vAlign w:val="center"/>
          </w:tcPr>
          <w:p w14:paraId="0AC764C3">
            <w:pPr>
              <w:keepNext w:val="0"/>
              <w:keepLines w:val="0"/>
              <w:widowControl w:val="0"/>
              <w:suppressLineNumbers w:val="0"/>
              <w:spacing w:before="0" w:beforeAutospacing="0" w:after="0" w:afterAutospacing="0"/>
              <w:ind w:left="0" w:right="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是否要求投标人递交投标保证金：</w:t>
            </w:r>
          </w:p>
          <w:p w14:paraId="23A61AD1">
            <w:pPr>
              <w:keepNext w:val="0"/>
              <w:keepLines w:val="0"/>
              <w:widowControl w:val="0"/>
              <w:suppressLineNumbers w:val="0"/>
              <w:adjustRightInd w:val="0"/>
              <w:snapToGrid w:val="0"/>
              <w:spacing w:before="50" w:beforeAutospacing="0" w:after="0" w:afterAutospacing="0"/>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□要求，</w:t>
            </w:r>
          </w:p>
          <w:p w14:paraId="105F9B64">
            <w:pPr>
              <w:keepNext w:val="0"/>
              <w:keepLines w:val="0"/>
              <w:widowControl w:val="0"/>
              <w:suppressLineNumbers w:val="0"/>
              <w:adjustRightInd w:val="0"/>
              <w:snapToGrid w:val="0"/>
              <w:spacing w:before="50" w:beforeAutospacing="0" w:after="0" w:afterAutospacing="0"/>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投标保证金额度： /  </w:t>
            </w:r>
          </w:p>
          <w:p w14:paraId="6A931138">
            <w:pPr>
              <w:keepNext w:val="0"/>
              <w:keepLines w:val="0"/>
              <w:widowControl w:val="0"/>
              <w:suppressLineNumbers w:val="0"/>
              <w:adjustRightInd w:val="0"/>
              <w:snapToGrid w:val="0"/>
              <w:spacing w:before="5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 xml:space="preserve">投标保证金有效期： / </w:t>
            </w:r>
          </w:p>
          <w:p w14:paraId="65074ACF">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■不要求</w:t>
            </w:r>
          </w:p>
        </w:tc>
      </w:tr>
      <w:tr w14:paraId="4EC50812">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634E9E5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15</w:t>
            </w:r>
          </w:p>
        </w:tc>
        <w:tc>
          <w:tcPr>
            <w:tcW w:w="981" w:type="dxa"/>
            <w:tcBorders>
              <w:top w:val="single" w:color="auto" w:sz="4" w:space="0"/>
              <w:left w:val="nil"/>
              <w:bottom w:val="single" w:color="auto" w:sz="4" w:space="0"/>
              <w:right w:val="single" w:color="auto" w:sz="4" w:space="0"/>
            </w:tcBorders>
            <w:shd w:val="clear" w:color="auto" w:fill="auto"/>
            <w:vAlign w:val="center"/>
          </w:tcPr>
          <w:p w14:paraId="50C03C79">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w:t>
            </w:r>
          </w:p>
        </w:tc>
        <w:tc>
          <w:tcPr>
            <w:tcW w:w="1810" w:type="dxa"/>
            <w:tcBorders>
              <w:top w:val="single" w:color="auto" w:sz="4" w:space="0"/>
              <w:left w:val="nil"/>
              <w:bottom w:val="single" w:color="auto" w:sz="4" w:space="0"/>
              <w:right w:val="single" w:color="auto" w:sz="4" w:space="0"/>
            </w:tcBorders>
            <w:shd w:val="clear" w:color="auto" w:fill="auto"/>
            <w:vAlign w:val="center"/>
          </w:tcPr>
          <w:p w14:paraId="7F12A87E">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踏勘现场</w:t>
            </w:r>
          </w:p>
        </w:tc>
        <w:tc>
          <w:tcPr>
            <w:tcW w:w="5857" w:type="dxa"/>
            <w:tcBorders>
              <w:top w:val="single" w:color="auto" w:sz="4" w:space="0"/>
              <w:left w:val="nil"/>
              <w:bottom w:val="single" w:color="auto" w:sz="4" w:space="0"/>
              <w:right w:val="double" w:color="auto" w:sz="2" w:space="0"/>
            </w:tcBorders>
            <w:shd w:val="clear" w:color="auto" w:fill="auto"/>
            <w:vAlign w:val="center"/>
          </w:tcPr>
          <w:p w14:paraId="6F352133">
            <w:pPr>
              <w:pStyle w:val="8"/>
              <w:keepNext w:val="0"/>
              <w:keepLines w:val="0"/>
              <w:widowControl w:val="0"/>
              <w:suppressLineNumbers w:val="0"/>
              <w:spacing w:before="0" w:beforeAutospacing="0" w:after="0" w:afterAutospacing="0"/>
              <w:ind w:left="0" w:right="0"/>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u w:val="single"/>
              </w:rPr>
              <w:t xml:space="preserve">招标人不集中组织，由投标人自行踏勘。 </w:t>
            </w:r>
            <w:r>
              <w:rPr>
                <w:rFonts w:hint="eastAsia" w:ascii="宋体" w:hAnsi="宋体" w:eastAsia="宋体" w:cs="宋体"/>
                <w:color w:val="auto"/>
                <w:kern w:val="2"/>
                <w:sz w:val="21"/>
                <w:szCs w:val="21"/>
                <w:highlight w:val="none"/>
              </w:rPr>
              <w:t xml:space="preserve">                                               </w:t>
            </w:r>
          </w:p>
        </w:tc>
      </w:tr>
      <w:tr w14:paraId="5D2D896F">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7F4C9B6A">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16</w:t>
            </w:r>
          </w:p>
        </w:tc>
        <w:tc>
          <w:tcPr>
            <w:tcW w:w="981" w:type="dxa"/>
            <w:tcBorders>
              <w:top w:val="single" w:color="auto" w:sz="4" w:space="0"/>
              <w:left w:val="nil"/>
              <w:bottom w:val="single" w:color="auto" w:sz="4" w:space="0"/>
              <w:right w:val="single" w:color="auto" w:sz="4" w:space="0"/>
            </w:tcBorders>
            <w:shd w:val="clear" w:color="auto" w:fill="auto"/>
            <w:vAlign w:val="center"/>
          </w:tcPr>
          <w:p w14:paraId="4D245122">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8</w:t>
            </w:r>
          </w:p>
        </w:tc>
        <w:tc>
          <w:tcPr>
            <w:tcW w:w="1810" w:type="dxa"/>
            <w:tcBorders>
              <w:top w:val="single" w:color="auto" w:sz="4" w:space="0"/>
              <w:left w:val="nil"/>
              <w:bottom w:val="single" w:color="auto" w:sz="4" w:space="0"/>
              <w:right w:val="single" w:color="auto" w:sz="4" w:space="0"/>
            </w:tcBorders>
            <w:shd w:val="clear" w:color="auto" w:fill="auto"/>
            <w:vAlign w:val="center"/>
          </w:tcPr>
          <w:p w14:paraId="43EBD381">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投标答疑</w:t>
            </w:r>
          </w:p>
        </w:tc>
        <w:tc>
          <w:tcPr>
            <w:tcW w:w="5857" w:type="dxa"/>
            <w:tcBorders>
              <w:top w:val="single" w:color="auto" w:sz="4" w:space="0"/>
              <w:left w:val="nil"/>
              <w:bottom w:val="single" w:color="auto" w:sz="4" w:space="0"/>
              <w:right w:val="double" w:color="auto" w:sz="2" w:space="0"/>
            </w:tcBorders>
            <w:shd w:val="clear" w:color="auto" w:fill="auto"/>
            <w:vAlign w:val="center"/>
          </w:tcPr>
          <w:p w14:paraId="4026B276">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疑问提交时间：</w:t>
            </w:r>
            <w:r>
              <w:rPr>
                <w:rFonts w:hint="eastAsia" w:ascii="宋体" w:hAnsi="宋体" w:eastAsia="宋体" w:cs="宋体"/>
                <w:color w:val="auto"/>
                <w:kern w:val="2"/>
                <w:sz w:val="21"/>
                <w:szCs w:val="21"/>
                <w:highlight w:val="none"/>
                <w:u w:val="single"/>
                <w:lang w:val="en-US" w:eastAsia="zh-CN" w:bidi="ar"/>
              </w:rPr>
              <w:t>在提交投标文件截止时间18天前</w:t>
            </w:r>
            <w:r>
              <w:rPr>
                <w:rFonts w:hint="eastAsia" w:ascii="宋体" w:hAnsi="宋体" w:eastAsia="宋体" w:cs="宋体"/>
                <w:color w:val="auto"/>
                <w:kern w:val="2"/>
                <w:sz w:val="21"/>
                <w:szCs w:val="21"/>
                <w:highlight w:val="none"/>
                <w:lang w:val="en-US" w:eastAsia="zh-CN" w:bidi="ar"/>
              </w:rPr>
              <w:t>；</w:t>
            </w:r>
          </w:p>
          <w:p w14:paraId="684EF226">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形式：投标人的疑问通过</w:t>
            </w:r>
            <w:r>
              <w:rPr>
                <w:rFonts w:hint="eastAsia" w:ascii="宋体" w:hAnsi="宋体" w:eastAsia="宋体" w:cs="宋体"/>
                <w:color w:val="auto"/>
                <w:kern w:val="2"/>
                <w:sz w:val="21"/>
                <w:szCs w:val="21"/>
                <w:highlight w:val="none"/>
                <w:u w:val="single"/>
                <w:lang w:val="en-US" w:eastAsia="zh-CN" w:bidi="ar"/>
              </w:rPr>
              <w:t>广州公共资源交易中心</w:t>
            </w:r>
            <w:r>
              <w:rPr>
                <w:rFonts w:hint="eastAsia" w:ascii="宋体" w:hAnsi="宋体" w:eastAsia="宋体" w:cs="宋体"/>
                <w:color w:val="auto"/>
                <w:kern w:val="2"/>
                <w:sz w:val="21"/>
                <w:szCs w:val="21"/>
                <w:highlight w:val="none"/>
                <w:lang w:val="en-US" w:eastAsia="zh-CN" w:bidi="ar"/>
              </w:rPr>
              <w:t>交易平台提交。</w:t>
            </w:r>
          </w:p>
          <w:p w14:paraId="53C820A1">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具体要求：按照交易平台关于全流程电子化项目的相关指南进行操作，详见：</w:t>
            </w:r>
            <w:r>
              <w:rPr>
                <w:rFonts w:hint="eastAsia" w:ascii="宋体" w:hAnsi="宋体" w:eastAsia="宋体" w:cs="宋体"/>
                <w:color w:val="auto"/>
                <w:kern w:val="2"/>
                <w:sz w:val="21"/>
                <w:szCs w:val="21"/>
                <w:highlight w:val="none"/>
                <w:u w:val="single"/>
                <w:lang w:val="en-US" w:eastAsia="zh-CN" w:bidi="ar"/>
              </w:rPr>
              <w:t>广州公共资源交易中心</w:t>
            </w:r>
            <w:r>
              <w:rPr>
                <w:rFonts w:hint="eastAsia" w:ascii="宋体" w:hAnsi="宋体" w:eastAsia="宋体" w:cs="宋体"/>
                <w:color w:val="auto"/>
                <w:kern w:val="2"/>
                <w:sz w:val="21"/>
                <w:szCs w:val="21"/>
                <w:highlight w:val="none"/>
                <w:lang w:val="en-US" w:eastAsia="zh-CN" w:bidi="ar"/>
              </w:rPr>
              <w:t>。提问一律不得署名。</w:t>
            </w:r>
          </w:p>
        </w:tc>
      </w:tr>
      <w:tr w14:paraId="7F9779EC">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30D5D5A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17</w:t>
            </w:r>
          </w:p>
        </w:tc>
        <w:tc>
          <w:tcPr>
            <w:tcW w:w="981" w:type="dxa"/>
            <w:tcBorders>
              <w:top w:val="single" w:color="auto" w:sz="4" w:space="0"/>
              <w:left w:val="nil"/>
              <w:bottom w:val="single" w:color="auto" w:sz="4" w:space="0"/>
              <w:right w:val="single" w:color="auto" w:sz="4" w:space="0"/>
            </w:tcBorders>
            <w:shd w:val="clear" w:color="auto" w:fill="auto"/>
            <w:vAlign w:val="center"/>
          </w:tcPr>
          <w:p w14:paraId="35AD2B20">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20.1</w:t>
            </w:r>
          </w:p>
        </w:tc>
        <w:tc>
          <w:tcPr>
            <w:tcW w:w="1810" w:type="dxa"/>
            <w:tcBorders>
              <w:top w:val="single" w:color="auto" w:sz="4" w:space="0"/>
              <w:left w:val="nil"/>
              <w:bottom w:val="single" w:color="auto" w:sz="4" w:space="0"/>
              <w:right w:val="single" w:color="auto" w:sz="4" w:space="0"/>
            </w:tcBorders>
            <w:shd w:val="clear" w:color="auto" w:fill="auto"/>
            <w:vAlign w:val="center"/>
          </w:tcPr>
          <w:p w14:paraId="3D2D277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投标截止时间</w:t>
            </w:r>
          </w:p>
        </w:tc>
        <w:tc>
          <w:tcPr>
            <w:tcW w:w="5857" w:type="dxa"/>
            <w:tcBorders>
              <w:top w:val="single" w:color="auto" w:sz="4" w:space="0"/>
              <w:left w:val="nil"/>
              <w:bottom w:val="single" w:color="auto" w:sz="4" w:space="0"/>
              <w:right w:val="double" w:color="auto" w:sz="2" w:space="0"/>
            </w:tcBorders>
            <w:shd w:val="clear" w:color="auto" w:fill="auto"/>
            <w:vAlign w:val="center"/>
          </w:tcPr>
          <w:p w14:paraId="1E739756">
            <w:pPr>
              <w:keepNext w:val="0"/>
              <w:keepLines w:val="0"/>
              <w:widowControl w:val="0"/>
              <w:suppressLineNumbers w:val="0"/>
              <w:spacing w:before="0" w:beforeAutospacing="0" w:after="0" w:afterAutospacing="0"/>
              <w:ind w:left="0" w:right="0"/>
              <w:jc w:val="both"/>
              <w:rPr>
                <w:rFonts w:hint="eastAsia" w:ascii="宋体" w:hAnsi="宋体" w:eastAsia="宋体" w:cs="Times New Roman"/>
                <w:strike/>
                <w:dstrike w:val="0"/>
                <w:color w:val="auto"/>
                <w:kern w:val="2"/>
                <w:sz w:val="21"/>
                <w:szCs w:val="21"/>
                <w:highlight w:val="none"/>
              </w:rPr>
            </w:pP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年</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月</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日</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时（北京时间）。</w:t>
            </w:r>
          </w:p>
        </w:tc>
      </w:tr>
      <w:tr w14:paraId="1A03A773">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16720148">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18</w:t>
            </w:r>
          </w:p>
        </w:tc>
        <w:tc>
          <w:tcPr>
            <w:tcW w:w="981" w:type="dxa"/>
            <w:tcBorders>
              <w:top w:val="single" w:color="auto" w:sz="4" w:space="0"/>
              <w:left w:val="nil"/>
              <w:bottom w:val="single" w:color="auto" w:sz="4" w:space="0"/>
              <w:right w:val="single" w:color="auto" w:sz="4" w:space="0"/>
            </w:tcBorders>
            <w:shd w:val="clear" w:color="auto" w:fill="auto"/>
            <w:vAlign w:val="center"/>
          </w:tcPr>
          <w:p w14:paraId="4C96E2D8">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20.1</w:t>
            </w:r>
          </w:p>
        </w:tc>
        <w:tc>
          <w:tcPr>
            <w:tcW w:w="1810" w:type="dxa"/>
            <w:tcBorders>
              <w:top w:val="single" w:color="auto" w:sz="4" w:space="0"/>
              <w:left w:val="nil"/>
              <w:bottom w:val="single" w:color="auto" w:sz="4" w:space="0"/>
              <w:right w:val="single" w:color="auto" w:sz="4" w:space="0"/>
            </w:tcBorders>
            <w:shd w:val="clear" w:color="auto" w:fill="auto"/>
            <w:vAlign w:val="center"/>
          </w:tcPr>
          <w:p w14:paraId="0DA9739F">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开标开始时间和地点</w:t>
            </w:r>
          </w:p>
        </w:tc>
        <w:tc>
          <w:tcPr>
            <w:tcW w:w="5857" w:type="dxa"/>
            <w:tcBorders>
              <w:top w:val="single" w:color="auto" w:sz="4" w:space="0"/>
              <w:left w:val="nil"/>
              <w:bottom w:val="single" w:color="auto" w:sz="4" w:space="0"/>
              <w:right w:val="double" w:color="auto" w:sz="2" w:space="0"/>
            </w:tcBorders>
            <w:shd w:val="clear" w:color="auto" w:fill="auto"/>
            <w:vAlign w:val="center"/>
          </w:tcPr>
          <w:p w14:paraId="41BE5AE3">
            <w:pPr>
              <w:keepNext w:val="0"/>
              <w:keepLines w:val="0"/>
              <w:widowControl/>
              <w:suppressLineNumbers w:val="0"/>
              <w:spacing w:before="0" w:beforeAutospacing="0" w:after="0" w:afterAutospacing="0"/>
              <w:ind w:left="0" w:right="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（技术标和经济标同时开标）</w:t>
            </w:r>
          </w:p>
          <w:p w14:paraId="49044C61">
            <w:pPr>
              <w:keepNext w:val="0"/>
              <w:keepLines w:val="0"/>
              <w:widowControl/>
              <w:suppressLineNumbers w:val="0"/>
              <w:spacing w:before="0" w:beforeAutospacing="0" w:after="0" w:afterAutospacing="0"/>
              <w:ind w:left="0" w:right="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1、开标开始时间：</w:t>
            </w:r>
            <w:r>
              <w:rPr>
                <w:rFonts w:hint="eastAsia" w:ascii="宋体" w:hAnsi="宋体" w:eastAsia="宋体" w:cs="宋体"/>
                <w:bCs/>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lang w:val="en-US" w:eastAsia="zh-CN" w:bidi="ar"/>
              </w:rPr>
              <w:t>年</w:t>
            </w:r>
            <w:r>
              <w:rPr>
                <w:rFonts w:hint="eastAsia" w:ascii="宋体" w:hAnsi="宋体" w:eastAsia="宋体" w:cs="宋体"/>
                <w:bCs/>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lang w:val="en-US" w:eastAsia="zh-CN" w:bidi="ar"/>
              </w:rPr>
              <w:t>月</w:t>
            </w:r>
            <w:r>
              <w:rPr>
                <w:rFonts w:hint="eastAsia" w:ascii="宋体" w:hAnsi="宋体" w:eastAsia="宋体" w:cs="宋体"/>
                <w:bCs/>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lang w:val="en-US" w:eastAsia="zh-CN" w:bidi="ar"/>
              </w:rPr>
              <w:t>日</w:t>
            </w:r>
            <w:r>
              <w:rPr>
                <w:rFonts w:hint="eastAsia" w:ascii="宋体" w:hAnsi="宋体" w:eastAsia="宋体" w:cs="宋体"/>
                <w:bCs/>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lang w:val="en-US" w:eastAsia="zh-CN" w:bidi="ar"/>
              </w:rPr>
              <w:t>时</w:t>
            </w:r>
            <w:r>
              <w:rPr>
                <w:rFonts w:hint="eastAsia" w:ascii="宋体" w:hAnsi="宋体" w:eastAsia="宋体" w:cs="宋体"/>
                <w:bCs/>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lang w:val="en-US" w:eastAsia="zh-CN" w:bidi="ar"/>
              </w:rPr>
              <w:t>分（与投标截止时间为同一时间），地点：</w:t>
            </w:r>
            <w:r>
              <w:rPr>
                <w:rFonts w:hint="eastAsia" w:ascii="宋体" w:hAnsi="宋体" w:eastAsia="宋体" w:cs="宋体"/>
                <w:bCs/>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lang w:val="en-US" w:eastAsia="zh-CN" w:bidi="ar"/>
              </w:rPr>
              <w:t>。</w:t>
            </w:r>
            <w:r>
              <w:rPr>
                <w:rFonts w:hint="eastAsia" w:ascii="宋体" w:hAnsi="宋体" w:eastAsia="宋体" w:cs="宋体"/>
                <w:b/>
                <w:color w:val="auto"/>
                <w:kern w:val="0"/>
                <w:sz w:val="21"/>
                <w:szCs w:val="21"/>
                <w:highlight w:val="none"/>
                <w:lang w:val="en-US" w:eastAsia="zh-CN" w:bidi="ar"/>
              </w:rPr>
              <w:t>投标人也可选择参加在线开标，具体按照交易平台相关指南进行操作。详见：</w:t>
            </w:r>
            <w:r>
              <w:rPr>
                <w:rFonts w:hint="eastAsia" w:ascii="宋体" w:hAnsi="宋体" w:eastAsia="宋体" w:cs="宋体"/>
                <w:color w:val="auto"/>
                <w:kern w:val="2"/>
                <w:sz w:val="21"/>
                <w:szCs w:val="21"/>
                <w:highlight w:val="none"/>
                <w:u w:val="single"/>
                <w:lang w:val="en-US" w:eastAsia="zh-CN" w:bidi="ar"/>
              </w:rPr>
              <w:t>广州公共资源交易中心网站最新指引</w:t>
            </w:r>
            <w:r>
              <w:rPr>
                <w:rFonts w:hint="eastAsia" w:ascii="宋体" w:hAnsi="宋体" w:eastAsia="宋体" w:cs="宋体"/>
                <w:b/>
                <w:color w:val="auto"/>
                <w:kern w:val="0"/>
                <w:sz w:val="21"/>
                <w:szCs w:val="21"/>
                <w:highlight w:val="none"/>
                <w:lang w:val="en-US" w:eastAsia="zh-CN" w:bidi="ar"/>
              </w:rPr>
              <w:t>。</w:t>
            </w:r>
          </w:p>
          <w:p w14:paraId="496E1735">
            <w:pPr>
              <w:keepNext w:val="0"/>
              <w:keepLines w:val="0"/>
              <w:widowControl/>
              <w:suppressLineNumbers w:val="0"/>
              <w:spacing w:before="0" w:beforeAutospacing="0" w:after="0" w:afterAutospacing="0"/>
              <w:ind w:left="0" w:right="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注：投标文件解密问题。投标人只用执行一次解密，招标人执行解密次数根据招标文件开标次数确定。</w:t>
            </w:r>
          </w:p>
          <w:p w14:paraId="00BBA521">
            <w:pPr>
              <w:keepNext w:val="0"/>
              <w:keepLines w:val="0"/>
              <w:widowControl/>
              <w:suppressLineNumbers w:val="0"/>
              <w:spacing w:before="0" w:beforeAutospacing="0" w:after="0" w:afterAutospacing="0"/>
              <w:ind w:left="0" w:right="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2、递交投标文件备用光盘时间：</w:t>
            </w:r>
            <w:r>
              <w:rPr>
                <w:rFonts w:hint="eastAsia" w:ascii="宋体" w:hAnsi="宋体" w:eastAsia="宋体" w:cs="宋体"/>
                <w:bCs/>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lang w:val="en-US" w:eastAsia="zh-CN" w:bidi="ar"/>
              </w:rPr>
              <w:t>年</w:t>
            </w:r>
            <w:r>
              <w:rPr>
                <w:rFonts w:hint="eastAsia" w:ascii="宋体" w:hAnsi="宋体" w:eastAsia="宋体" w:cs="宋体"/>
                <w:bCs/>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lang w:val="en-US" w:eastAsia="zh-CN" w:bidi="ar"/>
              </w:rPr>
              <w:t>月</w:t>
            </w:r>
            <w:r>
              <w:rPr>
                <w:rFonts w:hint="eastAsia" w:ascii="宋体" w:hAnsi="宋体" w:eastAsia="宋体" w:cs="宋体"/>
                <w:bCs/>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lang w:val="en-US" w:eastAsia="zh-CN" w:bidi="ar"/>
              </w:rPr>
              <w:t>日</w:t>
            </w:r>
            <w:r>
              <w:rPr>
                <w:rFonts w:hint="eastAsia" w:ascii="宋体" w:hAnsi="宋体" w:eastAsia="宋体" w:cs="宋体"/>
                <w:bCs/>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lang w:val="en-US" w:eastAsia="zh-CN" w:bidi="ar"/>
              </w:rPr>
              <w:t>时</w:t>
            </w:r>
            <w:r>
              <w:rPr>
                <w:rFonts w:hint="eastAsia" w:ascii="宋体" w:hAnsi="宋体" w:eastAsia="宋体" w:cs="宋体"/>
                <w:bCs/>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lang w:val="en-US" w:eastAsia="zh-CN" w:bidi="ar"/>
              </w:rPr>
              <w:t>分至</w:t>
            </w:r>
            <w:r>
              <w:rPr>
                <w:rFonts w:hint="eastAsia" w:ascii="宋体" w:hAnsi="宋体" w:eastAsia="宋体" w:cs="宋体"/>
                <w:bCs/>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lang w:val="en-US" w:eastAsia="zh-CN" w:bidi="ar"/>
              </w:rPr>
              <w:t>年</w:t>
            </w:r>
            <w:r>
              <w:rPr>
                <w:rFonts w:hint="eastAsia" w:ascii="宋体" w:hAnsi="宋体" w:eastAsia="宋体" w:cs="宋体"/>
                <w:bCs/>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lang w:val="en-US" w:eastAsia="zh-CN" w:bidi="ar"/>
              </w:rPr>
              <w:t>月</w:t>
            </w:r>
            <w:r>
              <w:rPr>
                <w:rFonts w:hint="eastAsia" w:ascii="宋体" w:hAnsi="宋体" w:eastAsia="宋体" w:cs="宋体"/>
                <w:bCs/>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lang w:val="en-US" w:eastAsia="zh-CN" w:bidi="ar"/>
              </w:rPr>
              <w:t>日   时</w:t>
            </w:r>
            <w:r>
              <w:rPr>
                <w:rFonts w:hint="eastAsia" w:ascii="宋体" w:hAnsi="宋体" w:eastAsia="宋体" w:cs="宋体"/>
                <w:bCs/>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lang w:val="en-US" w:eastAsia="zh-CN" w:bidi="ar"/>
              </w:rPr>
              <w:t>分；递交地点：</w:t>
            </w:r>
            <w:r>
              <w:rPr>
                <w:rFonts w:hint="eastAsia" w:ascii="宋体" w:hAnsi="宋体" w:eastAsia="宋体" w:cs="宋体"/>
                <w:bCs/>
                <w:color w:val="auto"/>
                <w:kern w:val="0"/>
                <w:sz w:val="21"/>
                <w:szCs w:val="21"/>
                <w:highlight w:val="none"/>
                <w:u w:val="single"/>
                <w:lang w:val="en-US" w:eastAsia="zh-CN" w:bidi="ar"/>
              </w:rPr>
              <w:t xml:space="preserve">      </w:t>
            </w:r>
            <w:r>
              <w:rPr>
                <w:rFonts w:hint="eastAsia" w:ascii="宋体" w:hAnsi="宋体" w:eastAsia="宋体" w:cs="宋体"/>
                <w:bCs/>
                <w:color w:val="auto"/>
                <w:kern w:val="0"/>
                <w:sz w:val="21"/>
                <w:szCs w:val="21"/>
                <w:highlight w:val="none"/>
                <w:lang w:val="en-US" w:eastAsia="zh-CN" w:bidi="ar"/>
              </w:rPr>
              <w:t>。</w:t>
            </w:r>
            <w:r>
              <w:rPr>
                <w:rFonts w:hint="eastAsia" w:ascii="宋体" w:hAnsi="宋体" w:eastAsia="宋体" w:cs="宋体"/>
                <w:b/>
                <w:color w:val="auto"/>
                <w:kern w:val="2"/>
                <w:sz w:val="21"/>
                <w:szCs w:val="21"/>
                <w:highlight w:val="none"/>
                <w:u w:val="single"/>
                <w:lang w:val="en-US" w:eastAsia="zh-CN" w:bidi="ar"/>
              </w:rPr>
              <w:t>注：投标人应凭法定代表人证明书及法定代表人授权委托书（授权代表递交时出具）递交投标文件备用光盘，并出示本人身份证原件。</w:t>
            </w:r>
            <w:r>
              <w:rPr>
                <w:rFonts w:hint="eastAsia" w:ascii="宋体" w:hAnsi="宋体" w:eastAsia="宋体" w:cs="宋体"/>
                <w:bCs/>
                <w:color w:val="auto"/>
                <w:kern w:val="0"/>
                <w:sz w:val="21"/>
                <w:szCs w:val="21"/>
                <w:highlight w:val="none"/>
                <w:lang w:val="en-US" w:eastAsia="zh-CN" w:bidi="ar"/>
              </w:rPr>
              <w:t>(建议安排在投标文件截止时间前15分钟至投标文件截止时间）</w:t>
            </w:r>
          </w:p>
          <w:p w14:paraId="126707A7">
            <w:pPr>
              <w:keepNext w:val="0"/>
              <w:keepLines w:val="0"/>
              <w:widowControl/>
              <w:suppressLineNumbers w:val="0"/>
              <w:spacing w:before="0" w:beforeAutospacing="0" w:after="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bCs/>
                <w:color w:val="auto"/>
                <w:kern w:val="0"/>
                <w:sz w:val="21"/>
                <w:szCs w:val="21"/>
                <w:highlight w:val="none"/>
                <w:lang w:val="en-US" w:eastAsia="zh-CN" w:bidi="ar"/>
              </w:rPr>
              <w:t>上述时间及地点是否有改变，请密切留意补充公告和招标答疑纪要的相关信息。</w:t>
            </w:r>
          </w:p>
        </w:tc>
      </w:tr>
      <w:tr w14:paraId="3C6DC6EB">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787"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1755F8C3">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19</w:t>
            </w:r>
          </w:p>
        </w:tc>
        <w:tc>
          <w:tcPr>
            <w:tcW w:w="981" w:type="dxa"/>
            <w:tcBorders>
              <w:top w:val="single" w:color="auto" w:sz="4" w:space="0"/>
              <w:left w:val="nil"/>
              <w:bottom w:val="single" w:color="auto" w:sz="4" w:space="0"/>
              <w:right w:val="single" w:color="auto" w:sz="4" w:space="0"/>
            </w:tcBorders>
            <w:shd w:val="clear" w:color="auto" w:fill="auto"/>
            <w:vAlign w:val="center"/>
          </w:tcPr>
          <w:p w14:paraId="1BDEA01F">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26</w:t>
            </w:r>
          </w:p>
        </w:tc>
        <w:tc>
          <w:tcPr>
            <w:tcW w:w="1810" w:type="dxa"/>
            <w:tcBorders>
              <w:top w:val="single" w:color="auto" w:sz="4" w:space="0"/>
              <w:left w:val="nil"/>
              <w:bottom w:val="single" w:color="auto" w:sz="4" w:space="0"/>
              <w:right w:val="single" w:color="auto" w:sz="4" w:space="0"/>
            </w:tcBorders>
            <w:shd w:val="clear" w:color="auto" w:fill="auto"/>
            <w:vAlign w:val="center"/>
          </w:tcPr>
          <w:p w14:paraId="198C9E5B">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开标评标办法</w:t>
            </w:r>
          </w:p>
        </w:tc>
        <w:tc>
          <w:tcPr>
            <w:tcW w:w="5857" w:type="dxa"/>
            <w:tcBorders>
              <w:top w:val="single" w:color="auto" w:sz="4" w:space="0"/>
              <w:left w:val="nil"/>
              <w:bottom w:val="single" w:color="auto" w:sz="4" w:space="0"/>
              <w:right w:val="double" w:color="auto" w:sz="2" w:space="0"/>
            </w:tcBorders>
            <w:shd w:val="clear" w:color="auto" w:fill="auto"/>
            <w:vAlign w:val="center"/>
          </w:tcPr>
          <w:p w14:paraId="7FEB431A">
            <w:pPr>
              <w:keepNext w:val="0"/>
              <w:keepLines w:val="0"/>
              <w:widowControl w:val="0"/>
              <w:suppressLineNumbers w:val="0"/>
              <w:spacing w:before="0" w:beforeAutospacing="0" w:after="120" w:afterAutospacing="0"/>
              <w:ind w:left="0" w:right="0" w:firstLine="420" w:firstLineChars="200"/>
              <w:jc w:val="both"/>
              <w:rPr>
                <w:rFonts w:hint="eastAsia" w:ascii="宋体" w:hAnsi="Calibri" w:eastAsia="宋体" w:cs="宋体"/>
                <w:color w:val="auto"/>
                <w:kern w:val="2"/>
                <w:sz w:val="21"/>
                <w:szCs w:val="21"/>
                <w:highlight w:val="none"/>
                <w:u w:val="single"/>
              </w:rPr>
            </w:pPr>
            <w:r>
              <w:rPr>
                <w:rFonts w:hint="eastAsia" w:ascii="宋体" w:hAnsi="宋体" w:eastAsia="宋体" w:cs="宋体"/>
                <w:color w:val="auto"/>
                <w:kern w:val="2"/>
                <w:sz w:val="21"/>
                <w:szCs w:val="21"/>
                <w:highlight w:val="none"/>
                <w:lang w:val="en-US" w:eastAsia="zh-CN" w:bidi="ar"/>
              </w:rPr>
              <w:t>方式一：选取办法</w:t>
            </w:r>
            <w:r>
              <w:rPr>
                <w:rFonts w:hint="eastAsia" w:ascii="宋体" w:hAnsi="宋体" w:eastAsia="宋体" w:cs="宋体"/>
                <w:color w:val="auto"/>
                <w:kern w:val="2"/>
                <w:sz w:val="21"/>
                <w:szCs w:val="21"/>
                <w:highlight w:val="none"/>
                <w:u w:val="single"/>
                <w:lang w:val="en-US" w:eastAsia="zh-CN" w:bidi="ar"/>
              </w:rPr>
              <w:t>七（适合综合评分法四，技术标与经济标同时开启）</w:t>
            </w:r>
          </w:p>
          <w:p w14:paraId="78DFCE6F">
            <w:pPr>
              <w:keepNext w:val="0"/>
              <w:keepLines w:val="0"/>
              <w:widowControl w:val="0"/>
              <w:suppressLineNumbers w:val="0"/>
              <w:spacing w:before="0" w:beforeAutospacing="0" w:after="120" w:afterAutospacing="0"/>
              <w:ind w:left="0" w:right="0" w:firstLine="422" w:firstLineChars="200"/>
              <w:jc w:val="both"/>
              <w:rPr>
                <w:rFonts w:hint="eastAsia" w:ascii="宋体" w:hAnsi="宋体" w:eastAsia="宋体" w:cs="宋体"/>
                <w:b/>
                <w:bCs w:val="0"/>
                <w:color w:val="auto"/>
                <w:kern w:val="2"/>
                <w:sz w:val="21"/>
                <w:szCs w:val="21"/>
                <w:highlight w:val="none"/>
                <w:u w:val="single"/>
              </w:rPr>
            </w:pPr>
            <w:r>
              <w:rPr>
                <w:rFonts w:hint="eastAsia" w:ascii="宋体" w:hAnsi="宋体" w:eastAsia="宋体" w:cs="宋体"/>
                <w:b/>
                <w:bCs w:val="0"/>
                <w:color w:val="auto"/>
                <w:kern w:val="2"/>
                <w:sz w:val="21"/>
                <w:szCs w:val="21"/>
                <w:highlight w:val="none"/>
                <w:u w:val="single"/>
                <w:lang w:val="en-US" w:eastAsia="zh-CN" w:bidi="ar"/>
              </w:rPr>
              <w:t>投标人总得分=技术得分（</w:t>
            </w:r>
            <w:r>
              <w:rPr>
                <w:rFonts w:hint="default" w:ascii="宋体" w:hAnsi="宋体" w:eastAsia="宋体" w:cs="宋体"/>
                <w:b/>
                <w:bCs w:val="0"/>
                <w:color w:val="auto"/>
                <w:kern w:val="2"/>
                <w:sz w:val="21"/>
                <w:szCs w:val="21"/>
                <w:highlight w:val="none"/>
                <w:u w:val="single"/>
                <w:lang w:eastAsia="zh-CN" w:bidi="ar"/>
              </w:rPr>
              <w:t>满分20分</w:t>
            </w:r>
            <w:r>
              <w:rPr>
                <w:rFonts w:hint="eastAsia" w:ascii="宋体" w:hAnsi="宋体" w:eastAsia="宋体" w:cs="宋体"/>
                <w:b/>
                <w:bCs w:val="0"/>
                <w:color w:val="auto"/>
                <w:kern w:val="2"/>
                <w:sz w:val="21"/>
                <w:szCs w:val="21"/>
                <w:highlight w:val="none"/>
                <w:u w:val="single"/>
                <w:lang w:val="en-US" w:eastAsia="zh-CN" w:bidi="ar"/>
              </w:rPr>
              <w:t>）＋经济得分×经济得分权重（80%）。</w:t>
            </w:r>
          </w:p>
          <w:p w14:paraId="141F24F0">
            <w:pPr>
              <w:keepNext w:val="0"/>
              <w:keepLines w:val="0"/>
              <w:widowControl w:val="0"/>
              <w:suppressLineNumbers w:val="0"/>
              <w:spacing w:before="0" w:beforeAutospacing="0" w:after="120" w:afterAutospacing="0"/>
              <w:ind w:left="0" w:right="0" w:firstLine="420" w:firstLineChars="20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u w:val="single"/>
                <w:lang w:val="en-US" w:eastAsia="zh-CN" w:bidi="ar"/>
              </w:rPr>
              <w:t>总得分相同的投标文件，以报价较低的排前；总得分与报价均相同的投标文件，以技术得分较高的排前；如仍存在相同情况，则由评标委员会采用记名投票方式，以得票多的优先。</w:t>
            </w:r>
          </w:p>
        </w:tc>
      </w:tr>
      <w:tr w14:paraId="475ABC9E">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169229D8">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20</w:t>
            </w:r>
          </w:p>
        </w:tc>
        <w:tc>
          <w:tcPr>
            <w:tcW w:w="981" w:type="dxa"/>
            <w:tcBorders>
              <w:top w:val="single" w:color="auto" w:sz="4" w:space="0"/>
              <w:left w:val="nil"/>
              <w:bottom w:val="single" w:color="auto" w:sz="4" w:space="0"/>
              <w:right w:val="single" w:color="auto" w:sz="4" w:space="0"/>
            </w:tcBorders>
            <w:shd w:val="clear" w:color="auto" w:fill="auto"/>
            <w:vAlign w:val="center"/>
          </w:tcPr>
          <w:p w14:paraId="0599D428">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29.1</w:t>
            </w:r>
          </w:p>
        </w:tc>
        <w:tc>
          <w:tcPr>
            <w:tcW w:w="1810" w:type="dxa"/>
            <w:tcBorders>
              <w:top w:val="single" w:color="auto" w:sz="4" w:space="0"/>
              <w:left w:val="nil"/>
              <w:bottom w:val="single" w:color="auto" w:sz="4" w:space="0"/>
              <w:right w:val="single" w:color="auto" w:sz="4" w:space="0"/>
            </w:tcBorders>
            <w:shd w:val="clear" w:color="auto" w:fill="auto"/>
            <w:vAlign w:val="center"/>
          </w:tcPr>
          <w:p w14:paraId="3542EEEE">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履约担保</w:t>
            </w:r>
          </w:p>
        </w:tc>
        <w:tc>
          <w:tcPr>
            <w:tcW w:w="5857" w:type="dxa"/>
            <w:tcBorders>
              <w:top w:val="single" w:color="auto" w:sz="4" w:space="0"/>
              <w:left w:val="nil"/>
              <w:bottom w:val="single" w:color="auto" w:sz="4" w:space="0"/>
              <w:right w:val="double" w:color="auto" w:sz="2" w:space="0"/>
            </w:tcBorders>
            <w:shd w:val="clear" w:color="auto" w:fill="auto"/>
            <w:vAlign w:val="center"/>
          </w:tcPr>
          <w:p w14:paraId="7F06EDBC">
            <w:pPr>
              <w:keepNext w:val="0"/>
              <w:keepLines w:val="0"/>
              <w:widowControl w:val="0"/>
              <w:suppressLineNumbers w:val="0"/>
              <w:spacing w:before="0" w:beforeAutospacing="0" w:after="0" w:afterAutospacing="0"/>
              <w:ind w:left="0" w:right="0" w:firstLine="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中标人根据自身情况，自主选择提供履约保证金的形式。具体要求详见合同条款。中标人提供的履约保证金为中标价款的10%。（注：如中标人为中小企业，履约保证金为中标价款的5%。具体要求详见合同）</w:t>
            </w:r>
          </w:p>
        </w:tc>
      </w:tr>
      <w:tr w14:paraId="74E97E0A">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660"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0F0B0B42">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21</w:t>
            </w:r>
          </w:p>
        </w:tc>
        <w:tc>
          <w:tcPr>
            <w:tcW w:w="981" w:type="dxa"/>
            <w:tcBorders>
              <w:top w:val="single" w:color="auto" w:sz="4" w:space="0"/>
              <w:left w:val="nil"/>
              <w:bottom w:val="single" w:color="auto" w:sz="4" w:space="0"/>
              <w:right w:val="single" w:color="auto" w:sz="4" w:space="0"/>
            </w:tcBorders>
            <w:shd w:val="clear" w:color="auto" w:fill="auto"/>
            <w:vAlign w:val="center"/>
          </w:tcPr>
          <w:p w14:paraId="709E0398">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810" w:type="dxa"/>
            <w:tcBorders>
              <w:top w:val="single" w:color="auto" w:sz="4" w:space="0"/>
              <w:left w:val="nil"/>
              <w:bottom w:val="single" w:color="auto" w:sz="4" w:space="0"/>
              <w:right w:val="single" w:color="auto" w:sz="4" w:space="0"/>
            </w:tcBorders>
            <w:shd w:val="clear" w:color="auto" w:fill="auto"/>
            <w:vAlign w:val="center"/>
          </w:tcPr>
          <w:p w14:paraId="534FB647">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最高投标限价</w:t>
            </w:r>
          </w:p>
        </w:tc>
        <w:tc>
          <w:tcPr>
            <w:tcW w:w="5857" w:type="dxa"/>
            <w:tcBorders>
              <w:top w:val="single" w:color="auto" w:sz="4" w:space="0"/>
              <w:left w:val="nil"/>
              <w:bottom w:val="single" w:color="auto" w:sz="4" w:space="0"/>
              <w:right w:val="double" w:color="auto" w:sz="2" w:space="0"/>
            </w:tcBorders>
            <w:shd w:val="clear" w:color="auto" w:fill="auto"/>
            <w:vAlign w:val="center"/>
          </w:tcPr>
          <w:p w14:paraId="5B4D895B">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本项目最高投标限价为人民币</w:t>
            </w:r>
            <w:r>
              <w:rPr>
                <w:rFonts w:hint="eastAsia" w:ascii="宋体" w:hAnsi="宋体" w:eastAsia="宋体" w:cs="宋体"/>
                <w:color w:val="auto"/>
                <w:kern w:val="2"/>
                <w:sz w:val="21"/>
                <w:szCs w:val="21"/>
                <w:highlight w:val="none"/>
                <w:u w:val="single"/>
                <w:lang w:val="en-US" w:eastAsia="zh-CN" w:bidi="ar"/>
              </w:rPr>
              <w:t>73550362.35元（广州天河体育中心整体景观提升（开幕式）建筑工程最高投标限价：52229444.15元，广州天河体育中心篮球城维修改造项目最高投标限价：5155589.22元，广州市羽毛球运动管理中心训练馆改造项目最高投标限价：15465725.33元，广州天河体育中心田径副场改造项目最高投标限价：699603.65元）。</w:t>
            </w:r>
          </w:p>
        </w:tc>
      </w:tr>
      <w:tr w14:paraId="7EE7A4EA">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72C1365A">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22</w:t>
            </w:r>
          </w:p>
        </w:tc>
        <w:tc>
          <w:tcPr>
            <w:tcW w:w="981" w:type="dxa"/>
            <w:tcBorders>
              <w:top w:val="single" w:color="auto" w:sz="4" w:space="0"/>
              <w:left w:val="nil"/>
              <w:bottom w:val="single" w:color="auto" w:sz="4" w:space="0"/>
              <w:right w:val="single" w:color="auto" w:sz="4" w:space="0"/>
            </w:tcBorders>
            <w:shd w:val="clear" w:color="auto" w:fill="auto"/>
            <w:vAlign w:val="center"/>
          </w:tcPr>
          <w:p w14:paraId="5306C72D">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810" w:type="dxa"/>
            <w:tcBorders>
              <w:top w:val="single" w:color="auto" w:sz="4" w:space="0"/>
              <w:left w:val="nil"/>
              <w:bottom w:val="single" w:color="auto" w:sz="4" w:space="0"/>
              <w:right w:val="single" w:color="auto" w:sz="4" w:space="0"/>
            </w:tcBorders>
            <w:shd w:val="clear" w:color="auto" w:fill="auto"/>
            <w:vAlign w:val="center"/>
          </w:tcPr>
          <w:p w14:paraId="75DF5227">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非竞争费用</w:t>
            </w:r>
          </w:p>
        </w:tc>
        <w:tc>
          <w:tcPr>
            <w:tcW w:w="5857" w:type="dxa"/>
            <w:tcBorders>
              <w:top w:val="single" w:color="auto" w:sz="4" w:space="0"/>
              <w:left w:val="nil"/>
              <w:bottom w:val="single" w:color="auto" w:sz="4" w:space="0"/>
              <w:right w:val="double" w:color="auto" w:sz="2" w:space="0"/>
            </w:tcBorders>
            <w:shd w:val="clear" w:color="auto" w:fill="auto"/>
            <w:vAlign w:val="center"/>
          </w:tcPr>
          <w:p w14:paraId="5D38F3C2">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本项目绿色施工安全防护措施费为</w:t>
            </w:r>
            <w:r>
              <w:rPr>
                <w:rFonts w:hint="eastAsia" w:ascii="宋体" w:hAnsi="宋体" w:eastAsia="宋体" w:cs="宋体"/>
                <w:color w:val="auto"/>
                <w:kern w:val="2"/>
                <w:sz w:val="21"/>
                <w:szCs w:val="21"/>
                <w:highlight w:val="none"/>
                <w:u w:val="single"/>
                <w:lang w:val="en-US" w:eastAsia="zh-CN" w:bidi="ar"/>
              </w:rPr>
              <w:t>1930590.12</w:t>
            </w:r>
            <w:r>
              <w:rPr>
                <w:rFonts w:hint="eastAsia" w:ascii="宋体" w:hAnsi="宋体" w:eastAsia="宋体" w:cs="宋体"/>
                <w:color w:val="auto"/>
                <w:kern w:val="2"/>
                <w:sz w:val="21"/>
                <w:szCs w:val="21"/>
                <w:highlight w:val="none"/>
                <w:u w:val="single"/>
                <w:lang w:val="en-US" w:eastAsia="zh-CN" w:bidi="ar"/>
              </w:rPr>
              <w:t>元（广州天河体育中心整体景观提升（开幕式）建筑工程：1290996.11元，广州天河体育中心篮球城维修改造项目：89729.75元，广州市羽毛球运动管理中心训练馆改造项目：540865.88元，广州天河体育中心田径副场改造项目：8998.38元）</w:t>
            </w:r>
            <w:r>
              <w:rPr>
                <w:rFonts w:hint="eastAsia" w:ascii="宋体" w:hAnsi="宋体" w:eastAsia="宋体" w:cs="宋体"/>
                <w:color w:val="auto"/>
                <w:kern w:val="2"/>
                <w:sz w:val="21"/>
                <w:szCs w:val="21"/>
                <w:highlight w:val="none"/>
                <w:lang w:val="en-US" w:eastAsia="zh-CN" w:bidi="ar"/>
              </w:rPr>
              <w:t>，暂列金额为</w:t>
            </w:r>
            <w:r>
              <w:rPr>
                <w:rFonts w:hint="eastAsia" w:ascii="宋体" w:hAnsi="宋体" w:eastAsia="宋体" w:cs="宋体"/>
                <w:color w:val="auto"/>
                <w:kern w:val="2"/>
                <w:sz w:val="21"/>
                <w:szCs w:val="21"/>
                <w:highlight w:val="none"/>
                <w:u w:val="single"/>
                <w:lang w:val="en-US" w:eastAsia="zh-CN" w:bidi="ar"/>
              </w:rPr>
              <w:t>7474350.60</w:t>
            </w:r>
            <w:r>
              <w:rPr>
                <w:rFonts w:hint="eastAsia" w:ascii="宋体" w:hAnsi="宋体" w:eastAsia="宋体" w:cs="宋体"/>
                <w:color w:val="auto"/>
                <w:kern w:val="2"/>
                <w:sz w:val="21"/>
                <w:szCs w:val="21"/>
                <w:highlight w:val="none"/>
                <w:u w:val="single"/>
                <w:lang w:val="en-US" w:eastAsia="zh-CN" w:bidi="ar"/>
              </w:rPr>
              <w:t>元（其中广州天河体育中心整体景观提升（开幕式）建筑工程：5301161.87元，广州天河体育中心篮球城维修改造项目：418437.62元，广州市羽毛球运动管理中心训练馆改造项目：1697835.49元，广州天河体育中心田径副场改造项目：56915.62元）</w:t>
            </w:r>
            <w:r>
              <w:rPr>
                <w:rFonts w:hint="eastAsia" w:ascii="宋体" w:hAnsi="宋体" w:eastAsia="宋体" w:cs="宋体"/>
                <w:color w:val="auto"/>
                <w:kern w:val="2"/>
                <w:sz w:val="21"/>
                <w:szCs w:val="21"/>
                <w:highlight w:val="none"/>
                <w:lang w:val="en-US" w:eastAsia="zh-CN" w:bidi="ar"/>
              </w:rPr>
              <w:t>，暂估价为</w:t>
            </w:r>
            <w:r>
              <w:rPr>
                <w:rFonts w:hint="eastAsia" w:ascii="宋体" w:hAnsi="宋体" w:eastAsia="宋体" w:cs="宋体"/>
                <w:color w:val="auto"/>
                <w:kern w:val="2"/>
                <w:sz w:val="21"/>
                <w:szCs w:val="21"/>
                <w:highlight w:val="none"/>
                <w:u w:val="single"/>
                <w:lang w:val="en-US" w:eastAsia="zh-CN" w:bidi="ar"/>
              </w:rPr>
              <w:t>/</w:t>
            </w:r>
            <w:r>
              <w:rPr>
                <w:rFonts w:hint="eastAsia" w:ascii="宋体" w:hAnsi="宋体" w:eastAsia="宋体" w:cs="宋体"/>
                <w:color w:val="auto"/>
                <w:kern w:val="2"/>
                <w:sz w:val="21"/>
                <w:szCs w:val="21"/>
                <w:highlight w:val="none"/>
                <w:lang w:val="en-US" w:eastAsia="zh-CN" w:bidi="ar"/>
              </w:rPr>
              <w:t>元。（未按招标文件规定的金额填写的，由评标委员会按照招标文件规定的金额进行修正）</w:t>
            </w:r>
          </w:p>
        </w:tc>
      </w:tr>
      <w:tr w14:paraId="6A861D15">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689"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27C5ACB7">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23</w:t>
            </w:r>
          </w:p>
        </w:tc>
        <w:tc>
          <w:tcPr>
            <w:tcW w:w="981" w:type="dxa"/>
            <w:tcBorders>
              <w:top w:val="single" w:color="auto" w:sz="4" w:space="0"/>
              <w:left w:val="nil"/>
              <w:bottom w:val="single" w:color="auto" w:sz="4" w:space="0"/>
              <w:right w:val="single" w:color="auto" w:sz="4" w:space="0"/>
            </w:tcBorders>
            <w:shd w:val="clear" w:color="auto" w:fill="auto"/>
            <w:vAlign w:val="center"/>
          </w:tcPr>
          <w:p w14:paraId="41D17058">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810" w:type="dxa"/>
            <w:tcBorders>
              <w:top w:val="single" w:color="auto" w:sz="4" w:space="0"/>
              <w:left w:val="nil"/>
              <w:bottom w:val="single" w:color="auto" w:sz="4" w:space="0"/>
              <w:right w:val="single" w:color="auto" w:sz="4" w:space="0"/>
            </w:tcBorders>
            <w:shd w:val="clear" w:color="auto" w:fill="auto"/>
            <w:vAlign w:val="center"/>
          </w:tcPr>
          <w:p w14:paraId="5111FBF1">
            <w:pPr>
              <w:pStyle w:val="14"/>
              <w:keepNext w:val="0"/>
              <w:keepLines w:val="0"/>
              <w:widowControl w:val="0"/>
              <w:suppressLineNumbers w:val="0"/>
              <w:spacing w:before="0" w:beforeAutospacing="0" w:after="120" w:afterAutospacing="0"/>
              <w:ind w:left="0" w:right="0" w:firstLine="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保修期</w:t>
            </w:r>
          </w:p>
        </w:tc>
        <w:tc>
          <w:tcPr>
            <w:tcW w:w="5857" w:type="dxa"/>
            <w:tcBorders>
              <w:top w:val="single" w:color="auto" w:sz="4" w:space="0"/>
              <w:left w:val="nil"/>
              <w:bottom w:val="single" w:color="auto" w:sz="4" w:space="0"/>
              <w:right w:val="double" w:color="auto" w:sz="2" w:space="0"/>
            </w:tcBorders>
            <w:shd w:val="clear" w:color="auto" w:fill="auto"/>
            <w:vAlign w:val="center"/>
          </w:tcPr>
          <w:p w14:paraId="521ED11D">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按照《建设工程质量管理条例》规定。</w:t>
            </w:r>
          </w:p>
        </w:tc>
      </w:tr>
      <w:tr w14:paraId="012A2CAE">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7C7A066A">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24</w:t>
            </w:r>
          </w:p>
        </w:tc>
        <w:tc>
          <w:tcPr>
            <w:tcW w:w="981" w:type="dxa"/>
            <w:tcBorders>
              <w:top w:val="single" w:color="auto" w:sz="4" w:space="0"/>
              <w:left w:val="nil"/>
              <w:bottom w:val="single" w:color="auto" w:sz="4" w:space="0"/>
              <w:right w:val="single" w:color="auto" w:sz="4" w:space="0"/>
            </w:tcBorders>
            <w:shd w:val="clear" w:color="auto" w:fill="auto"/>
            <w:vAlign w:val="center"/>
          </w:tcPr>
          <w:p w14:paraId="3ECABC28">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810" w:type="dxa"/>
            <w:tcBorders>
              <w:top w:val="single" w:color="auto" w:sz="4" w:space="0"/>
              <w:left w:val="nil"/>
              <w:bottom w:val="single" w:color="auto" w:sz="4" w:space="0"/>
              <w:right w:val="single" w:color="auto" w:sz="4" w:space="0"/>
            </w:tcBorders>
            <w:shd w:val="clear" w:color="auto" w:fill="auto"/>
            <w:vAlign w:val="center"/>
          </w:tcPr>
          <w:p w14:paraId="591DEBF6">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计算评标参考价的等分点值</w:t>
            </w:r>
          </w:p>
        </w:tc>
        <w:tc>
          <w:tcPr>
            <w:tcW w:w="5857" w:type="dxa"/>
            <w:tcBorders>
              <w:top w:val="single" w:color="auto" w:sz="4" w:space="0"/>
              <w:left w:val="nil"/>
              <w:bottom w:val="single" w:color="auto" w:sz="4" w:space="0"/>
              <w:right w:val="double" w:color="auto" w:sz="2" w:space="0"/>
            </w:tcBorders>
            <w:shd w:val="clear" w:color="auto" w:fill="auto"/>
            <w:vAlign w:val="center"/>
          </w:tcPr>
          <w:p w14:paraId="5FC8EB9B">
            <w:pPr>
              <w:keepNext w:val="0"/>
              <w:keepLines w:val="0"/>
              <w:widowControl w:val="0"/>
              <w:suppressLineNumbers w:val="0"/>
              <w:spacing w:before="0" w:beforeAutospacing="0" w:after="0" w:afterAutospacing="0"/>
              <w:ind w:left="71" w:leftChars="34" w:right="0"/>
              <w:jc w:val="both"/>
              <w:rPr>
                <w:rFonts w:hint="eastAsia" w:ascii="宋体" w:hAnsi="宋体" w:eastAsia="宋体" w:cs="Times New Roman"/>
                <w:strike/>
                <w:dstrike w:val="0"/>
                <w:color w:val="auto"/>
                <w:kern w:val="2"/>
                <w:sz w:val="21"/>
                <w:szCs w:val="21"/>
                <w:highlight w:val="none"/>
              </w:rPr>
            </w:pPr>
            <w:r>
              <w:rPr>
                <w:rFonts w:hint="eastAsia" w:ascii="宋体" w:hAnsi="宋体" w:eastAsia="宋体" w:cs="宋体"/>
                <w:color w:val="auto"/>
                <w:kern w:val="2"/>
                <w:sz w:val="21"/>
                <w:szCs w:val="21"/>
                <w:highlight w:val="none"/>
                <w:u w:val="single"/>
                <w:lang w:val="en-US" w:eastAsia="zh-CN" w:bidi="ar"/>
              </w:rPr>
              <w:t>本款不适用。</w:t>
            </w:r>
          </w:p>
        </w:tc>
      </w:tr>
      <w:tr w14:paraId="7290CCBA">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06C33E76">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25</w:t>
            </w:r>
          </w:p>
        </w:tc>
        <w:tc>
          <w:tcPr>
            <w:tcW w:w="981" w:type="dxa"/>
            <w:tcBorders>
              <w:top w:val="single" w:color="auto" w:sz="4" w:space="0"/>
              <w:left w:val="nil"/>
              <w:bottom w:val="single" w:color="auto" w:sz="4" w:space="0"/>
              <w:right w:val="single" w:color="auto" w:sz="4" w:space="0"/>
            </w:tcBorders>
            <w:shd w:val="clear" w:color="auto" w:fill="auto"/>
            <w:vAlign w:val="center"/>
          </w:tcPr>
          <w:p w14:paraId="1E83E89F">
            <w:pPr>
              <w:keepNext w:val="0"/>
              <w:keepLines w:val="0"/>
              <w:widowControl w:val="0"/>
              <w:suppressLineNumbers w:val="0"/>
              <w:spacing w:before="0" w:beforeAutospacing="0" w:after="0" w:afterAutospacing="0"/>
              <w:ind w:left="0" w:right="0" w:firstLine="458"/>
              <w:jc w:val="both"/>
              <w:rPr>
                <w:rFonts w:hint="eastAsia" w:ascii="宋体" w:hAnsi="宋体" w:eastAsia="宋体" w:cs="Times New Roman"/>
                <w:color w:val="auto"/>
                <w:kern w:val="2"/>
                <w:sz w:val="21"/>
                <w:szCs w:val="21"/>
                <w:highlight w:val="none"/>
              </w:rPr>
            </w:pPr>
          </w:p>
        </w:tc>
        <w:tc>
          <w:tcPr>
            <w:tcW w:w="1810" w:type="dxa"/>
            <w:tcBorders>
              <w:top w:val="single" w:color="auto" w:sz="4" w:space="0"/>
              <w:left w:val="nil"/>
              <w:bottom w:val="single" w:color="auto" w:sz="4" w:space="0"/>
              <w:right w:val="single" w:color="auto" w:sz="4" w:space="0"/>
            </w:tcBorders>
            <w:shd w:val="clear" w:color="auto" w:fill="auto"/>
            <w:vAlign w:val="center"/>
          </w:tcPr>
          <w:p w14:paraId="2AD3337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进入第二阶段评审的家数</w:t>
            </w:r>
          </w:p>
        </w:tc>
        <w:tc>
          <w:tcPr>
            <w:tcW w:w="5857" w:type="dxa"/>
            <w:tcBorders>
              <w:top w:val="single" w:color="auto" w:sz="4" w:space="0"/>
              <w:left w:val="nil"/>
              <w:bottom w:val="single" w:color="auto" w:sz="4" w:space="0"/>
              <w:right w:val="double" w:color="auto" w:sz="2" w:space="0"/>
            </w:tcBorders>
            <w:shd w:val="clear" w:color="auto" w:fill="auto"/>
            <w:vAlign w:val="center"/>
          </w:tcPr>
          <w:p w14:paraId="0CE9157E">
            <w:pPr>
              <w:keepNext w:val="0"/>
              <w:keepLines w:val="0"/>
              <w:widowControl w:val="0"/>
              <w:suppressLineNumbers w:val="0"/>
              <w:spacing w:before="0" w:beforeAutospacing="0" w:after="0" w:afterAutospacing="0"/>
              <w:ind w:left="71" w:leftChars="34"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u w:val="single"/>
                <w:lang w:val="en-US" w:eastAsia="zh-CN" w:bidi="ar"/>
              </w:rPr>
              <w:t>本款不适用。</w:t>
            </w:r>
          </w:p>
        </w:tc>
      </w:tr>
      <w:tr w14:paraId="63384389">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2A9E2D22">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26</w:t>
            </w:r>
          </w:p>
        </w:tc>
        <w:tc>
          <w:tcPr>
            <w:tcW w:w="981" w:type="dxa"/>
            <w:tcBorders>
              <w:top w:val="single" w:color="auto" w:sz="4" w:space="0"/>
              <w:left w:val="nil"/>
              <w:bottom w:val="single" w:color="auto" w:sz="4" w:space="0"/>
              <w:right w:val="single" w:color="auto" w:sz="4" w:space="0"/>
            </w:tcBorders>
            <w:shd w:val="clear" w:color="auto" w:fill="auto"/>
            <w:vAlign w:val="center"/>
          </w:tcPr>
          <w:p w14:paraId="77E2990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810" w:type="dxa"/>
            <w:tcBorders>
              <w:top w:val="single" w:color="auto" w:sz="4" w:space="0"/>
              <w:left w:val="nil"/>
              <w:bottom w:val="single" w:color="auto" w:sz="4" w:space="0"/>
              <w:right w:val="single" w:color="auto" w:sz="4" w:space="0"/>
            </w:tcBorders>
            <w:shd w:val="clear" w:color="auto" w:fill="auto"/>
            <w:vAlign w:val="center"/>
          </w:tcPr>
          <w:p w14:paraId="633A13E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工程成本警戒价</w:t>
            </w:r>
          </w:p>
        </w:tc>
        <w:tc>
          <w:tcPr>
            <w:tcW w:w="5857" w:type="dxa"/>
            <w:tcBorders>
              <w:top w:val="single" w:color="auto" w:sz="4" w:space="0"/>
              <w:left w:val="nil"/>
              <w:bottom w:val="single" w:color="auto" w:sz="4" w:space="0"/>
              <w:right w:val="double" w:color="auto" w:sz="2" w:space="0"/>
            </w:tcBorders>
            <w:shd w:val="clear" w:color="auto" w:fill="auto"/>
            <w:vAlign w:val="center"/>
          </w:tcPr>
          <w:p w14:paraId="538953B2">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工程成本警戒价为</w:t>
            </w:r>
            <w:r>
              <w:rPr>
                <w:rFonts w:hint="eastAsia" w:ascii="宋体" w:hAnsi="宋体" w:eastAsia="宋体" w:cs="宋体"/>
                <w:color w:val="auto"/>
                <w:kern w:val="2"/>
                <w:sz w:val="21"/>
                <w:szCs w:val="21"/>
                <w:highlight w:val="none"/>
                <w:u w:val="single"/>
                <w:lang w:val="en-US" w:eastAsia="zh-CN" w:bidi="ar"/>
              </w:rPr>
              <w:t>66195326.12元</w:t>
            </w:r>
            <w:r>
              <w:rPr>
                <w:rFonts w:hint="eastAsia" w:ascii="宋体" w:hAnsi="宋体" w:eastAsia="宋体" w:cs="宋体"/>
                <w:color w:val="auto"/>
                <w:kern w:val="2"/>
                <w:sz w:val="21"/>
                <w:szCs w:val="21"/>
                <w:highlight w:val="none"/>
                <w:u w:val="single"/>
                <w:lang w:val="en-US" w:eastAsia="zh-CN" w:bidi="ar"/>
              </w:rPr>
              <w:t>（其中广州天河体育中心整体景观提升（开幕式）建筑工程：47006499.73元，广州天河体育中心篮球城维修改造项目：4640030.3元，广州市羽毛球运动管理中心训练馆改造项目：13919152.8元，广州天河体育中心田径副场改造项目：629643.29元）</w:t>
            </w:r>
            <w:r>
              <w:rPr>
                <w:rFonts w:hint="eastAsia" w:ascii="宋体" w:hAnsi="宋体" w:eastAsia="宋体" w:cs="宋体"/>
                <w:color w:val="auto"/>
                <w:kern w:val="2"/>
                <w:sz w:val="21"/>
                <w:szCs w:val="21"/>
                <w:highlight w:val="none"/>
                <w:lang w:val="en-US" w:eastAsia="zh-CN" w:bidi="ar"/>
              </w:rPr>
              <w:t>（按最高投标限价的90%计取）。对低于该警戒价的投标报价，投标人必须提供详细的施工组织设计、单价、措施性费用、单价分析表、主要材料价格表、投标人成本分析供评标委员会评审，由评标委员会判定其是否低于企业自身成本。在评标过程中，评标委员会发现投标人的报价明显低于其他投标报价或者低于成本警戒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p w14:paraId="3A995305">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u w:val="single"/>
              </w:rPr>
            </w:pPr>
            <w:r>
              <w:rPr>
                <w:rFonts w:hint="eastAsia" w:ascii="宋体" w:hAnsi="宋体" w:eastAsia="宋体" w:cs="宋体"/>
                <w:color w:val="auto"/>
                <w:kern w:val="2"/>
                <w:sz w:val="21"/>
                <w:szCs w:val="21"/>
                <w:highlight w:val="none"/>
                <w:lang w:val="en-US" w:eastAsia="zh-CN" w:bidi="ar"/>
              </w:rPr>
              <w:t>注：为充分体现招标人意愿及落实项目招标人负责制，警戒价由招标人决定。</w:t>
            </w:r>
          </w:p>
        </w:tc>
      </w:tr>
      <w:tr w14:paraId="2D58BD8F">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4C22AB15">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27</w:t>
            </w:r>
          </w:p>
        </w:tc>
        <w:tc>
          <w:tcPr>
            <w:tcW w:w="981" w:type="dxa"/>
            <w:tcBorders>
              <w:top w:val="single" w:color="auto" w:sz="4" w:space="0"/>
              <w:left w:val="nil"/>
              <w:bottom w:val="single" w:color="auto" w:sz="4" w:space="0"/>
              <w:right w:val="single" w:color="auto" w:sz="4" w:space="0"/>
            </w:tcBorders>
            <w:shd w:val="clear" w:color="auto" w:fill="auto"/>
            <w:vAlign w:val="center"/>
          </w:tcPr>
          <w:p w14:paraId="6EE784CC">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810" w:type="dxa"/>
            <w:tcBorders>
              <w:top w:val="single" w:color="auto" w:sz="4" w:space="0"/>
              <w:left w:val="nil"/>
              <w:bottom w:val="single" w:color="auto" w:sz="4" w:space="0"/>
              <w:right w:val="single" w:color="auto" w:sz="4" w:space="0"/>
            </w:tcBorders>
            <w:shd w:val="clear" w:color="auto" w:fill="auto"/>
            <w:vAlign w:val="center"/>
          </w:tcPr>
          <w:p w14:paraId="0E3DB848">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第一阶段各分值的权重</w:t>
            </w:r>
          </w:p>
        </w:tc>
        <w:tc>
          <w:tcPr>
            <w:tcW w:w="5857" w:type="dxa"/>
            <w:tcBorders>
              <w:top w:val="single" w:color="auto" w:sz="4" w:space="0"/>
              <w:left w:val="nil"/>
              <w:bottom w:val="single" w:color="auto" w:sz="4" w:space="0"/>
              <w:right w:val="double" w:color="auto" w:sz="2" w:space="0"/>
            </w:tcBorders>
            <w:shd w:val="clear" w:color="auto" w:fill="auto"/>
            <w:vAlign w:val="center"/>
          </w:tcPr>
          <w:p w14:paraId="30D120FC">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u w:val="single"/>
                <w:lang w:val="en-US" w:eastAsia="zh-CN" w:bidi="ar"/>
              </w:rPr>
              <w:t>本款不适用。</w:t>
            </w:r>
          </w:p>
        </w:tc>
      </w:tr>
      <w:tr w14:paraId="46417310">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707"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1D4DC8BE">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28</w:t>
            </w:r>
          </w:p>
        </w:tc>
        <w:tc>
          <w:tcPr>
            <w:tcW w:w="981" w:type="dxa"/>
            <w:tcBorders>
              <w:top w:val="single" w:color="auto" w:sz="4" w:space="0"/>
              <w:left w:val="nil"/>
              <w:bottom w:val="single" w:color="auto" w:sz="4" w:space="0"/>
              <w:right w:val="single" w:color="auto" w:sz="4" w:space="0"/>
            </w:tcBorders>
            <w:shd w:val="clear" w:color="auto" w:fill="auto"/>
            <w:vAlign w:val="center"/>
          </w:tcPr>
          <w:p w14:paraId="4FC10F75">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810" w:type="dxa"/>
            <w:tcBorders>
              <w:top w:val="single" w:color="auto" w:sz="4" w:space="0"/>
              <w:left w:val="nil"/>
              <w:bottom w:val="single" w:color="auto" w:sz="4" w:space="0"/>
              <w:right w:val="single" w:color="auto" w:sz="4" w:space="0"/>
            </w:tcBorders>
            <w:shd w:val="clear" w:color="auto" w:fill="auto"/>
            <w:vAlign w:val="center"/>
          </w:tcPr>
          <w:p w14:paraId="15131F21">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评标委员会人数</w:t>
            </w:r>
          </w:p>
        </w:tc>
        <w:tc>
          <w:tcPr>
            <w:tcW w:w="5857" w:type="dxa"/>
            <w:tcBorders>
              <w:top w:val="single" w:color="auto" w:sz="4" w:space="0"/>
              <w:left w:val="nil"/>
              <w:bottom w:val="single" w:color="auto" w:sz="4" w:space="0"/>
              <w:right w:val="double" w:color="auto" w:sz="2" w:space="0"/>
            </w:tcBorders>
            <w:shd w:val="clear" w:color="auto" w:fill="auto"/>
            <w:vAlign w:val="center"/>
          </w:tcPr>
          <w:p w14:paraId="0A3B88C1">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评标委员会由招标人依法组建。</w:t>
            </w:r>
          </w:p>
        </w:tc>
      </w:tr>
      <w:tr w14:paraId="7F4A1652">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463D02EE">
            <w:pPr>
              <w:keepNext w:val="0"/>
              <w:keepLines w:val="0"/>
              <w:widowControl w:val="0"/>
              <w:suppressLineNumbers w:val="0"/>
              <w:spacing w:before="0" w:beforeAutospacing="0" w:after="0" w:afterAutospacing="0"/>
              <w:ind w:left="0" w:right="0"/>
              <w:jc w:val="both"/>
              <w:rPr>
                <w:rFonts w:hint="eastAsia" w:ascii="宋体" w:hAnsi="宋体" w:eastAsia="宋体" w:cs="Times New Roman"/>
                <w:strike/>
                <w:dstrike w:val="0"/>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29</w:t>
            </w:r>
          </w:p>
        </w:tc>
        <w:tc>
          <w:tcPr>
            <w:tcW w:w="981" w:type="dxa"/>
            <w:tcBorders>
              <w:top w:val="single" w:color="auto" w:sz="4" w:space="0"/>
              <w:left w:val="nil"/>
              <w:bottom w:val="single" w:color="auto" w:sz="4" w:space="0"/>
              <w:right w:val="single" w:color="auto" w:sz="4" w:space="0"/>
            </w:tcBorders>
            <w:shd w:val="clear" w:color="auto" w:fill="auto"/>
            <w:vAlign w:val="center"/>
          </w:tcPr>
          <w:p w14:paraId="1E7EC47A">
            <w:pPr>
              <w:keepNext w:val="0"/>
              <w:keepLines w:val="0"/>
              <w:widowControl w:val="0"/>
              <w:suppressLineNumbers w:val="0"/>
              <w:spacing w:before="0" w:beforeAutospacing="0" w:after="0" w:afterAutospacing="0"/>
              <w:ind w:left="0" w:right="0"/>
              <w:jc w:val="both"/>
              <w:rPr>
                <w:rFonts w:hint="eastAsia" w:ascii="宋体" w:hAnsi="宋体" w:eastAsia="宋体" w:cs="Times New Roman"/>
                <w:strike/>
                <w:dstrike w:val="0"/>
                <w:color w:val="auto"/>
                <w:kern w:val="2"/>
                <w:sz w:val="21"/>
                <w:szCs w:val="21"/>
                <w:highlight w:val="none"/>
              </w:rPr>
            </w:pPr>
          </w:p>
        </w:tc>
        <w:tc>
          <w:tcPr>
            <w:tcW w:w="1810" w:type="dxa"/>
            <w:tcBorders>
              <w:top w:val="single" w:color="auto" w:sz="4" w:space="0"/>
              <w:left w:val="nil"/>
              <w:bottom w:val="single" w:color="auto" w:sz="4" w:space="0"/>
              <w:right w:val="single" w:color="auto" w:sz="4" w:space="0"/>
            </w:tcBorders>
            <w:shd w:val="clear" w:color="auto" w:fill="auto"/>
            <w:vAlign w:val="center"/>
          </w:tcPr>
          <w:p w14:paraId="446DC8D1">
            <w:pPr>
              <w:keepNext w:val="0"/>
              <w:keepLines w:val="0"/>
              <w:widowControl w:val="0"/>
              <w:suppressLineNumbers w:val="0"/>
              <w:spacing w:before="0" w:beforeAutospacing="0" w:after="0" w:afterAutospacing="0"/>
              <w:ind w:left="0" w:right="0"/>
              <w:jc w:val="both"/>
              <w:rPr>
                <w:rFonts w:hint="eastAsia" w:ascii="宋体" w:hAnsi="宋体" w:eastAsia="宋体" w:cs="Times New Roman"/>
                <w:strike/>
                <w:dstrike w:val="0"/>
                <w:color w:val="auto"/>
                <w:kern w:val="2"/>
                <w:sz w:val="21"/>
                <w:szCs w:val="21"/>
                <w:highlight w:val="none"/>
              </w:rPr>
            </w:pPr>
            <w:r>
              <w:rPr>
                <w:rFonts w:hint="eastAsia" w:ascii="宋体" w:hAnsi="宋体" w:eastAsia="宋体" w:cs="宋体"/>
                <w:strike/>
                <w:dstrike w:val="0"/>
                <w:color w:val="auto"/>
                <w:kern w:val="2"/>
                <w:sz w:val="21"/>
                <w:szCs w:val="21"/>
                <w:highlight w:val="none"/>
                <w:lang w:val="en-US" w:eastAsia="zh-CN" w:bidi="ar"/>
              </w:rPr>
              <w:t>企业综合诚信评价分数</w:t>
            </w:r>
          </w:p>
        </w:tc>
        <w:tc>
          <w:tcPr>
            <w:tcW w:w="5857" w:type="dxa"/>
            <w:tcBorders>
              <w:top w:val="single" w:color="auto" w:sz="4" w:space="0"/>
              <w:left w:val="nil"/>
              <w:bottom w:val="single" w:color="auto" w:sz="4" w:space="0"/>
              <w:right w:val="double" w:color="auto" w:sz="2" w:space="0"/>
            </w:tcBorders>
            <w:shd w:val="clear" w:color="auto" w:fill="auto"/>
            <w:vAlign w:val="center"/>
          </w:tcPr>
          <w:p w14:paraId="2417C2AD">
            <w:pPr>
              <w:keepNext w:val="0"/>
              <w:keepLines w:val="0"/>
              <w:widowControl w:val="0"/>
              <w:suppressLineNumbers w:val="0"/>
              <w:spacing w:before="0" w:beforeAutospacing="0" w:after="0" w:afterAutospacing="0"/>
              <w:ind w:left="0" w:right="0"/>
              <w:jc w:val="both"/>
              <w:rPr>
                <w:rFonts w:hint="eastAsia" w:ascii="宋体" w:hAnsi="宋体" w:eastAsia="宋体" w:cs="Times New Roman"/>
                <w:strike/>
                <w:dstrike w:val="0"/>
                <w:color w:val="auto"/>
                <w:kern w:val="2"/>
                <w:sz w:val="21"/>
                <w:szCs w:val="21"/>
                <w:highlight w:val="none"/>
              </w:rPr>
            </w:pPr>
            <w:r>
              <w:rPr>
                <w:rFonts w:hint="eastAsia" w:ascii="宋体" w:hAnsi="宋体" w:eastAsia="宋体" w:cs="宋体"/>
                <w:strike/>
                <w:dstrike w:val="0"/>
                <w:color w:val="auto"/>
                <w:kern w:val="2"/>
                <w:sz w:val="21"/>
                <w:szCs w:val="21"/>
                <w:highlight w:val="none"/>
                <w:lang w:val="en-US" w:eastAsia="zh-CN" w:bidi="ar"/>
              </w:rPr>
              <w:t>本项目的企业综合诚信评价分数，以</w:t>
            </w:r>
            <w:r>
              <w:rPr>
                <w:rFonts w:hint="eastAsia" w:ascii="宋体" w:hAnsi="宋体" w:eastAsia="宋体" w:cs="宋体"/>
                <w:strike/>
                <w:dstrike w:val="0"/>
                <w:color w:val="auto"/>
                <w:kern w:val="2"/>
                <w:sz w:val="21"/>
                <w:szCs w:val="21"/>
                <w:highlight w:val="none"/>
                <w:u w:val="single"/>
                <w:lang w:val="en-US" w:eastAsia="zh-CN" w:bidi="ar"/>
              </w:rPr>
              <w:t>施工企业房建诚信评价</w:t>
            </w:r>
            <w:r>
              <w:rPr>
                <w:rFonts w:hint="eastAsia" w:ascii="宋体" w:hAnsi="宋体" w:eastAsia="宋体" w:cs="宋体"/>
                <w:strike/>
                <w:dstrike w:val="0"/>
                <w:color w:val="auto"/>
                <w:kern w:val="2"/>
                <w:sz w:val="21"/>
                <w:szCs w:val="21"/>
                <w:highlight w:val="none"/>
                <w:lang w:val="en-US" w:eastAsia="zh-CN" w:bidi="ar"/>
              </w:rPr>
              <w:t>排名为准。</w:t>
            </w:r>
          </w:p>
          <w:p w14:paraId="240111C7">
            <w:pPr>
              <w:keepNext w:val="0"/>
              <w:keepLines w:val="0"/>
              <w:widowControl w:val="0"/>
              <w:suppressLineNumbers w:val="0"/>
              <w:spacing w:before="0" w:beforeAutospacing="0" w:after="0" w:afterAutospacing="0"/>
              <w:ind w:left="0" w:leftChars="0" w:right="0"/>
              <w:jc w:val="both"/>
              <w:rPr>
                <w:rFonts w:hint="default" w:ascii="Calibri" w:hAnsi="宋体" w:eastAsia="宋体" w:cs="Times New Roman"/>
                <w:strike/>
                <w:dstrike w:val="0"/>
                <w:color w:val="auto"/>
                <w:kern w:val="2"/>
                <w:sz w:val="21"/>
                <w:szCs w:val="21"/>
                <w:highlight w:val="none"/>
              </w:rPr>
            </w:pPr>
            <w:r>
              <w:rPr>
                <w:rFonts w:hint="eastAsia" w:ascii="宋体" w:hAnsi="宋体" w:eastAsia="宋体" w:cs="宋体"/>
                <w:strike/>
                <w:dstrike w:val="0"/>
                <w:color w:val="auto"/>
                <w:kern w:val="2"/>
                <w:sz w:val="21"/>
                <w:szCs w:val="21"/>
                <w:highlight w:val="none"/>
                <w:u w:val="single"/>
                <w:lang w:val="en-US" w:eastAsia="zh-CN" w:bidi="ar"/>
              </w:rPr>
              <w:t>注：企业的诚信综合评价分数以开标当天广州市工程招标行业协会网站上公布的为准。</w:t>
            </w:r>
          </w:p>
        </w:tc>
      </w:tr>
      <w:tr w14:paraId="6430622E">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5BBFEF23">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30</w:t>
            </w:r>
          </w:p>
        </w:tc>
        <w:tc>
          <w:tcPr>
            <w:tcW w:w="981" w:type="dxa"/>
            <w:tcBorders>
              <w:top w:val="single" w:color="auto" w:sz="4" w:space="0"/>
              <w:left w:val="nil"/>
              <w:bottom w:val="single" w:color="auto" w:sz="4" w:space="0"/>
              <w:right w:val="single" w:color="auto" w:sz="4" w:space="0"/>
            </w:tcBorders>
            <w:shd w:val="clear" w:color="auto" w:fill="auto"/>
            <w:vAlign w:val="center"/>
          </w:tcPr>
          <w:p w14:paraId="6EE88AB1">
            <w:pPr>
              <w:keepNext w:val="0"/>
              <w:keepLines w:val="0"/>
              <w:widowControl w:val="0"/>
              <w:suppressLineNumbers w:val="0"/>
              <w:spacing w:before="0" w:beforeAutospacing="0" w:after="0" w:afterAutospacing="0"/>
              <w:ind w:left="0" w:right="0" w:firstLine="458"/>
              <w:jc w:val="both"/>
              <w:rPr>
                <w:rFonts w:hint="eastAsia" w:ascii="宋体" w:hAnsi="宋体" w:eastAsia="宋体" w:cs="Times New Roman"/>
                <w:color w:val="auto"/>
                <w:kern w:val="2"/>
                <w:sz w:val="21"/>
                <w:szCs w:val="21"/>
                <w:highlight w:val="none"/>
              </w:rPr>
            </w:pPr>
          </w:p>
        </w:tc>
        <w:tc>
          <w:tcPr>
            <w:tcW w:w="1810" w:type="dxa"/>
            <w:tcBorders>
              <w:top w:val="single" w:color="auto" w:sz="4" w:space="0"/>
              <w:left w:val="nil"/>
              <w:bottom w:val="single" w:color="auto" w:sz="4" w:space="0"/>
              <w:right w:val="single" w:color="auto" w:sz="4" w:space="0"/>
            </w:tcBorders>
            <w:shd w:val="clear" w:color="auto" w:fill="auto"/>
            <w:vAlign w:val="center"/>
          </w:tcPr>
          <w:p w14:paraId="234642B2">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第二阶段投标人名次的排序方法（适用于办法一、办法二）</w:t>
            </w:r>
          </w:p>
        </w:tc>
        <w:tc>
          <w:tcPr>
            <w:tcW w:w="5857" w:type="dxa"/>
            <w:tcBorders>
              <w:top w:val="single" w:color="auto" w:sz="4" w:space="0"/>
              <w:left w:val="nil"/>
              <w:bottom w:val="single" w:color="auto" w:sz="4" w:space="0"/>
              <w:right w:val="double" w:color="auto" w:sz="2" w:space="0"/>
            </w:tcBorders>
            <w:shd w:val="clear" w:color="auto" w:fill="auto"/>
            <w:vAlign w:val="center"/>
          </w:tcPr>
          <w:p w14:paraId="7D902E75">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u w:val="single"/>
                <w:lang w:val="en-US" w:eastAsia="zh-CN" w:bidi="ar"/>
              </w:rPr>
              <w:t>本款不适用。</w:t>
            </w:r>
          </w:p>
        </w:tc>
      </w:tr>
      <w:tr w14:paraId="73086227">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4B2C22E8">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31</w:t>
            </w:r>
          </w:p>
        </w:tc>
        <w:tc>
          <w:tcPr>
            <w:tcW w:w="981" w:type="dxa"/>
            <w:tcBorders>
              <w:top w:val="single" w:color="auto" w:sz="4" w:space="0"/>
              <w:left w:val="nil"/>
              <w:bottom w:val="single" w:color="auto" w:sz="4" w:space="0"/>
              <w:right w:val="single" w:color="auto" w:sz="4" w:space="0"/>
            </w:tcBorders>
            <w:shd w:val="clear" w:color="auto" w:fill="auto"/>
            <w:vAlign w:val="center"/>
          </w:tcPr>
          <w:p w14:paraId="42B618A5">
            <w:pPr>
              <w:keepNext w:val="0"/>
              <w:keepLines w:val="0"/>
              <w:widowControl w:val="0"/>
              <w:suppressLineNumbers w:val="0"/>
              <w:spacing w:before="0" w:beforeAutospacing="0" w:after="0" w:afterAutospacing="0"/>
              <w:ind w:left="0" w:right="0" w:firstLine="458"/>
              <w:jc w:val="both"/>
              <w:rPr>
                <w:rFonts w:hint="eastAsia" w:ascii="宋体" w:hAnsi="宋体" w:eastAsia="宋体" w:cs="Times New Roman"/>
                <w:color w:val="auto"/>
                <w:kern w:val="2"/>
                <w:sz w:val="21"/>
                <w:szCs w:val="21"/>
                <w:highlight w:val="none"/>
              </w:rPr>
            </w:pPr>
          </w:p>
        </w:tc>
        <w:tc>
          <w:tcPr>
            <w:tcW w:w="1810" w:type="dxa"/>
            <w:tcBorders>
              <w:top w:val="single" w:color="auto" w:sz="4" w:space="0"/>
              <w:left w:val="nil"/>
              <w:bottom w:val="single" w:color="auto" w:sz="4" w:space="0"/>
              <w:right w:val="single" w:color="auto" w:sz="4" w:space="0"/>
            </w:tcBorders>
            <w:shd w:val="clear" w:color="auto" w:fill="auto"/>
            <w:vAlign w:val="center"/>
          </w:tcPr>
          <w:p w14:paraId="4C24DA0C">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经济分相同情况下的排序方法（适用于办法三、办法四）</w:t>
            </w:r>
          </w:p>
        </w:tc>
        <w:tc>
          <w:tcPr>
            <w:tcW w:w="5857" w:type="dxa"/>
            <w:tcBorders>
              <w:top w:val="single" w:color="auto" w:sz="4" w:space="0"/>
              <w:left w:val="nil"/>
              <w:bottom w:val="single" w:color="auto" w:sz="4" w:space="0"/>
              <w:right w:val="double" w:color="auto" w:sz="2" w:space="0"/>
            </w:tcBorders>
            <w:shd w:val="clear" w:color="auto" w:fill="auto"/>
            <w:vAlign w:val="center"/>
          </w:tcPr>
          <w:p w14:paraId="7D63F740">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u w:val="single"/>
                <w:lang w:val="en-US" w:eastAsia="zh-CN" w:bidi="ar"/>
              </w:rPr>
              <w:t>本款不适用。</w:t>
            </w:r>
          </w:p>
        </w:tc>
      </w:tr>
      <w:tr w14:paraId="325A76B5">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73FA817A">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32</w:t>
            </w:r>
          </w:p>
        </w:tc>
        <w:tc>
          <w:tcPr>
            <w:tcW w:w="981" w:type="dxa"/>
            <w:tcBorders>
              <w:top w:val="single" w:color="auto" w:sz="4" w:space="0"/>
              <w:left w:val="nil"/>
              <w:bottom w:val="single" w:color="auto" w:sz="4" w:space="0"/>
              <w:right w:val="single" w:color="auto" w:sz="4" w:space="0"/>
            </w:tcBorders>
            <w:shd w:val="clear" w:color="auto" w:fill="auto"/>
            <w:vAlign w:val="center"/>
          </w:tcPr>
          <w:p w14:paraId="20B368A6">
            <w:pPr>
              <w:keepNext w:val="0"/>
              <w:keepLines w:val="0"/>
              <w:widowControl w:val="0"/>
              <w:suppressLineNumbers w:val="0"/>
              <w:spacing w:before="0" w:beforeAutospacing="0" w:after="0" w:afterAutospacing="0"/>
              <w:ind w:left="0" w:right="0" w:firstLine="458"/>
              <w:jc w:val="both"/>
              <w:rPr>
                <w:rFonts w:hint="eastAsia" w:ascii="宋体" w:hAnsi="宋体" w:eastAsia="宋体" w:cs="Times New Roman"/>
                <w:color w:val="auto"/>
                <w:kern w:val="2"/>
                <w:sz w:val="21"/>
                <w:szCs w:val="21"/>
                <w:highlight w:val="none"/>
              </w:rPr>
            </w:pPr>
          </w:p>
        </w:tc>
        <w:tc>
          <w:tcPr>
            <w:tcW w:w="1810" w:type="dxa"/>
            <w:tcBorders>
              <w:top w:val="single" w:color="auto" w:sz="4" w:space="0"/>
              <w:left w:val="nil"/>
              <w:bottom w:val="single" w:color="auto" w:sz="4" w:space="0"/>
              <w:right w:val="single" w:color="auto" w:sz="4" w:space="0"/>
            </w:tcBorders>
            <w:shd w:val="clear" w:color="auto" w:fill="auto"/>
            <w:vAlign w:val="center"/>
          </w:tcPr>
          <w:p w14:paraId="515FCB40">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第二阶段投标人名次的排序方法（适用于办法五、办法六）</w:t>
            </w:r>
          </w:p>
        </w:tc>
        <w:tc>
          <w:tcPr>
            <w:tcW w:w="5857" w:type="dxa"/>
            <w:tcBorders>
              <w:top w:val="single" w:color="auto" w:sz="4" w:space="0"/>
              <w:left w:val="nil"/>
              <w:bottom w:val="single" w:color="auto" w:sz="4" w:space="0"/>
              <w:right w:val="double" w:color="auto" w:sz="2" w:space="0"/>
            </w:tcBorders>
            <w:shd w:val="clear" w:color="auto" w:fill="auto"/>
            <w:vAlign w:val="center"/>
          </w:tcPr>
          <w:p w14:paraId="69EA850B">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u w:val="single"/>
                <w:lang w:val="en-US" w:eastAsia="zh-CN" w:bidi="ar"/>
              </w:rPr>
              <w:t>本款不适用。</w:t>
            </w:r>
          </w:p>
        </w:tc>
      </w:tr>
      <w:tr w14:paraId="588CF011">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439CE029">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33</w:t>
            </w:r>
          </w:p>
        </w:tc>
        <w:tc>
          <w:tcPr>
            <w:tcW w:w="981" w:type="dxa"/>
            <w:tcBorders>
              <w:top w:val="single" w:color="auto" w:sz="4" w:space="0"/>
              <w:left w:val="nil"/>
              <w:bottom w:val="single" w:color="auto" w:sz="4" w:space="0"/>
              <w:right w:val="single" w:color="auto" w:sz="4" w:space="0"/>
            </w:tcBorders>
            <w:shd w:val="clear" w:color="auto" w:fill="auto"/>
            <w:vAlign w:val="center"/>
          </w:tcPr>
          <w:p w14:paraId="5B02FBB0">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13.4、13.5.2</w:t>
            </w:r>
          </w:p>
        </w:tc>
        <w:tc>
          <w:tcPr>
            <w:tcW w:w="1810" w:type="dxa"/>
            <w:tcBorders>
              <w:top w:val="single" w:color="auto" w:sz="4" w:space="0"/>
              <w:left w:val="nil"/>
              <w:bottom w:val="single" w:color="auto" w:sz="4" w:space="0"/>
              <w:right w:val="single" w:color="auto" w:sz="4" w:space="0"/>
            </w:tcBorders>
            <w:shd w:val="clear" w:color="auto" w:fill="auto"/>
            <w:vAlign w:val="center"/>
          </w:tcPr>
          <w:p w14:paraId="0B6EB8D7">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合同价款的调整办法</w:t>
            </w:r>
          </w:p>
        </w:tc>
        <w:tc>
          <w:tcPr>
            <w:tcW w:w="5857" w:type="dxa"/>
            <w:tcBorders>
              <w:top w:val="single" w:color="auto" w:sz="4" w:space="0"/>
              <w:left w:val="nil"/>
              <w:bottom w:val="single" w:color="auto" w:sz="4" w:space="0"/>
              <w:right w:val="double" w:color="auto" w:sz="2" w:space="0"/>
            </w:tcBorders>
            <w:shd w:val="clear" w:color="auto" w:fill="auto"/>
            <w:vAlign w:val="center"/>
          </w:tcPr>
          <w:p w14:paraId="76B03A59">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u w:val="single"/>
              </w:rPr>
            </w:pPr>
            <w:r>
              <w:rPr>
                <w:rFonts w:hint="eastAsia" w:ascii="宋体" w:hAnsi="宋体" w:eastAsia="宋体" w:cs="宋体"/>
                <w:color w:val="auto"/>
                <w:kern w:val="2"/>
                <w:sz w:val="21"/>
                <w:szCs w:val="21"/>
                <w:highlight w:val="none"/>
                <w:u w:val="single"/>
                <w:lang w:val="en-US" w:eastAsia="zh-CN" w:bidi="ar"/>
              </w:rPr>
              <w:t>按合同条款相关约定调整。</w:t>
            </w:r>
          </w:p>
        </w:tc>
      </w:tr>
      <w:tr w14:paraId="6AEE4515">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27370296">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34</w:t>
            </w:r>
          </w:p>
        </w:tc>
        <w:tc>
          <w:tcPr>
            <w:tcW w:w="981" w:type="dxa"/>
            <w:tcBorders>
              <w:top w:val="single" w:color="auto" w:sz="4" w:space="0"/>
              <w:left w:val="nil"/>
              <w:bottom w:val="single" w:color="auto" w:sz="4" w:space="0"/>
              <w:right w:val="single" w:color="auto" w:sz="4" w:space="0"/>
            </w:tcBorders>
            <w:shd w:val="clear" w:color="auto" w:fill="auto"/>
            <w:vAlign w:val="center"/>
          </w:tcPr>
          <w:p w14:paraId="0EF37113">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810" w:type="dxa"/>
            <w:tcBorders>
              <w:top w:val="single" w:color="auto" w:sz="4" w:space="0"/>
              <w:left w:val="nil"/>
              <w:bottom w:val="single" w:color="auto" w:sz="4" w:space="0"/>
              <w:right w:val="single" w:color="auto" w:sz="4" w:space="0"/>
            </w:tcBorders>
            <w:shd w:val="clear" w:color="auto" w:fill="auto"/>
            <w:vAlign w:val="center"/>
          </w:tcPr>
          <w:p w14:paraId="7E2FA627">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建设工程质量检测单位</w:t>
            </w:r>
          </w:p>
        </w:tc>
        <w:tc>
          <w:tcPr>
            <w:tcW w:w="5857" w:type="dxa"/>
            <w:tcBorders>
              <w:top w:val="single" w:color="auto" w:sz="4" w:space="0"/>
              <w:left w:val="nil"/>
              <w:bottom w:val="single" w:color="auto" w:sz="4" w:space="0"/>
              <w:right w:val="double" w:color="auto" w:sz="2" w:space="0"/>
            </w:tcBorders>
            <w:shd w:val="clear" w:color="auto" w:fill="auto"/>
            <w:vAlign w:val="center"/>
          </w:tcPr>
          <w:p w14:paraId="32782458">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建设单位和中标人均不得委托近二年（从招标公告发布年度起逆推</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年的</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月</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日起至投标截止时间止）因伪造检测数据、出具虚假检测报告被各级建设行政主管部门或市场监督管理部门行政处罚或通报的检测单位负责本项目的检测工作。</w:t>
            </w:r>
          </w:p>
        </w:tc>
      </w:tr>
      <w:tr w14:paraId="5D84F32B">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2684" w:hRule="atLeast"/>
        </w:trPr>
        <w:tc>
          <w:tcPr>
            <w:tcW w:w="702" w:type="dxa"/>
            <w:tcBorders>
              <w:top w:val="single" w:color="auto" w:sz="4" w:space="0"/>
              <w:left w:val="double" w:color="auto" w:sz="2" w:space="0"/>
              <w:bottom w:val="single" w:color="auto" w:sz="4" w:space="0"/>
              <w:right w:val="single" w:color="auto" w:sz="4" w:space="0"/>
            </w:tcBorders>
            <w:shd w:val="clear" w:color="auto" w:fill="auto"/>
            <w:vAlign w:val="center"/>
          </w:tcPr>
          <w:p w14:paraId="01F81C7C">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35</w:t>
            </w:r>
          </w:p>
        </w:tc>
        <w:tc>
          <w:tcPr>
            <w:tcW w:w="981" w:type="dxa"/>
            <w:tcBorders>
              <w:top w:val="single" w:color="auto" w:sz="4" w:space="0"/>
              <w:left w:val="nil"/>
              <w:bottom w:val="single" w:color="auto" w:sz="4" w:space="0"/>
              <w:right w:val="single" w:color="auto" w:sz="4" w:space="0"/>
            </w:tcBorders>
            <w:shd w:val="clear" w:color="auto" w:fill="auto"/>
            <w:vAlign w:val="center"/>
          </w:tcPr>
          <w:p w14:paraId="3224ED7A">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810" w:type="dxa"/>
            <w:tcBorders>
              <w:top w:val="single" w:color="auto" w:sz="4" w:space="0"/>
              <w:left w:val="nil"/>
              <w:bottom w:val="single" w:color="auto" w:sz="4" w:space="0"/>
              <w:right w:val="single" w:color="auto" w:sz="4" w:space="0"/>
            </w:tcBorders>
            <w:shd w:val="clear" w:color="auto" w:fill="auto"/>
            <w:vAlign w:val="center"/>
          </w:tcPr>
          <w:p w14:paraId="377D53A5">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分包</w:t>
            </w:r>
          </w:p>
        </w:tc>
        <w:tc>
          <w:tcPr>
            <w:tcW w:w="5857" w:type="dxa"/>
            <w:tcBorders>
              <w:top w:val="single" w:color="auto" w:sz="4" w:space="0"/>
              <w:left w:val="nil"/>
              <w:bottom w:val="single" w:color="auto" w:sz="4" w:space="0"/>
              <w:right w:val="double" w:color="auto" w:sz="2" w:space="0"/>
            </w:tcBorders>
            <w:shd w:val="clear" w:color="auto" w:fill="auto"/>
            <w:vAlign w:val="center"/>
          </w:tcPr>
          <w:p w14:paraId="2475AAD9">
            <w:pPr>
              <w:keepNext w:val="0"/>
              <w:keepLines w:val="0"/>
              <w:widowControl w:val="0"/>
              <w:suppressLineNumbers w:val="0"/>
              <w:spacing w:before="0" w:beforeAutospacing="0" w:after="0" w:afterAutospacing="0"/>
              <w:ind w:left="0" w:right="0" w:firstLine="420" w:firstLineChars="20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□不允许；</w:t>
            </w:r>
          </w:p>
          <w:p w14:paraId="23AC4E51">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■允许：</w:t>
            </w:r>
          </w:p>
          <w:p w14:paraId="4AC6E628">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分包内容要求：</w:t>
            </w:r>
            <w:r>
              <w:rPr>
                <w:rFonts w:hint="eastAsia" w:ascii="宋体" w:hAnsi="宋体" w:eastAsia="宋体" w:cs="宋体"/>
                <w:color w:val="auto"/>
                <w:kern w:val="0"/>
                <w:sz w:val="21"/>
                <w:szCs w:val="21"/>
                <w:highlight w:val="none"/>
                <w:u w:val="single"/>
                <w:lang w:val="en-US" w:eastAsia="zh-CN" w:bidi="ar"/>
              </w:rPr>
              <w:t>非主体、非关键性工程。</w:t>
            </w:r>
          </w:p>
          <w:p w14:paraId="3CB4047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分包金额要求：为促进中小企业发展，本工程约定如下：</w:t>
            </w:r>
          </w:p>
          <w:p w14:paraId="21ADE54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  1.</w:t>
            </w:r>
            <w:r>
              <w:rPr>
                <w:rFonts w:hint="eastAsia" w:ascii="宋体" w:hAnsi="宋体" w:eastAsia="宋体" w:cs="宋体"/>
                <w:color w:val="auto"/>
                <w:kern w:val="0"/>
                <w:sz w:val="21"/>
                <w:szCs w:val="21"/>
                <w:highlight w:val="none"/>
                <w:lang w:val="en-US" w:eastAsia="zh-CN" w:bidi="ar"/>
              </w:rPr>
              <w:t>承包人不属于中小企业的，必须将本项目合同分包给一家或者多家中小企业，或采购中小企业作为供应商提供的材料设备及将劳务分包给中小企业。前述各方式中，中小企业累计承担的合同份额占项目总投资额的比例达到</w:t>
            </w:r>
            <w:r>
              <w:rPr>
                <w:rFonts w:hint="default" w:ascii="Times New Roman" w:hAnsi="Times New Roman" w:eastAsia="宋体" w:cs="Times New Roman"/>
                <w:color w:val="auto"/>
                <w:kern w:val="0"/>
                <w:sz w:val="21"/>
                <w:szCs w:val="21"/>
                <w:highlight w:val="none"/>
                <w:lang w:val="en-US" w:eastAsia="zh-CN" w:bidi="ar"/>
              </w:rPr>
              <w:t>40%</w:t>
            </w:r>
            <w:r>
              <w:rPr>
                <w:rFonts w:hint="eastAsia" w:ascii="宋体" w:hAnsi="宋体" w:eastAsia="宋体" w:cs="宋体"/>
                <w:color w:val="auto"/>
                <w:kern w:val="0"/>
                <w:sz w:val="21"/>
                <w:szCs w:val="21"/>
                <w:highlight w:val="none"/>
                <w:lang w:val="en-US" w:eastAsia="zh-CN" w:bidi="ar"/>
              </w:rPr>
              <w:t>以上（其中预留给小微企业的部分不低于项目总投资额的</w:t>
            </w:r>
            <w:r>
              <w:rPr>
                <w:rFonts w:hint="default" w:ascii="Times New Roman" w:hAnsi="Times New Roman" w:eastAsia="宋体" w:cs="Times New Roman"/>
                <w:color w:val="auto"/>
                <w:kern w:val="0"/>
                <w:sz w:val="21"/>
                <w:szCs w:val="21"/>
                <w:highlight w:val="none"/>
                <w:lang w:val="en-US" w:eastAsia="zh-CN" w:bidi="ar"/>
              </w:rPr>
              <w:t>28%</w:t>
            </w:r>
            <w:r>
              <w:rPr>
                <w:rFonts w:hint="eastAsia" w:ascii="宋体" w:hAnsi="宋体" w:eastAsia="宋体" w:cs="宋体"/>
                <w:color w:val="auto"/>
                <w:kern w:val="0"/>
                <w:sz w:val="21"/>
                <w:szCs w:val="21"/>
                <w:highlight w:val="none"/>
                <w:lang w:val="en-US" w:eastAsia="zh-CN" w:bidi="ar"/>
              </w:rPr>
              <w:t>。最终比例以发包人审核确认为准），拟分包的中小企业与承包人之间不得存在直接控股、管理关系。</w:t>
            </w:r>
            <w:r>
              <w:rPr>
                <w:rFonts w:hint="default" w:ascii="Times New Roman" w:hAnsi="Times New Roman" w:eastAsia="宋体" w:cs="Times New Roman"/>
                <w:color w:val="auto"/>
                <w:kern w:val="0"/>
                <w:sz w:val="21"/>
                <w:szCs w:val="21"/>
                <w:highlight w:val="none"/>
                <w:lang w:val="en-US" w:eastAsia="zh-CN" w:bidi="ar"/>
              </w:rPr>
              <w:t xml:space="preserve"> </w:t>
            </w:r>
          </w:p>
          <w:p w14:paraId="5C0478E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  2.</w:t>
            </w:r>
            <w:r>
              <w:rPr>
                <w:rFonts w:hint="eastAsia" w:ascii="宋体" w:hAnsi="宋体" w:eastAsia="宋体" w:cs="宋体"/>
                <w:color w:val="auto"/>
                <w:kern w:val="0"/>
                <w:sz w:val="21"/>
                <w:szCs w:val="21"/>
                <w:highlight w:val="none"/>
                <w:lang w:val="en-US" w:eastAsia="zh-CN" w:bidi="ar"/>
              </w:rPr>
              <w:t>承包人属于中型企业的，必须将本项目合同分包给一家或者多家小微企业，或采购</w:t>
            </w:r>
            <w:r>
              <w:rPr>
                <w:rFonts w:hint="default" w:ascii="宋体" w:hAnsi="宋体" w:eastAsia="宋体" w:cs="宋体"/>
                <w:color w:val="auto"/>
                <w:kern w:val="0"/>
                <w:sz w:val="21"/>
                <w:szCs w:val="21"/>
                <w:highlight w:val="none"/>
                <w:lang w:eastAsia="zh-CN" w:bidi="ar"/>
              </w:rPr>
              <w:t>小微</w:t>
            </w:r>
            <w:r>
              <w:rPr>
                <w:rFonts w:hint="eastAsia" w:ascii="宋体" w:hAnsi="宋体" w:eastAsia="宋体" w:cs="宋体"/>
                <w:color w:val="auto"/>
                <w:kern w:val="0"/>
                <w:sz w:val="21"/>
                <w:szCs w:val="21"/>
                <w:highlight w:val="none"/>
                <w:lang w:val="en-US" w:eastAsia="zh-CN" w:bidi="ar"/>
              </w:rPr>
              <w:t>企业作为供应商提供的材料设备及将劳务分包给</w:t>
            </w:r>
            <w:r>
              <w:rPr>
                <w:rFonts w:hint="default" w:ascii="宋体" w:hAnsi="宋体" w:eastAsia="宋体" w:cs="宋体"/>
                <w:color w:val="auto"/>
                <w:kern w:val="0"/>
                <w:sz w:val="21"/>
                <w:szCs w:val="21"/>
                <w:highlight w:val="none"/>
                <w:lang w:eastAsia="zh-CN" w:bidi="ar"/>
              </w:rPr>
              <w:t>小微</w:t>
            </w:r>
            <w:r>
              <w:rPr>
                <w:rFonts w:hint="eastAsia" w:ascii="宋体" w:hAnsi="宋体" w:eastAsia="宋体" w:cs="宋体"/>
                <w:color w:val="auto"/>
                <w:kern w:val="0"/>
                <w:sz w:val="21"/>
                <w:szCs w:val="21"/>
                <w:highlight w:val="none"/>
                <w:lang w:val="en-US" w:eastAsia="zh-CN" w:bidi="ar"/>
              </w:rPr>
              <w:t>企业</w:t>
            </w:r>
            <w:r>
              <w:rPr>
                <w:rFonts w:hint="default"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val="en-US" w:eastAsia="zh-CN" w:bidi="ar"/>
              </w:rPr>
              <w:t>小微企业承担的合同份额不低于项目总投资额的</w:t>
            </w:r>
            <w:r>
              <w:rPr>
                <w:rFonts w:hint="default" w:ascii="Times New Roman" w:hAnsi="Times New Roman" w:eastAsia="宋体" w:cs="Times New Roman"/>
                <w:color w:val="auto"/>
                <w:kern w:val="0"/>
                <w:sz w:val="21"/>
                <w:szCs w:val="21"/>
                <w:highlight w:val="none"/>
                <w:lang w:val="en-US" w:eastAsia="zh-CN" w:bidi="ar"/>
              </w:rPr>
              <w:t>28%</w:t>
            </w:r>
            <w:r>
              <w:rPr>
                <w:rFonts w:hint="eastAsia" w:ascii="宋体" w:hAnsi="宋体" w:eastAsia="宋体" w:cs="宋体"/>
                <w:color w:val="auto"/>
                <w:kern w:val="0"/>
                <w:sz w:val="21"/>
                <w:szCs w:val="21"/>
                <w:highlight w:val="none"/>
                <w:lang w:val="en-US" w:eastAsia="zh-CN" w:bidi="ar"/>
              </w:rPr>
              <w:t>（最终比例以发包人审核确认为准），拟分包的中小企业与承包人之间不得存在直接控股、管理关系。</w:t>
            </w:r>
          </w:p>
          <w:p w14:paraId="61E4F427">
            <w:pPr>
              <w:keepNext w:val="0"/>
              <w:keepLines w:val="0"/>
              <w:widowControl/>
              <w:suppressLineNumbers w:val="0"/>
              <w:spacing w:before="0" w:beforeAutospacing="0" w:after="0" w:afterAutospacing="0"/>
              <w:ind w:left="0" w:right="0" w:firstLine="0" w:firstLineChars="0"/>
              <w:jc w:val="left"/>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 xml:space="preserve">  3.</w:t>
            </w:r>
            <w:r>
              <w:rPr>
                <w:rFonts w:hint="eastAsia" w:ascii="宋体" w:hAnsi="宋体" w:eastAsia="宋体" w:cs="宋体"/>
                <w:color w:val="auto"/>
                <w:kern w:val="2"/>
                <w:sz w:val="21"/>
                <w:szCs w:val="21"/>
                <w:highlight w:val="none"/>
                <w:lang w:val="en-US" w:eastAsia="zh-CN" w:bidi="ar"/>
              </w:rPr>
              <w:t>承包人属于小微企业的，是否采取分包不作强制要求。</w:t>
            </w:r>
          </w:p>
          <w:p w14:paraId="3EC0014D">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对分包人的资质要求：</w:t>
            </w:r>
            <w:r>
              <w:rPr>
                <w:rFonts w:hint="eastAsia" w:ascii="宋体" w:hAnsi="宋体" w:eastAsia="宋体" w:cs="宋体"/>
                <w:color w:val="auto"/>
                <w:kern w:val="0"/>
                <w:sz w:val="21"/>
                <w:szCs w:val="21"/>
                <w:highlight w:val="none"/>
                <w:u w:val="single"/>
                <w:lang w:val="en-US" w:eastAsia="zh-CN" w:bidi="ar"/>
              </w:rPr>
              <w:t>对于非主体、非关键性工程，需经发包人审核批准后依法分包给具有相应资质和能力的专业单位实施。</w:t>
            </w:r>
          </w:p>
          <w:p w14:paraId="3964EE5F">
            <w:pPr>
              <w:keepNext w:val="0"/>
              <w:keepLines w:val="0"/>
              <w:widowControl w:val="0"/>
              <w:suppressLineNumbers w:val="0"/>
              <w:spacing w:before="0" w:beforeAutospacing="0" w:after="0" w:afterAutospacing="0"/>
              <w:ind w:left="0" w:leftChars="0" w:right="0" w:rightChars="0" w:firstLine="420" w:firstLineChars="20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对分包人的其他要求：（详见合同约定）</w:t>
            </w:r>
          </w:p>
        </w:tc>
      </w:tr>
      <w:tr w14:paraId="51BEEA35">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3" w:hRule="atLeast"/>
        </w:trPr>
        <w:tc>
          <w:tcPr>
            <w:tcW w:w="702" w:type="dxa"/>
            <w:tcBorders>
              <w:top w:val="single" w:color="auto" w:sz="4" w:space="0"/>
              <w:left w:val="double" w:color="auto" w:sz="2" w:space="0"/>
              <w:bottom w:val="double" w:color="auto" w:sz="2" w:space="0"/>
              <w:right w:val="single" w:color="auto" w:sz="4" w:space="0"/>
            </w:tcBorders>
            <w:shd w:val="clear" w:color="auto" w:fill="auto"/>
            <w:vAlign w:val="center"/>
          </w:tcPr>
          <w:p w14:paraId="6E6CE21C">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36</w:t>
            </w:r>
          </w:p>
        </w:tc>
        <w:tc>
          <w:tcPr>
            <w:tcW w:w="981" w:type="dxa"/>
            <w:tcBorders>
              <w:top w:val="single" w:color="auto" w:sz="4" w:space="0"/>
              <w:left w:val="nil"/>
              <w:bottom w:val="double" w:color="auto" w:sz="2" w:space="0"/>
              <w:right w:val="single" w:color="auto" w:sz="4" w:space="0"/>
            </w:tcBorders>
            <w:shd w:val="clear" w:color="auto" w:fill="auto"/>
            <w:vAlign w:val="center"/>
          </w:tcPr>
          <w:p w14:paraId="75A4B589">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1"/>
                <w:szCs w:val="21"/>
                <w:highlight w:val="none"/>
              </w:rPr>
            </w:pPr>
          </w:p>
        </w:tc>
        <w:tc>
          <w:tcPr>
            <w:tcW w:w="1810" w:type="dxa"/>
            <w:tcBorders>
              <w:top w:val="single" w:color="auto" w:sz="4" w:space="0"/>
              <w:left w:val="nil"/>
              <w:bottom w:val="double" w:color="auto" w:sz="2" w:space="0"/>
              <w:right w:val="single" w:color="auto" w:sz="4" w:space="0"/>
            </w:tcBorders>
            <w:shd w:val="clear" w:color="auto" w:fill="auto"/>
            <w:vAlign w:val="center"/>
          </w:tcPr>
          <w:p w14:paraId="36F24369">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电子招标投标解密失败及突发情况的补救</w:t>
            </w:r>
          </w:p>
        </w:tc>
        <w:tc>
          <w:tcPr>
            <w:tcW w:w="5857" w:type="dxa"/>
            <w:tcBorders>
              <w:top w:val="single" w:color="auto" w:sz="4" w:space="0"/>
              <w:left w:val="nil"/>
              <w:bottom w:val="double" w:color="auto" w:sz="2" w:space="0"/>
              <w:right w:val="double" w:color="auto" w:sz="2" w:space="0"/>
            </w:tcBorders>
            <w:shd w:val="clear" w:color="auto" w:fill="auto"/>
            <w:vAlign w:val="center"/>
          </w:tcPr>
          <w:p w14:paraId="14316CCC">
            <w:pPr>
              <w:keepNext w:val="0"/>
              <w:keepLines w:val="0"/>
              <w:widowControl w:val="0"/>
              <w:suppressLineNumbers w:val="0"/>
              <w:spacing w:before="0" w:beforeAutospacing="0" w:after="0" w:afterAutospacing="0"/>
              <w:ind w:left="0" w:right="0"/>
              <w:jc w:val="both"/>
              <w:rPr>
                <w:rFonts w:hint="eastAsia" w:ascii="宋体" w:hAnsi="宋体" w:eastAsia="宋体" w:cs="Courier New"/>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1、按照交易平台关于全流程电子化项目的相关指南进行操作。详见：</w:t>
            </w:r>
            <w:r>
              <w:rPr>
                <w:rFonts w:hint="eastAsia" w:ascii="宋体" w:hAnsi="宋体" w:eastAsia="宋体" w:cs="宋体"/>
                <w:color w:val="auto"/>
                <w:kern w:val="2"/>
                <w:sz w:val="21"/>
                <w:szCs w:val="21"/>
                <w:highlight w:val="none"/>
                <w:u w:val="single"/>
                <w:lang w:val="en-US" w:eastAsia="zh-CN" w:bidi="ar"/>
              </w:rPr>
              <w:t>广州公共资源交易中心网站(http:/ www.gzggzy.cn)服务指南栏目</w:t>
            </w: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Courier New"/>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p w14:paraId="558DC58C">
            <w:pPr>
              <w:keepNext w:val="0"/>
              <w:keepLines w:val="0"/>
              <w:widowControl w:val="0"/>
              <w:suppressLineNumbers w:val="0"/>
              <w:spacing w:before="0" w:beforeAutospacing="0" w:after="0" w:afterAutospacing="0"/>
              <w:ind w:left="0" w:right="0"/>
              <w:jc w:val="both"/>
              <w:rPr>
                <w:rFonts w:hint="eastAsia" w:ascii="宋体" w:hAnsi="宋体" w:eastAsia="宋体" w:cs="Courier New"/>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2、提交投标文件光盘备用</w:t>
            </w:r>
          </w:p>
          <w:p w14:paraId="0C5224FA">
            <w:pPr>
              <w:keepNext w:val="0"/>
              <w:keepLines w:val="0"/>
              <w:widowControl w:val="0"/>
              <w:suppressLineNumbers w:val="0"/>
              <w:spacing w:before="0" w:beforeAutospacing="0" w:after="0" w:afterAutospacing="0"/>
              <w:ind w:left="0" w:right="0"/>
              <w:jc w:val="both"/>
              <w:rPr>
                <w:rFonts w:hint="eastAsia" w:ascii="宋体" w:hAnsi="宋体" w:eastAsia="宋体" w:cs="Courier New"/>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可制作非加密的电子投标文件（PDF格式）刻入光盘（1份），在投标须知前附表第18项规定的时间、地点提交备用。刻录好的投标文件光盘密封在密封袋中，并在封口处加盖投标人单位公章。密封袋上应写明项目名称和招标人名称。递交的光盘不得加密。光盘无法读取或导入的，则视为未提交备用投标文件光盘。如果投标人没有按规定通过交易平台网上递交电子投标文件的，不再读取提交的光盘。投标人也可不提交备用光盘。</w:t>
            </w:r>
          </w:p>
          <w:p w14:paraId="4DEB1BE5">
            <w:pPr>
              <w:keepNext w:val="0"/>
              <w:keepLines w:val="0"/>
              <w:widowControl w:val="0"/>
              <w:suppressLineNumbers w:val="0"/>
              <w:spacing w:before="0" w:beforeAutospacing="0" w:after="0" w:afterAutospacing="0"/>
              <w:ind w:left="0" w:right="0"/>
              <w:jc w:val="both"/>
              <w:rPr>
                <w:rFonts w:hint="eastAsia" w:ascii="宋体" w:hAnsi="宋体" w:eastAsia="宋体" w:cs="Courier New"/>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3、补救方案</w:t>
            </w:r>
          </w:p>
          <w:p w14:paraId="101097F7">
            <w:pPr>
              <w:keepNext w:val="0"/>
              <w:keepLines w:val="0"/>
              <w:widowControl w:val="0"/>
              <w:suppressLineNumbers w:val="0"/>
              <w:spacing w:before="0" w:beforeAutospacing="0" w:after="0" w:afterAutospacing="0"/>
              <w:ind w:left="0" w:right="0"/>
              <w:jc w:val="both"/>
              <w:rPr>
                <w:rFonts w:hint="eastAsia" w:ascii="宋体" w:hAnsi="宋体" w:eastAsia="宋体" w:cs="Courier New"/>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（1）投标文件解密失败的补救方案：</w:t>
            </w:r>
          </w:p>
          <w:p w14:paraId="08CAB3B9">
            <w:pPr>
              <w:keepNext w:val="0"/>
              <w:keepLines w:val="0"/>
              <w:widowControl w:val="0"/>
              <w:suppressLineNumbers w:val="0"/>
              <w:spacing w:before="0" w:beforeAutospacing="0" w:after="0" w:afterAutospacing="0"/>
              <w:ind w:left="0" w:right="0"/>
              <w:jc w:val="both"/>
              <w:rPr>
                <w:rFonts w:hint="eastAsia" w:ascii="宋体" w:hAnsi="宋体" w:eastAsia="宋体" w:cs="Courier New"/>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在规定时间内，因投标人之外原因(指网络瘫痪、服务器损坏、交易系统故障短期无法恢复)导致的电子投标文件解密失败，在开标现场读取光盘内容，继续开标程序。评标委员会对其投标文件的评审以光盘内容为准。因投标人之外原因解密失败且未递交电子光盘的，视为撤回投标文件。</w:t>
            </w:r>
          </w:p>
          <w:p w14:paraId="28962F93">
            <w:pPr>
              <w:keepNext w:val="0"/>
              <w:keepLines w:val="0"/>
              <w:widowControl w:val="0"/>
              <w:suppressLineNumbers w:val="0"/>
              <w:spacing w:before="0" w:beforeAutospacing="0" w:after="0" w:afterAutospacing="0"/>
              <w:ind w:left="0" w:right="0"/>
              <w:jc w:val="both"/>
              <w:rPr>
                <w:rFonts w:hint="eastAsia" w:ascii="宋体" w:hAnsi="宋体" w:eastAsia="宋体" w:cs="Courier New"/>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（2）评标时突发情况的补救方案</w:t>
            </w:r>
          </w:p>
          <w:p w14:paraId="70AEC0B8">
            <w:pPr>
              <w:keepNext w:val="0"/>
              <w:keepLines w:val="0"/>
              <w:widowControl w:val="0"/>
              <w:suppressLineNumbers w:val="0"/>
              <w:spacing w:before="0" w:beforeAutospacing="0" w:after="0" w:afterAutospacing="0"/>
              <w:ind w:left="0" w:right="0"/>
              <w:jc w:val="both"/>
              <w:rPr>
                <w:rFonts w:hint="eastAsia" w:ascii="宋体" w:hAnsi="宋体" w:eastAsia="宋体" w:cs="Courier New"/>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若遇不可抗力发生（指网络瘫痪、服务器损坏、交易系统故障短期无法恢复等因素），由评标委员会开启投标人递交的全部投标文件光盘，并按光盘内容进行评审。</w:t>
            </w:r>
          </w:p>
          <w:p w14:paraId="1AED11BC">
            <w:pPr>
              <w:keepNext w:val="0"/>
              <w:keepLines w:val="0"/>
              <w:widowControl w:val="0"/>
              <w:suppressLineNumbers w:val="0"/>
              <w:spacing w:before="0" w:beforeAutospacing="0" w:after="0" w:afterAutospacing="0"/>
              <w:ind w:left="0" w:right="0"/>
              <w:jc w:val="both"/>
              <w:rPr>
                <w:rFonts w:hint="eastAsia" w:ascii="宋体" w:hAnsi="宋体" w:eastAsia="宋体" w:cs="Courier New"/>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（3）除发生上述情况外，开标评标均以投标人通过交易平台网上递交的电子投标文件为准。</w:t>
            </w:r>
          </w:p>
        </w:tc>
      </w:tr>
    </w:tbl>
    <w:p w14:paraId="354E3214">
      <w:pPr>
        <w:keepNext w:val="0"/>
        <w:keepLines w:val="0"/>
        <w:widowControl w:val="0"/>
        <w:suppressLineNumbers w:val="0"/>
        <w:spacing w:before="0" w:beforeAutospacing="0" w:after="0" w:afterAutospacing="0" w:line="480" w:lineRule="auto"/>
        <w:ind w:left="0" w:right="0"/>
        <w:jc w:val="both"/>
        <w:rPr>
          <w:rFonts w:hint="eastAsia" w:ascii="宋体" w:hAnsi="Calibri" w:eastAsia="宋体" w:cs="Times New Roman"/>
          <w:strike w:val="0"/>
          <w:dstrike w:val="0"/>
          <w:color w:val="auto"/>
          <w:kern w:val="2"/>
          <w:sz w:val="24"/>
          <w:szCs w:val="24"/>
          <w:highlight w:val="none"/>
        </w:rPr>
      </w:pPr>
      <w:r>
        <w:rPr>
          <w:rFonts w:hint="eastAsia" w:ascii="宋体" w:hAnsi="宋体" w:eastAsia="宋体" w:cs="宋体"/>
          <w:strike w:val="0"/>
          <w:dstrike w:val="0"/>
          <w:color w:val="auto"/>
          <w:kern w:val="2"/>
          <w:sz w:val="24"/>
          <w:szCs w:val="24"/>
          <w:highlight w:val="none"/>
          <w:lang w:val="en-US" w:eastAsia="zh-CN" w:bidi="ar"/>
        </w:rPr>
        <w:t>注：企业</w:t>
      </w:r>
      <w:r>
        <w:rPr>
          <w:rFonts w:hint="eastAsia" w:ascii="宋体" w:hAnsi="宋体" w:eastAsia="宋体" w:cs="宋体"/>
          <w:strike w:val="0"/>
          <w:dstrike w:val="0"/>
          <w:color w:val="auto"/>
          <w:kern w:val="0"/>
          <w:sz w:val="24"/>
          <w:szCs w:val="24"/>
          <w:highlight w:val="none"/>
          <w:lang w:val="en-US" w:eastAsia="zh-CN" w:bidi="ar"/>
        </w:rPr>
        <w:t>综合诚信评价得分即</w:t>
      </w:r>
      <w:r>
        <w:rPr>
          <w:rFonts w:hint="eastAsia" w:ascii="宋体" w:hAnsi="宋体" w:eastAsia="宋体" w:cs="宋体"/>
          <w:strike w:val="0"/>
          <w:dstrike w:val="0"/>
          <w:color w:val="auto"/>
          <w:kern w:val="2"/>
          <w:sz w:val="24"/>
          <w:szCs w:val="24"/>
          <w:highlight w:val="none"/>
          <w:lang w:val="en-US" w:eastAsia="zh-CN" w:bidi="ar"/>
        </w:rPr>
        <w:t>企业</w:t>
      </w:r>
      <w:r>
        <w:rPr>
          <w:rFonts w:hint="eastAsia" w:ascii="宋体" w:hAnsi="宋体" w:eastAsia="宋体" w:cs="宋体"/>
          <w:strike w:val="0"/>
          <w:dstrike w:val="0"/>
          <w:color w:val="auto"/>
          <w:kern w:val="0"/>
          <w:sz w:val="24"/>
          <w:szCs w:val="24"/>
          <w:highlight w:val="none"/>
          <w:lang w:val="en-US" w:eastAsia="zh-CN" w:bidi="ar"/>
        </w:rPr>
        <w:t>综合诚信评价60日诚信分，以下同。</w:t>
      </w:r>
    </w:p>
    <w:p w14:paraId="4A9D6E85">
      <w:pPr>
        <w:pStyle w:val="3"/>
        <w:widowControl/>
        <w:rPr>
          <w:rFonts w:hint="default" w:ascii="Arial" w:hAnsi="Arial" w:eastAsia="宋体" w:cs="Times New Roman"/>
          <w:b/>
          <w:bCs w:val="0"/>
          <w:color w:val="auto"/>
          <w:kern w:val="2"/>
          <w:sz w:val="24"/>
          <w:szCs w:val="24"/>
          <w:highlight w:val="none"/>
        </w:rPr>
      </w:pPr>
      <w:r>
        <w:rPr>
          <w:rFonts w:hint="default" w:ascii="Arial" w:hAnsi="Arial" w:eastAsia="宋体" w:cs="Times New Roman"/>
          <w:b/>
          <w:bCs w:val="0"/>
          <w:color w:val="auto"/>
          <w:kern w:val="2"/>
          <w:sz w:val="24"/>
          <w:szCs w:val="24"/>
          <w:highlight w:val="none"/>
        </w:rPr>
        <w:br w:type="page"/>
      </w:r>
      <w:bookmarkStart w:id="4" w:name="_Toc2272547"/>
      <w:bookmarkEnd w:id="4"/>
      <w:bookmarkStart w:id="5" w:name="_Toc21525491"/>
      <w:r>
        <w:rPr>
          <w:rFonts w:hint="eastAsia" w:ascii="宋体" w:hAnsi="宋体" w:eastAsia="宋体" w:cs="宋体"/>
          <w:b/>
          <w:bCs w:val="0"/>
          <w:color w:val="auto"/>
          <w:kern w:val="2"/>
          <w:sz w:val="24"/>
          <w:szCs w:val="24"/>
          <w:highlight w:val="none"/>
        </w:rPr>
        <w:t>二、投标须知修改表</w:t>
      </w:r>
      <w:bookmarkEnd w:id="5"/>
    </w:p>
    <w:p w14:paraId="0E260376">
      <w:pPr>
        <w:pStyle w:val="14"/>
        <w:keepNext w:val="0"/>
        <w:keepLines w:val="0"/>
        <w:widowControl w:val="0"/>
        <w:suppressLineNumbers w:val="0"/>
        <w:spacing w:before="0" w:beforeAutospacing="1" w:after="120" w:afterAutospacing="0" w:line="360" w:lineRule="auto"/>
        <w:ind w:left="0" w:right="0" w:firstLine="420"/>
        <w:jc w:val="both"/>
        <w:rPr>
          <w:rFonts w:hint="default" w:ascii="Times New Roman" w:hAnsi="Times New Roman" w:eastAsia="宋体" w:cs="Times New Roman"/>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声明：本投标须知使用</w:t>
      </w:r>
      <w:r>
        <w:rPr>
          <w:rFonts w:hint="default" w:ascii="Times New Roman" w:hAnsi="Times New Roman" w:eastAsia="宋体" w:cs="Times New Roman"/>
          <w:b/>
          <w:bCs w:val="0"/>
          <w:color w:val="auto"/>
          <w:kern w:val="2"/>
          <w:sz w:val="21"/>
          <w:szCs w:val="21"/>
          <w:highlight w:val="none"/>
          <w:lang w:val="en-US" w:eastAsia="zh-CN" w:bidi="ar"/>
        </w:rPr>
        <w:t>GZZB2018-3</w:t>
      </w:r>
      <w:r>
        <w:rPr>
          <w:rFonts w:hint="eastAsia" w:ascii="宋体" w:hAnsi="宋体" w:eastAsia="宋体" w:cs="宋体"/>
          <w:b/>
          <w:bCs w:val="0"/>
          <w:color w:val="auto"/>
          <w:kern w:val="2"/>
          <w:sz w:val="21"/>
          <w:szCs w:val="21"/>
          <w:highlight w:val="none"/>
          <w:lang w:val="en-US" w:eastAsia="zh-CN" w:bidi="ar"/>
        </w:rPr>
        <w:t>招标文件范本的投标须知通用条款，与该通用条款不同之处，均在本表中列明，并以现文为准，原文不再有效。本招标文件中不再转录投标须知通用条款，请投标人自行到广州市住房和城乡建设局网站（网址：</w:t>
      </w:r>
      <w:r>
        <w:rPr>
          <w:rFonts w:hint="default" w:ascii="Times New Roman" w:hAnsi="Times New Roman" w:eastAsia="宋体" w:cs="Times New Roman"/>
          <w:b/>
          <w:bCs w:val="0"/>
          <w:color w:val="auto"/>
          <w:kern w:val="2"/>
          <w:sz w:val="21"/>
          <w:szCs w:val="21"/>
          <w:highlight w:val="none"/>
          <w:lang w:val="en-US" w:eastAsia="zh-CN" w:bidi="ar"/>
        </w:rPr>
        <w:t>http://zfcj.gz.gov.cn/</w:t>
      </w:r>
      <w:r>
        <w:rPr>
          <w:rFonts w:hint="eastAsia" w:ascii="宋体" w:hAnsi="宋体" w:eastAsia="宋体" w:cs="宋体"/>
          <w:b/>
          <w:bCs w:val="0"/>
          <w:color w:val="auto"/>
          <w:kern w:val="2"/>
          <w:sz w:val="21"/>
          <w:szCs w:val="21"/>
          <w:highlight w:val="none"/>
          <w:lang w:val="en-US" w:eastAsia="zh-CN" w:bidi="ar"/>
        </w:rPr>
        <w:t>）下载查阅。</w:t>
      </w:r>
    </w:p>
    <w:p w14:paraId="7253D2CD">
      <w:pPr>
        <w:keepNext w:val="0"/>
        <w:keepLines w:val="0"/>
        <w:widowControl w:val="0"/>
        <w:suppressLineNumbers w:val="0"/>
        <w:spacing w:before="0" w:beforeAutospacing="0" w:after="0" w:afterAutospacing="0" w:line="48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2.5              </w:t>
      </w:r>
      <w:r>
        <w:rPr>
          <w:rFonts w:hint="eastAsia" w:ascii="宋体" w:hAnsi="宋体" w:eastAsia="宋体" w:cs="宋体"/>
          <w:b/>
          <w:bCs w:val="0"/>
          <w:color w:val="auto"/>
          <w:kern w:val="2"/>
          <w:sz w:val="24"/>
          <w:szCs w:val="24"/>
          <w:highlight w:val="none"/>
          <w:lang w:val="en-US" w:eastAsia="zh-CN" w:bidi="ar"/>
        </w:rPr>
        <w:t>修改类型：增加</w:t>
      </w:r>
    </w:p>
    <w:p w14:paraId="65C957F1">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120" w:afterAutospacing="0" w:line="360" w:lineRule="auto"/>
        <w:ind w:left="0" w:right="0" w:firstLine="420"/>
        <w:jc w:val="both"/>
        <w:rPr>
          <w:rFonts w:hint="eastAsia" w:ascii="宋体" w:hAnsi="Calibri" w:eastAsia="宋体" w:cs="宋体"/>
          <w:bCs/>
          <w:color w:val="auto"/>
          <w:kern w:val="2"/>
          <w:sz w:val="21"/>
          <w:szCs w:val="21"/>
          <w:highlight w:val="none"/>
          <w:u w:val="singl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bCs/>
          <w:color w:val="auto"/>
          <w:kern w:val="2"/>
          <w:sz w:val="24"/>
          <w:szCs w:val="24"/>
          <w:highlight w:val="none"/>
          <w:u w:val="single"/>
          <w:lang w:val="en-US" w:eastAsia="zh-CN" w:bidi="ar"/>
        </w:rPr>
        <w:t>2.5根据《建设工程质量检测管理办法》（建设部令第141号）第十二条规定，建设工程质量、安全检测业务应由建设单位依法委托，不列入本次招标范围。招标文件中与此条不一致的，以此条为准。建设单位和中标人均不得委托近二年(从招标公告发布年度起逆推2年的1月1日起至投标截止时间止)因伪造检测数据、出具虚假检测报告被各级建设行政主管部门或市场监督管理部门行政处罚或通报的检测单位负责本项目的检测工作。</w:t>
      </w:r>
    </w:p>
    <w:p w14:paraId="236EBCAD">
      <w:pPr>
        <w:keepNext w:val="0"/>
        <w:keepLines w:val="0"/>
        <w:widowControl w:val="0"/>
        <w:suppressLineNumbers w:val="0"/>
        <w:spacing w:before="0" w:beforeAutospacing="0" w:after="0" w:afterAutospacing="0" w:line="48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5.1           </w:t>
      </w:r>
      <w:r>
        <w:rPr>
          <w:rFonts w:hint="eastAsia" w:ascii="宋体" w:hAnsi="宋体" w:eastAsia="宋体" w:cs="宋体"/>
          <w:b/>
          <w:bCs w:val="0"/>
          <w:color w:val="auto"/>
          <w:kern w:val="2"/>
          <w:sz w:val="24"/>
          <w:szCs w:val="24"/>
          <w:highlight w:val="none"/>
          <w:lang w:val="en-US" w:eastAsia="zh-CN" w:bidi="ar"/>
        </w:rPr>
        <w:t>修改类型：修改</w:t>
      </w:r>
    </w:p>
    <w:p w14:paraId="55FC6FC2">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2" w:firstLineChars="200"/>
        <w:jc w:val="both"/>
        <w:rPr>
          <w:rFonts w:hint="default" w:ascii="Calibri" w:hAnsi="Calibri"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Calibri" w:hAnsi="Calibri" w:eastAsia="宋体" w:cs="Times New Roman"/>
          <w:color w:val="auto"/>
          <w:kern w:val="2"/>
          <w:sz w:val="24"/>
          <w:szCs w:val="24"/>
          <w:highlight w:val="none"/>
          <w:lang w:val="en-US" w:eastAsia="zh-CN" w:bidi="ar"/>
        </w:rPr>
        <w:t>5.1</w:t>
      </w:r>
      <w:r>
        <w:rPr>
          <w:rFonts w:hint="eastAsia" w:ascii="宋体" w:hAnsi="宋体" w:eastAsia="宋体" w:cs="宋体"/>
          <w:bCs/>
          <w:color w:val="auto"/>
          <w:kern w:val="2"/>
          <w:sz w:val="24"/>
          <w:szCs w:val="24"/>
          <w:highlight w:val="none"/>
          <w:lang w:val="en-US" w:eastAsia="zh-CN" w:bidi="ar"/>
        </w:rPr>
        <w:t>投标人应按本投标须知前附表第</w:t>
      </w:r>
      <w:r>
        <w:rPr>
          <w:rFonts w:hint="eastAsia" w:ascii="宋体" w:hAnsi="宋体" w:eastAsia="宋体" w:cs="Times New Roman"/>
          <w:bCs/>
          <w:color w:val="auto"/>
          <w:kern w:val="2"/>
          <w:sz w:val="24"/>
          <w:szCs w:val="24"/>
          <w:highlight w:val="none"/>
          <w:lang w:val="en-US" w:eastAsia="zh-CN" w:bidi="ar"/>
        </w:rPr>
        <w:t>15</w:t>
      </w:r>
      <w:r>
        <w:rPr>
          <w:rFonts w:hint="eastAsia" w:ascii="宋体" w:hAnsi="宋体" w:eastAsia="宋体" w:cs="宋体"/>
          <w:bCs/>
          <w:color w:val="auto"/>
          <w:kern w:val="2"/>
          <w:sz w:val="24"/>
          <w:szCs w:val="24"/>
          <w:highlight w:val="none"/>
          <w:lang w:val="en-US" w:eastAsia="zh-CN" w:bidi="ar"/>
        </w:rPr>
        <w:t>项所述时间和要求对工程现场及周围环境进行踏勘，</w:t>
      </w:r>
      <w:r>
        <w:rPr>
          <w:rFonts w:hint="eastAsia" w:ascii="宋体" w:hAnsi="宋体" w:eastAsia="宋体" w:cs="宋体"/>
          <w:color w:val="auto"/>
          <w:kern w:val="2"/>
          <w:sz w:val="24"/>
          <w:szCs w:val="24"/>
          <w:highlight w:val="none"/>
          <w:lang w:val="en-US" w:eastAsia="zh-CN" w:bidi="ar"/>
        </w:rPr>
        <w:t>投标人应充分重视和仔细地进行这种考察，</w:t>
      </w:r>
      <w:r>
        <w:rPr>
          <w:rFonts w:hint="eastAsia" w:ascii="宋体" w:hAnsi="宋体" w:eastAsia="宋体" w:cs="宋体"/>
          <w:bCs/>
          <w:color w:val="auto"/>
          <w:kern w:val="2"/>
          <w:sz w:val="24"/>
          <w:szCs w:val="24"/>
          <w:highlight w:val="none"/>
          <w:lang w:val="en-US" w:eastAsia="zh-CN" w:bidi="ar"/>
        </w:rPr>
        <w:t>以便投标人获取</w:t>
      </w:r>
      <w:r>
        <w:rPr>
          <w:rFonts w:hint="eastAsia" w:ascii="宋体" w:hAnsi="宋体" w:eastAsia="宋体" w:cs="宋体"/>
          <w:color w:val="auto"/>
          <w:kern w:val="2"/>
          <w:sz w:val="24"/>
          <w:szCs w:val="24"/>
          <w:highlight w:val="none"/>
          <w:lang w:val="en-US" w:eastAsia="zh-CN" w:bidi="ar"/>
        </w:rPr>
        <w:t>那些须投标人自己负责的</w:t>
      </w:r>
      <w:r>
        <w:rPr>
          <w:rFonts w:hint="eastAsia" w:ascii="宋体" w:hAnsi="宋体" w:eastAsia="宋体" w:cs="宋体"/>
          <w:bCs/>
          <w:color w:val="auto"/>
          <w:kern w:val="2"/>
          <w:sz w:val="24"/>
          <w:szCs w:val="24"/>
          <w:highlight w:val="none"/>
          <w:lang w:val="en-US" w:eastAsia="zh-CN" w:bidi="ar"/>
        </w:rPr>
        <w:t>有关编制投标文件和签署合同所涉及现场所有的资料。</w:t>
      </w:r>
      <w:r>
        <w:rPr>
          <w:rFonts w:hint="eastAsia" w:ascii="宋体" w:hAnsi="宋体" w:eastAsia="宋体" w:cs="宋体"/>
          <w:color w:val="auto"/>
          <w:kern w:val="2"/>
          <w:sz w:val="24"/>
          <w:szCs w:val="24"/>
          <w:highlight w:val="none"/>
          <w:lang w:val="en-US" w:eastAsia="zh-CN" w:bidi="ar"/>
        </w:rPr>
        <w:t>一旦中标，这种考察即被认为其结果已在中标文件中得到充分反映。考察现场的费用由投标人自己承担。</w:t>
      </w:r>
    </w:p>
    <w:p w14:paraId="46D54078">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2" w:firstLineChars="200"/>
        <w:jc w:val="both"/>
        <w:rPr>
          <w:rFonts w:hint="default" w:ascii="Calibri" w:hAnsi="Calibri"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Calibri" w:hAnsi="Calibri" w:eastAsia="宋体" w:cs="Times New Roman"/>
          <w:color w:val="auto"/>
          <w:kern w:val="2"/>
          <w:sz w:val="24"/>
          <w:szCs w:val="24"/>
          <w:highlight w:val="none"/>
          <w:lang w:val="en-US" w:eastAsia="zh-CN" w:bidi="ar"/>
        </w:rPr>
        <w:t>5.1</w:t>
      </w:r>
      <w:r>
        <w:rPr>
          <w:rFonts w:hint="eastAsia" w:ascii="宋体" w:hAnsi="宋体" w:eastAsia="宋体" w:cs="宋体"/>
          <w:bCs/>
          <w:color w:val="auto"/>
          <w:kern w:val="2"/>
          <w:sz w:val="24"/>
          <w:szCs w:val="24"/>
          <w:highlight w:val="none"/>
          <w:lang w:val="en-US" w:eastAsia="zh-CN" w:bidi="ar"/>
        </w:rPr>
        <w:t>投标人应按本投标须知前附表第</w:t>
      </w:r>
      <w:r>
        <w:rPr>
          <w:rFonts w:hint="eastAsia" w:ascii="宋体" w:hAnsi="宋体" w:eastAsia="宋体" w:cs="Times New Roman"/>
          <w:bCs/>
          <w:color w:val="auto"/>
          <w:kern w:val="2"/>
          <w:sz w:val="24"/>
          <w:szCs w:val="24"/>
          <w:highlight w:val="none"/>
          <w:lang w:val="en-US" w:eastAsia="zh-CN" w:bidi="ar"/>
        </w:rPr>
        <w:t>15</w:t>
      </w:r>
      <w:r>
        <w:rPr>
          <w:rFonts w:hint="eastAsia" w:ascii="宋体" w:hAnsi="宋体" w:eastAsia="宋体" w:cs="宋体"/>
          <w:bCs/>
          <w:color w:val="auto"/>
          <w:kern w:val="2"/>
          <w:sz w:val="24"/>
          <w:szCs w:val="24"/>
          <w:highlight w:val="none"/>
          <w:lang w:val="en-US" w:eastAsia="zh-CN" w:bidi="ar"/>
        </w:rPr>
        <w:t>项所述时间和要求对工程现场及周围环境进行踏勘，</w:t>
      </w:r>
      <w:r>
        <w:rPr>
          <w:rFonts w:hint="eastAsia" w:ascii="宋体" w:hAnsi="宋体" w:eastAsia="宋体" w:cs="宋体"/>
          <w:color w:val="auto"/>
          <w:kern w:val="2"/>
          <w:sz w:val="24"/>
          <w:szCs w:val="24"/>
          <w:highlight w:val="none"/>
          <w:lang w:val="en-US" w:eastAsia="zh-CN" w:bidi="ar"/>
        </w:rPr>
        <w:t>投标人应充分重视和仔细地进行这种考察，</w:t>
      </w:r>
      <w:r>
        <w:rPr>
          <w:rFonts w:hint="eastAsia" w:ascii="宋体" w:hAnsi="宋体" w:eastAsia="宋体" w:cs="宋体"/>
          <w:bCs/>
          <w:color w:val="auto"/>
          <w:kern w:val="2"/>
          <w:sz w:val="24"/>
          <w:szCs w:val="24"/>
          <w:highlight w:val="none"/>
          <w:lang w:val="en-US" w:eastAsia="zh-CN" w:bidi="ar"/>
        </w:rPr>
        <w:t>以便投标人获取</w:t>
      </w:r>
      <w:r>
        <w:rPr>
          <w:rFonts w:hint="eastAsia" w:ascii="宋体" w:hAnsi="宋体" w:eastAsia="宋体" w:cs="宋体"/>
          <w:color w:val="auto"/>
          <w:kern w:val="2"/>
          <w:sz w:val="24"/>
          <w:szCs w:val="24"/>
          <w:highlight w:val="none"/>
          <w:lang w:val="en-US" w:eastAsia="zh-CN" w:bidi="ar"/>
        </w:rPr>
        <w:t>那些须投标人自己负责的</w:t>
      </w:r>
      <w:r>
        <w:rPr>
          <w:rFonts w:hint="eastAsia" w:ascii="宋体" w:hAnsi="宋体" w:eastAsia="宋体" w:cs="宋体"/>
          <w:bCs/>
          <w:color w:val="auto"/>
          <w:kern w:val="2"/>
          <w:sz w:val="24"/>
          <w:szCs w:val="24"/>
          <w:highlight w:val="none"/>
          <w:lang w:val="en-US" w:eastAsia="zh-CN" w:bidi="ar"/>
        </w:rPr>
        <w:t>有关编制投标文件和签署合同所涉及现场所有的资料。</w:t>
      </w:r>
      <w:r>
        <w:rPr>
          <w:rFonts w:hint="eastAsia" w:ascii="宋体" w:hAnsi="宋体" w:eastAsia="宋体" w:cs="宋体"/>
          <w:color w:val="auto"/>
          <w:kern w:val="2"/>
          <w:sz w:val="24"/>
          <w:szCs w:val="24"/>
          <w:highlight w:val="none"/>
          <w:lang w:val="en-US" w:eastAsia="zh-CN" w:bidi="ar"/>
        </w:rPr>
        <w:t>一旦中标，这种考察即被认为其结果已在中标文件中得到充分反映，</w:t>
      </w:r>
      <w:r>
        <w:rPr>
          <w:rFonts w:hint="eastAsia" w:ascii="宋体" w:hAnsi="宋体" w:eastAsia="宋体" w:cs="宋体"/>
          <w:color w:val="auto"/>
          <w:kern w:val="2"/>
          <w:sz w:val="24"/>
          <w:szCs w:val="24"/>
          <w:highlight w:val="none"/>
          <w:u w:val="single"/>
          <w:lang w:val="en-US" w:eastAsia="zh-CN" w:bidi="ar"/>
        </w:rPr>
        <w:t>且充分考虑了现场各种因素。招标人不受理因投标人缺乏对现场条件的了解或掌握而提出的任何索赔。</w:t>
      </w:r>
      <w:r>
        <w:rPr>
          <w:rFonts w:hint="eastAsia" w:ascii="宋体" w:hAnsi="宋体" w:eastAsia="宋体" w:cs="宋体"/>
          <w:color w:val="auto"/>
          <w:kern w:val="2"/>
          <w:sz w:val="24"/>
          <w:szCs w:val="24"/>
          <w:highlight w:val="none"/>
          <w:lang w:val="en-US" w:eastAsia="zh-CN" w:bidi="ar"/>
        </w:rPr>
        <w:t>考察现场的费用由投标人自己承担。</w:t>
      </w:r>
    </w:p>
    <w:p w14:paraId="7D5230E6">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8.1             </w:t>
      </w:r>
      <w:r>
        <w:rPr>
          <w:rFonts w:hint="eastAsia" w:ascii="宋体" w:hAnsi="宋体" w:eastAsia="宋体" w:cs="宋体"/>
          <w:b/>
          <w:bCs w:val="0"/>
          <w:color w:val="auto"/>
          <w:kern w:val="2"/>
          <w:sz w:val="24"/>
          <w:szCs w:val="24"/>
          <w:highlight w:val="none"/>
          <w:lang w:val="en-US" w:eastAsia="zh-CN" w:bidi="ar"/>
        </w:rPr>
        <w:t>修改类型：修改</w:t>
      </w:r>
    </w:p>
    <w:p w14:paraId="146E0ACE">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8.1</w:t>
      </w:r>
      <w:r>
        <w:rPr>
          <w:rFonts w:hint="eastAsia" w:ascii="宋体" w:hAnsi="宋体" w:eastAsia="宋体" w:cs="宋体"/>
          <w:color w:val="auto"/>
          <w:kern w:val="2"/>
          <w:sz w:val="24"/>
          <w:szCs w:val="24"/>
          <w:highlight w:val="none"/>
          <w:lang w:val="en-US" w:eastAsia="zh-CN" w:bidi="ar"/>
        </w:rPr>
        <w:t>投标人若对招标文件（包括招标图纸）中有疑问，可以书面形式通过</w:t>
      </w:r>
      <w:r>
        <w:rPr>
          <w:rFonts w:hint="default" w:ascii="Calibri" w:hAnsi="Calibri"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交易平台提交给招标人或招标代理人，提交形式见本须知前附表第</w:t>
      </w:r>
      <w:r>
        <w:rPr>
          <w:rFonts w:hint="eastAsia" w:ascii="宋体" w:hAnsi="宋体" w:eastAsia="宋体" w:cs="Times New Roman"/>
          <w:color w:val="auto"/>
          <w:kern w:val="2"/>
          <w:sz w:val="24"/>
          <w:szCs w:val="24"/>
          <w:highlight w:val="none"/>
          <w:lang w:val="en-US" w:eastAsia="zh-CN" w:bidi="ar"/>
        </w:rPr>
        <w:t>16</w:t>
      </w:r>
      <w:r>
        <w:rPr>
          <w:rFonts w:hint="eastAsia" w:ascii="宋体" w:hAnsi="宋体" w:eastAsia="宋体" w:cs="宋体"/>
          <w:color w:val="auto"/>
          <w:kern w:val="2"/>
          <w:sz w:val="24"/>
          <w:szCs w:val="24"/>
          <w:highlight w:val="none"/>
          <w:lang w:val="en-US" w:eastAsia="zh-CN" w:bidi="ar"/>
        </w:rPr>
        <w:t>项。</w:t>
      </w:r>
    </w:p>
    <w:p w14:paraId="01808B0A">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color w:val="auto"/>
          <w:kern w:val="2"/>
          <w:sz w:val="24"/>
          <w:szCs w:val="24"/>
          <w:highlight w:val="none"/>
          <w:lang w:val="en-US" w:eastAsia="zh-CN" w:bidi="ar"/>
        </w:rPr>
        <w:t>8.1</w:t>
      </w:r>
      <w:r>
        <w:rPr>
          <w:rFonts w:hint="eastAsia" w:ascii="宋体" w:hAnsi="宋体" w:eastAsia="宋体" w:cs="宋体"/>
          <w:color w:val="auto"/>
          <w:kern w:val="2"/>
          <w:sz w:val="24"/>
          <w:szCs w:val="24"/>
          <w:highlight w:val="none"/>
          <w:lang w:val="en-US" w:eastAsia="zh-CN" w:bidi="ar"/>
        </w:rPr>
        <w:t>投标人若对招标文件（包括招标图纸）中有疑问，可以书面形式通过</w:t>
      </w:r>
      <w:r>
        <w:rPr>
          <w:rFonts w:hint="eastAsia" w:ascii="宋体" w:hAnsi="宋体" w:eastAsia="宋体" w:cs="宋体"/>
          <w:color w:val="auto"/>
          <w:kern w:val="2"/>
          <w:sz w:val="24"/>
          <w:szCs w:val="24"/>
          <w:highlight w:val="none"/>
          <w:u w:val="single"/>
          <w:lang w:val="en-US" w:eastAsia="zh-CN" w:bidi="ar"/>
        </w:rPr>
        <w:t>广州公共资源交易中心</w:t>
      </w:r>
      <w:r>
        <w:rPr>
          <w:rFonts w:hint="eastAsia" w:ascii="宋体" w:hAnsi="宋体" w:eastAsia="宋体" w:cs="宋体"/>
          <w:color w:val="auto"/>
          <w:kern w:val="2"/>
          <w:sz w:val="24"/>
          <w:szCs w:val="24"/>
          <w:highlight w:val="none"/>
          <w:lang w:val="en-US" w:eastAsia="zh-CN" w:bidi="ar"/>
        </w:rPr>
        <w:t>交易平台提交给招标人或招标代理人，提交形式见本须知前附表第</w:t>
      </w:r>
      <w:r>
        <w:rPr>
          <w:rFonts w:hint="eastAsia" w:ascii="宋体" w:hAnsi="宋体" w:eastAsia="宋体" w:cs="Times New Roman"/>
          <w:color w:val="auto"/>
          <w:kern w:val="2"/>
          <w:sz w:val="24"/>
          <w:szCs w:val="24"/>
          <w:highlight w:val="none"/>
          <w:lang w:val="en-US" w:eastAsia="zh-CN" w:bidi="ar"/>
        </w:rPr>
        <w:t>16</w:t>
      </w:r>
      <w:r>
        <w:rPr>
          <w:rFonts w:hint="eastAsia" w:ascii="宋体" w:hAnsi="宋体" w:eastAsia="宋体" w:cs="宋体"/>
          <w:color w:val="auto"/>
          <w:kern w:val="2"/>
          <w:sz w:val="24"/>
          <w:szCs w:val="24"/>
          <w:highlight w:val="none"/>
          <w:lang w:val="en-US" w:eastAsia="zh-CN" w:bidi="ar"/>
        </w:rPr>
        <w:t>项。</w:t>
      </w:r>
    </w:p>
    <w:p w14:paraId="7E58EACE">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8.2             </w:t>
      </w:r>
      <w:r>
        <w:rPr>
          <w:rFonts w:hint="eastAsia" w:ascii="宋体" w:hAnsi="宋体" w:eastAsia="宋体" w:cs="宋体"/>
          <w:b/>
          <w:bCs w:val="0"/>
          <w:color w:val="auto"/>
          <w:kern w:val="2"/>
          <w:sz w:val="24"/>
          <w:szCs w:val="24"/>
          <w:highlight w:val="none"/>
          <w:lang w:val="en-US" w:eastAsia="zh-CN" w:bidi="ar"/>
        </w:rPr>
        <w:t>修改类型：修改</w:t>
      </w:r>
    </w:p>
    <w:p w14:paraId="15CC11E7">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8.2</w:t>
      </w:r>
      <w:r>
        <w:rPr>
          <w:rFonts w:hint="eastAsia" w:ascii="宋体" w:hAnsi="宋体" w:eastAsia="宋体" w:cs="宋体"/>
          <w:color w:val="auto"/>
          <w:kern w:val="2"/>
          <w:sz w:val="24"/>
          <w:szCs w:val="24"/>
          <w:highlight w:val="none"/>
          <w:lang w:val="en-US" w:eastAsia="zh-CN" w:bidi="ar"/>
        </w:rPr>
        <w:t>招标答疑会会议纪要将在提交投标文件截止时间15日前在</w:t>
      </w:r>
      <w:r>
        <w:rPr>
          <w:rFonts w:hint="default" w:ascii="Calibri" w:hAnsi="Calibri"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w:t>
      </w:r>
      <w:r>
        <w:rPr>
          <w:rFonts w:hint="eastAsia" w:ascii="宋体" w:hAnsi="Calibri"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“项目答疑纪要”专区公开发布。答疑纪要一经在</w:t>
      </w:r>
      <w:r>
        <w:rPr>
          <w:rFonts w:hint="default" w:ascii="Calibri" w:hAnsi="Calibri"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交易平台发布，视作已发放给所有投标人。</w:t>
      </w:r>
    </w:p>
    <w:p w14:paraId="00404F40">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color w:val="auto"/>
          <w:kern w:val="2"/>
          <w:sz w:val="24"/>
          <w:szCs w:val="24"/>
          <w:highlight w:val="none"/>
          <w:lang w:val="en-US" w:eastAsia="zh-CN" w:bidi="ar"/>
        </w:rPr>
        <w:t>8.2</w:t>
      </w:r>
      <w:r>
        <w:rPr>
          <w:rFonts w:hint="eastAsia" w:ascii="宋体" w:hAnsi="宋体" w:eastAsia="宋体" w:cs="宋体"/>
          <w:color w:val="auto"/>
          <w:kern w:val="2"/>
          <w:sz w:val="24"/>
          <w:szCs w:val="24"/>
          <w:highlight w:val="none"/>
          <w:lang w:val="en-US" w:eastAsia="zh-CN" w:bidi="ar"/>
        </w:rPr>
        <w:t>招标答疑会会议纪要将在提交投标文件截止时间15日前在</w:t>
      </w:r>
      <w:r>
        <w:rPr>
          <w:rFonts w:hint="eastAsia" w:ascii="宋体" w:hAnsi="宋体" w:eastAsia="宋体" w:cs="宋体"/>
          <w:color w:val="auto"/>
          <w:kern w:val="2"/>
          <w:sz w:val="24"/>
          <w:szCs w:val="24"/>
          <w:highlight w:val="none"/>
          <w:u w:val="single"/>
          <w:lang w:val="en-US" w:eastAsia="zh-CN" w:bidi="ar"/>
        </w:rPr>
        <w:t>广州公共资源交易中心</w:t>
      </w:r>
      <w:r>
        <w:rPr>
          <w:rFonts w:hint="eastAsia" w:ascii="宋体" w:hAnsi="宋体" w:eastAsia="宋体" w:cs="宋体"/>
          <w:color w:val="auto"/>
          <w:kern w:val="2"/>
          <w:sz w:val="24"/>
          <w:szCs w:val="24"/>
          <w:highlight w:val="none"/>
          <w:lang w:val="en-US" w:eastAsia="zh-CN" w:bidi="ar"/>
        </w:rPr>
        <w:t>交易平台</w:t>
      </w:r>
      <w:r>
        <w:rPr>
          <w:rFonts w:hint="eastAsia" w:ascii="宋体" w:hAnsi="Calibri"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“项目答疑纪要”专区公开发布。答疑纪要一经在</w:t>
      </w:r>
      <w:r>
        <w:rPr>
          <w:rFonts w:hint="eastAsia" w:ascii="宋体" w:hAnsi="宋体" w:eastAsia="宋体" w:cs="宋体"/>
          <w:color w:val="auto"/>
          <w:kern w:val="2"/>
          <w:sz w:val="24"/>
          <w:szCs w:val="24"/>
          <w:highlight w:val="none"/>
          <w:u w:val="single"/>
          <w:lang w:val="en-US" w:eastAsia="zh-CN" w:bidi="ar"/>
        </w:rPr>
        <w:t>广州公共资源交易中心</w:t>
      </w:r>
      <w:r>
        <w:rPr>
          <w:rFonts w:hint="eastAsia" w:ascii="宋体" w:hAnsi="宋体" w:eastAsia="宋体" w:cs="宋体"/>
          <w:color w:val="auto"/>
          <w:kern w:val="2"/>
          <w:sz w:val="24"/>
          <w:szCs w:val="24"/>
          <w:highlight w:val="none"/>
          <w:lang w:val="en-US" w:eastAsia="zh-CN" w:bidi="ar"/>
        </w:rPr>
        <w:t>交易平台发布，视作已发放给所有投标人。</w:t>
      </w:r>
    </w:p>
    <w:p w14:paraId="1CB08ADD">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9.2             </w:t>
      </w:r>
      <w:r>
        <w:rPr>
          <w:rFonts w:hint="eastAsia" w:ascii="宋体" w:hAnsi="宋体" w:eastAsia="宋体" w:cs="宋体"/>
          <w:b/>
          <w:bCs w:val="0"/>
          <w:color w:val="auto"/>
          <w:kern w:val="2"/>
          <w:sz w:val="24"/>
          <w:szCs w:val="24"/>
          <w:highlight w:val="none"/>
          <w:lang w:val="en-US" w:eastAsia="zh-CN" w:bidi="ar"/>
        </w:rPr>
        <w:t>修改类型：修改</w:t>
      </w:r>
    </w:p>
    <w:p w14:paraId="0F490A31">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9.2</w:t>
      </w:r>
      <w:r>
        <w:rPr>
          <w:rFonts w:hint="eastAsia" w:ascii="宋体" w:hAnsi="宋体" w:eastAsia="宋体" w:cs="宋体"/>
          <w:color w:val="auto"/>
          <w:kern w:val="2"/>
          <w:sz w:val="24"/>
          <w:szCs w:val="24"/>
          <w:highlight w:val="none"/>
          <w:lang w:val="en-US" w:eastAsia="zh-CN" w:bidi="ar"/>
        </w:rPr>
        <w:t>招标文件的澄清或修改将在</w:t>
      </w:r>
      <w:r>
        <w:rPr>
          <w:rFonts w:hint="default" w:ascii="Calibri" w:hAnsi="Calibri"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交易平台“项目答疑纪要”专区公开发布。答疑纪要一经在</w:t>
      </w:r>
      <w:r>
        <w:rPr>
          <w:rFonts w:hint="default" w:ascii="Calibri" w:hAnsi="Calibri"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交易平台发布，视作已发放给所有投标人，以</w:t>
      </w:r>
      <w:r>
        <w:rPr>
          <w:rFonts w:hint="default" w:ascii="Calibri" w:hAnsi="Calibri"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交易平台上网发布时间作为送达时间。</w:t>
      </w:r>
    </w:p>
    <w:p w14:paraId="650305B5">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color w:val="auto"/>
          <w:kern w:val="2"/>
          <w:sz w:val="24"/>
          <w:szCs w:val="24"/>
          <w:highlight w:val="none"/>
          <w:lang w:val="en-US" w:eastAsia="zh-CN" w:bidi="ar"/>
        </w:rPr>
        <w:t>9.2</w:t>
      </w:r>
      <w:r>
        <w:rPr>
          <w:rFonts w:hint="eastAsia" w:ascii="宋体" w:hAnsi="宋体" w:eastAsia="宋体" w:cs="宋体"/>
          <w:color w:val="auto"/>
          <w:kern w:val="2"/>
          <w:sz w:val="24"/>
          <w:szCs w:val="24"/>
          <w:highlight w:val="none"/>
          <w:lang w:val="en-US" w:eastAsia="zh-CN" w:bidi="ar"/>
        </w:rPr>
        <w:t>招标文件的澄清或修改将在</w:t>
      </w:r>
      <w:r>
        <w:rPr>
          <w:rFonts w:hint="eastAsia" w:ascii="宋体" w:hAnsi="宋体" w:eastAsia="宋体" w:cs="宋体"/>
          <w:color w:val="auto"/>
          <w:kern w:val="2"/>
          <w:sz w:val="24"/>
          <w:szCs w:val="24"/>
          <w:highlight w:val="none"/>
          <w:u w:val="single"/>
          <w:lang w:val="en-US" w:eastAsia="zh-CN" w:bidi="ar"/>
        </w:rPr>
        <w:t>广州公共资源交易中心</w:t>
      </w:r>
      <w:r>
        <w:rPr>
          <w:rFonts w:hint="eastAsia" w:ascii="宋体" w:hAnsi="宋体" w:eastAsia="宋体" w:cs="宋体"/>
          <w:color w:val="auto"/>
          <w:kern w:val="2"/>
          <w:sz w:val="24"/>
          <w:szCs w:val="24"/>
          <w:highlight w:val="none"/>
          <w:lang w:val="en-US" w:eastAsia="zh-CN" w:bidi="ar"/>
        </w:rPr>
        <w:t>交易平台“项目答疑纪要”专区公开发布。答疑纪要一经在</w:t>
      </w:r>
      <w:r>
        <w:rPr>
          <w:rFonts w:hint="eastAsia" w:ascii="宋体" w:hAnsi="宋体" w:eastAsia="宋体" w:cs="宋体"/>
          <w:color w:val="auto"/>
          <w:kern w:val="2"/>
          <w:sz w:val="24"/>
          <w:szCs w:val="24"/>
          <w:highlight w:val="none"/>
          <w:u w:val="single"/>
          <w:lang w:val="en-US" w:eastAsia="zh-CN" w:bidi="ar"/>
        </w:rPr>
        <w:t>广州公共资源交易中心</w:t>
      </w:r>
      <w:r>
        <w:rPr>
          <w:rFonts w:hint="eastAsia" w:ascii="宋体" w:hAnsi="宋体" w:eastAsia="宋体" w:cs="宋体"/>
          <w:color w:val="auto"/>
          <w:kern w:val="2"/>
          <w:sz w:val="24"/>
          <w:szCs w:val="24"/>
          <w:highlight w:val="none"/>
          <w:lang w:val="en-US" w:eastAsia="zh-CN" w:bidi="ar"/>
        </w:rPr>
        <w:t>交易平台发布，视作已发放给所有投标人，以</w:t>
      </w:r>
      <w:r>
        <w:rPr>
          <w:rFonts w:hint="eastAsia" w:ascii="宋体" w:hAnsi="宋体" w:eastAsia="宋体" w:cs="宋体"/>
          <w:color w:val="auto"/>
          <w:kern w:val="2"/>
          <w:sz w:val="24"/>
          <w:szCs w:val="24"/>
          <w:highlight w:val="none"/>
          <w:u w:val="single"/>
          <w:lang w:val="en-US" w:eastAsia="zh-CN" w:bidi="ar"/>
        </w:rPr>
        <w:t>广州公共资源交易中心</w:t>
      </w:r>
      <w:r>
        <w:rPr>
          <w:rFonts w:hint="eastAsia" w:ascii="宋体" w:hAnsi="宋体" w:eastAsia="宋体" w:cs="宋体"/>
          <w:color w:val="auto"/>
          <w:kern w:val="2"/>
          <w:sz w:val="24"/>
          <w:szCs w:val="24"/>
          <w:highlight w:val="none"/>
          <w:lang w:val="en-US" w:eastAsia="zh-CN" w:bidi="ar"/>
        </w:rPr>
        <w:t>交易平台上网发布时间作为送达时间。</w:t>
      </w:r>
    </w:p>
    <w:p w14:paraId="2029F392">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条款号：9.4             修改类型：修改</w:t>
      </w:r>
    </w:p>
    <w:p w14:paraId="431A5510">
      <w:pPr>
        <w:pStyle w:val="14"/>
        <w:keepNext w:val="0"/>
        <w:keepLines w:val="0"/>
        <w:widowControl w:val="0"/>
        <w:suppressLineNumbers w:val="0"/>
        <w:spacing w:before="0" w:beforeAutospacing="1" w:after="0" w:afterAutospacing="0" w:line="360" w:lineRule="auto"/>
        <w:ind w:left="0" w:right="0" w:firstLine="482"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color w:val="auto"/>
          <w:kern w:val="2"/>
          <w:sz w:val="24"/>
          <w:szCs w:val="24"/>
          <w:highlight w:val="none"/>
          <w:lang w:val="en-US" w:eastAsia="zh-CN" w:bidi="ar"/>
        </w:rPr>
        <w:t>9.4招标文件的澄清或修改均以书面形式明确的内容为准。当招标文件的澄清、修改、补充等在同一内容的表述不一致时，以最后发出的书面形式的文件为准。</w:t>
      </w:r>
    </w:p>
    <w:p w14:paraId="3C9C7C01">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2" w:firstLineChars="200"/>
        <w:jc w:val="both"/>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lang w:val="en-US" w:eastAsia="zh-CN" w:bidi="ar"/>
        </w:rPr>
        <w:t>9.4招标文件的澄清、修改均以</w:t>
      </w:r>
      <w:r>
        <w:rPr>
          <w:rFonts w:hint="eastAsia" w:ascii="宋体" w:hAnsi="宋体" w:eastAsia="宋体" w:cs="宋体"/>
          <w:color w:val="auto"/>
          <w:kern w:val="2"/>
          <w:sz w:val="24"/>
          <w:szCs w:val="24"/>
          <w:highlight w:val="none"/>
          <w:u w:val="single"/>
          <w:lang w:val="en-US" w:eastAsia="zh-CN" w:bidi="ar"/>
        </w:rPr>
        <w:t>广州公共资源交易中心</w:t>
      </w:r>
      <w:r>
        <w:rPr>
          <w:rFonts w:hint="eastAsia" w:ascii="宋体" w:hAnsi="宋体" w:eastAsia="宋体" w:cs="宋体"/>
          <w:color w:val="auto"/>
          <w:kern w:val="2"/>
          <w:sz w:val="24"/>
          <w:szCs w:val="24"/>
          <w:highlight w:val="none"/>
          <w:lang w:val="en-US" w:eastAsia="zh-CN" w:bidi="ar"/>
        </w:rPr>
        <w:t>交易平台发布的内容为准。当招标文件的澄清、修改在同一内容的表述不一致时，以</w:t>
      </w:r>
      <w:r>
        <w:rPr>
          <w:rFonts w:hint="eastAsia" w:ascii="宋体" w:hAnsi="宋体" w:eastAsia="宋体" w:cs="宋体"/>
          <w:color w:val="auto"/>
          <w:kern w:val="2"/>
          <w:sz w:val="24"/>
          <w:szCs w:val="24"/>
          <w:highlight w:val="none"/>
          <w:u w:val="single"/>
          <w:lang w:val="en-US" w:eastAsia="zh-CN" w:bidi="ar"/>
        </w:rPr>
        <w:t>广州公共资源交易中心</w:t>
      </w:r>
      <w:r>
        <w:rPr>
          <w:rFonts w:hint="eastAsia" w:ascii="宋体" w:hAnsi="宋体" w:eastAsia="宋体" w:cs="宋体"/>
          <w:color w:val="auto"/>
          <w:kern w:val="2"/>
          <w:sz w:val="24"/>
          <w:szCs w:val="24"/>
          <w:highlight w:val="none"/>
          <w:lang w:val="en-US" w:eastAsia="zh-CN" w:bidi="ar"/>
        </w:rPr>
        <w:t>交易平台最后发布的内容为准。</w:t>
      </w:r>
    </w:p>
    <w:p w14:paraId="081E6B71">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11.2           </w:t>
      </w:r>
      <w:r>
        <w:rPr>
          <w:rFonts w:hint="eastAsia" w:ascii="宋体" w:hAnsi="宋体" w:eastAsia="宋体" w:cs="宋体"/>
          <w:b/>
          <w:bCs w:val="0"/>
          <w:color w:val="auto"/>
          <w:kern w:val="2"/>
          <w:sz w:val="24"/>
          <w:szCs w:val="24"/>
          <w:highlight w:val="none"/>
          <w:lang w:val="en-US" w:eastAsia="zh-CN" w:bidi="ar"/>
        </w:rPr>
        <w:t>修改类型：修改</w:t>
      </w:r>
    </w:p>
    <w:p w14:paraId="60986BC6">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bCs/>
          <w:color w:val="auto"/>
          <w:kern w:val="2"/>
          <w:sz w:val="24"/>
          <w:szCs w:val="24"/>
          <w:highlight w:val="none"/>
          <w:lang w:val="en-US" w:eastAsia="zh-CN" w:bidi="ar"/>
        </w:rPr>
        <w:t>11.2</w:t>
      </w:r>
      <w:r>
        <w:rPr>
          <w:rFonts w:hint="eastAsia" w:ascii="宋体" w:hAnsi="宋体" w:eastAsia="宋体" w:cs="宋体"/>
          <w:bCs/>
          <w:color w:val="auto"/>
          <w:kern w:val="2"/>
          <w:sz w:val="24"/>
          <w:szCs w:val="24"/>
          <w:highlight w:val="none"/>
          <w:lang w:val="en-US" w:eastAsia="zh-CN" w:bidi="ar"/>
        </w:rPr>
        <w:t>投标文件技术标部分主要包括下列内容</w:t>
      </w:r>
      <w:r>
        <w:rPr>
          <w:rFonts w:hint="default" w:ascii="Times New Roman" w:hAnsi="Times New Roman" w:eastAsia="宋体" w:cs="Times New Roman"/>
          <w:bCs/>
          <w:color w:val="auto"/>
          <w:kern w:val="2"/>
          <w:sz w:val="24"/>
          <w:szCs w:val="24"/>
          <w:highlight w:val="none"/>
          <w:lang w:val="en-US" w:eastAsia="zh-CN" w:bidi="ar"/>
        </w:rPr>
        <w:t>:</w:t>
      </w:r>
    </w:p>
    <w:p w14:paraId="74515BE6">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bCs/>
          <w:color w:val="auto"/>
          <w:kern w:val="2"/>
          <w:sz w:val="24"/>
          <w:szCs w:val="24"/>
          <w:highlight w:val="none"/>
          <w:lang w:val="en-US" w:eastAsia="zh-CN" w:bidi="ar"/>
        </w:rPr>
        <w:t xml:space="preserve">11.2.1 </w:t>
      </w:r>
      <w:r>
        <w:rPr>
          <w:rFonts w:hint="eastAsia" w:ascii="宋体" w:hAnsi="宋体" w:eastAsia="宋体" w:cs="宋体"/>
          <w:bCs/>
          <w:color w:val="auto"/>
          <w:kern w:val="2"/>
          <w:sz w:val="24"/>
          <w:szCs w:val="24"/>
          <w:highlight w:val="none"/>
          <w:lang w:val="en-US" w:eastAsia="zh-CN" w:bidi="ar"/>
        </w:rPr>
        <w:t>技术投标文件</w:t>
      </w:r>
      <w:r>
        <w:rPr>
          <w:rFonts w:hint="default" w:ascii="Times New Roman" w:hAnsi="Times New Roman" w:eastAsia="宋体" w:cs="Times New Roman"/>
          <w:bCs/>
          <w:color w:val="auto"/>
          <w:kern w:val="2"/>
          <w:sz w:val="24"/>
          <w:szCs w:val="24"/>
          <w:highlight w:val="none"/>
          <w:lang w:val="en-US" w:eastAsia="zh-CN" w:bidi="ar"/>
        </w:rPr>
        <w:t>(</w:t>
      </w:r>
      <w:r>
        <w:rPr>
          <w:rFonts w:hint="eastAsia" w:ascii="宋体" w:hAnsi="宋体" w:eastAsia="宋体" w:cs="宋体"/>
          <w:bCs/>
          <w:color w:val="auto"/>
          <w:kern w:val="2"/>
          <w:sz w:val="24"/>
          <w:szCs w:val="24"/>
          <w:highlight w:val="none"/>
          <w:lang w:val="en-US" w:eastAsia="zh-CN" w:bidi="ar"/>
        </w:rPr>
        <w:t>按招标文件的要求填写</w:t>
      </w:r>
      <w:r>
        <w:rPr>
          <w:rFonts w:hint="default" w:ascii="Times New Roman" w:hAnsi="Times New Roman" w:eastAsia="宋体" w:cs="Times New Roman"/>
          <w:bCs/>
          <w:color w:val="auto"/>
          <w:kern w:val="2"/>
          <w:sz w:val="24"/>
          <w:szCs w:val="24"/>
          <w:highlight w:val="none"/>
          <w:lang w:val="en-US" w:eastAsia="zh-CN" w:bidi="ar"/>
        </w:rPr>
        <w:t>)</w:t>
      </w:r>
      <w:r>
        <w:rPr>
          <w:rFonts w:hint="eastAsia" w:ascii="宋体" w:hAnsi="宋体" w:eastAsia="宋体" w:cs="宋体"/>
          <w:bCs/>
          <w:color w:val="auto"/>
          <w:kern w:val="2"/>
          <w:sz w:val="24"/>
          <w:szCs w:val="24"/>
          <w:highlight w:val="none"/>
          <w:lang w:val="en-US" w:eastAsia="zh-CN" w:bidi="ar"/>
        </w:rPr>
        <w:t>；</w:t>
      </w:r>
    </w:p>
    <w:p w14:paraId="2D97402F">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bCs/>
          <w:color w:val="auto"/>
          <w:kern w:val="2"/>
          <w:sz w:val="24"/>
          <w:szCs w:val="24"/>
          <w:highlight w:val="none"/>
          <w:lang w:val="en-US" w:eastAsia="zh-CN" w:bidi="ar"/>
        </w:rPr>
        <w:t xml:space="preserve">11.2.2 </w:t>
      </w:r>
      <w:r>
        <w:rPr>
          <w:rFonts w:hint="eastAsia" w:ascii="宋体" w:hAnsi="宋体" w:eastAsia="宋体" w:cs="宋体"/>
          <w:bCs/>
          <w:color w:val="auto"/>
          <w:kern w:val="2"/>
          <w:sz w:val="24"/>
          <w:szCs w:val="24"/>
          <w:highlight w:val="none"/>
          <w:lang w:val="en-US" w:eastAsia="zh-CN" w:bidi="ar"/>
        </w:rPr>
        <w:t>资格审查文件：</w:t>
      </w:r>
    </w:p>
    <w:p w14:paraId="5F33B172">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1</w:t>
      </w:r>
      <w:r>
        <w:rPr>
          <w:rFonts w:hint="eastAsia" w:ascii="宋体" w:hAnsi="宋体" w:eastAsia="宋体" w:cs="宋体"/>
          <w:bCs/>
          <w:color w:val="auto"/>
          <w:kern w:val="2"/>
          <w:sz w:val="24"/>
          <w:szCs w:val="24"/>
          <w:highlight w:val="none"/>
          <w:lang w:val="en-US" w:eastAsia="zh-CN" w:bidi="ar"/>
        </w:rPr>
        <w:t xml:space="preserve">）投标人声明； </w:t>
      </w:r>
    </w:p>
    <w:p w14:paraId="6961639D">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2</w:t>
      </w:r>
      <w:r>
        <w:rPr>
          <w:rFonts w:hint="eastAsia" w:ascii="宋体" w:hAnsi="宋体" w:eastAsia="宋体" w:cs="宋体"/>
          <w:bCs/>
          <w:color w:val="auto"/>
          <w:kern w:val="2"/>
          <w:sz w:val="24"/>
          <w:szCs w:val="24"/>
          <w:highlight w:val="none"/>
          <w:lang w:val="en-US" w:eastAsia="zh-CN" w:bidi="ar"/>
        </w:rPr>
        <w:t>）法定代表人证明书、法定代表人签字或盖章的本投标文件授权委托证明书；</w:t>
      </w:r>
    </w:p>
    <w:p w14:paraId="43C7D44C">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3</w:t>
      </w:r>
      <w:r>
        <w:rPr>
          <w:rFonts w:hint="eastAsia" w:ascii="宋体" w:hAnsi="宋体" w:eastAsia="宋体" w:cs="宋体"/>
          <w:bCs/>
          <w:color w:val="auto"/>
          <w:kern w:val="2"/>
          <w:sz w:val="24"/>
          <w:szCs w:val="24"/>
          <w:highlight w:val="none"/>
          <w:lang w:val="en-US" w:eastAsia="zh-CN" w:bidi="ar"/>
        </w:rPr>
        <w:t>）企业营业执照（取自平台内上传件）；</w:t>
      </w:r>
    </w:p>
    <w:p w14:paraId="14E3279C">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4</w:t>
      </w:r>
      <w:r>
        <w:rPr>
          <w:rFonts w:hint="eastAsia" w:ascii="宋体" w:hAnsi="宋体" w:eastAsia="宋体" w:cs="宋体"/>
          <w:bCs/>
          <w:color w:val="auto"/>
          <w:kern w:val="2"/>
          <w:sz w:val="24"/>
          <w:szCs w:val="24"/>
          <w:highlight w:val="none"/>
          <w:lang w:val="en-US" w:eastAsia="zh-CN" w:bidi="ar"/>
        </w:rPr>
        <w:t>）企业资质证书（取自平台内上传件）；</w:t>
      </w:r>
    </w:p>
    <w:p w14:paraId="63DD9222">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5</w:t>
      </w:r>
      <w:r>
        <w:rPr>
          <w:rFonts w:hint="eastAsia" w:ascii="宋体" w:hAnsi="宋体" w:eastAsia="宋体" w:cs="宋体"/>
          <w:bCs/>
          <w:color w:val="auto"/>
          <w:kern w:val="2"/>
          <w:sz w:val="24"/>
          <w:szCs w:val="24"/>
          <w:highlight w:val="none"/>
          <w:lang w:val="en-US" w:eastAsia="zh-CN" w:bidi="ar"/>
        </w:rPr>
        <w:t>）建筑施工企业安全生产许可证（取自平台内上传件）；</w:t>
      </w:r>
    </w:p>
    <w:p w14:paraId="1CD43A3B">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6</w:t>
      </w:r>
      <w:r>
        <w:rPr>
          <w:rFonts w:hint="eastAsia" w:ascii="宋体" w:hAnsi="宋体" w:eastAsia="宋体" w:cs="宋体"/>
          <w:bCs/>
          <w:color w:val="auto"/>
          <w:kern w:val="2"/>
          <w:sz w:val="24"/>
          <w:szCs w:val="24"/>
          <w:highlight w:val="none"/>
          <w:lang w:val="en-US" w:eastAsia="zh-CN" w:bidi="ar"/>
        </w:rPr>
        <w:t>）项目负责人（按网上投标登记时选择拟投标的项目负责人）</w:t>
      </w:r>
    </w:p>
    <w:p w14:paraId="694E9718">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7</w:t>
      </w:r>
      <w:r>
        <w:rPr>
          <w:rFonts w:hint="eastAsia" w:ascii="宋体" w:hAnsi="宋体" w:eastAsia="宋体" w:cs="宋体"/>
          <w:bCs/>
          <w:color w:val="auto"/>
          <w:kern w:val="2"/>
          <w:sz w:val="24"/>
          <w:szCs w:val="24"/>
          <w:highlight w:val="none"/>
          <w:lang w:val="en-US" w:eastAsia="zh-CN" w:bidi="ar"/>
        </w:rPr>
        <w:t>）专职安全员（按网上投标登记时选择拟投标的专职安全员）</w:t>
      </w:r>
    </w:p>
    <w:p w14:paraId="511FD151">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8</w:t>
      </w:r>
      <w:r>
        <w:rPr>
          <w:rFonts w:hint="eastAsia" w:ascii="宋体" w:hAnsi="宋体" w:eastAsia="宋体" w:cs="宋体"/>
          <w:bCs/>
          <w:color w:val="auto"/>
          <w:kern w:val="2"/>
          <w:sz w:val="24"/>
          <w:szCs w:val="24"/>
          <w:highlight w:val="none"/>
          <w:lang w:val="en-US" w:eastAsia="zh-CN" w:bidi="ar"/>
        </w:rPr>
        <w:t>）拟委托技术负责人的相关证书、资料（具体要求由招标人明确）</w:t>
      </w:r>
    </w:p>
    <w:p w14:paraId="2E5D80FD">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9</w:t>
      </w:r>
      <w:r>
        <w:rPr>
          <w:rFonts w:hint="eastAsia" w:ascii="宋体" w:hAnsi="宋体" w:eastAsia="宋体" w:cs="宋体"/>
          <w:bCs/>
          <w:color w:val="auto"/>
          <w:kern w:val="2"/>
          <w:sz w:val="24"/>
          <w:szCs w:val="24"/>
          <w:highlight w:val="none"/>
          <w:lang w:val="en-US" w:eastAsia="zh-CN" w:bidi="ar"/>
        </w:rPr>
        <w:t xml:space="preserve">）拟委派项目负责人的建造师注册证书（取自平台内上传件）；  </w:t>
      </w:r>
    </w:p>
    <w:p w14:paraId="39B630C8">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10</w:t>
      </w:r>
      <w:r>
        <w:rPr>
          <w:rFonts w:hint="eastAsia" w:ascii="宋体" w:hAnsi="宋体" w:eastAsia="宋体" w:cs="宋体"/>
          <w:bCs/>
          <w:color w:val="auto"/>
          <w:kern w:val="2"/>
          <w:sz w:val="24"/>
          <w:szCs w:val="24"/>
          <w:highlight w:val="none"/>
          <w:lang w:val="en-US" w:eastAsia="zh-CN" w:bidi="ar"/>
        </w:rPr>
        <w:t>）项目负责人安全生产考核合格证明或在有效期内的安全考核合格证书（</w:t>
      </w:r>
      <w:r>
        <w:rPr>
          <w:rFonts w:hint="default" w:ascii="Times New Roman" w:hAnsi="Times New Roman" w:eastAsia="宋体" w:cs="Times New Roman"/>
          <w:bCs/>
          <w:color w:val="auto"/>
          <w:kern w:val="2"/>
          <w:sz w:val="24"/>
          <w:szCs w:val="24"/>
          <w:highlight w:val="none"/>
          <w:lang w:val="en-US" w:eastAsia="zh-CN" w:bidi="ar"/>
        </w:rPr>
        <w:t>B</w:t>
      </w:r>
      <w:r>
        <w:rPr>
          <w:rFonts w:hint="eastAsia" w:ascii="宋体" w:hAnsi="宋体" w:eastAsia="宋体" w:cs="宋体"/>
          <w:bCs/>
          <w:color w:val="auto"/>
          <w:kern w:val="2"/>
          <w:sz w:val="24"/>
          <w:szCs w:val="24"/>
          <w:highlight w:val="none"/>
          <w:lang w:val="en-US" w:eastAsia="zh-CN" w:bidi="ar"/>
        </w:rPr>
        <w:t>类）或建筑施工企业项目负责人安全生产考核合格证书（取自平台内上传件）；</w:t>
      </w:r>
    </w:p>
    <w:p w14:paraId="1E9F1920">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11</w:t>
      </w:r>
      <w:r>
        <w:rPr>
          <w:rFonts w:hint="eastAsia" w:ascii="宋体" w:hAnsi="宋体" w:eastAsia="宋体" w:cs="宋体"/>
          <w:bCs/>
          <w:color w:val="auto"/>
          <w:kern w:val="2"/>
          <w:sz w:val="24"/>
          <w:szCs w:val="24"/>
          <w:highlight w:val="none"/>
          <w:lang w:val="en-US" w:eastAsia="zh-CN" w:bidi="ar"/>
        </w:rPr>
        <w:t>）专职安全员须具有在有效期内的安全考核合格证书（</w:t>
      </w:r>
      <w:r>
        <w:rPr>
          <w:rFonts w:hint="default" w:ascii="Times New Roman" w:hAnsi="Times New Roman" w:eastAsia="宋体" w:cs="Times New Roman"/>
          <w:bCs/>
          <w:color w:val="auto"/>
          <w:kern w:val="2"/>
          <w:sz w:val="24"/>
          <w:szCs w:val="24"/>
          <w:highlight w:val="none"/>
          <w:lang w:val="en-US" w:eastAsia="zh-CN" w:bidi="ar"/>
        </w:rPr>
        <w:t>C</w:t>
      </w:r>
      <w:r>
        <w:rPr>
          <w:rFonts w:hint="eastAsia" w:ascii="宋体" w:hAnsi="宋体" w:eastAsia="宋体" w:cs="宋体"/>
          <w:bCs/>
          <w:color w:val="auto"/>
          <w:kern w:val="2"/>
          <w:sz w:val="24"/>
          <w:szCs w:val="24"/>
          <w:highlight w:val="none"/>
          <w:lang w:val="en-US" w:eastAsia="zh-CN" w:bidi="ar"/>
        </w:rPr>
        <w:t>类）或建筑施工企业专职安全生产管理人员安全生产考核合格证书（取自平台内上传件）；</w:t>
      </w:r>
    </w:p>
    <w:p w14:paraId="41CD08A8">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12</w:t>
      </w:r>
      <w:r>
        <w:rPr>
          <w:rFonts w:hint="eastAsia" w:ascii="宋体" w:hAnsi="宋体" w:eastAsia="宋体" w:cs="宋体"/>
          <w:bCs/>
          <w:color w:val="auto"/>
          <w:kern w:val="2"/>
          <w:sz w:val="24"/>
          <w:szCs w:val="24"/>
          <w:highlight w:val="none"/>
          <w:lang w:val="en-US" w:eastAsia="zh-CN" w:bidi="ar"/>
        </w:rPr>
        <w:t>）用于资格审查的业绩（设置业绩要求时选择此项，投标人须提供类似工程业绩的项目名称及项目编号，具体格式由招标人自定）；</w:t>
      </w:r>
    </w:p>
    <w:p w14:paraId="1CA73900">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13</w:t>
      </w:r>
      <w:r>
        <w:rPr>
          <w:rFonts w:hint="eastAsia" w:ascii="宋体" w:hAnsi="宋体" w:eastAsia="宋体" w:cs="宋体"/>
          <w:bCs/>
          <w:color w:val="auto"/>
          <w:kern w:val="2"/>
          <w:sz w:val="24"/>
          <w:szCs w:val="24"/>
          <w:highlight w:val="none"/>
          <w:lang w:val="en-US" w:eastAsia="zh-CN" w:bidi="ar"/>
        </w:rPr>
        <w:t>）资格审查前，投标人须在广州市住房和城乡建设局建立企业信用档案，拟担任本工程项目负责人、专职安全员须是本企业信用档案中的在册人员。</w:t>
      </w:r>
    </w:p>
    <w:p w14:paraId="79147F5C">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14</w:t>
      </w:r>
      <w:r>
        <w:rPr>
          <w:rFonts w:hint="eastAsia" w:ascii="宋体" w:hAnsi="宋体" w:eastAsia="宋体" w:cs="宋体"/>
          <w:bCs/>
          <w:color w:val="auto"/>
          <w:kern w:val="2"/>
          <w:sz w:val="24"/>
          <w:szCs w:val="24"/>
          <w:highlight w:val="none"/>
          <w:lang w:val="en-US" w:eastAsia="zh-CN" w:bidi="ar"/>
        </w:rPr>
        <w:t xml:space="preserve">）列明主办单位的联合体工作协议（采用联合体投标时需递交，投标人拟任本工程项目负责人应为联合体主办方信用档案中的在册人员，联合体工作协议应明确约定各方拟承担的工作和责任）； </w:t>
      </w:r>
    </w:p>
    <w:p w14:paraId="61A06F0B">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15</w:t>
      </w:r>
      <w:r>
        <w:rPr>
          <w:rFonts w:hint="eastAsia" w:ascii="宋体" w:hAnsi="宋体" w:eastAsia="宋体" w:cs="宋体"/>
          <w:bCs/>
          <w:color w:val="auto"/>
          <w:kern w:val="2"/>
          <w:sz w:val="24"/>
          <w:szCs w:val="24"/>
          <w:highlight w:val="none"/>
          <w:lang w:val="en-US" w:eastAsia="zh-CN" w:bidi="ar"/>
        </w:rPr>
        <w:t>）投标人具有在广州地区可使用适合本工程的机械设备的证明文件（提供沥青摊铺机自有发票或权属证明及设备现场全貌彩照（彩照须能反映其规格型号））。（含有市政道路面层沥青摊铺且沥青摊铺占预计发包价</w:t>
      </w:r>
      <w:r>
        <w:rPr>
          <w:rFonts w:hint="default" w:ascii="Times New Roman" w:hAnsi="Times New Roman" w:eastAsia="宋体" w:cs="Times New Roman"/>
          <w:bCs/>
          <w:color w:val="auto"/>
          <w:kern w:val="2"/>
          <w:sz w:val="24"/>
          <w:szCs w:val="24"/>
          <w:highlight w:val="none"/>
          <w:lang w:val="en-US" w:eastAsia="zh-CN" w:bidi="ar"/>
        </w:rPr>
        <w:t>50%</w:t>
      </w:r>
      <w:r>
        <w:rPr>
          <w:rFonts w:hint="eastAsia" w:ascii="宋体" w:hAnsi="宋体" w:eastAsia="宋体" w:cs="宋体"/>
          <w:bCs/>
          <w:color w:val="auto"/>
          <w:kern w:val="2"/>
          <w:sz w:val="24"/>
          <w:szCs w:val="24"/>
          <w:highlight w:val="none"/>
          <w:lang w:val="en-US" w:eastAsia="zh-CN" w:bidi="ar"/>
        </w:rPr>
        <w:t>或以上的大、中修市政公用工程需提供该项内容的证明文件）。</w:t>
      </w:r>
    </w:p>
    <w:p w14:paraId="10D0431C">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bCs/>
          <w:color w:val="auto"/>
          <w:kern w:val="2"/>
          <w:sz w:val="24"/>
          <w:szCs w:val="24"/>
          <w:highlight w:val="none"/>
          <w:lang w:val="en-US" w:eastAsia="zh-CN" w:bidi="ar"/>
        </w:rPr>
        <w:t>11.2.3</w:t>
      </w:r>
      <w:r>
        <w:rPr>
          <w:rFonts w:hint="eastAsia" w:ascii="宋体" w:hAnsi="宋体" w:eastAsia="宋体" w:cs="宋体"/>
          <w:bCs/>
          <w:color w:val="auto"/>
          <w:kern w:val="2"/>
          <w:sz w:val="24"/>
          <w:szCs w:val="24"/>
          <w:highlight w:val="none"/>
          <w:lang w:val="en-US" w:eastAsia="zh-CN" w:bidi="ar"/>
        </w:rPr>
        <w:t>项目管理机构配备。</w:t>
      </w:r>
    </w:p>
    <w:p w14:paraId="1EE82B24">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1</w:t>
      </w:r>
      <w:r>
        <w:rPr>
          <w:rFonts w:hint="eastAsia" w:ascii="宋体" w:hAnsi="宋体" w:eastAsia="宋体" w:cs="宋体"/>
          <w:bCs/>
          <w:color w:val="auto"/>
          <w:kern w:val="2"/>
          <w:sz w:val="24"/>
          <w:szCs w:val="24"/>
          <w:highlight w:val="none"/>
          <w:lang w:val="en-US" w:eastAsia="zh-CN" w:bidi="ar"/>
        </w:rPr>
        <w:t>）投标人应列出该项目工程的施工组织机构构成和画出机构框架图及其负责人；</w:t>
      </w:r>
    </w:p>
    <w:p w14:paraId="5F1CE56D">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2</w:t>
      </w:r>
      <w:r>
        <w:rPr>
          <w:rFonts w:hint="eastAsia" w:ascii="宋体" w:hAnsi="宋体" w:eastAsia="宋体" w:cs="宋体"/>
          <w:bCs/>
          <w:color w:val="auto"/>
          <w:kern w:val="2"/>
          <w:sz w:val="24"/>
          <w:szCs w:val="24"/>
          <w:highlight w:val="none"/>
          <w:lang w:val="en-US" w:eastAsia="zh-CN" w:bidi="ar"/>
        </w:rPr>
        <w:t>）投标人应详细列出该施工组织机构中主要成员的名单、简历资料、职务职称和在本项目中拟担任的职务等资料，并附上有关证明材料扫描件；</w:t>
      </w:r>
    </w:p>
    <w:p w14:paraId="29111A97">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w:t>
      </w:r>
      <w:r>
        <w:rPr>
          <w:rFonts w:hint="default" w:ascii="Times New Roman" w:hAnsi="Times New Roman" w:eastAsia="宋体" w:cs="Times New Roman"/>
          <w:bCs/>
          <w:color w:val="auto"/>
          <w:kern w:val="2"/>
          <w:sz w:val="24"/>
          <w:szCs w:val="24"/>
          <w:highlight w:val="none"/>
          <w:lang w:val="en-US" w:eastAsia="zh-CN" w:bidi="ar"/>
        </w:rPr>
        <w:t>3</w:t>
      </w:r>
      <w:r>
        <w:rPr>
          <w:rFonts w:hint="eastAsia" w:ascii="宋体" w:hAnsi="宋体" w:eastAsia="宋体" w:cs="宋体"/>
          <w:bCs/>
          <w:color w:val="auto"/>
          <w:kern w:val="2"/>
          <w:sz w:val="24"/>
          <w:szCs w:val="24"/>
          <w:highlight w:val="none"/>
          <w:lang w:val="en-US" w:eastAsia="zh-CN" w:bidi="ar"/>
        </w:rPr>
        <w:t>）其他辅助说明资料。</w:t>
      </w:r>
    </w:p>
    <w:p w14:paraId="736D2BD9">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bCs/>
          <w:color w:val="auto"/>
          <w:kern w:val="2"/>
          <w:sz w:val="24"/>
          <w:szCs w:val="24"/>
          <w:highlight w:val="none"/>
          <w:lang w:val="en-US" w:eastAsia="zh-CN" w:bidi="ar"/>
        </w:rPr>
        <w:t>11.2.4</w:t>
      </w:r>
      <w:r>
        <w:rPr>
          <w:rFonts w:hint="eastAsia" w:ascii="宋体" w:hAnsi="宋体" w:eastAsia="宋体" w:cs="宋体"/>
          <w:bCs/>
          <w:color w:val="auto"/>
          <w:kern w:val="2"/>
          <w:sz w:val="24"/>
          <w:szCs w:val="24"/>
          <w:highlight w:val="none"/>
          <w:lang w:val="en-US" w:eastAsia="zh-CN" w:bidi="ar"/>
        </w:rPr>
        <w:t>投标人在广州市可使用适合本工程的机械设备（附：机械设备为自有或租赁的说明；及承诺机械设备如属于租赁的，其租赁是不属于重复租赁）。</w:t>
      </w:r>
    </w:p>
    <w:p w14:paraId="5FC8FEB0">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
          <w:bCs w:val="0"/>
          <w:color w:val="auto"/>
          <w:kern w:val="2"/>
          <w:sz w:val="24"/>
          <w:szCs w:val="24"/>
          <w:highlight w:val="none"/>
        </w:rPr>
      </w:pPr>
      <w:r>
        <w:rPr>
          <w:rFonts w:hint="default" w:ascii="Times New Roman" w:hAnsi="Times New Roman" w:eastAsia="宋体" w:cs="Times New Roman"/>
          <w:bCs/>
          <w:color w:val="auto"/>
          <w:kern w:val="2"/>
          <w:sz w:val="24"/>
          <w:szCs w:val="24"/>
          <w:highlight w:val="none"/>
          <w:lang w:val="en-US" w:eastAsia="zh-CN" w:bidi="ar"/>
        </w:rPr>
        <w:t>11.2.5</w:t>
      </w:r>
      <w:r>
        <w:rPr>
          <w:rFonts w:hint="eastAsia" w:ascii="宋体" w:hAnsi="宋体" w:eastAsia="宋体" w:cs="宋体"/>
          <w:bCs/>
          <w:color w:val="auto"/>
          <w:kern w:val="2"/>
          <w:sz w:val="24"/>
          <w:szCs w:val="24"/>
          <w:highlight w:val="none"/>
          <w:lang w:val="en-US" w:eastAsia="zh-CN" w:bidi="ar"/>
        </w:rPr>
        <w:t>施工组织设计或施工方案。</w:t>
      </w:r>
      <w:r>
        <w:rPr>
          <w:rFonts w:hint="eastAsia" w:ascii="宋体" w:hAnsi="宋体" w:eastAsia="宋体" w:cs="宋体"/>
          <w:b/>
          <w:bCs w:val="0"/>
          <w:color w:val="auto"/>
          <w:kern w:val="2"/>
          <w:sz w:val="24"/>
          <w:szCs w:val="24"/>
          <w:highlight w:val="none"/>
          <w:lang w:val="en-US" w:eastAsia="zh-CN" w:bidi="ar"/>
        </w:rPr>
        <w:t>（投标人在编制施工组织设计或施工方案时应按照招标人提出的施工现场建筑垃圾源头减量的具体要求以及建筑垃圾综合利用产品的使用要求提供相应措施。）</w:t>
      </w:r>
    </w:p>
    <w:p w14:paraId="39981B42">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bCs/>
          <w:color w:val="auto"/>
          <w:kern w:val="2"/>
          <w:sz w:val="24"/>
          <w:szCs w:val="24"/>
          <w:highlight w:val="none"/>
          <w:lang w:val="en-US" w:eastAsia="zh-CN" w:bidi="ar"/>
        </w:rPr>
        <w:t>11.2.6</w:t>
      </w:r>
      <w:r>
        <w:rPr>
          <w:rFonts w:hint="eastAsia" w:ascii="宋体" w:hAnsi="宋体" w:eastAsia="宋体" w:cs="宋体"/>
          <w:bCs/>
          <w:color w:val="auto"/>
          <w:kern w:val="2"/>
          <w:sz w:val="24"/>
          <w:szCs w:val="24"/>
          <w:highlight w:val="none"/>
          <w:lang w:val="en-US" w:eastAsia="zh-CN" w:bidi="ar"/>
        </w:rPr>
        <w:t>按照招标文件要求填写的《参与编制技术标投标文件人员名单》。</w:t>
      </w:r>
    </w:p>
    <w:p w14:paraId="0B92E14C">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Times New Roman" w:eastAsia="宋体" w:cs="Times New Roman"/>
          <w:color w:val="auto"/>
          <w:kern w:val="2"/>
          <w:sz w:val="24"/>
          <w:szCs w:val="24"/>
          <w:highlight w:val="none"/>
          <w:lang w:val="en-US" w:eastAsia="zh-CN" w:bidi="ar"/>
        </w:rPr>
        <w:t>11.2</w:t>
      </w:r>
      <w:r>
        <w:rPr>
          <w:rFonts w:hint="eastAsia" w:ascii="宋体" w:hAnsi="宋体" w:eastAsia="宋体" w:cs="宋体"/>
          <w:color w:val="auto"/>
          <w:kern w:val="2"/>
          <w:sz w:val="24"/>
          <w:szCs w:val="24"/>
          <w:highlight w:val="none"/>
          <w:lang w:val="en-US" w:eastAsia="zh-CN" w:bidi="ar"/>
        </w:rPr>
        <w:t>投标文件技术标部分主要包括下列内容</w:t>
      </w:r>
      <w:r>
        <w:rPr>
          <w:rFonts w:hint="eastAsia" w:ascii="宋体" w:hAnsi="Times New Roman" w:eastAsia="宋体" w:cs="Times New Roman"/>
          <w:color w:val="auto"/>
          <w:kern w:val="2"/>
          <w:sz w:val="24"/>
          <w:szCs w:val="24"/>
          <w:highlight w:val="none"/>
          <w:lang w:val="en-US" w:eastAsia="zh-CN" w:bidi="ar"/>
        </w:rPr>
        <w:t>:</w:t>
      </w:r>
    </w:p>
    <w:p w14:paraId="629850D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11.2.1 技术投标文件</w:t>
      </w:r>
      <w:r>
        <w:rPr>
          <w:rFonts w:hint="default" w:ascii="Times New Roman" w:hAnsi="Times New Roman" w:eastAsia="宋体" w:cs="Times New Roman"/>
          <w:bCs/>
          <w:color w:val="auto"/>
          <w:kern w:val="2"/>
          <w:sz w:val="24"/>
          <w:szCs w:val="24"/>
          <w:highlight w:val="none"/>
          <w:lang w:val="en-US" w:eastAsia="zh-CN" w:bidi="ar"/>
        </w:rPr>
        <w:t>(</w:t>
      </w:r>
      <w:r>
        <w:rPr>
          <w:rFonts w:hint="eastAsia" w:ascii="宋体" w:hAnsi="宋体" w:eastAsia="宋体" w:cs="宋体"/>
          <w:bCs/>
          <w:color w:val="auto"/>
          <w:kern w:val="2"/>
          <w:sz w:val="24"/>
          <w:szCs w:val="24"/>
          <w:highlight w:val="none"/>
          <w:lang w:val="en-US" w:eastAsia="zh-CN" w:bidi="ar"/>
        </w:rPr>
        <w:t>按招标文件的要求填写</w:t>
      </w:r>
      <w:r>
        <w:rPr>
          <w:rFonts w:hint="default" w:ascii="Times New Roman" w:hAnsi="Times New Roman" w:eastAsia="宋体" w:cs="Times New Roman"/>
          <w:bCs/>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w:t>
      </w:r>
    </w:p>
    <w:p w14:paraId="5EC435F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11.2.2 资格审查文件：</w:t>
      </w:r>
    </w:p>
    <w:p w14:paraId="429261C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（1）投标人声明</w:t>
      </w:r>
      <w:r>
        <w:rPr>
          <w:rFonts w:hint="eastAsia" w:ascii="宋体" w:hAnsi="宋体" w:eastAsia="宋体" w:cs="宋体"/>
          <w:color w:val="auto"/>
          <w:kern w:val="2"/>
          <w:sz w:val="24"/>
          <w:szCs w:val="24"/>
          <w:highlight w:val="none"/>
          <w:u w:val="single"/>
          <w:lang w:val="en-US" w:eastAsia="zh-CN" w:bidi="ar"/>
        </w:rPr>
        <w:t>（按招标公告附件一的格式及内容提交）</w:t>
      </w:r>
      <w:r>
        <w:rPr>
          <w:rFonts w:hint="eastAsia" w:ascii="宋体" w:hAnsi="宋体" w:eastAsia="宋体" w:cs="宋体"/>
          <w:color w:val="auto"/>
          <w:kern w:val="2"/>
          <w:sz w:val="24"/>
          <w:szCs w:val="24"/>
          <w:highlight w:val="none"/>
          <w:lang w:val="en-US" w:eastAsia="zh-CN" w:bidi="ar"/>
        </w:rPr>
        <w:t>；</w:t>
      </w:r>
      <w:r>
        <w:rPr>
          <w:rFonts w:hint="eastAsia" w:ascii="宋体" w:hAnsi="Times New Roman" w:eastAsia="宋体" w:cs="Times New Roman"/>
          <w:color w:val="auto"/>
          <w:kern w:val="2"/>
          <w:sz w:val="24"/>
          <w:szCs w:val="24"/>
          <w:highlight w:val="none"/>
          <w:lang w:val="en-US" w:eastAsia="zh-CN" w:bidi="ar"/>
        </w:rPr>
        <w:t xml:space="preserve"> </w:t>
      </w:r>
    </w:p>
    <w:p w14:paraId="6EACD83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（2）法定代表人证明书、法定代表人签字或盖章的本投标文件授权委托证明书</w:t>
      </w:r>
      <w:r>
        <w:rPr>
          <w:rFonts w:hint="eastAsia" w:ascii="宋体" w:hAnsi="宋体" w:eastAsia="宋体" w:cs="宋体"/>
          <w:color w:val="auto"/>
          <w:kern w:val="2"/>
          <w:sz w:val="24"/>
          <w:szCs w:val="24"/>
          <w:highlight w:val="none"/>
          <w:u w:val="single"/>
          <w:lang w:val="en-US" w:eastAsia="zh-CN" w:bidi="ar"/>
        </w:rPr>
        <w:t>（见本招标文件第四章“技术标投标文件格式”格式五）</w:t>
      </w:r>
      <w:r>
        <w:rPr>
          <w:rFonts w:hint="eastAsia" w:ascii="宋体" w:hAnsi="宋体" w:eastAsia="宋体" w:cs="宋体"/>
          <w:color w:val="auto"/>
          <w:kern w:val="2"/>
          <w:sz w:val="24"/>
          <w:szCs w:val="24"/>
          <w:highlight w:val="none"/>
          <w:lang w:val="en-US" w:eastAsia="zh-CN" w:bidi="ar"/>
        </w:rPr>
        <w:t>；</w:t>
      </w:r>
    </w:p>
    <w:p w14:paraId="56981B0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（3）企业营业执照</w:t>
      </w:r>
      <w:r>
        <w:rPr>
          <w:rFonts w:hint="eastAsia" w:ascii="宋体" w:hAnsi="宋体" w:eastAsia="宋体" w:cs="宋体"/>
          <w:bCs/>
          <w:color w:val="auto"/>
          <w:kern w:val="2"/>
          <w:sz w:val="24"/>
          <w:szCs w:val="24"/>
          <w:highlight w:val="none"/>
          <w:lang w:val="en-US" w:eastAsia="zh-CN" w:bidi="ar"/>
        </w:rPr>
        <w:t>（取自平台内上传件）</w:t>
      </w:r>
      <w:r>
        <w:rPr>
          <w:rFonts w:hint="eastAsia" w:ascii="宋体" w:hAnsi="宋体" w:eastAsia="宋体" w:cs="宋体"/>
          <w:color w:val="auto"/>
          <w:kern w:val="2"/>
          <w:sz w:val="24"/>
          <w:szCs w:val="24"/>
          <w:highlight w:val="none"/>
          <w:lang w:val="en-US" w:eastAsia="zh-CN" w:bidi="ar"/>
        </w:rPr>
        <w:t>；</w:t>
      </w:r>
    </w:p>
    <w:p w14:paraId="637C846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（4）企业资质证书</w:t>
      </w:r>
      <w:r>
        <w:rPr>
          <w:rFonts w:hint="eastAsia" w:ascii="宋体" w:hAnsi="宋体" w:eastAsia="宋体" w:cs="宋体"/>
          <w:bCs/>
          <w:color w:val="auto"/>
          <w:kern w:val="2"/>
          <w:sz w:val="24"/>
          <w:szCs w:val="24"/>
          <w:highlight w:val="none"/>
          <w:lang w:val="en-US" w:eastAsia="zh-CN" w:bidi="ar"/>
        </w:rPr>
        <w:t>（取自平台内上传件）</w:t>
      </w:r>
      <w:r>
        <w:rPr>
          <w:rFonts w:hint="eastAsia" w:ascii="宋体" w:hAnsi="宋体" w:eastAsia="宋体" w:cs="宋体"/>
          <w:color w:val="auto"/>
          <w:kern w:val="2"/>
          <w:sz w:val="24"/>
          <w:szCs w:val="24"/>
          <w:highlight w:val="none"/>
          <w:lang w:val="en-US" w:eastAsia="zh-CN" w:bidi="ar"/>
        </w:rPr>
        <w:t>；</w:t>
      </w:r>
    </w:p>
    <w:p w14:paraId="340038B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（5）建筑施工企业安全生产许可证</w:t>
      </w:r>
      <w:r>
        <w:rPr>
          <w:rFonts w:hint="eastAsia" w:ascii="宋体" w:hAnsi="宋体" w:eastAsia="宋体" w:cs="宋体"/>
          <w:bCs/>
          <w:color w:val="auto"/>
          <w:kern w:val="2"/>
          <w:sz w:val="24"/>
          <w:szCs w:val="24"/>
          <w:highlight w:val="none"/>
          <w:lang w:val="en-US" w:eastAsia="zh-CN" w:bidi="ar"/>
        </w:rPr>
        <w:t>（取自平台内上传件）</w:t>
      </w:r>
      <w:r>
        <w:rPr>
          <w:rFonts w:hint="eastAsia" w:ascii="宋体" w:hAnsi="宋体" w:eastAsia="宋体" w:cs="宋体"/>
          <w:color w:val="auto"/>
          <w:kern w:val="2"/>
          <w:sz w:val="24"/>
          <w:szCs w:val="24"/>
          <w:highlight w:val="none"/>
          <w:lang w:val="en-US" w:eastAsia="zh-CN" w:bidi="ar"/>
        </w:rPr>
        <w:t>；</w:t>
      </w:r>
    </w:p>
    <w:p w14:paraId="0A49575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（6）项目负责人（按网上投标登记时选择拟投标的项目负责人）；</w:t>
      </w:r>
    </w:p>
    <w:p w14:paraId="67A2934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（7）专职安全员（按网上投标登记时选择拟投标的专职安全员）；</w:t>
      </w:r>
    </w:p>
    <w:p w14:paraId="6D5710C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w:t>
      </w:r>
      <w:r>
        <w:rPr>
          <w:rFonts w:hint="eastAsia" w:ascii="宋体" w:hAnsi="宋体" w:eastAsia="宋体" w:cs="宋体"/>
          <w:color w:val="auto"/>
          <w:kern w:val="2"/>
          <w:sz w:val="24"/>
          <w:szCs w:val="24"/>
          <w:highlight w:val="none"/>
          <w:u w:val="single"/>
          <w:lang w:val="en-US" w:eastAsia="zh-CN" w:bidi="ar"/>
        </w:rPr>
        <w:t>拟委派技术负责人的职称证书扫描件；</w:t>
      </w:r>
    </w:p>
    <w:p w14:paraId="626B00B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w:t>
      </w:r>
      <w:r>
        <w:rPr>
          <w:rFonts w:hint="eastAsia" w:ascii="宋体" w:hAnsi="宋体" w:eastAsia="宋体" w:cs="宋体"/>
          <w:color w:val="auto"/>
          <w:kern w:val="2"/>
          <w:sz w:val="24"/>
          <w:szCs w:val="24"/>
          <w:highlight w:val="none"/>
          <w:u w:val="single"/>
          <w:lang w:val="en-US" w:eastAsia="zh-CN" w:bidi="ar"/>
        </w:rPr>
        <w:t>拟委派项目负责人的建造师证书</w:t>
      </w:r>
      <w:r>
        <w:rPr>
          <w:rFonts w:hint="eastAsia" w:ascii="宋体" w:hAnsi="宋体" w:eastAsia="宋体" w:cs="宋体"/>
          <w:bCs/>
          <w:color w:val="auto"/>
          <w:kern w:val="2"/>
          <w:sz w:val="24"/>
          <w:szCs w:val="24"/>
          <w:highlight w:val="none"/>
          <w:lang w:val="en-US" w:eastAsia="zh-CN" w:bidi="ar"/>
        </w:rPr>
        <w:t>（取自平台内上传件）</w:t>
      </w:r>
      <w:r>
        <w:rPr>
          <w:rFonts w:hint="eastAsia" w:ascii="宋体" w:hAnsi="宋体" w:eastAsia="宋体" w:cs="宋体"/>
          <w:color w:val="auto"/>
          <w:kern w:val="2"/>
          <w:sz w:val="24"/>
          <w:szCs w:val="24"/>
          <w:highlight w:val="none"/>
          <w:lang w:val="en-US" w:eastAsia="zh-CN" w:bidi="ar"/>
        </w:rPr>
        <w:t>；</w:t>
      </w:r>
    </w:p>
    <w:p w14:paraId="2BDD06A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（10）项目负责人安全生产考核合格证明或在有效期内的安全考核合格证书（B类）或建筑施工企业项目负责人安全生产考核合格证书（取自平台内上传件）；</w:t>
      </w:r>
    </w:p>
    <w:p w14:paraId="77147D1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（11）专职安全员须具有在有效期内的安全考核合格证书（C类）或</w:t>
      </w:r>
      <w:r>
        <w:rPr>
          <w:rFonts w:hint="eastAsia" w:ascii="宋体" w:hAnsi="宋体" w:eastAsia="宋体" w:cs="宋体"/>
          <w:color w:val="auto"/>
          <w:kern w:val="2"/>
          <w:sz w:val="24"/>
          <w:szCs w:val="24"/>
          <w:highlight w:val="none"/>
          <w:u w:val="single"/>
          <w:lang w:val="en-US" w:eastAsia="zh-CN" w:bidi="ar"/>
        </w:rPr>
        <w:t>建筑施工企业专职安全生产管理人员安全生产考核合格证书（C3）</w:t>
      </w:r>
      <w:r>
        <w:rPr>
          <w:rFonts w:hint="eastAsia" w:ascii="宋体" w:hAnsi="宋体" w:eastAsia="宋体" w:cs="宋体"/>
          <w:bCs/>
          <w:color w:val="auto"/>
          <w:kern w:val="2"/>
          <w:sz w:val="24"/>
          <w:szCs w:val="24"/>
          <w:highlight w:val="none"/>
          <w:lang w:val="en-US" w:eastAsia="zh-CN" w:bidi="ar"/>
        </w:rPr>
        <w:t>（取自平台内上传件），</w:t>
      </w:r>
      <w:r>
        <w:rPr>
          <w:rFonts w:hint="eastAsia" w:ascii="宋体" w:hAnsi="宋体" w:eastAsia="宋体" w:cs="宋体"/>
          <w:b/>
          <w:bCs w:val="0"/>
          <w:color w:val="auto"/>
          <w:kern w:val="2"/>
          <w:sz w:val="24"/>
          <w:szCs w:val="24"/>
          <w:highlight w:val="none"/>
          <w:u w:val="single"/>
          <w:lang w:val="en-US" w:eastAsia="zh-CN" w:bidi="ar"/>
        </w:rPr>
        <w:t>项目负责人和专职安全员不为同一人</w:t>
      </w:r>
      <w:r>
        <w:rPr>
          <w:rFonts w:hint="eastAsia" w:ascii="宋体" w:hAnsi="宋体" w:eastAsia="宋体" w:cs="宋体"/>
          <w:bCs/>
          <w:color w:val="auto"/>
          <w:kern w:val="2"/>
          <w:sz w:val="24"/>
          <w:szCs w:val="24"/>
          <w:highlight w:val="none"/>
          <w:lang w:val="en-US" w:eastAsia="zh-CN" w:bidi="ar"/>
        </w:rPr>
        <w:t>；</w:t>
      </w:r>
    </w:p>
    <w:p w14:paraId="0718CDF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（12）</w:t>
      </w:r>
      <w:r>
        <w:rPr>
          <w:rFonts w:hint="eastAsia" w:ascii="宋体" w:hAnsi="宋体" w:eastAsia="宋体" w:cs="宋体"/>
          <w:bCs/>
          <w:color w:val="auto"/>
          <w:kern w:val="2"/>
          <w:sz w:val="24"/>
          <w:szCs w:val="24"/>
          <w:highlight w:val="none"/>
          <w:lang w:val="en-US" w:eastAsia="zh-CN" w:bidi="ar"/>
        </w:rPr>
        <w:t>用于资格审查的业绩（</w:t>
      </w:r>
      <w:r>
        <w:rPr>
          <w:rFonts w:hint="eastAsia" w:ascii="宋体" w:hAnsi="宋体" w:eastAsia="宋体" w:cs="宋体"/>
          <w:bCs/>
          <w:color w:val="auto"/>
          <w:kern w:val="2"/>
          <w:sz w:val="24"/>
          <w:szCs w:val="24"/>
          <w:highlight w:val="none"/>
          <w:u w:val="single"/>
          <w:lang w:val="en-US" w:eastAsia="zh-CN" w:bidi="ar"/>
        </w:rPr>
        <w:t>取自平台内上传件，提交《企业类似工程业绩信息表（资格审查）》扫描件（见按招标文件第四章“技术标投标文件格式”格式六））</w:t>
      </w:r>
      <w:r>
        <w:rPr>
          <w:rFonts w:hint="eastAsia" w:ascii="宋体" w:hAnsi="宋体" w:eastAsia="宋体" w:cs="宋体"/>
          <w:color w:val="auto"/>
          <w:kern w:val="2"/>
          <w:sz w:val="24"/>
          <w:szCs w:val="24"/>
          <w:highlight w:val="none"/>
          <w:u w:val="single"/>
          <w:lang w:val="en-US" w:eastAsia="zh-CN" w:bidi="ar"/>
        </w:rPr>
        <w:t>。</w:t>
      </w:r>
    </w:p>
    <w:p w14:paraId="137B9AC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（13）</w:t>
      </w:r>
      <w:r>
        <w:rPr>
          <w:rFonts w:hint="eastAsia" w:ascii="宋体" w:hAnsi="宋体" w:eastAsia="宋体" w:cs="宋体"/>
          <w:bCs/>
          <w:color w:val="auto"/>
          <w:kern w:val="2"/>
          <w:sz w:val="24"/>
          <w:szCs w:val="24"/>
          <w:highlight w:val="none"/>
          <w:lang w:val="en-US" w:eastAsia="zh-CN" w:bidi="ar"/>
        </w:rPr>
        <w:t>资格审查前，投标人须在广州市住房和城乡建设局建立企业信用档案，拟担任本工程项目负责人、专职安全员须是本企业信用档案中的在册人员</w:t>
      </w:r>
      <w:r>
        <w:rPr>
          <w:rFonts w:hint="eastAsia" w:ascii="宋体" w:hAnsi="宋体" w:eastAsia="宋体" w:cs="宋体"/>
          <w:color w:val="auto"/>
          <w:kern w:val="2"/>
          <w:sz w:val="24"/>
          <w:szCs w:val="24"/>
          <w:highlight w:val="none"/>
          <w:lang w:val="en-US" w:eastAsia="zh-CN" w:bidi="ar"/>
        </w:rPr>
        <w:t>。</w:t>
      </w:r>
    </w:p>
    <w:p w14:paraId="7C5BCEB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（14）关于联合体投标：</w:t>
      </w:r>
      <w:r>
        <w:rPr>
          <w:rFonts w:hint="eastAsia" w:ascii="宋体" w:hAnsi="宋体" w:eastAsia="宋体" w:cs="宋体"/>
          <w:b/>
          <w:bCs w:val="0"/>
          <w:color w:val="auto"/>
          <w:kern w:val="0"/>
          <w:sz w:val="24"/>
          <w:szCs w:val="24"/>
          <w:highlight w:val="none"/>
          <w:u w:val="single"/>
          <w:lang w:val="en-US" w:eastAsia="zh-CN" w:bidi="ar"/>
        </w:rPr>
        <w:t>本项目不接受联合体投标。</w:t>
      </w:r>
    </w:p>
    <w:p w14:paraId="2BAC34D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u w:val="single"/>
        </w:rPr>
      </w:pPr>
      <w:r>
        <w:rPr>
          <w:rFonts w:hint="eastAsia" w:ascii="宋体" w:hAnsi="宋体" w:eastAsia="宋体" w:cs="宋体"/>
          <w:color w:val="auto"/>
          <w:kern w:val="2"/>
          <w:sz w:val="24"/>
          <w:szCs w:val="24"/>
          <w:highlight w:val="none"/>
          <w:u w:val="single"/>
          <w:lang w:val="en-US" w:eastAsia="zh-CN" w:bidi="ar"/>
        </w:rPr>
        <w:t>（15）投标人认为应提交的其他资料（如有）。</w:t>
      </w:r>
    </w:p>
    <w:p w14:paraId="39F8810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11.2.3</w:t>
      </w:r>
      <w:r>
        <w:rPr>
          <w:rFonts w:hint="eastAsia" w:ascii="宋体" w:hAnsi="宋体" w:eastAsia="宋体" w:cs="宋体"/>
          <w:color w:val="auto"/>
          <w:kern w:val="2"/>
          <w:sz w:val="24"/>
          <w:szCs w:val="24"/>
          <w:highlight w:val="none"/>
          <w:lang w:val="en-US" w:eastAsia="zh-CN" w:bidi="ar"/>
        </w:rPr>
        <w:t>项目管理机构配备。</w:t>
      </w:r>
    </w:p>
    <w:p w14:paraId="76CAF4C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Times New Roman"/>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）投标人应列出该项目工程的施工组织机构构成和画出机构框架图及其负责人</w:t>
      </w:r>
      <w:r>
        <w:rPr>
          <w:rFonts w:hint="eastAsia" w:ascii="宋体" w:hAnsi="宋体" w:eastAsia="宋体" w:cs="宋体"/>
          <w:color w:val="auto"/>
          <w:kern w:val="2"/>
          <w:sz w:val="24"/>
          <w:szCs w:val="24"/>
          <w:highlight w:val="none"/>
          <w:u w:val="single"/>
          <w:lang w:val="en-US" w:eastAsia="zh-CN" w:bidi="ar"/>
        </w:rPr>
        <w:t>（见本招标文件第四章</w:t>
      </w:r>
      <w:r>
        <w:rPr>
          <w:rFonts w:hint="eastAsia" w:ascii="宋体" w:hAnsi="宋体"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u w:val="single"/>
          <w:lang w:val="en-US" w:eastAsia="zh-CN" w:bidi="ar"/>
        </w:rPr>
        <w:t>“技术标投标文件格式”格式七）</w:t>
      </w:r>
      <w:r>
        <w:rPr>
          <w:rFonts w:hint="eastAsia" w:ascii="宋体" w:hAnsi="宋体" w:eastAsia="宋体" w:cs="宋体"/>
          <w:color w:val="auto"/>
          <w:kern w:val="2"/>
          <w:sz w:val="24"/>
          <w:szCs w:val="24"/>
          <w:highlight w:val="none"/>
          <w:lang w:val="en-US" w:eastAsia="zh-CN" w:bidi="ar"/>
        </w:rPr>
        <w:t>；</w:t>
      </w:r>
    </w:p>
    <w:p w14:paraId="2D2D940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Times New Roman"/>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）投标人应详细列出该施工组织机构中主要成员的名单、简历资料、职务职称和在本项目中拟担任的职务等资料，并附上有关证明材料扫描件</w:t>
      </w:r>
      <w:r>
        <w:rPr>
          <w:rFonts w:hint="eastAsia" w:ascii="宋体" w:hAnsi="宋体" w:eastAsia="宋体" w:cs="宋体"/>
          <w:color w:val="auto"/>
          <w:kern w:val="2"/>
          <w:sz w:val="24"/>
          <w:szCs w:val="24"/>
          <w:highlight w:val="none"/>
          <w:u w:val="single"/>
          <w:lang w:val="en-US" w:eastAsia="zh-CN" w:bidi="ar"/>
        </w:rPr>
        <w:t>（见本招标文件第四章“技术标投标文件格式”格式八《投入主要人员汇总表》和格式九《主要人员简历表》填写）</w:t>
      </w:r>
      <w:r>
        <w:rPr>
          <w:rFonts w:hint="eastAsia" w:ascii="宋体" w:hAnsi="宋体" w:eastAsia="宋体" w:cs="宋体"/>
          <w:color w:val="auto"/>
          <w:kern w:val="2"/>
          <w:sz w:val="24"/>
          <w:szCs w:val="24"/>
          <w:highlight w:val="none"/>
          <w:lang w:val="en-US" w:eastAsia="zh-CN" w:bidi="ar"/>
        </w:rPr>
        <w:t>；</w:t>
      </w:r>
    </w:p>
    <w:p w14:paraId="61234861">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宋体"/>
          <w:b/>
          <w:bCs w:val="0"/>
          <w:color w:val="auto"/>
          <w:kern w:val="0"/>
          <w:sz w:val="24"/>
          <w:szCs w:val="24"/>
          <w:highlight w:val="none"/>
          <w:u w:val="single"/>
        </w:rPr>
      </w:pPr>
      <w:r>
        <w:rPr>
          <w:rFonts w:hint="eastAsia" w:ascii="宋体" w:hAnsi="宋体" w:eastAsia="宋体" w:cs="宋体"/>
          <w:color w:val="auto"/>
          <w:kern w:val="2"/>
          <w:sz w:val="24"/>
          <w:szCs w:val="24"/>
          <w:highlight w:val="none"/>
          <w:lang w:val="en-US" w:eastAsia="zh-CN" w:bidi="ar"/>
        </w:rPr>
        <w:t>（3）其他辅助说明资料</w:t>
      </w:r>
      <w:r>
        <w:rPr>
          <w:rFonts w:hint="eastAsia" w:ascii="宋体" w:hAnsi="宋体" w:eastAsia="宋体" w:cs="宋体"/>
          <w:color w:val="auto"/>
          <w:kern w:val="2"/>
          <w:sz w:val="24"/>
          <w:szCs w:val="24"/>
          <w:highlight w:val="none"/>
          <w:u w:val="single"/>
          <w:lang w:val="en-US" w:eastAsia="zh-CN" w:bidi="ar"/>
        </w:rPr>
        <w:t>（包含并不限于）：需提供投标人在投标登记时，在交易系统中按《施工项目管理团队人员信息表》（详见招标公告附件二）填写的网页截图</w:t>
      </w:r>
      <w:r>
        <w:rPr>
          <w:rFonts w:hint="eastAsia" w:ascii="宋体" w:hAnsi="宋体" w:eastAsia="宋体" w:cs="宋体"/>
          <w:color w:val="auto"/>
          <w:kern w:val="2"/>
          <w:sz w:val="24"/>
          <w:szCs w:val="24"/>
          <w:highlight w:val="none"/>
          <w:lang w:val="en-US" w:eastAsia="zh-CN" w:bidi="ar"/>
        </w:rPr>
        <w:t>。</w:t>
      </w:r>
    </w:p>
    <w:p w14:paraId="70145890">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11.2.4 </w:t>
      </w:r>
      <w:r>
        <w:rPr>
          <w:rFonts w:hint="eastAsia" w:ascii="宋体" w:hAnsi="宋体" w:eastAsia="宋体" w:cs="宋体"/>
          <w:color w:val="auto"/>
          <w:kern w:val="2"/>
          <w:sz w:val="24"/>
          <w:szCs w:val="24"/>
          <w:highlight w:val="none"/>
          <w:u w:val="single"/>
          <w:lang w:val="en-US" w:eastAsia="zh-CN" w:bidi="ar"/>
        </w:rPr>
        <w:t>企业相关资料：企业获奖资料、履约证明资料等（按《技术标详细审查评分表》中的评分要求进行提供）。（见本招标文件第四章“技术标投标文件格式”格式四）</w:t>
      </w:r>
    </w:p>
    <w:p w14:paraId="029B7021">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Times New Roman"/>
          <w:color w:val="auto"/>
          <w:kern w:val="2"/>
          <w:sz w:val="24"/>
          <w:szCs w:val="24"/>
          <w:highlight w:val="none"/>
          <w:u w:val="single"/>
        </w:rPr>
      </w:pPr>
      <w:r>
        <w:rPr>
          <w:rFonts w:hint="eastAsia" w:ascii="宋体" w:hAnsi="宋体" w:eastAsia="宋体" w:cs="Times New Roman"/>
          <w:color w:val="auto"/>
          <w:kern w:val="2"/>
          <w:sz w:val="24"/>
          <w:szCs w:val="24"/>
          <w:highlight w:val="none"/>
          <w:lang w:val="en-US" w:eastAsia="zh-CN" w:bidi="ar"/>
        </w:rPr>
        <w:t>11.2.</w:t>
      </w:r>
      <w:r>
        <w:rPr>
          <w:rFonts w:hint="eastAsia" w:ascii="宋体" w:hAnsi="宋体" w:eastAsia="宋体" w:cs="宋体"/>
          <w:color w:val="auto"/>
          <w:kern w:val="2"/>
          <w:sz w:val="24"/>
          <w:szCs w:val="24"/>
          <w:highlight w:val="none"/>
          <w:lang w:val="en-US" w:eastAsia="zh-CN" w:bidi="ar"/>
        </w:rPr>
        <w:t xml:space="preserve">5 </w:t>
      </w:r>
      <w:r>
        <w:rPr>
          <w:rFonts w:hint="eastAsia" w:ascii="宋体" w:hAnsi="宋体" w:eastAsia="宋体" w:cs="宋体"/>
          <w:color w:val="auto"/>
          <w:kern w:val="2"/>
          <w:sz w:val="24"/>
          <w:szCs w:val="24"/>
          <w:highlight w:val="none"/>
          <w:u w:val="single"/>
          <w:lang w:val="en-US" w:eastAsia="zh-CN" w:bidi="ar"/>
        </w:rPr>
        <w:t>《已竣工验收的类似工程业绩表》</w:t>
      </w:r>
      <w:r>
        <w:rPr>
          <w:rFonts w:hint="eastAsia" w:ascii="宋体" w:hAnsi="宋体" w:eastAsia="宋体" w:cs="宋体"/>
          <w:color w:val="auto"/>
          <w:spacing w:val="4"/>
          <w:kern w:val="0"/>
          <w:sz w:val="24"/>
          <w:szCs w:val="24"/>
          <w:highlight w:val="none"/>
          <w:u w:val="single"/>
          <w:lang w:val="en-US" w:eastAsia="zh-CN" w:bidi="ar"/>
        </w:rPr>
        <w:t>、《企业获奖业绩表》（企业获奖取自广州市住建行业信用管理平台的提供）</w:t>
      </w:r>
      <w:r>
        <w:rPr>
          <w:rFonts w:hint="eastAsia" w:ascii="宋体" w:hAnsi="宋体" w:eastAsia="宋体" w:cs="宋体"/>
          <w:color w:val="auto"/>
          <w:kern w:val="2"/>
          <w:sz w:val="24"/>
          <w:szCs w:val="24"/>
          <w:highlight w:val="none"/>
          <w:u w:val="single"/>
          <w:lang w:val="en-US" w:eastAsia="zh-CN" w:bidi="ar"/>
        </w:rPr>
        <w:t>（见本招标文件第四章“技术标投标文件格式”格式十）。</w:t>
      </w:r>
    </w:p>
    <w:p w14:paraId="38199B07">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Times New Roman" w:eastAsia="宋体" w:cs="Times New Roman"/>
          <w:color w:val="auto"/>
          <w:kern w:val="2"/>
          <w:sz w:val="24"/>
          <w:szCs w:val="24"/>
          <w:highlight w:val="none"/>
          <w:u w:val="single"/>
        </w:rPr>
      </w:pPr>
      <w:r>
        <w:rPr>
          <w:rFonts w:hint="eastAsia" w:ascii="宋体" w:hAnsi="宋体" w:eastAsia="宋体" w:cs="宋体"/>
          <w:color w:val="auto"/>
          <w:kern w:val="2"/>
          <w:sz w:val="24"/>
          <w:szCs w:val="24"/>
          <w:highlight w:val="none"/>
          <w:u w:val="single"/>
          <w:lang w:val="en-US" w:eastAsia="zh-CN" w:bidi="ar"/>
        </w:rPr>
        <w:t>11.2.6</w:t>
      </w:r>
      <w:r>
        <w:rPr>
          <w:rFonts w:hint="eastAsia" w:ascii="宋体" w:hAnsi="宋体"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u w:val="single"/>
          <w:lang w:val="en-US" w:eastAsia="zh-CN" w:bidi="ar"/>
        </w:rPr>
        <w:t>《响应招标文件所附施工组织设计要点的承诺书》（须按本招标文件第四章“技术标投标文件格式” 格式十一）。</w:t>
      </w:r>
    </w:p>
    <w:p w14:paraId="7BC7D6D0">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Times New Roman"/>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11.2.7</w:t>
      </w:r>
      <w:r>
        <w:rPr>
          <w:rFonts w:hint="eastAsia" w:ascii="宋体" w:hAnsi="宋体" w:eastAsia="宋体" w:cs="宋体"/>
          <w:color w:val="auto"/>
          <w:kern w:val="2"/>
          <w:sz w:val="24"/>
          <w:szCs w:val="24"/>
          <w:highlight w:val="none"/>
          <w:u w:val="single"/>
          <w:lang w:val="en-US" w:eastAsia="zh-CN" w:bidi="ar"/>
        </w:rPr>
        <w:t>《承诺书》（须按本招标文件第四章“技术标投标文件格式”格式十二）。</w:t>
      </w:r>
    </w:p>
    <w:p w14:paraId="75423115">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Times New Roman"/>
          <w:color w:val="auto"/>
          <w:kern w:val="2"/>
          <w:sz w:val="24"/>
          <w:szCs w:val="24"/>
          <w:highlight w:val="none"/>
          <w:u w:val="single"/>
        </w:rPr>
      </w:pPr>
      <w:r>
        <w:rPr>
          <w:rFonts w:hint="eastAsia" w:ascii="宋体" w:hAnsi="宋体" w:eastAsia="宋体" w:cs="宋体"/>
          <w:color w:val="auto"/>
          <w:kern w:val="2"/>
          <w:sz w:val="24"/>
          <w:szCs w:val="24"/>
          <w:highlight w:val="none"/>
          <w:u w:val="single"/>
          <w:lang w:val="en-US" w:eastAsia="zh-CN" w:bidi="ar"/>
        </w:rPr>
        <w:t>11.2.8 《投标函》（须按本招标文件第四章“技术标投标文件格式”格式三）。</w:t>
      </w:r>
    </w:p>
    <w:p w14:paraId="02DE0595">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Times New Roman"/>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11.2.9</w:t>
      </w:r>
      <w:r>
        <w:rPr>
          <w:rFonts w:hint="eastAsia" w:ascii="Times New Roman" w:hAnsi="Times New Roman"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u w:val="single"/>
          <w:lang w:val="en-US" w:eastAsia="zh-CN" w:bidi="ar"/>
        </w:rPr>
        <w:t>《主要设备的质保和维护维修承诺书》（须按本招标文件第四章“技术标投标文件格式”格式十三）。</w:t>
      </w:r>
    </w:p>
    <w:p w14:paraId="732693C2">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宋体"/>
          <w:color w:val="auto"/>
          <w:kern w:val="2"/>
          <w:sz w:val="24"/>
          <w:szCs w:val="24"/>
          <w:highlight w:val="none"/>
          <w:u w:val="single"/>
          <w:lang w:val="en-US" w:eastAsia="zh-CN" w:bidi="ar"/>
        </w:rPr>
      </w:pPr>
      <w:r>
        <w:rPr>
          <w:rFonts w:hint="eastAsia" w:ascii="宋体" w:hAnsi="宋体" w:eastAsia="宋体" w:cs="宋体"/>
          <w:color w:val="auto"/>
          <w:kern w:val="2"/>
          <w:sz w:val="24"/>
          <w:szCs w:val="24"/>
          <w:highlight w:val="none"/>
          <w:lang w:val="en-US" w:eastAsia="zh-CN" w:bidi="ar"/>
        </w:rPr>
        <w:t>11.2.10</w:t>
      </w:r>
      <w:r>
        <w:rPr>
          <w:rFonts w:hint="eastAsia" w:ascii="宋体" w:hAnsi="宋体" w:eastAsia="宋体" w:cs="宋体"/>
          <w:color w:val="auto"/>
          <w:kern w:val="2"/>
          <w:sz w:val="24"/>
          <w:szCs w:val="24"/>
          <w:highlight w:val="none"/>
          <w:u w:val="single"/>
          <w:lang w:val="en-US" w:eastAsia="zh-CN" w:bidi="ar"/>
        </w:rPr>
        <w:t>按照招标文件要求填写的《分项项目拟派专职人员承诺书》（见本招标文件第四章“技术标投标文件格式”格式十四）。</w:t>
      </w:r>
    </w:p>
    <w:p w14:paraId="623B1865">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宋体"/>
          <w:color w:val="auto"/>
          <w:kern w:val="2"/>
          <w:sz w:val="24"/>
          <w:szCs w:val="24"/>
          <w:highlight w:val="none"/>
          <w:u w:val="single"/>
          <w:lang w:val="en-US" w:eastAsia="zh-CN" w:bidi="ar"/>
        </w:rPr>
      </w:pPr>
      <w:r>
        <w:rPr>
          <w:rFonts w:hint="eastAsia" w:ascii="宋体" w:hAnsi="宋体" w:eastAsia="宋体" w:cs="宋体"/>
          <w:color w:val="auto"/>
          <w:kern w:val="2"/>
          <w:sz w:val="24"/>
          <w:szCs w:val="24"/>
          <w:highlight w:val="none"/>
          <w:lang w:val="en-US" w:eastAsia="zh-CN" w:bidi="ar"/>
        </w:rPr>
        <w:t>11.2.11</w:t>
      </w:r>
      <w:r>
        <w:rPr>
          <w:rFonts w:hint="eastAsia" w:ascii="宋体" w:hAnsi="宋体" w:eastAsia="宋体" w:cs="宋体"/>
          <w:color w:val="auto"/>
          <w:kern w:val="2"/>
          <w:sz w:val="24"/>
          <w:szCs w:val="24"/>
          <w:highlight w:val="none"/>
          <w:u w:val="single"/>
          <w:lang w:val="en-US" w:eastAsia="zh-CN" w:bidi="ar"/>
        </w:rPr>
        <w:t>按照招标文件要求填写的《参与编制技术标投标文件人员名单》（见本招标文件第四章“技术标投标文件格式”格式十五）。</w:t>
      </w:r>
    </w:p>
    <w:p w14:paraId="009CFC1D">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Times New Roman"/>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11.2.12</w:t>
      </w:r>
      <w:r>
        <w:rPr>
          <w:rFonts w:hint="eastAsia" w:ascii="宋体" w:hAnsi="宋体" w:eastAsia="宋体" w:cs="宋体"/>
          <w:color w:val="auto"/>
          <w:kern w:val="2"/>
          <w:sz w:val="24"/>
          <w:szCs w:val="24"/>
          <w:highlight w:val="none"/>
          <w:u w:val="single"/>
          <w:lang w:val="en-US" w:eastAsia="zh-CN" w:bidi="ar"/>
        </w:rPr>
        <w:t>按照招标文件要求填写的《危险性较大的分部分项工程清单及超过一定规模的危险性较大的分部分项工程清单》（见本招标文件第四章“技术标投标文件格式”格式十六）。</w:t>
      </w:r>
    </w:p>
    <w:p w14:paraId="21A86AAB">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11.2.13</w:t>
      </w:r>
      <w:r>
        <w:rPr>
          <w:rFonts w:hint="eastAsia" w:ascii="宋体" w:hAnsi="宋体" w:eastAsia="宋体" w:cs="宋体"/>
          <w:color w:val="auto"/>
          <w:kern w:val="2"/>
          <w:sz w:val="24"/>
          <w:szCs w:val="24"/>
          <w:highlight w:val="none"/>
          <w:u w:val="single"/>
          <w:lang w:val="en-US" w:eastAsia="zh-CN" w:bidi="ar"/>
        </w:rPr>
        <w:t>投标人认为应该提供的其他资料。</w:t>
      </w:r>
    </w:p>
    <w:p w14:paraId="006D3D27">
      <w:pPr>
        <w:keepNext w:val="0"/>
        <w:keepLines w:val="0"/>
        <w:widowControl w:val="0"/>
        <w:suppressLineNumbers w:val="0"/>
        <w:spacing w:before="0" w:beforeAutospacing="0" w:after="0" w:afterAutospacing="0" w:line="440" w:lineRule="exact"/>
        <w:ind w:left="0" w:right="0" w:firstLine="540" w:firstLineChars="224"/>
        <w:jc w:val="both"/>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条款号：11.3.3</w:t>
      </w:r>
      <w:r>
        <w:rPr>
          <w:rFonts w:hint="eastAsia" w:ascii="宋体" w:hAnsi="宋体"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修改类型：修改</w:t>
      </w:r>
    </w:p>
    <w:p w14:paraId="3F314CEC">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440" w:lineRule="exact"/>
        <w:ind w:left="0" w:right="0" w:firstLine="540" w:firstLineChars="224"/>
        <w:jc w:val="both"/>
        <w:rPr>
          <w:rFonts w:hint="eastAsia" w:ascii="宋体" w:hAnsi="宋体"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bCs/>
          <w:color w:val="auto"/>
          <w:kern w:val="2"/>
          <w:sz w:val="24"/>
          <w:szCs w:val="24"/>
          <w:highlight w:val="none"/>
          <w:lang w:val="en-US" w:eastAsia="zh-CN" w:bidi="ar"/>
        </w:rPr>
        <w:t>11.3.3</w:t>
      </w:r>
      <w:r>
        <w:rPr>
          <w:rFonts w:hint="eastAsia" w:ascii="宋体" w:hAnsi="宋体" w:eastAsia="宋体" w:cs="宋体"/>
          <w:color w:val="auto"/>
          <w:kern w:val="2"/>
          <w:sz w:val="24"/>
          <w:szCs w:val="24"/>
          <w:highlight w:val="none"/>
          <w:lang w:val="en-US" w:eastAsia="zh-CN" w:bidi="ar"/>
        </w:rPr>
        <w:t>按照</w:t>
      </w:r>
      <w:r>
        <w:rPr>
          <w:rFonts w:hint="eastAsia" w:ascii="宋体" w:hAnsi="宋体" w:eastAsia="宋体" w:cs="宋体"/>
          <w:bCs/>
          <w:color w:val="auto"/>
          <w:kern w:val="2"/>
          <w:sz w:val="24"/>
          <w:szCs w:val="24"/>
          <w:highlight w:val="none"/>
          <w:lang w:val="en-US" w:eastAsia="zh-CN" w:bidi="ar"/>
        </w:rPr>
        <w:t>招标文件要求</w:t>
      </w:r>
      <w:r>
        <w:rPr>
          <w:rFonts w:hint="eastAsia" w:ascii="宋体" w:hAnsi="宋体" w:eastAsia="宋体" w:cs="宋体"/>
          <w:color w:val="auto"/>
          <w:kern w:val="2"/>
          <w:sz w:val="24"/>
          <w:szCs w:val="24"/>
          <w:highlight w:val="none"/>
          <w:lang w:val="en-US" w:eastAsia="zh-CN" w:bidi="ar"/>
        </w:rPr>
        <w:t>填写的《参与编制经济标投标文件人员名单》。</w:t>
      </w:r>
    </w:p>
    <w:p w14:paraId="2CBFB9D8">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440" w:lineRule="exact"/>
        <w:ind w:left="0" w:right="0" w:firstLine="540" w:firstLineChars="224"/>
        <w:jc w:val="both"/>
        <w:rPr>
          <w:rFonts w:hint="eastAsia" w:ascii="宋体" w:hAnsi="宋体" w:eastAsia="宋体" w:cs="Times New Roman"/>
          <w:bCs/>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bCs/>
          <w:color w:val="auto"/>
          <w:kern w:val="2"/>
          <w:sz w:val="24"/>
          <w:szCs w:val="24"/>
          <w:highlight w:val="none"/>
          <w:lang w:val="en-US" w:eastAsia="zh-CN" w:bidi="ar"/>
        </w:rPr>
        <w:t>11.3.3按</w:t>
      </w:r>
      <w:r>
        <w:rPr>
          <w:rFonts w:hint="eastAsia" w:ascii="宋体" w:hAnsi="宋体" w:eastAsia="宋体" w:cs="宋体"/>
          <w:color w:val="auto"/>
          <w:kern w:val="2"/>
          <w:sz w:val="24"/>
          <w:szCs w:val="24"/>
          <w:highlight w:val="none"/>
          <w:lang w:val="en-US" w:eastAsia="zh-CN" w:bidi="ar"/>
        </w:rPr>
        <w:t>照</w:t>
      </w:r>
      <w:r>
        <w:rPr>
          <w:rFonts w:hint="eastAsia" w:ascii="宋体" w:hAnsi="宋体" w:eastAsia="宋体" w:cs="宋体"/>
          <w:bCs/>
          <w:color w:val="auto"/>
          <w:kern w:val="2"/>
          <w:sz w:val="24"/>
          <w:szCs w:val="24"/>
          <w:highlight w:val="none"/>
          <w:lang w:val="en-US" w:eastAsia="zh-CN" w:bidi="ar"/>
        </w:rPr>
        <w:t>招标文件要求</w:t>
      </w:r>
      <w:r>
        <w:rPr>
          <w:rFonts w:hint="eastAsia" w:ascii="宋体" w:hAnsi="宋体" w:eastAsia="宋体" w:cs="宋体"/>
          <w:color w:val="auto"/>
          <w:kern w:val="2"/>
          <w:sz w:val="24"/>
          <w:szCs w:val="24"/>
          <w:highlight w:val="none"/>
          <w:lang w:val="en-US" w:eastAsia="zh-CN" w:bidi="ar"/>
        </w:rPr>
        <w:t>填写的《参与编制经济标投标文件人员名单》。</w:t>
      </w:r>
      <w:r>
        <w:rPr>
          <w:rFonts w:hint="eastAsia" w:ascii="宋体" w:hAnsi="宋体" w:eastAsia="宋体" w:cs="宋体"/>
          <w:bCs/>
          <w:color w:val="auto"/>
          <w:kern w:val="2"/>
          <w:sz w:val="24"/>
          <w:szCs w:val="24"/>
          <w:highlight w:val="none"/>
          <w:u w:val="single"/>
          <w:lang w:val="en-US" w:eastAsia="zh-CN" w:bidi="ar"/>
        </w:rPr>
        <w:t>（须按招标文件第四章</w:t>
      </w:r>
      <w:r>
        <w:rPr>
          <w:rFonts w:hint="eastAsia" w:ascii="宋体" w:hAnsi="宋体" w:eastAsia="宋体" w:cs="Times New Roman"/>
          <w:bCs/>
          <w:color w:val="auto"/>
          <w:kern w:val="2"/>
          <w:sz w:val="24"/>
          <w:szCs w:val="24"/>
          <w:highlight w:val="none"/>
          <w:u w:val="single"/>
          <w:lang w:val="en-US" w:eastAsia="zh-CN" w:bidi="ar"/>
        </w:rPr>
        <w:t xml:space="preserve"> </w:t>
      </w:r>
      <w:r>
        <w:rPr>
          <w:rFonts w:hint="eastAsia" w:ascii="宋体" w:hAnsi="宋体" w:eastAsia="宋体" w:cs="宋体"/>
          <w:bCs/>
          <w:color w:val="auto"/>
          <w:kern w:val="2"/>
          <w:sz w:val="24"/>
          <w:szCs w:val="24"/>
          <w:highlight w:val="none"/>
          <w:u w:val="single"/>
          <w:lang w:val="en-US" w:eastAsia="zh-CN" w:bidi="ar"/>
        </w:rPr>
        <w:t>“经济标投标文件格式”格式三）。</w:t>
      </w:r>
    </w:p>
    <w:p w14:paraId="430995B4">
      <w:pPr>
        <w:keepNext w:val="0"/>
        <w:keepLines w:val="0"/>
        <w:widowControl w:val="0"/>
        <w:suppressLineNumbers w:val="0"/>
        <w:spacing w:before="0" w:beforeAutospacing="0" w:after="0" w:afterAutospacing="0" w:line="440" w:lineRule="exact"/>
        <w:ind w:left="0" w:right="0" w:firstLine="540" w:firstLineChars="224"/>
        <w:jc w:val="both"/>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条款号：11.3.5</w:t>
      </w:r>
      <w:r>
        <w:rPr>
          <w:rFonts w:hint="eastAsia" w:ascii="宋体" w:hAnsi="宋体"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修改类型：增加</w:t>
      </w:r>
    </w:p>
    <w:p w14:paraId="121B006C">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440" w:lineRule="exact"/>
        <w:ind w:left="0" w:right="0" w:firstLine="540" w:firstLineChars="224"/>
        <w:jc w:val="both"/>
        <w:rPr>
          <w:rFonts w:hint="eastAsia" w:ascii="宋体" w:hAnsi="宋体"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bCs/>
          <w:color w:val="auto"/>
          <w:kern w:val="2"/>
          <w:sz w:val="24"/>
          <w:szCs w:val="24"/>
          <w:highlight w:val="none"/>
          <w:lang w:val="en-US" w:eastAsia="zh-CN" w:bidi="ar"/>
        </w:rPr>
        <w:t>11.3.5</w:t>
      </w: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宋体"/>
          <w:bCs/>
          <w:color w:val="auto"/>
          <w:kern w:val="2"/>
          <w:sz w:val="24"/>
          <w:szCs w:val="24"/>
          <w:highlight w:val="none"/>
          <w:u w:val="single"/>
          <w:lang w:val="en-US" w:eastAsia="zh-CN" w:bidi="ar"/>
        </w:rPr>
        <w:t>对投标文件编制的承诺</w:t>
      </w: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宋体"/>
          <w:bCs/>
          <w:color w:val="auto"/>
          <w:kern w:val="2"/>
          <w:sz w:val="24"/>
          <w:szCs w:val="24"/>
          <w:highlight w:val="none"/>
          <w:u w:val="single"/>
          <w:lang w:val="en-US" w:eastAsia="zh-CN" w:bidi="ar"/>
        </w:rPr>
        <w:t>（须按招标文件第四章</w:t>
      </w:r>
      <w:r>
        <w:rPr>
          <w:rFonts w:hint="eastAsia" w:ascii="宋体" w:hAnsi="宋体" w:eastAsia="宋体" w:cs="Times New Roman"/>
          <w:bCs/>
          <w:color w:val="auto"/>
          <w:kern w:val="2"/>
          <w:sz w:val="24"/>
          <w:szCs w:val="24"/>
          <w:highlight w:val="none"/>
          <w:u w:val="single"/>
          <w:lang w:val="en-US" w:eastAsia="zh-CN" w:bidi="ar"/>
        </w:rPr>
        <w:t xml:space="preserve"> </w:t>
      </w:r>
      <w:r>
        <w:rPr>
          <w:rFonts w:hint="eastAsia" w:ascii="宋体" w:hAnsi="宋体" w:eastAsia="宋体" w:cs="宋体"/>
          <w:bCs/>
          <w:color w:val="auto"/>
          <w:kern w:val="2"/>
          <w:sz w:val="24"/>
          <w:szCs w:val="24"/>
          <w:highlight w:val="none"/>
          <w:u w:val="single"/>
          <w:lang w:val="en-US" w:eastAsia="zh-CN" w:bidi="ar"/>
        </w:rPr>
        <w:t>“经济标投标文件格式”格式四</w:t>
      </w:r>
      <w:r>
        <w:rPr>
          <w:rFonts w:hint="eastAsia" w:ascii="宋体" w:hAnsi="宋体" w:eastAsia="宋体" w:cs="宋体"/>
          <w:bCs/>
          <w:color w:val="auto"/>
          <w:kern w:val="2"/>
          <w:sz w:val="24"/>
          <w:szCs w:val="24"/>
          <w:highlight w:val="none"/>
          <w:lang w:val="en-US" w:eastAsia="zh-CN" w:bidi="ar"/>
        </w:rPr>
        <w:t>）</w:t>
      </w:r>
    </w:p>
    <w:p w14:paraId="0B9A82EF">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条款号：12.1                 修改类型：修改</w:t>
      </w:r>
    </w:p>
    <w:p w14:paraId="108A1726">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2"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bCs/>
          <w:color w:val="auto"/>
          <w:kern w:val="2"/>
          <w:sz w:val="24"/>
          <w:szCs w:val="24"/>
          <w:highlight w:val="none"/>
          <w:lang w:val="en-US" w:eastAsia="zh-CN" w:bidi="ar"/>
        </w:rPr>
        <w:t>12.1</w:t>
      </w:r>
      <w:r>
        <w:rPr>
          <w:rFonts w:hint="eastAsia" w:ascii="宋体" w:hAnsi="宋体" w:eastAsia="宋体" w:cs="宋体"/>
          <w:color w:val="auto"/>
          <w:kern w:val="2"/>
          <w:sz w:val="24"/>
          <w:szCs w:val="24"/>
          <w:highlight w:val="none"/>
          <w:lang w:val="en-US" w:eastAsia="zh-CN" w:bidi="ar"/>
        </w:rPr>
        <w:t>投标文件包括本须知第11条中规定的内容，投标人提交的投标文件应当使用招标文件所提供的投标文件全部格式（表格可以按同样格式扩展）。</w:t>
      </w:r>
    </w:p>
    <w:p w14:paraId="2B273D13">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2" w:firstLineChars="200"/>
        <w:jc w:val="both"/>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bCs/>
          <w:color w:val="auto"/>
          <w:kern w:val="2"/>
          <w:sz w:val="24"/>
          <w:szCs w:val="24"/>
          <w:highlight w:val="none"/>
          <w:lang w:val="en-US" w:eastAsia="zh-CN" w:bidi="ar"/>
        </w:rPr>
        <w:t>12.1</w:t>
      </w:r>
      <w:r>
        <w:rPr>
          <w:rFonts w:hint="eastAsia" w:ascii="宋体" w:hAnsi="宋体" w:eastAsia="宋体" w:cs="宋体"/>
          <w:color w:val="auto"/>
          <w:kern w:val="2"/>
          <w:sz w:val="24"/>
          <w:szCs w:val="24"/>
          <w:highlight w:val="none"/>
          <w:lang w:val="en-US" w:eastAsia="zh-CN" w:bidi="ar"/>
        </w:rPr>
        <w:t>投标文件包括本须知第11条中规定的内容</w:t>
      </w:r>
      <w:r>
        <w:rPr>
          <w:rFonts w:hint="eastAsia" w:ascii="宋体" w:hAnsi="宋体" w:eastAsia="宋体" w:cs="宋体"/>
          <w:color w:val="auto"/>
          <w:kern w:val="2"/>
          <w:sz w:val="24"/>
          <w:szCs w:val="24"/>
          <w:highlight w:val="none"/>
          <w:u w:val="single"/>
          <w:lang w:val="en-US" w:eastAsia="zh-CN" w:bidi="ar"/>
        </w:rPr>
        <w:t>，投标文件格式按招标文件第四章《投标文件格式》。其中：技术标格式二、格式三、格式十一、格式十二、格式十三、格式十四、格式十五和经济标格式二、格式三、格式四必须按招标文件规定的格式进行编制外，其余格式仅供参考。</w:t>
      </w:r>
    </w:p>
    <w:p w14:paraId="4FDF23B5">
      <w:pPr>
        <w:keepNext w:val="0"/>
        <w:keepLines w:val="0"/>
        <w:widowControl w:val="0"/>
        <w:suppressLineNumbers w:val="0"/>
        <w:spacing w:before="0" w:beforeAutospacing="0" w:after="0" w:afterAutospacing="0" w:line="440" w:lineRule="exact"/>
        <w:ind w:left="0" w:right="0" w:firstLine="540" w:firstLineChars="224"/>
        <w:jc w:val="both"/>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eastAsia" w:ascii="宋体" w:hAnsi="宋体" w:eastAsia="宋体" w:cs="宋体"/>
          <w:color w:val="auto"/>
          <w:kern w:val="2"/>
          <w:sz w:val="24"/>
          <w:szCs w:val="24"/>
          <w:highlight w:val="none"/>
          <w:lang w:val="en-US" w:eastAsia="zh-CN" w:bidi="ar"/>
        </w:rPr>
        <w:t xml:space="preserve">12.2 </w:t>
      </w:r>
      <w:r>
        <w:rPr>
          <w:rFonts w:hint="eastAsia" w:ascii="宋体" w:hAnsi="宋体"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修改类型：修改</w:t>
      </w:r>
    </w:p>
    <w:p w14:paraId="5707ECD8">
      <w:pPr>
        <w:keepNext w:val="0"/>
        <w:keepLines w:val="0"/>
        <w:widowControl w:val="0"/>
        <w:suppressLineNumbers w:val="0"/>
        <w:spacing w:before="0" w:beforeAutospacing="0" w:after="0" w:afterAutospacing="0" w:line="440" w:lineRule="exact"/>
        <w:ind w:left="0" w:right="0" w:firstLine="482" w:firstLineChars="200"/>
        <w:jc w:val="both"/>
        <w:rPr>
          <w:rFonts w:hint="eastAsia" w:ascii="宋体" w:hAnsi="宋体" w:eastAsia="宋体" w:cs="Times New Roman"/>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原文：</w:t>
      </w:r>
      <w:r>
        <w:rPr>
          <w:rFonts w:hint="eastAsia" w:ascii="宋体" w:hAnsi="宋体" w:eastAsia="宋体" w:cs="宋体"/>
          <w:bCs/>
          <w:color w:val="auto"/>
          <w:kern w:val="0"/>
          <w:sz w:val="24"/>
          <w:szCs w:val="24"/>
          <w:highlight w:val="none"/>
          <w:lang w:val="en-US" w:eastAsia="zh-CN" w:bidi="ar"/>
        </w:rPr>
        <w:t>12.2</w:t>
      </w:r>
      <w:r>
        <w:rPr>
          <w:rFonts w:hint="eastAsia" w:ascii="宋体" w:hAnsi="宋体" w:eastAsia="宋体" w:cs="宋体"/>
          <w:bCs/>
          <w:color w:val="auto"/>
          <w:kern w:val="2"/>
          <w:sz w:val="24"/>
          <w:szCs w:val="24"/>
          <w:highlight w:val="none"/>
          <w:lang w:val="en-US" w:eastAsia="zh-CN" w:bidi="ar"/>
        </w:rPr>
        <w:t>投</w:t>
      </w:r>
      <w:r>
        <w:rPr>
          <w:rFonts w:hint="eastAsia" w:ascii="宋体" w:hAnsi="宋体" w:eastAsia="宋体" w:cs="宋体"/>
          <w:color w:val="auto"/>
          <w:kern w:val="2"/>
          <w:sz w:val="24"/>
          <w:szCs w:val="24"/>
          <w:highlight w:val="none"/>
          <w:lang w:val="en-US" w:eastAsia="zh-CN" w:bidi="ar"/>
        </w:rPr>
        <w:t>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default" w:ascii="Calibri" w:hAnsi="Calibri" w:eastAsia="宋体" w:cs="Times New Roman"/>
          <w:color w:val="auto"/>
          <w:kern w:val="2"/>
          <w:sz w:val="24"/>
          <w:szCs w:val="24"/>
          <w:highlight w:val="none"/>
          <w:u w:val="single"/>
          <w:lang w:val="en-US" w:eastAsia="zh-CN" w:bidi="ar"/>
        </w:rPr>
        <w:t xml:space="preserve">      </w:t>
      </w:r>
      <w:r>
        <w:rPr>
          <w:rFonts w:hint="eastAsia" w:ascii="Calibri" w:hAnsi="Calibri" w:eastAsia="宋体" w:cs="Times New Roman"/>
          <w:color w:val="auto"/>
          <w:kern w:val="2"/>
          <w:sz w:val="24"/>
          <w:szCs w:val="24"/>
          <w:highlight w:val="none"/>
          <w:u w:val="single"/>
          <w:lang w:val="en-US" w:eastAsia="zh-CN" w:bidi="ar"/>
        </w:rPr>
        <w:t xml:space="preserve">    </w:t>
      </w:r>
      <w:r>
        <w:rPr>
          <w:rFonts w:hint="default" w:ascii="Calibri" w:hAnsi="Calibri"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w:t>
      </w:r>
    </w:p>
    <w:p w14:paraId="2E378B8F">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440" w:lineRule="exact"/>
        <w:ind w:left="0" w:right="0" w:firstLine="602" w:firstLineChars="250"/>
        <w:jc w:val="both"/>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bCs/>
          <w:color w:val="auto"/>
          <w:kern w:val="2"/>
          <w:sz w:val="24"/>
          <w:szCs w:val="24"/>
          <w:highlight w:val="none"/>
          <w:lang w:val="en-US" w:eastAsia="zh-CN" w:bidi="ar"/>
        </w:rPr>
        <w:t>12.2投</w:t>
      </w:r>
      <w:r>
        <w:rPr>
          <w:rFonts w:hint="eastAsia" w:ascii="宋体" w:hAnsi="宋体" w:eastAsia="宋体" w:cs="宋体"/>
          <w:color w:val="auto"/>
          <w:kern w:val="2"/>
          <w:sz w:val="24"/>
          <w:szCs w:val="24"/>
          <w:highlight w:val="none"/>
          <w:lang w:val="en-US" w:eastAsia="zh-CN" w:bidi="ar"/>
        </w:rPr>
        <w:t>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eastAsia="宋体" w:cs="宋体"/>
          <w:color w:val="auto"/>
          <w:kern w:val="2"/>
          <w:sz w:val="24"/>
          <w:szCs w:val="24"/>
          <w:highlight w:val="none"/>
          <w:u w:val="single"/>
          <w:lang w:val="en-US" w:eastAsia="zh-CN" w:bidi="ar"/>
        </w:rPr>
        <w:t>广州公共资源交易中心网站。</w:t>
      </w:r>
    </w:p>
    <w:p w14:paraId="0629A298">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12.3             </w:t>
      </w:r>
      <w:r>
        <w:rPr>
          <w:rFonts w:hint="eastAsia" w:ascii="宋体" w:hAnsi="宋体" w:eastAsia="宋体" w:cs="宋体"/>
          <w:b/>
          <w:bCs w:val="0"/>
          <w:color w:val="auto"/>
          <w:kern w:val="2"/>
          <w:sz w:val="24"/>
          <w:szCs w:val="24"/>
          <w:highlight w:val="none"/>
          <w:lang w:val="en-US" w:eastAsia="zh-CN" w:bidi="ar"/>
        </w:rPr>
        <w:t>修改类型：修改</w:t>
      </w:r>
    </w:p>
    <w:p w14:paraId="77451F5C">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 xml:space="preserve">12.3 </w:t>
      </w:r>
      <w:r>
        <w:rPr>
          <w:rFonts w:hint="eastAsia" w:ascii="宋体" w:hAnsi="宋体" w:eastAsia="宋体" w:cs="宋体"/>
          <w:color w:val="auto"/>
          <w:kern w:val="2"/>
          <w:sz w:val="24"/>
          <w:szCs w:val="24"/>
          <w:highlight w:val="none"/>
          <w:lang w:val="en-US" w:eastAsia="zh-CN" w:bidi="ar"/>
        </w:rPr>
        <w:t>投标文件应按照交易平台关于全流程电子化项目的相关指南进行编制，详见：</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w:t>
      </w:r>
    </w:p>
    <w:p w14:paraId="58099F29">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color w:val="auto"/>
          <w:kern w:val="2"/>
          <w:sz w:val="24"/>
          <w:szCs w:val="24"/>
          <w:highlight w:val="none"/>
          <w:lang w:val="en-US" w:eastAsia="zh-CN" w:bidi="ar"/>
        </w:rPr>
        <w:t xml:space="preserve">12.3 </w:t>
      </w:r>
      <w:r>
        <w:rPr>
          <w:rFonts w:hint="eastAsia" w:ascii="宋体" w:hAnsi="宋体" w:eastAsia="宋体" w:cs="宋体"/>
          <w:color w:val="auto"/>
          <w:kern w:val="2"/>
          <w:sz w:val="24"/>
          <w:szCs w:val="24"/>
          <w:highlight w:val="none"/>
          <w:lang w:val="en-US" w:eastAsia="zh-CN" w:bidi="ar"/>
        </w:rPr>
        <w:t>投标文件应按照交易平台关于全流程电子化项目的相关指南进行编制，详见：</w:t>
      </w:r>
      <w:r>
        <w:rPr>
          <w:rFonts w:hint="eastAsia" w:ascii="宋体" w:hAnsi="宋体" w:eastAsia="宋体" w:cs="宋体"/>
          <w:color w:val="auto"/>
          <w:kern w:val="2"/>
          <w:sz w:val="24"/>
          <w:szCs w:val="24"/>
          <w:highlight w:val="none"/>
          <w:u w:val="single"/>
          <w:lang w:val="en-US" w:eastAsia="zh-CN" w:bidi="ar"/>
        </w:rPr>
        <w:t>广州公共资源交易中心网站</w:t>
      </w:r>
      <w:r>
        <w:rPr>
          <w:rFonts w:hint="eastAsia" w:ascii="宋体" w:hAnsi="宋体" w:eastAsia="宋体" w:cs="宋体"/>
          <w:color w:val="auto"/>
          <w:kern w:val="2"/>
          <w:sz w:val="24"/>
          <w:szCs w:val="24"/>
          <w:highlight w:val="none"/>
          <w:lang w:val="en-US" w:eastAsia="zh-CN" w:bidi="ar"/>
        </w:rPr>
        <w:t>。</w:t>
      </w:r>
    </w:p>
    <w:p w14:paraId="0B3CF30E">
      <w:pPr>
        <w:keepNext w:val="0"/>
        <w:keepLines w:val="0"/>
        <w:widowControl w:val="0"/>
        <w:suppressLineNumbers w:val="0"/>
        <w:pBdr>
          <w:top w:val="single" w:color="auto" w:sz="4" w:space="1"/>
          <w:left w:val="none" w:color="auto" w:sz="0" w:space="0"/>
          <w:bottom w:val="none" w:color="auto" w:sz="0" w:space="0"/>
          <w:right w:val="none" w:color="auto" w:sz="0" w:space="0"/>
        </w:pBdr>
        <w:spacing w:before="0" w:beforeAutospacing="0" w:after="0" w:afterAutospacing="0" w:line="480" w:lineRule="auto"/>
        <w:ind w:left="0" w:right="0" w:firstLine="540" w:firstLineChars="224"/>
        <w:jc w:val="both"/>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条款号：13.1             修改类型：修改</w:t>
      </w:r>
    </w:p>
    <w:p w14:paraId="5576A2A4">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eastAsia" w:ascii="宋体" w:hAnsi="宋体"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Times New Roman"/>
          <w:color w:val="auto"/>
          <w:kern w:val="2"/>
          <w:sz w:val="24"/>
          <w:szCs w:val="24"/>
          <w:highlight w:val="none"/>
          <w:lang w:val="en-US" w:eastAsia="zh-CN" w:bidi="ar"/>
        </w:rPr>
        <w:t xml:space="preserve">13.1 </w:t>
      </w:r>
      <w:r>
        <w:rPr>
          <w:rFonts w:hint="eastAsia" w:ascii="宋体" w:hAnsi="宋体" w:eastAsia="宋体" w:cs="宋体"/>
          <w:color w:val="auto"/>
          <w:kern w:val="2"/>
          <w:sz w:val="24"/>
          <w:szCs w:val="24"/>
          <w:highlight w:val="none"/>
          <w:lang w:val="en-US" w:eastAsia="zh-CN" w:bidi="ar"/>
        </w:rPr>
        <w:t>本工程的投标报价采用投标须知前附表第</w:t>
      </w:r>
      <w:r>
        <w:rPr>
          <w:rFonts w:hint="eastAsia" w:ascii="宋体" w:hAnsi="宋体" w:eastAsia="宋体" w:cs="Times New Roman"/>
          <w:color w:val="auto"/>
          <w:kern w:val="2"/>
          <w:sz w:val="24"/>
          <w:szCs w:val="24"/>
          <w:highlight w:val="none"/>
          <w:lang w:val="en-US" w:eastAsia="zh-CN" w:bidi="ar"/>
        </w:rPr>
        <w:t>12</w:t>
      </w:r>
      <w:r>
        <w:rPr>
          <w:rFonts w:hint="eastAsia" w:ascii="宋体" w:hAnsi="宋体" w:eastAsia="宋体" w:cs="宋体"/>
          <w:color w:val="auto"/>
          <w:kern w:val="2"/>
          <w:sz w:val="24"/>
          <w:szCs w:val="24"/>
          <w:highlight w:val="none"/>
          <w:lang w:val="en-US" w:eastAsia="zh-CN" w:bidi="ar"/>
        </w:rPr>
        <w:t>项所规定的方式。投标报价（含单价及总价）精确到“分”。</w:t>
      </w:r>
    </w:p>
    <w:p w14:paraId="03D293BA">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eastAsia" w:ascii="宋体" w:hAnsi="宋体"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Times New Roman"/>
          <w:color w:val="auto"/>
          <w:kern w:val="2"/>
          <w:sz w:val="24"/>
          <w:szCs w:val="24"/>
          <w:highlight w:val="none"/>
          <w:lang w:val="en-US" w:eastAsia="zh-CN" w:bidi="ar"/>
        </w:rPr>
        <w:t xml:space="preserve">13.1 </w:t>
      </w:r>
      <w:r>
        <w:rPr>
          <w:rFonts w:hint="eastAsia" w:ascii="宋体" w:hAnsi="宋体" w:eastAsia="宋体" w:cs="宋体"/>
          <w:color w:val="auto"/>
          <w:kern w:val="2"/>
          <w:sz w:val="24"/>
          <w:szCs w:val="24"/>
          <w:highlight w:val="none"/>
          <w:lang w:val="en-US" w:eastAsia="zh-CN" w:bidi="ar"/>
        </w:rPr>
        <w:t>本工程的投标报价采用投标须知前附表第</w:t>
      </w:r>
      <w:r>
        <w:rPr>
          <w:rFonts w:hint="eastAsia" w:ascii="宋体" w:hAnsi="宋体" w:eastAsia="宋体" w:cs="Times New Roman"/>
          <w:color w:val="auto"/>
          <w:kern w:val="2"/>
          <w:sz w:val="24"/>
          <w:szCs w:val="24"/>
          <w:highlight w:val="none"/>
          <w:lang w:val="en-US" w:eastAsia="zh-CN" w:bidi="ar"/>
        </w:rPr>
        <w:t>12</w:t>
      </w:r>
      <w:r>
        <w:rPr>
          <w:rFonts w:hint="eastAsia" w:ascii="宋体" w:hAnsi="宋体" w:eastAsia="宋体" w:cs="宋体"/>
          <w:color w:val="auto"/>
          <w:kern w:val="2"/>
          <w:sz w:val="24"/>
          <w:szCs w:val="24"/>
          <w:highlight w:val="none"/>
          <w:lang w:val="en-US" w:eastAsia="zh-CN" w:bidi="ar"/>
        </w:rPr>
        <w:t>项所规定的方式。</w:t>
      </w:r>
      <w:r>
        <w:rPr>
          <w:rFonts w:hint="eastAsia" w:ascii="宋体" w:hAnsi="宋体" w:eastAsia="宋体" w:cs="宋体"/>
          <w:color w:val="auto"/>
          <w:kern w:val="2"/>
          <w:sz w:val="24"/>
          <w:szCs w:val="24"/>
          <w:highlight w:val="none"/>
          <w:u w:val="single"/>
          <w:lang w:val="en-US" w:eastAsia="zh-CN" w:bidi="ar"/>
        </w:rPr>
        <w:t>投标文件中的大写金额和小写金额不一致的，以大写金额为准。</w:t>
      </w:r>
      <w:r>
        <w:rPr>
          <w:rFonts w:hint="eastAsia" w:ascii="宋体" w:hAnsi="宋体" w:eastAsia="宋体" w:cs="宋体"/>
          <w:color w:val="auto"/>
          <w:kern w:val="2"/>
          <w:sz w:val="24"/>
          <w:szCs w:val="24"/>
          <w:highlight w:val="none"/>
          <w:lang w:val="en-US" w:eastAsia="zh-CN" w:bidi="ar"/>
        </w:rPr>
        <w:t>投标报价（含单价及总价）精确到“分”。</w:t>
      </w:r>
    </w:p>
    <w:p w14:paraId="58314B91">
      <w:pPr>
        <w:keepNext w:val="0"/>
        <w:keepLines w:val="0"/>
        <w:widowControl w:val="0"/>
        <w:suppressLineNumbers w:val="0"/>
        <w:spacing w:before="0" w:beforeAutospacing="0" w:after="0" w:afterAutospacing="0" w:line="360" w:lineRule="auto"/>
        <w:ind w:left="0" w:right="0" w:firstLine="470" w:firstLineChars="195"/>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条款号：13.3                        修改类型：修改</w:t>
      </w:r>
    </w:p>
    <w:p w14:paraId="6FC35018">
      <w:pPr>
        <w:keepNext w:val="0"/>
        <w:keepLines w:val="0"/>
        <w:widowControl w:val="0"/>
        <w:suppressLineNumbers w:val="0"/>
        <w:spacing w:before="0" w:beforeAutospacing="0" w:after="0" w:afterAutospacing="0" w:line="360" w:lineRule="auto"/>
        <w:ind w:left="0" w:right="0" w:firstLine="470" w:firstLineChars="195"/>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bCs/>
          <w:color w:val="auto"/>
          <w:kern w:val="2"/>
          <w:sz w:val="24"/>
          <w:szCs w:val="24"/>
          <w:highlight w:val="none"/>
          <w:lang w:val="en-US" w:eastAsia="zh-CN" w:bidi="ar"/>
        </w:rPr>
        <w:t>13.3投</w:t>
      </w:r>
      <w:r>
        <w:rPr>
          <w:rFonts w:hint="eastAsia" w:ascii="宋体" w:hAnsi="宋体" w:eastAsia="宋体" w:cs="宋体"/>
          <w:color w:val="auto"/>
          <w:kern w:val="2"/>
          <w:sz w:val="24"/>
          <w:szCs w:val="24"/>
          <w:highlight w:val="none"/>
          <w:lang w:val="en-US" w:eastAsia="zh-CN" w:bidi="ar"/>
        </w:rPr>
        <w:t>标人的投标报价，应是按照投标须知前附表第</w:t>
      </w:r>
      <w:r>
        <w:rPr>
          <w:rFonts w:hint="eastAsia" w:ascii="宋体" w:hAnsi="宋体" w:eastAsia="宋体" w:cs="Times New Roman"/>
          <w:color w:val="auto"/>
          <w:kern w:val="2"/>
          <w:sz w:val="24"/>
          <w:szCs w:val="24"/>
          <w:highlight w:val="none"/>
          <w:lang w:val="en-US" w:eastAsia="zh-CN" w:bidi="ar"/>
        </w:rPr>
        <w:t>8</w:t>
      </w:r>
      <w:r>
        <w:rPr>
          <w:rFonts w:hint="eastAsia" w:ascii="宋体" w:hAnsi="宋体" w:eastAsia="宋体" w:cs="宋体"/>
          <w:color w:val="auto"/>
          <w:kern w:val="2"/>
          <w:sz w:val="24"/>
          <w:szCs w:val="24"/>
          <w:highlight w:val="none"/>
          <w:lang w:val="en-US" w:eastAsia="zh-CN" w:bidi="ar"/>
        </w:rPr>
        <w:t>项的工期要求，在投标须知前附表第</w:t>
      </w:r>
      <w:r>
        <w:rPr>
          <w:rFonts w:hint="eastAsia" w:ascii="宋体" w:hAnsi="宋体" w:eastAsia="宋体" w:cs="Times New Roman"/>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项的建设地点，完成投标须知前附表第</w:t>
      </w:r>
      <w:r>
        <w:rPr>
          <w:rFonts w:hint="eastAsia" w:ascii="宋体" w:hAnsi="宋体" w:eastAsia="宋体" w:cs="Times New Roman"/>
          <w:color w:val="auto"/>
          <w:kern w:val="2"/>
          <w:sz w:val="24"/>
          <w:szCs w:val="24"/>
          <w:highlight w:val="none"/>
          <w:lang w:val="en-US" w:eastAsia="zh-CN" w:bidi="ar"/>
        </w:rPr>
        <w:t>7</w:t>
      </w:r>
      <w:r>
        <w:rPr>
          <w:rFonts w:hint="eastAsia" w:ascii="宋体" w:hAnsi="宋体" w:eastAsia="宋体" w:cs="宋体"/>
          <w:color w:val="auto"/>
          <w:kern w:val="2"/>
          <w:sz w:val="24"/>
          <w:szCs w:val="24"/>
          <w:highlight w:val="none"/>
          <w:lang w:val="en-US" w:eastAsia="zh-CN" w:bidi="ar"/>
        </w:rPr>
        <w:t>项的招标范围内已由招标人制定的工程量清单列明工作的全部费用，包括但不限于完成工作的成本、利润、税金、技术措施费、大型机械进出场费、风险费以及政策性文件规定费用等，不得以任何理由予以重复计算。招标人提供的工程量清单或招标文件其他部分中有关规费、暂列金额、暂估价、绿色施工安全防护措施费等非竞争性项目明列了单价或合价的金额的，投标人应按照明列的单价或合价的金额报价，未按照规定金额报价的，由评标委员会按照招标文件规定的金额进行修正。</w:t>
      </w:r>
    </w:p>
    <w:p w14:paraId="0A2B64CC">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70" w:firstLineChars="195"/>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bCs/>
          <w:color w:val="auto"/>
          <w:kern w:val="2"/>
          <w:sz w:val="24"/>
          <w:szCs w:val="24"/>
          <w:highlight w:val="none"/>
          <w:lang w:val="en-US" w:eastAsia="zh-CN" w:bidi="ar"/>
        </w:rPr>
        <w:t>13.3投</w:t>
      </w:r>
      <w:r>
        <w:rPr>
          <w:rFonts w:hint="eastAsia" w:ascii="宋体" w:hAnsi="宋体" w:eastAsia="宋体" w:cs="宋体"/>
          <w:color w:val="auto"/>
          <w:kern w:val="2"/>
          <w:sz w:val="24"/>
          <w:szCs w:val="24"/>
          <w:highlight w:val="none"/>
          <w:lang w:val="en-US" w:eastAsia="zh-CN" w:bidi="ar"/>
        </w:rPr>
        <w:t>标人的投标报价，应是按照投标须知前附表第</w:t>
      </w:r>
      <w:r>
        <w:rPr>
          <w:rFonts w:hint="eastAsia" w:ascii="宋体" w:hAnsi="宋体" w:eastAsia="宋体" w:cs="Times New Roman"/>
          <w:color w:val="auto"/>
          <w:kern w:val="2"/>
          <w:sz w:val="24"/>
          <w:szCs w:val="24"/>
          <w:highlight w:val="none"/>
          <w:lang w:val="en-US" w:eastAsia="zh-CN" w:bidi="ar"/>
        </w:rPr>
        <w:t>8</w:t>
      </w:r>
      <w:r>
        <w:rPr>
          <w:rFonts w:hint="eastAsia" w:ascii="宋体" w:hAnsi="宋体" w:eastAsia="宋体" w:cs="宋体"/>
          <w:color w:val="auto"/>
          <w:kern w:val="2"/>
          <w:sz w:val="24"/>
          <w:szCs w:val="24"/>
          <w:highlight w:val="none"/>
          <w:lang w:val="en-US" w:eastAsia="zh-CN" w:bidi="ar"/>
        </w:rPr>
        <w:t>项的工期要求，在投标须知前附表第</w:t>
      </w:r>
      <w:r>
        <w:rPr>
          <w:rFonts w:hint="eastAsia" w:ascii="宋体" w:hAnsi="宋体" w:eastAsia="宋体" w:cs="Times New Roman"/>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项的建设地点，完成投标须知前附表第</w:t>
      </w:r>
      <w:r>
        <w:rPr>
          <w:rFonts w:hint="eastAsia" w:ascii="宋体" w:hAnsi="宋体" w:eastAsia="宋体" w:cs="Times New Roman"/>
          <w:color w:val="auto"/>
          <w:kern w:val="2"/>
          <w:sz w:val="24"/>
          <w:szCs w:val="24"/>
          <w:highlight w:val="none"/>
          <w:lang w:val="en-US" w:eastAsia="zh-CN" w:bidi="ar"/>
        </w:rPr>
        <w:t>7</w:t>
      </w:r>
      <w:r>
        <w:rPr>
          <w:rFonts w:hint="eastAsia" w:ascii="宋体" w:hAnsi="宋体" w:eastAsia="宋体" w:cs="宋体"/>
          <w:color w:val="auto"/>
          <w:kern w:val="2"/>
          <w:sz w:val="24"/>
          <w:szCs w:val="24"/>
          <w:highlight w:val="none"/>
          <w:lang w:val="en-US" w:eastAsia="zh-CN" w:bidi="ar"/>
        </w:rPr>
        <w:t>项的招标范围内已由招标人</w:t>
      </w:r>
      <w:r>
        <w:rPr>
          <w:rFonts w:hint="eastAsia" w:ascii="宋体" w:hAnsi="宋体" w:eastAsia="宋体" w:cs="宋体"/>
          <w:color w:val="auto"/>
          <w:kern w:val="2"/>
          <w:sz w:val="24"/>
          <w:szCs w:val="24"/>
          <w:highlight w:val="none"/>
          <w:u w:val="single"/>
          <w:lang w:val="en-US" w:eastAsia="zh-CN" w:bidi="ar"/>
        </w:rPr>
        <w:t>提供的招标图纸（包括有关于本项目招标的相关资料）及</w:t>
      </w:r>
      <w:r>
        <w:rPr>
          <w:rFonts w:hint="eastAsia" w:ascii="宋体" w:hAnsi="宋体" w:eastAsia="宋体" w:cs="宋体"/>
          <w:color w:val="auto"/>
          <w:kern w:val="2"/>
          <w:sz w:val="24"/>
          <w:szCs w:val="24"/>
          <w:highlight w:val="none"/>
          <w:lang w:val="en-US" w:eastAsia="zh-CN" w:bidi="ar"/>
        </w:rPr>
        <w:t>制定的工程量清单列明工作的全部费用，包括但不限于完成工作的成本、利润、税金、技术措施费、大型机械进出场费、风险费以及政策性文件规定费用等，不得以任何理由予以重复计算。招标人提供的工程量清单或招标文件其他部分中有关规费、暂列金额、暂估价、绿色施工安全防护措施费等非竞争性项目明列了单价或合价的金额的，投标人应按照明列的单价或合价的金额报价，未按照规定金额报价的，由评标委员会按照招标文件规定的金额进行修正。</w:t>
      </w:r>
    </w:p>
    <w:p w14:paraId="2CA5FAB5">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13.4</w:t>
      </w:r>
      <w:r>
        <w:rPr>
          <w:rFonts w:hint="default" w:ascii="Times New Roman" w:hAnsi="Times New Roman"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修改类型：修改</w:t>
      </w:r>
    </w:p>
    <w:p w14:paraId="2D17210D">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13.4</w:t>
      </w:r>
      <w:r>
        <w:rPr>
          <w:rFonts w:hint="eastAsia" w:ascii="宋体" w:hAnsi="宋体" w:eastAsia="宋体" w:cs="宋体"/>
          <w:color w:val="auto"/>
          <w:kern w:val="2"/>
          <w:sz w:val="24"/>
          <w:szCs w:val="24"/>
          <w:highlight w:val="none"/>
          <w:lang w:val="en-US" w:eastAsia="zh-CN" w:bidi="ar"/>
        </w:rPr>
        <w:t>投标人一旦中标，投标人对招标人提供的招标工程量清单中列出的工程项目所报出的综合单价，在工程结算时将不得变更，招标人应在招标文件及合同中明确在人工、材料、设备或机械台班市场价格发生异常变动情况时合同价款的调整办法。因应计算的实际工程量与招标工程量清单出现偏差或因工程变更等原因导致的工程量偏差，引起相关措施项目相应发生变化时，按系数或单一总价方式计价的措施项目费，工程量增加的措施项目费调增，工程量减少的措施项目费调减。</w:t>
      </w:r>
    </w:p>
    <w:p w14:paraId="2C6F55D1">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color w:val="auto"/>
          <w:kern w:val="2"/>
          <w:sz w:val="24"/>
          <w:szCs w:val="24"/>
          <w:highlight w:val="none"/>
          <w:lang w:val="en-US" w:eastAsia="zh-CN" w:bidi="ar"/>
        </w:rPr>
        <w:t>13.4</w:t>
      </w:r>
      <w:r>
        <w:rPr>
          <w:rFonts w:hint="eastAsia" w:ascii="宋体" w:hAnsi="宋体" w:eastAsia="宋体" w:cs="宋体"/>
          <w:color w:val="auto"/>
          <w:kern w:val="2"/>
          <w:sz w:val="24"/>
          <w:szCs w:val="24"/>
          <w:highlight w:val="none"/>
          <w:lang w:val="en-US" w:eastAsia="zh-CN" w:bidi="ar"/>
        </w:rPr>
        <w:t>投标人一旦中标，投标人对招标人提供的招标工程量清单中列出的工程项目所报出的综合单价，在工程结算时将不得变更，招标人应在招标文件及合同中明确在人工、材料、设备或机械台班市场价格发生异常变动情况时合同价款的调整办法。因应计算的实际工程量与招标工程量清单出现偏差或因工程变更等原因导致的工程量偏差，引起相关措施项目相应发生变化时，</w:t>
      </w:r>
      <w:r>
        <w:rPr>
          <w:rFonts w:hint="eastAsia" w:ascii="宋体" w:hAnsi="宋体" w:eastAsia="宋体" w:cs="宋体"/>
          <w:color w:val="auto"/>
          <w:kern w:val="2"/>
          <w:sz w:val="24"/>
          <w:szCs w:val="24"/>
          <w:highlight w:val="none"/>
          <w:u w:val="single"/>
          <w:lang w:val="en-US" w:eastAsia="zh-CN" w:bidi="ar"/>
        </w:rPr>
        <w:t>按合同条款相关约定调整。</w:t>
      </w:r>
    </w:p>
    <w:p w14:paraId="51E2EE3B">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color w:val="auto"/>
          <w:kern w:val="2"/>
          <w:sz w:val="24"/>
          <w:szCs w:val="24"/>
          <w:highlight w:val="none"/>
          <w:lang w:val="en-US" w:eastAsia="zh-CN" w:bidi="ar"/>
        </w:rPr>
        <w:t>13.5</w:t>
      </w:r>
      <w:r>
        <w:rPr>
          <w:rFonts w:hint="eastAsia" w:ascii="Times New Roman" w:hAnsi="Times New Roman" w:eastAsia="宋体" w:cs="Times New Roman"/>
          <w:b/>
          <w:bCs w:val="0"/>
          <w:color w:val="auto"/>
          <w:kern w:val="2"/>
          <w:sz w:val="24"/>
          <w:szCs w:val="24"/>
          <w:highlight w:val="non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13.5.1</w:t>
      </w:r>
      <w:r>
        <w:rPr>
          <w:rFonts w:hint="eastAsia" w:ascii="Times New Roman" w:hAnsi="Times New Roman" w:eastAsia="宋体" w:cs="Times New Roman"/>
          <w:b/>
          <w:bCs w:val="0"/>
          <w:color w:val="auto"/>
          <w:kern w:val="2"/>
          <w:sz w:val="24"/>
          <w:szCs w:val="24"/>
          <w:highlight w:val="non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13.5.2</w:t>
      </w:r>
      <w:r>
        <w:rPr>
          <w:rFonts w:hint="eastAsia" w:ascii="Times New Roman" w:hAnsi="Times New Roman" w:eastAsia="宋体" w:cs="Times New Roman"/>
          <w:b/>
          <w:bCs w:val="0"/>
          <w:color w:val="auto"/>
          <w:kern w:val="2"/>
          <w:sz w:val="24"/>
          <w:szCs w:val="24"/>
          <w:highlight w:val="non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13.5.3</w:t>
      </w:r>
      <w:r>
        <w:rPr>
          <w:rFonts w:hint="eastAsia" w:ascii="Times New Roman" w:hAnsi="Times New Roman" w:eastAsia="宋体" w:cs="Times New Roman"/>
          <w:b/>
          <w:bCs w:val="0"/>
          <w:color w:val="auto"/>
          <w:kern w:val="2"/>
          <w:sz w:val="24"/>
          <w:szCs w:val="24"/>
          <w:highlight w:val="non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13.5.4</w:t>
      </w:r>
      <w:r>
        <w:rPr>
          <w:rFonts w:hint="eastAsia" w:ascii="Times New Roman" w:hAnsi="Times New Roman"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修改类型：修改</w:t>
      </w:r>
    </w:p>
    <w:p w14:paraId="0D1ADF76">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2" w:firstLineChars="200"/>
        <w:jc w:val="both"/>
        <w:rPr>
          <w:rFonts w:hint="default" w:ascii="Times New Roman" w:hAnsi="Times New Roman" w:eastAsia="宋体" w:cs="Times New Roman"/>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原文：</w:t>
      </w:r>
      <w:r>
        <w:rPr>
          <w:rFonts w:hint="eastAsia" w:ascii="宋体" w:hAnsi="宋体" w:eastAsia="宋体" w:cs="宋体"/>
          <w:color w:val="auto"/>
          <w:kern w:val="0"/>
          <w:sz w:val="24"/>
          <w:szCs w:val="24"/>
          <w:highlight w:val="none"/>
          <w:lang w:val="en-US" w:eastAsia="zh-CN" w:bidi="ar"/>
        </w:rPr>
        <w:t>工程项目实施期间……，中标后双方协商约定。</w:t>
      </w:r>
    </w:p>
    <w:p w14:paraId="595AE5B6">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2" w:firstLineChars="200"/>
        <w:jc w:val="both"/>
        <w:rPr>
          <w:rFonts w:hint="default" w:ascii="Times New Roman" w:hAnsi="Times New Roman" w:eastAsia="宋体" w:cs="Times New Roman"/>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现文：</w:t>
      </w:r>
      <w:r>
        <w:rPr>
          <w:rFonts w:hint="eastAsia" w:ascii="宋体" w:hAnsi="宋体" w:eastAsia="宋体" w:cs="宋体"/>
          <w:color w:val="auto"/>
          <w:kern w:val="0"/>
          <w:sz w:val="24"/>
          <w:szCs w:val="24"/>
          <w:highlight w:val="none"/>
          <w:u w:val="single"/>
          <w:lang w:val="en-US" w:eastAsia="zh-CN" w:bidi="ar"/>
        </w:rPr>
        <w:t>变更结算方式按招标文件及施工合同相关规定执行。</w:t>
      </w:r>
    </w:p>
    <w:p w14:paraId="2F5DBAE3">
      <w:pPr>
        <w:keepNext w:val="0"/>
        <w:keepLines w:val="0"/>
        <w:widowControl w:val="0"/>
        <w:suppressLineNumbers w:val="0"/>
        <w:pBdr>
          <w:top w:val="single" w:color="auto" w:sz="4" w:space="1"/>
          <w:left w:val="none" w:color="auto" w:sz="0" w:space="0"/>
          <w:bottom w:val="none" w:color="auto" w:sz="0" w:space="0"/>
          <w:right w:val="none" w:color="auto" w:sz="0" w:space="0"/>
        </w:pBdr>
        <w:spacing w:before="0" w:beforeAutospacing="0" w:after="0" w:afterAutospacing="0" w:line="480" w:lineRule="auto"/>
        <w:ind w:left="0" w:right="0" w:firstLine="540" w:firstLineChars="224"/>
        <w:jc w:val="both"/>
        <w:rPr>
          <w:rFonts w:hint="default" w:ascii="Calibri" w:hAnsi="Calibri"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13.6.2-13.6.6             </w:t>
      </w:r>
      <w:r>
        <w:rPr>
          <w:rFonts w:hint="eastAsia" w:ascii="宋体" w:hAnsi="宋体" w:eastAsia="宋体" w:cs="宋体"/>
          <w:b/>
          <w:bCs w:val="0"/>
          <w:color w:val="auto"/>
          <w:kern w:val="2"/>
          <w:sz w:val="24"/>
          <w:szCs w:val="24"/>
          <w:highlight w:val="none"/>
          <w:lang w:val="en-US" w:eastAsia="zh-CN" w:bidi="ar"/>
        </w:rPr>
        <w:t>修改类型：修改</w:t>
      </w:r>
    </w:p>
    <w:p w14:paraId="2A551F2E">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color w:val="auto"/>
          <w:kern w:val="2"/>
          <w:sz w:val="24"/>
          <w:szCs w:val="24"/>
          <w:highlight w:val="none"/>
          <w:lang w:val="en-US" w:eastAsia="zh-CN" w:bidi="ar"/>
        </w:rPr>
        <w:t>13.6.2在工程实施中，暂列金额、暂估价所包含的工作范围和图纸、标准深化固定后，按照工程专业、设备、材料类别等分类汇总的金额，达到法定招标范围标准的，应由招标人同中标人联合招标，确定承包人和承包价格。</w:t>
      </w:r>
    </w:p>
    <w:p w14:paraId="416F249F">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13.6.3在工程实施中，暂列金额、暂估价所包含的工作范围和图纸、标准深化固定后，按照工程专业、设备、材料类别等分类汇总的金额，未达到法定招标范围标准但适用政府采购规定的，应按照政府采购规定确定承包人和承包价格。</w:t>
      </w:r>
    </w:p>
    <w:p w14:paraId="0D2C856B">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13.6.4在工程实施中，暂列金额、暂估价所包含的工作范围和图纸、标准深化固定后，按照工程专业、设备、材料类别等分类汇总的金额，未达到法定招标范围标准也不适用政府采购规定，承包人有法定的承包资格的，由承包人承包，承包人无法定的承包资格但有法定的分包权的，由承包人分包，招标人同承包人结算的价格按本投标须知13.5款规定确定。</w:t>
      </w:r>
    </w:p>
    <w:p w14:paraId="299CB92C">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13.6.5在工程实施中，暂列金额、暂估价所包含的工作范围和图纸、标准深化固定后，按照工程专业、设备、材料类别等分类汇总的金额，未达到法定招标范围标准也不适用政府采购规定，承包人既无法定的承包资格又无法定的分包权的，由招标人另行发包。</w:t>
      </w:r>
    </w:p>
    <w:p w14:paraId="03A9972D">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13.6.6在工程实施中，暂列金额、暂估价所包含的工作范围由其他承包人承包的，纳入本项目承包人的管理和协调范围，由其他承包人向本项目承包人承担质量、安全、文明施工、工期责任，本项目承包人向招标人承担责任。投标人应当充分考虑此项管理和协调所发生的费用，并将其纳入招标人提供的工程量清单中的适当项目报价中。招标人将视为此项管理和协调所发生的费用已包含在其它有价款的竞争性报价内，在实施后，招标人将不予支付。</w:t>
      </w:r>
    </w:p>
    <w:p w14:paraId="41557218">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lang w:val="en-US" w:eastAsia="zh-CN" w:bidi="ar"/>
        </w:rPr>
        <w:t>13.6.2在工程实施中，暂估价所包含的工作范围和图纸、标准深化固定后，按照工程专业、设备、材料类别等分类汇总的金额，达到法定招标范围标准的，应由招标人同中标人联合招标，确定承包人和承包价格。</w:t>
      </w:r>
    </w:p>
    <w:p w14:paraId="07656CF0">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13.6.3在工程实施中，暂估价所包含的工作范围和图纸、标准深化固定后，按照工程专业、设备、材料类别等分类汇总的金额，未达到法定招标范围标准但适用政府采购规定的，应按照政府采购规定确定承包人和承包价格。</w:t>
      </w:r>
    </w:p>
    <w:p w14:paraId="45F6D585">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13.6.4在工程实施中，暂估价所包含的工作范围和图纸、标准深化固定后，按照工程专业、设备、材料类别等分类汇总的金额，未达到法定招标范围标准也不适用政府采购规定，承包人有法定的承包资格的，由承包人承包，承包人无法定的承包资格但有法定的分包权的，由承包人分包，招标人同承包人结算的价格按本投标须知13.5款规定确定。</w:t>
      </w:r>
    </w:p>
    <w:p w14:paraId="40755500">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13.6.5在工程实施中，暂估价所包含的工作范围和图纸、标准深化固定后，按照工程专业、设备、材料类别等分类汇总的金额，未达到法定招标范围标准也不适用政府采购规定，承包人既无法定的承包资格又无法定的分包权的，由招标人另行发包。</w:t>
      </w:r>
    </w:p>
    <w:p w14:paraId="6ADFAF26">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13.6.6在工程实施中，暂估价所包含的工作范围由其他承包人承包的，纳入本项目承包人的管理和协调范围，由其他承包人向本项目承包人承担质量、安全、文明施工、工期责任，本项目承包人向招标人承担责任。投标人应当充分考虑此项管理和协调所发生的费用，并将其纳入招标人提供的工程量清单中的适当项目报价中。招标人将视为此项管理和协调所发生的费用已包含在其它有价款的竞争性报价内，在实施后，招标人将不予支付。</w:t>
      </w:r>
    </w:p>
    <w:p w14:paraId="26BEACA7">
      <w:pPr>
        <w:keepNext w:val="0"/>
        <w:keepLines w:val="0"/>
        <w:widowControl w:val="0"/>
        <w:suppressLineNumbers w:val="0"/>
        <w:spacing w:before="0" w:beforeAutospacing="0" w:after="0" w:afterAutospacing="0" w:line="360" w:lineRule="auto"/>
        <w:ind w:left="0" w:right="0" w:firstLine="482" w:firstLineChars="200"/>
        <w:jc w:val="both"/>
        <w:rPr>
          <w:rFonts w:hint="default" w:ascii="Calibri" w:hAnsi="Calibri"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Calibri" w:hAnsi="Calibri" w:eastAsia="宋体" w:cs="Times New Roman"/>
          <w:b/>
          <w:bCs w:val="0"/>
          <w:color w:val="auto"/>
          <w:kern w:val="2"/>
          <w:sz w:val="24"/>
          <w:szCs w:val="24"/>
          <w:highlight w:val="none"/>
          <w:lang w:val="en-US" w:eastAsia="zh-CN" w:bidi="ar"/>
        </w:rPr>
        <w:t>13</w:t>
      </w:r>
      <w:r>
        <w:rPr>
          <w:rFonts w:hint="default" w:ascii="Calibri" w:hAnsi="Calibri" w:eastAsia="宋体" w:cs="Calibri"/>
          <w:b/>
          <w:bCs w:val="0"/>
          <w:color w:val="auto"/>
          <w:kern w:val="2"/>
          <w:sz w:val="24"/>
          <w:szCs w:val="24"/>
          <w:highlight w:val="none"/>
          <w:lang w:val="en-US" w:eastAsia="zh-CN" w:bidi="ar"/>
        </w:rPr>
        <w:t xml:space="preserve">.8             </w:t>
      </w:r>
      <w:r>
        <w:rPr>
          <w:rFonts w:hint="eastAsia" w:ascii="宋体" w:hAnsi="宋体" w:eastAsia="宋体" w:cs="宋体"/>
          <w:b/>
          <w:bCs w:val="0"/>
          <w:color w:val="auto"/>
          <w:kern w:val="2"/>
          <w:sz w:val="24"/>
          <w:szCs w:val="24"/>
          <w:highlight w:val="none"/>
          <w:lang w:val="en-US" w:eastAsia="zh-CN" w:bidi="ar"/>
        </w:rPr>
        <w:t>修改类型：修改</w:t>
      </w:r>
    </w:p>
    <w:p w14:paraId="3DD75CE9">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Calibri" w:hAnsi="Calibri"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Calibri" w:hAnsi="Calibri" w:eastAsia="宋体" w:cs="Calibri"/>
          <w:color w:val="auto"/>
          <w:kern w:val="2"/>
          <w:sz w:val="24"/>
          <w:szCs w:val="24"/>
          <w:highlight w:val="none"/>
          <w:lang w:val="en-US" w:eastAsia="zh-CN" w:bidi="ar"/>
        </w:rPr>
        <w:t>13.8</w:t>
      </w:r>
      <w:r>
        <w:rPr>
          <w:rFonts w:hint="eastAsia" w:ascii="宋体" w:hAnsi="宋体" w:eastAsia="宋体" w:cs="宋体"/>
          <w:color w:val="auto"/>
          <w:kern w:val="2"/>
          <w:sz w:val="24"/>
          <w:szCs w:val="24"/>
          <w:highlight w:val="none"/>
          <w:lang w:val="en-US" w:eastAsia="zh-CN" w:bidi="ar"/>
        </w:rPr>
        <w:t>属于承包人自行采购的主要材料、设备，招标人应当在招标文件中提出材料、设备的技术标准或者质量要求，或者提出不少于</w:t>
      </w:r>
      <w:r>
        <w:rPr>
          <w:rFonts w:hint="eastAsia" w:ascii="宋体" w:hAnsi="宋体" w:eastAsia="宋体" w:cs="Times New Roman"/>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个同等档次品牌或分包商供投标人报价时选择</w:t>
      </w:r>
      <w:r>
        <w:rPr>
          <w:rFonts w:hint="eastAsia" w:ascii="宋体" w:hAnsi="Calibri"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凡招标人在招标文件中提出参考品牌的，必须在参考品牌后面加上“或相当于”字样。投标人在投标文件中应明确所选用主要材料、设备的品牌、厂家以及质量等级，并且应当符合招标文件的要求。</w:t>
      </w:r>
    </w:p>
    <w:p w14:paraId="0BDD2582">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Calibri" w:hAnsi="Calibri" w:eastAsia="宋体" w:cs="Times New Roman"/>
          <w:strike/>
          <w:dstrike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lang w:val="en-US" w:eastAsia="zh-CN" w:bidi="ar"/>
        </w:rPr>
        <w:t>属于承包人自行采购的主要材料、设备，招标人应当在招标文件中提出材料、设备的技术标准或者质量要求，或者提出不少于</w:t>
      </w:r>
      <w:r>
        <w:rPr>
          <w:rFonts w:hint="eastAsia" w:ascii="宋体" w:hAnsi="宋体" w:eastAsia="宋体" w:cs="Times New Roman"/>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个同等档次品牌或分包商供投标人报价时选择</w:t>
      </w:r>
      <w:r>
        <w:rPr>
          <w:rFonts w:hint="eastAsia" w:ascii="宋体" w:hAnsi="Calibri"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凡招标人在招标文件中提出参考品牌的，必须在参考品牌后面加上“或相当于”字样。</w:t>
      </w:r>
      <w:r>
        <w:rPr>
          <w:rFonts w:hint="eastAsia" w:ascii="宋体" w:hAnsi="宋体" w:eastAsia="宋体" w:cs="宋体"/>
          <w:strike/>
          <w:dstrike w:val="0"/>
          <w:color w:val="auto"/>
          <w:kern w:val="2"/>
          <w:sz w:val="24"/>
          <w:szCs w:val="24"/>
          <w:highlight w:val="none"/>
          <w:lang w:val="en-US" w:eastAsia="zh-CN" w:bidi="ar"/>
        </w:rPr>
        <w:t>投标人在投标文件中应明确所选用主要材料、设备的品牌、厂家以及质量等级，并且应当符合招标文件的要求。</w:t>
      </w:r>
    </w:p>
    <w:p w14:paraId="2B26B981">
      <w:pPr>
        <w:keepNext w:val="0"/>
        <w:keepLines w:val="0"/>
        <w:widowControl w:val="0"/>
        <w:suppressLineNumbers w:val="0"/>
        <w:spacing w:before="0" w:beforeAutospacing="0" w:after="0" w:afterAutospacing="0" w:line="360" w:lineRule="auto"/>
        <w:ind w:left="0" w:right="0" w:firstLine="482" w:firstLineChars="200"/>
        <w:jc w:val="both"/>
        <w:rPr>
          <w:rFonts w:hint="default" w:ascii="Calibri" w:hAnsi="Calibri"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Calibri" w:hAnsi="Calibri" w:eastAsia="宋体" w:cs="Times New Roman"/>
          <w:b/>
          <w:bCs w:val="0"/>
          <w:color w:val="auto"/>
          <w:kern w:val="2"/>
          <w:sz w:val="24"/>
          <w:szCs w:val="24"/>
          <w:highlight w:val="none"/>
          <w:lang w:val="en-US" w:eastAsia="zh-CN" w:bidi="ar"/>
        </w:rPr>
        <w:t>1</w:t>
      </w:r>
      <w:r>
        <w:rPr>
          <w:rFonts w:hint="default" w:ascii="Calibri" w:hAnsi="Calibri" w:eastAsia="宋体" w:cs="Calibri"/>
          <w:b/>
          <w:bCs w:val="0"/>
          <w:color w:val="auto"/>
          <w:kern w:val="2"/>
          <w:sz w:val="24"/>
          <w:szCs w:val="24"/>
          <w:highlight w:val="none"/>
          <w:lang w:val="en-US" w:eastAsia="zh-CN" w:bidi="ar"/>
        </w:rPr>
        <w:t xml:space="preserve">5.2             </w:t>
      </w:r>
      <w:r>
        <w:rPr>
          <w:rFonts w:hint="eastAsia" w:ascii="宋体" w:hAnsi="宋体" w:eastAsia="宋体" w:cs="宋体"/>
          <w:b/>
          <w:bCs w:val="0"/>
          <w:color w:val="auto"/>
          <w:kern w:val="2"/>
          <w:sz w:val="24"/>
          <w:szCs w:val="24"/>
          <w:highlight w:val="none"/>
          <w:lang w:val="en-US" w:eastAsia="zh-CN" w:bidi="ar"/>
        </w:rPr>
        <w:t>修改类型：修改</w:t>
      </w:r>
    </w:p>
    <w:p w14:paraId="691375DE">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Calibri" w:hAnsi="Calibri"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Calibri" w:hAnsi="Calibri" w:eastAsia="宋体" w:cs="Calibri"/>
          <w:color w:val="auto"/>
          <w:kern w:val="2"/>
          <w:sz w:val="24"/>
          <w:szCs w:val="24"/>
          <w:highlight w:val="none"/>
          <w:lang w:val="en-US" w:eastAsia="zh-CN" w:bidi="ar"/>
        </w:rPr>
        <w:t>15.2</w:t>
      </w:r>
      <w:r>
        <w:rPr>
          <w:rFonts w:hint="eastAsia" w:ascii="宋体" w:hAnsi="宋体" w:eastAsia="宋体" w:cs="宋体"/>
          <w:color w:val="auto"/>
          <w:kern w:val="2"/>
          <w:sz w:val="24"/>
          <w:szCs w:val="24"/>
          <w:highlight w:val="none"/>
          <w:lang w:val="en-US" w:eastAsia="zh-CN" w:bidi="ar"/>
        </w:rPr>
        <w:t>在特殊情况下，招标人在原定投标有效期内，可以根据需要以书面形式向投标人提出延长投标有效期的要求，对此要求投标人须以书面形式予以答复。投标人可以拒绝招标人这种要求，而不影响退还其投标保证金。同意延长投标有效期的投标人既不能要求也不允许修改其投标文件，但需要相应的延长投标保证金的有效期，在延长的投标有效期内，本须知第</w:t>
      </w:r>
      <w:r>
        <w:rPr>
          <w:rFonts w:hint="default" w:ascii="Calibri" w:hAnsi="Calibri" w:eastAsia="宋体" w:cs="Calibri"/>
          <w:color w:val="auto"/>
          <w:kern w:val="2"/>
          <w:sz w:val="24"/>
          <w:szCs w:val="24"/>
          <w:highlight w:val="none"/>
          <w:lang w:val="en-US" w:eastAsia="zh-CN" w:bidi="ar"/>
        </w:rPr>
        <w:t>16</w:t>
      </w:r>
      <w:r>
        <w:rPr>
          <w:rFonts w:hint="eastAsia" w:ascii="宋体" w:hAnsi="宋体" w:eastAsia="宋体" w:cs="宋体"/>
          <w:color w:val="auto"/>
          <w:kern w:val="2"/>
          <w:sz w:val="24"/>
          <w:szCs w:val="24"/>
          <w:highlight w:val="none"/>
          <w:lang w:val="en-US" w:eastAsia="zh-CN" w:bidi="ar"/>
        </w:rPr>
        <w:t>条关于投标保证金的退还与不予退还的规定仍然适用。</w:t>
      </w:r>
    </w:p>
    <w:p w14:paraId="799A6716">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Calibri" w:hAnsi="Calibri"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Calibri" w:hAnsi="Calibri" w:eastAsia="宋体" w:cs="Calibri"/>
          <w:color w:val="auto"/>
          <w:kern w:val="2"/>
          <w:sz w:val="24"/>
          <w:szCs w:val="24"/>
          <w:highlight w:val="none"/>
          <w:lang w:val="en-US" w:eastAsia="zh-CN" w:bidi="ar"/>
        </w:rPr>
        <w:t>15.2</w:t>
      </w:r>
      <w:r>
        <w:rPr>
          <w:rFonts w:hint="eastAsia" w:ascii="宋体" w:hAnsi="宋体" w:eastAsia="宋体" w:cs="宋体"/>
          <w:color w:val="auto"/>
          <w:kern w:val="2"/>
          <w:sz w:val="24"/>
          <w:szCs w:val="24"/>
          <w:highlight w:val="none"/>
          <w:lang w:val="en-US" w:eastAsia="zh-CN" w:bidi="ar"/>
        </w:rPr>
        <w:t>在特殊情况下，招标人在原定投标有效期内，可以根据需要以书面形式向投标人提出延长投标有效期的要求，对此要求投标人须以书面形式予以答复。投标人可以拒绝招标人这种要求</w:t>
      </w:r>
      <w:r>
        <w:rPr>
          <w:rFonts w:hint="eastAsia" w:ascii="宋体" w:hAnsi="宋体" w:eastAsia="宋体" w:cs="宋体"/>
          <w:b w:val="0"/>
          <w:strike/>
          <w:dstrike w:val="0"/>
          <w:color w:val="auto"/>
          <w:kern w:val="2"/>
          <w:sz w:val="24"/>
          <w:szCs w:val="24"/>
          <w:highlight w:val="none"/>
          <w:lang w:val="en-US" w:eastAsia="zh-CN" w:bidi="ar"/>
        </w:rPr>
        <w:t>，而不影响退还其投标保证金</w:t>
      </w:r>
      <w:r>
        <w:rPr>
          <w:rFonts w:hint="eastAsia" w:ascii="宋体" w:hAnsi="宋体" w:eastAsia="宋体" w:cs="宋体"/>
          <w:color w:val="auto"/>
          <w:kern w:val="2"/>
          <w:sz w:val="24"/>
          <w:szCs w:val="24"/>
          <w:highlight w:val="none"/>
          <w:lang w:val="en-US" w:eastAsia="zh-CN" w:bidi="ar"/>
        </w:rPr>
        <w:t>。同意延长投标有效期的投标人既不能要求也不允许修改其投标文件</w:t>
      </w:r>
      <w:r>
        <w:rPr>
          <w:rFonts w:hint="eastAsia" w:ascii="宋体" w:hAnsi="宋体" w:eastAsia="宋体" w:cs="宋体"/>
          <w:b w:val="0"/>
          <w:strike/>
          <w:dstrike w:val="0"/>
          <w:color w:val="auto"/>
          <w:kern w:val="2"/>
          <w:sz w:val="24"/>
          <w:szCs w:val="24"/>
          <w:highlight w:val="none"/>
          <w:lang w:val="en-US" w:eastAsia="zh-CN" w:bidi="ar"/>
        </w:rPr>
        <w:t>，但需要相应的延长投标保证金的有效期，在延长的投标有效期内，本须知第16条关于投标保证金的退还与不予退还的规定仍然适用</w:t>
      </w:r>
      <w:r>
        <w:rPr>
          <w:rFonts w:hint="eastAsia" w:ascii="宋体" w:hAnsi="宋体" w:eastAsia="宋体" w:cs="宋体"/>
          <w:color w:val="auto"/>
          <w:kern w:val="2"/>
          <w:sz w:val="24"/>
          <w:szCs w:val="24"/>
          <w:highlight w:val="none"/>
          <w:lang w:val="en-US" w:eastAsia="zh-CN" w:bidi="ar"/>
        </w:rPr>
        <w:t>。</w:t>
      </w:r>
    </w:p>
    <w:p w14:paraId="4B716153">
      <w:pPr>
        <w:keepNext w:val="0"/>
        <w:keepLines w:val="0"/>
        <w:widowControl w:val="0"/>
        <w:suppressLineNumbers w:val="0"/>
        <w:spacing w:before="0" w:beforeAutospacing="0" w:after="0" w:afterAutospacing="0" w:line="360" w:lineRule="auto"/>
        <w:ind w:left="0" w:right="0" w:firstLine="482" w:firstLineChars="200"/>
        <w:jc w:val="both"/>
        <w:rPr>
          <w:rFonts w:hint="default" w:ascii="Calibri" w:hAnsi="Calibri"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Calibri" w:hAnsi="Calibri" w:eastAsia="宋体" w:cs="Calibri"/>
          <w:b/>
          <w:bCs w:val="0"/>
          <w:color w:val="auto"/>
          <w:kern w:val="2"/>
          <w:sz w:val="24"/>
          <w:szCs w:val="24"/>
          <w:highlight w:val="none"/>
          <w:lang w:val="en-US" w:eastAsia="zh-CN" w:bidi="ar"/>
        </w:rPr>
        <w:t>16.</w:t>
      </w:r>
      <w:r>
        <w:rPr>
          <w:rFonts w:hint="eastAsia" w:ascii="宋体" w:hAnsi="宋体" w:eastAsia="宋体" w:cs="宋体"/>
          <w:b/>
          <w:bCs w:val="0"/>
          <w:color w:val="auto"/>
          <w:kern w:val="2"/>
          <w:sz w:val="24"/>
          <w:szCs w:val="24"/>
          <w:highlight w:val="none"/>
          <w:lang w:val="en-US" w:eastAsia="zh-CN" w:bidi="ar"/>
        </w:rPr>
        <w:t>投标保证金             修改类型：删除</w:t>
      </w:r>
    </w:p>
    <w:p w14:paraId="575789C2">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Calibri" w:hAnsi="Calibri"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Calibri" w:hAnsi="Calibri" w:eastAsia="宋体" w:cs="Calibri"/>
          <w:color w:val="auto"/>
          <w:kern w:val="2"/>
          <w:sz w:val="24"/>
          <w:szCs w:val="24"/>
          <w:highlight w:val="none"/>
          <w:lang w:val="en-US" w:eastAsia="zh-CN" w:bidi="ar"/>
        </w:rPr>
        <w:t>16.1</w:t>
      </w:r>
      <w:r>
        <w:rPr>
          <w:rFonts w:hint="eastAsia" w:ascii="宋体" w:hAnsi="宋体" w:eastAsia="宋体" w:cs="宋体"/>
          <w:color w:val="auto"/>
          <w:kern w:val="2"/>
          <w:sz w:val="24"/>
          <w:szCs w:val="24"/>
          <w:highlight w:val="none"/>
          <w:lang w:val="en-US" w:eastAsia="zh-CN" w:bidi="ar"/>
        </w:rPr>
        <w:t>投标人应按投标须知前附表第</w:t>
      </w:r>
      <w:r>
        <w:rPr>
          <w:rFonts w:hint="default" w:ascii="Calibri" w:hAnsi="Calibri" w:eastAsia="宋体" w:cs="Calibri"/>
          <w:color w:val="auto"/>
          <w:kern w:val="2"/>
          <w:sz w:val="24"/>
          <w:szCs w:val="24"/>
          <w:highlight w:val="none"/>
          <w:lang w:val="en-US" w:eastAsia="zh-CN" w:bidi="ar"/>
        </w:rPr>
        <w:t>14</w:t>
      </w:r>
      <w:r>
        <w:rPr>
          <w:rFonts w:hint="eastAsia" w:ascii="宋体" w:hAnsi="宋体" w:eastAsia="宋体" w:cs="宋体"/>
          <w:color w:val="auto"/>
          <w:kern w:val="2"/>
          <w:sz w:val="24"/>
          <w:szCs w:val="24"/>
          <w:highlight w:val="none"/>
          <w:lang w:val="en-US" w:eastAsia="zh-CN" w:bidi="ar"/>
        </w:rPr>
        <w:t>项所述金额和时间递交投标保证金。招标人应当允许投标人自主选择现金、银行保函、保证保险、专业工程担保公司担保等方式缴纳投标保证金。</w:t>
      </w:r>
    </w:p>
    <w:p w14:paraId="3622CC58">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default" w:ascii="Calibri" w:hAnsi="Calibri" w:eastAsia="宋体" w:cs="Calibri"/>
          <w:color w:val="auto"/>
          <w:kern w:val="2"/>
          <w:sz w:val="24"/>
          <w:szCs w:val="24"/>
          <w:highlight w:val="none"/>
          <w:lang w:val="en-US" w:eastAsia="zh-CN" w:bidi="ar"/>
        </w:rPr>
        <w:t xml:space="preserve">16.1.1 </w:t>
      </w:r>
      <w:r>
        <w:rPr>
          <w:rFonts w:hint="eastAsia" w:ascii="宋体" w:hAnsi="宋体" w:eastAsia="宋体" w:cs="宋体"/>
          <w:color w:val="auto"/>
          <w:kern w:val="2"/>
          <w:sz w:val="24"/>
          <w:szCs w:val="24"/>
          <w:highlight w:val="none"/>
          <w:lang w:val="en-US" w:eastAsia="zh-CN" w:bidi="ar"/>
        </w:rPr>
        <w:t>采用现金或者支票形式提交的，投标保证金须从投标人的银行基本账户转出。</w:t>
      </w:r>
    </w:p>
    <w:p w14:paraId="160F7597">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default" w:ascii="Calibri" w:hAnsi="Calibri" w:eastAsia="宋体" w:cs="Calibri"/>
          <w:color w:val="auto"/>
          <w:kern w:val="2"/>
          <w:sz w:val="24"/>
          <w:szCs w:val="24"/>
          <w:highlight w:val="none"/>
          <w:lang w:val="en-US" w:eastAsia="zh-CN" w:bidi="ar"/>
        </w:rPr>
        <w:t xml:space="preserve">16.1.2 </w:t>
      </w:r>
      <w:r>
        <w:rPr>
          <w:rFonts w:hint="eastAsia" w:ascii="宋体" w:hAnsi="宋体" w:eastAsia="宋体" w:cs="宋体"/>
          <w:color w:val="auto"/>
          <w:kern w:val="2"/>
          <w:sz w:val="24"/>
          <w:szCs w:val="24"/>
          <w:highlight w:val="none"/>
          <w:lang w:val="en-US" w:eastAsia="zh-CN" w:bidi="ar"/>
        </w:rPr>
        <w:t>依法必须招标的房屋建筑工程如采用非电子形式的银行保函、专业工程担保公司担保或保证保险提交投标保证金的，在开标前不强制要求投标人提交纸质原件，由中标候选人在中标候选人公示前提交并在网上公示，投标人应在投标文件中提交保函、担保或保证保险扫描件并加盖投标人电子印章。如投标人存在</w:t>
      </w:r>
      <w:r>
        <w:rPr>
          <w:rFonts w:hint="default" w:ascii="Calibri" w:hAnsi="Calibri" w:eastAsia="宋体" w:cs="Calibri"/>
          <w:color w:val="auto"/>
          <w:kern w:val="2"/>
          <w:sz w:val="24"/>
          <w:szCs w:val="24"/>
          <w:highlight w:val="none"/>
          <w:lang w:val="en-US" w:eastAsia="zh-CN" w:bidi="ar"/>
        </w:rPr>
        <w:t>16.4</w:t>
      </w:r>
      <w:r>
        <w:rPr>
          <w:rFonts w:hint="eastAsia" w:ascii="宋体" w:hAnsi="宋体" w:eastAsia="宋体" w:cs="宋体"/>
          <w:color w:val="auto"/>
          <w:kern w:val="2"/>
          <w:sz w:val="24"/>
          <w:szCs w:val="24"/>
          <w:highlight w:val="none"/>
          <w:lang w:val="en-US" w:eastAsia="zh-CN" w:bidi="ar"/>
        </w:rPr>
        <w:t>条款所列情形的，应将纸质原件提交给招标人。</w:t>
      </w:r>
    </w:p>
    <w:p w14:paraId="709A3D9D">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default" w:ascii="Calibri" w:hAnsi="Calibri" w:eastAsia="宋体" w:cs="Calibri"/>
          <w:color w:val="auto"/>
          <w:kern w:val="2"/>
          <w:sz w:val="24"/>
          <w:szCs w:val="24"/>
          <w:highlight w:val="none"/>
          <w:lang w:val="en-US" w:eastAsia="zh-CN" w:bidi="ar"/>
        </w:rPr>
        <w:t xml:space="preserve">16.1.3 </w:t>
      </w:r>
      <w:r>
        <w:rPr>
          <w:rFonts w:hint="eastAsia" w:ascii="宋体" w:hAnsi="宋体" w:eastAsia="宋体" w:cs="宋体"/>
          <w:color w:val="auto"/>
          <w:kern w:val="2"/>
          <w:sz w:val="24"/>
          <w:szCs w:val="24"/>
          <w:highlight w:val="none"/>
          <w:lang w:val="en-US" w:eastAsia="zh-CN" w:bidi="ar"/>
        </w:rPr>
        <w:t>采用电子形式的保函、担保或保证保险提交投标保证金的，应在招标文件中明确电子递交途径。</w:t>
      </w:r>
    </w:p>
    <w:p w14:paraId="6829AC44">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default" w:ascii="Calibri" w:hAnsi="Calibri" w:eastAsia="宋体" w:cs="Calibri"/>
          <w:color w:val="auto"/>
          <w:kern w:val="2"/>
          <w:sz w:val="24"/>
          <w:szCs w:val="24"/>
          <w:highlight w:val="none"/>
          <w:lang w:val="en-US" w:eastAsia="zh-CN" w:bidi="ar"/>
        </w:rPr>
        <w:t>16.2</w:t>
      </w:r>
      <w:r>
        <w:rPr>
          <w:rFonts w:hint="eastAsia" w:ascii="宋体" w:hAnsi="宋体" w:eastAsia="宋体" w:cs="宋体"/>
          <w:color w:val="auto"/>
          <w:kern w:val="2"/>
          <w:sz w:val="24"/>
          <w:szCs w:val="24"/>
          <w:highlight w:val="none"/>
          <w:lang w:val="en-US" w:eastAsia="zh-CN" w:bidi="ar"/>
        </w:rPr>
        <w:t>开标时投标人没有按要求提供投标保证金的，其投标文件将被否决；未按招标文件要求提交符合免予提供投标保证金相关证明材料，且未提交投标保证金的投标人，视为未按要求提供投标保证金。</w:t>
      </w:r>
    </w:p>
    <w:p w14:paraId="4BFCD4D0">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default" w:ascii="Calibri" w:hAnsi="Calibri" w:eastAsia="宋体" w:cs="Calibri"/>
          <w:color w:val="auto"/>
          <w:kern w:val="2"/>
          <w:sz w:val="24"/>
          <w:szCs w:val="24"/>
          <w:highlight w:val="none"/>
          <w:lang w:val="en-US" w:eastAsia="zh-CN" w:bidi="ar"/>
        </w:rPr>
        <w:t>16.3</w:t>
      </w:r>
      <w:r>
        <w:rPr>
          <w:rFonts w:hint="eastAsia" w:ascii="宋体" w:hAnsi="宋体" w:eastAsia="宋体" w:cs="宋体"/>
          <w:color w:val="auto"/>
          <w:kern w:val="2"/>
          <w:sz w:val="24"/>
          <w:szCs w:val="24"/>
          <w:highlight w:val="none"/>
          <w:lang w:val="en-US" w:eastAsia="zh-CN" w:bidi="ar"/>
        </w:rPr>
        <w:t>投标保证金应依据法律法规的相关规定退还。</w:t>
      </w:r>
    </w:p>
    <w:p w14:paraId="58001B39">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default" w:ascii="Calibri" w:hAnsi="Calibri" w:eastAsia="宋体" w:cs="Calibri"/>
          <w:color w:val="auto"/>
          <w:kern w:val="2"/>
          <w:sz w:val="24"/>
          <w:szCs w:val="24"/>
          <w:highlight w:val="none"/>
          <w:lang w:val="en-US" w:eastAsia="zh-CN" w:bidi="ar"/>
        </w:rPr>
        <w:t>16.4</w:t>
      </w:r>
      <w:r>
        <w:rPr>
          <w:rFonts w:hint="eastAsia" w:ascii="宋体" w:hAnsi="宋体" w:eastAsia="宋体" w:cs="宋体"/>
          <w:color w:val="auto"/>
          <w:kern w:val="2"/>
          <w:sz w:val="24"/>
          <w:szCs w:val="24"/>
          <w:highlight w:val="none"/>
          <w:lang w:val="en-US" w:eastAsia="zh-CN" w:bidi="ar"/>
        </w:rPr>
        <w:t>如有下列情况之一的，招标人可以不予退还投标保证金（是否退还投标保证金由招标人在招标文件中规定）：</w:t>
      </w:r>
    </w:p>
    <w:p w14:paraId="6D9E6A08">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default" w:ascii="Calibri" w:hAnsi="Calibri" w:eastAsia="宋体" w:cs="Calibri"/>
          <w:color w:val="auto"/>
          <w:kern w:val="2"/>
          <w:sz w:val="24"/>
          <w:szCs w:val="24"/>
          <w:highlight w:val="none"/>
          <w:lang w:val="en-US" w:eastAsia="zh-CN" w:bidi="ar"/>
        </w:rPr>
        <w:t>16.4.1</w:t>
      </w:r>
      <w:r>
        <w:rPr>
          <w:rFonts w:hint="eastAsia" w:ascii="宋体" w:hAnsi="宋体" w:eastAsia="宋体" w:cs="宋体"/>
          <w:color w:val="auto"/>
          <w:kern w:val="2"/>
          <w:sz w:val="24"/>
          <w:szCs w:val="24"/>
          <w:highlight w:val="none"/>
          <w:lang w:val="en-US" w:eastAsia="zh-CN" w:bidi="ar"/>
        </w:rPr>
        <w:t>因投标人原因造成投标文件未解密的；</w:t>
      </w:r>
    </w:p>
    <w:p w14:paraId="62C0F5D7">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default" w:ascii="Calibri" w:hAnsi="Calibri" w:eastAsia="宋体" w:cs="Calibri"/>
          <w:color w:val="auto"/>
          <w:kern w:val="2"/>
          <w:sz w:val="24"/>
          <w:szCs w:val="24"/>
          <w:highlight w:val="none"/>
          <w:lang w:val="en-US" w:eastAsia="zh-CN" w:bidi="ar"/>
        </w:rPr>
        <w:t>16.4.2</w:t>
      </w:r>
      <w:r>
        <w:rPr>
          <w:rFonts w:hint="eastAsia" w:ascii="宋体" w:hAnsi="宋体" w:eastAsia="宋体" w:cs="宋体"/>
          <w:color w:val="auto"/>
          <w:kern w:val="2"/>
          <w:sz w:val="24"/>
          <w:szCs w:val="24"/>
          <w:highlight w:val="none"/>
          <w:lang w:val="en-US" w:eastAsia="zh-CN" w:bidi="ar"/>
        </w:rPr>
        <w:t>投标人在投标有效期内撤销投标文件；</w:t>
      </w:r>
    </w:p>
    <w:p w14:paraId="2BBD60CF">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default" w:ascii="Calibri" w:hAnsi="Calibri" w:eastAsia="宋体" w:cs="Calibri"/>
          <w:color w:val="auto"/>
          <w:kern w:val="2"/>
          <w:sz w:val="24"/>
          <w:szCs w:val="24"/>
          <w:highlight w:val="none"/>
          <w:lang w:val="en-US" w:eastAsia="zh-CN" w:bidi="ar"/>
        </w:rPr>
        <w:t>16.4.3</w:t>
      </w:r>
      <w:r>
        <w:rPr>
          <w:rFonts w:hint="eastAsia" w:ascii="宋体" w:hAnsi="宋体" w:eastAsia="宋体" w:cs="宋体"/>
          <w:color w:val="auto"/>
          <w:kern w:val="2"/>
          <w:sz w:val="24"/>
          <w:szCs w:val="24"/>
          <w:highlight w:val="none"/>
          <w:lang w:val="en-US" w:eastAsia="zh-CN" w:bidi="ar"/>
        </w:rPr>
        <w:t>中标人未能在规定期限内按要求提交履约担保；</w:t>
      </w:r>
    </w:p>
    <w:p w14:paraId="39321BCA">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default" w:ascii="Calibri" w:hAnsi="Calibri" w:eastAsia="宋体" w:cs="Calibri"/>
          <w:color w:val="auto"/>
          <w:kern w:val="2"/>
          <w:sz w:val="24"/>
          <w:szCs w:val="24"/>
          <w:highlight w:val="none"/>
          <w:lang w:val="en-US" w:eastAsia="zh-CN" w:bidi="ar"/>
        </w:rPr>
        <w:t>16.4.4</w:t>
      </w:r>
      <w:r>
        <w:rPr>
          <w:rFonts w:hint="eastAsia" w:ascii="宋体" w:hAnsi="宋体" w:eastAsia="宋体" w:cs="宋体"/>
          <w:color w:val="auto"/>
          <w:kern w:val="2"/>
          <w:sz w:val="24"/>
          <w:szCs w:val="24"/>
          <w:highlight w:val="none"/>
          <w:lang w:val="en-US" w:eastAsia="zh-CN" w:bidi="ar"/>
        </w:rPr>
        <w:t>中标人未能在规定期限内签署合同协议。</w:t>
      </w:r>
    </w:p>
    <w:p w14:paraId="185FBB07">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default" w:ascii="Calibri" w:hAnsi="Calibri" w:eastAsia="宋体" w:cs="Calibri"/>
          <w:color w:val="auto"/>
          <w:kern w:val="2"/>
          <w:sz w:val="24"/>
          <w:szCs w:val="24"/>
          <w:highlight w:val="none"/>
          <w:lang w:val="en-US" w:eastAsia="zh-CN" w:bidi="ar"/>
        </w:rPr>
        <w:t>16.5</w:t>
      </w:r>
      <w:r>
        <w:rPr>
          <w:rFonts w:hint="eastAsia" w:ascii="宋体" w:hAnsi="宋体" w:eastAsia="宋体" w:cs="宋体"/>
          <w:color w:val="auto"/>
          <w:kern w:val="2"/>
          <w:sz w:val="24"/>
          <w:szCs w:val="24"/>
          <w:highlight w:val="none"/>
          <w:lang w:val="en-US" w:eastAsia="zh-CN" w:bidi="ar"/>
        </w:rPr>
        <w:t>投标人如存在下列情况之一的，将被拒绝在一定时期内参与招标人后续工程投标（拒绝时限需在招标文件中明确）：</w:t>
      </w:r>
    </w:p>
    <w:p w14:paraId="5EA1011F">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default" w:ascii="Calibri" w:hAnsi="Calibri" w:eastAsia="宋体" w:cs="Calibri"/>
          <w:color w:val="auto"/>
          <w:kern w:val="2"/>
          <w:sz w:val="24"/>
          <w:szCs w:val="24"/>
          <w:highlight w:val="none"/>
          <w:lang w:val="en-US" w:eastAsia="zh-CN" w:bidi="ar"/>
        </w:rPr>
        <w:t>16.5.1</w:t>
      </w:r>
      <w:r>
        <w:rPr>
          <w:rFonts w:hint="eastAsia" w:ascii="宋体" w:hAnsi="宋体" w:eastAsia="宋体" w:cs="宋体"/>
          <w:color w:val="auto"/>
          <w:kern w:val="2"/>
          <w:sz w:val="24"/>
          <w:szCs w:val="24"/>
          <w:highlight w:val="none"/>
          <w:lang w:val="en-US" w:eastAsia="zh-CN" w:bidi="ar"/>
        </w:rPr>
        <w:t>投标人存在</w:t>
      </w:r>
      <w:r>
        <w:rPr>
          <w:rFonts w:hint="default" w:ascii="Calibri" w:hAnsi="Calibri" w:eastAsia="宋体" w:cs="Calibri"/>
          <w:color w:val="auto"/>
          <w:kern w:val="2"/>
          <w:sz w:val="24"/>
          <w:szCs w:val="24"/>
          <w:highlight w:val="none"/>
          <w:lang w:val="en-US" w:eastAsia="zh-CN" w:bidi="ar"/>
        </w:rPr>
        <w:t>16.4</w:t>
      </w:r>
      <w:r>
        <w:rPr>
          <w:rFonts w:hint="eastAsia" w:ascii="宋体" w:hAnsi="宋体" w:eastAsia="宋体" w:cs="宋体"/>
          <w:color w:val="auto"/>
          <w:kern w:val="2"/>
          <w:sz w:val="24"/>
          <w:szCs w:val="24"/>
          <w:highlight w:val="none"/>
          <w:lang w:val="en-US" w:eastAsia="zh-CN" w:bidi="ar"/>
        </w:rPr>
        <w:t>条款所列情形且投标人提交的保函、担保或保证保险无法兑付的；</w:t>
      </w:r>
    </w:p>
    <w:p w14:paraId="36BA2B18">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default" w:ascii="Calibri" w:hAnsi="Calibri" w:eastAsia="宋体" w:cs="Calibri"/>
          <w:color w:val="auto"/>
          <w:kern w:val="2"/>
          <w:sz w:val="24"/>
          <w:szCs w:val="24"/>
          <w:highlight w:val="none"/>
          <w:lang w:val="en-US" w:eastAsia="zh-CN" w:bidi="ar"/>
        </w:rPr>
        <w:t>16.5.2</w:t>
      </w:r>
      <w:r>
        <w:rPr>
          <w:rFonts w:hint="eastAsia" w:ascii="宋体" w:hAnsi="宋体" w:eastAsia="宋体" w:cs="宋体"/>
          <w:color w:val="auto"/>
          <w:kern w:val="2"/>
          <w:sz w:val="24"/>
          <w:szCs w:val="24"/>
          <w:highlight w:val="none"/>
          <w:lang w:val="en-US" w:eastAsia="zh-CN" w:bidi="ar"/>
        </w:rPr>
        <w:t>采用非电子形式提交投标保证金的投标人存在</w:t>
      </w:r>
      <w:r>
        <w:rPr>
          <w:rFonts w:hint="default" w:ascii="Calibri" w:hAnsi="Calibri" w:eastAsia="宋体" w:cs="Calibri"/>
          <w:color w:val="auto"/>
          <w:kern w:val="2"/>
          <w:sz w:val="24"/>
          <w:szCs w:val="24"/>
          <w:highlight w:val="none"/>
          <w:lang w:val="en-US" w:eastAsia="zh-CN" w:bidi="ar"/>
        </w:rPr>
        <w:t>16.4</w:t>
      </w:r>
      <w:r>
        <w:rPr>
          <w:rFonts w:hint="eastAsia" w:ascii="宋体" w:hAnsi="宋体" w:eastAsia="宋体" w:cs="宋体"/>
          <w:color w:val="auto"/>
          <w:kern w:val="2"/>
          <w:sz w:val="24"/>
          <w:szCs w:val="24"/>
          <w:highlight w:val="none"/>
          <w:lang w:val="en-US" w:eastAsia="zh-CN" w:bidi="ar"/>
        </w:rPr>
        <w:t>条款所列情形，且未按招标人要求补交银行保函、专业工程担保公司担保或保证保险原件的；</w:t>
      </w:r>
    </w:p>
    <w:p w14:paraId="53FA9234">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default" w:ascii="Calibri" w:hAnsi="Calibri" w:eastAsia="宋体" w:cs="Calibri"/>
          <w:color w:val="auto"/>
          <w:kern w:val="2"/>
          <w:sz w:val="24"/>
          <w:szCs w:val="24"/>
          <w:highlight w:val="none"/>
          <w:lang w:val="en-US" w:eastAsia="zh-CN" w:bidi="ar"/>
        </w:rPr>
        <w:t>16.5.3</w:t>
      </w:r>
      <w:r>
        <w:rPr>
          <w:rFonts w:hint="eastAsia" w:ascii="宋体" w:hAnsi="宋体" w:eastAsia="宋体" w:cs="宋体"/>
          <w:color w:val="auto"/>
          <w:kern w:val="2"/>
          <w:sz w:val="24"/>
          <w:szCs w:val="24"/>
          <w:highlight w:val="none"/>
          <w:lang w:val="en-US" w:eastAsia="zh-CN" w:bidi="ar"/>
        </w:rPr>
        <w:t>按招标文件要求免于提供投标保证金的投标人存在</w:t>
      </w:r>
      <w:r>
        <w:rPr>
          <w:rFonts w:hint="default" w:ascii="Calibri" w:hAnsi="Calibri" w:eastAsia="宋体" w:cs="Calibri"/>
          <w:color w:val="auto"/>
          <w:kern w:val="2"/>
          <w:sz w:val="24"/>
          <w:szCs w:val="24"/>
          <w:highlight w:val="none"/>
          <w:lang w:val="en-US" w:eastAsia="zh-CN" w:bidi="ar"/>
        </w:rPr>
        <w:t>16.4</w:t>
      </w:r>
      <w:r>
        <w:rPr>
          <w:rFonts w:hint="eastAsia" w:ascii="宋体" w:hAnsi="宋体" w:eastAsia="宋体" w:cs="宋体"/>
          <w:color w:val="auto"/>
          <w:kern w:val="2"/>
          <w:sz w:val="24"/>
          <w:szCs w:val="24"/>
          <w:highlight w:val="none"/>
          <w:lang w:val="en-US" w:eastAsia="zh-CN" w:bidi="ar"/>
        </w:rPr>
        <w:t>条款所列情形，且未按招标人要求补交投标保证金的；</w:t>
      </w:r>
    </w:p>
    <w:p w14:paraId="6E15387C">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default" w:ascii="Calibri" w:hAnsi="Calibri" w:eastAsia="宋体" w:cs="Calibri"/>
          <w:color w:val="auto"/>
          <w:kern w:val="2"/>
          <w:sz w:val="24"/>
          <w:szCs w:val="24"/>
          <w:highlight w:val="none"/>
          <w:lang w:val="en-US" w:eastAsia="zh-CN" w:bidi="ar"/>
        </w:rPr>
        <w:t>16.5.3</w:t>
      </w:r>
      <w:r>
        <w:rPr>
          <w:rFonts w:hint="eastAsia" w:ascii="宋体" w:hAnsi="宋体" w:eastAsia="宋体" w:cs="宋体"/>
          <w:color w:val="auto"/>
          <w:kern w:val="2"/>
          <w:sz w:val="24"/>
          <w:szCs w:val="24"/>
          <w:highlight w:val="none"/>
          <w:lang w:val="en-US" w:eastAsia="zh-CN" w:bidi="ar"/>
        </w:rPr>
        <w:t>按招标文件要求免于提供投标保证金的投标人存在</w:t>
      </w:r>
      <w:r>
        <w:rPr>
          <w:rFonts w:hint="default" w:ascii="Calibri" w:hAnsi="Calibri" w:eastAsia="宋体" w:cs="Calibri"/>
          <w:color w:val="auto"/>
          <w:kern w:val="2"/>
          <w:sz w:val="24"/>
          <w:szCs w:val="24"/>
          <w:highlight w:val="none"/>
          <w:lang w:val="en-US" w:eastAsia="zh-CN" w:bidi="ar"/>
        </w:rPr>
        <w:t>16.4</w:t>
      </w:r>
      <w:r>
        <w:rPr>
          <w:rFonts w:hint="eastAsia" w:ascii="宋体" w:hAnsi="宋体" w:eastAsia="宋体" w:cs="宋体"/>
          <w:color w:val="auto"/>
          <w:kern w:val="2"/>
          <w:sz w:val="24"/>
          <w:szCs w:val="24"/>
          <w:highlight w:val="none"/>
          <w:lang w:val="en-US" w:eastAsia="zh-CN" w:bidi="ar"/>
        </w:rPr>
        <w:t>条款所列情形的。</w:t>
      </w:r>
    </w:p>
    <w:p w14:paraId="3C5383A8">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default" w:ascii="Calibri"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w:t>
      </w:r>
      <w:r>
        <w:rPr>
          <w:rFonts w:hint="default" w:ascii="Calibri" w:hAnsi="Calibri" w:eastAsia="宋体" w:cs="Calibri"/>
          <w:color w:val="auto"/>
          <w:kern w:val="2"/>
          <w:sz w:val="24"/>
          <w:szCs w:val="24"/>
          <w:highlight w:val="none"/>
          <w:lang w:val="en-US" w:eastAsia="zh-CN" w:bidi="ar"/>
        </w:rPr>
        <w:t>16.5.3</w:t>
      </w:r>
      <w:r>
        <w:rPr>
          <w:rFonts w:hint="eastAsia" w:ascii="宋体" w:hAnsi="宋体" w:eastAsia="宋体" w:cs="宋体"/>
          <w:color w:val="auto"/>
          <w:kern w:val="2"/>
          <w:sz w:val="24"/>
          <w:szCs w:val="24"/>
          <w:highlight w:val="none"/>
          <w:lang w:val="en-US" w:eastAsia="zh-CN" w:bidi="ar"/>
        </w:rPr>
        <w:t>款由招标人二选一，需在招标文件中明确。</w:t>
      </w:r>
    </w:p>
    <w:p w14:paraId="1DA0EB5A">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17.1             </w:t>
      </w:r>
      <w:r>
        <w:rPr>
          <w:rFonts w:hint="eastAsia" w:ascii="宋体" w:hAnsi="宋体" w:eastAsia="宋体" w:cs="宋体"/>
          <w:b/>
          <w:bCs w:val="0"/>
          <w:color w:val="auto"/>
          <w:kern w:val="2"/>
          <w:sz w:val="24"/>
          <w:szCs w:val="24"/>
          <w:highlight w:val="none"/>
          <w:lang w:val="en-US" w:eastAsia="zh-CN" w:bidi="ar"/>
        </w:rPr>
        <w:t>修改类型：修改</w:t>
      </w:r>
    </w:p>
    <w:p w14:paraId="1A03CF67">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17.1</w:t>
      </w:r>
      <w:r>
        <w:rPr>
          <w:rFonts w:hint="eastAsia" w:ascii="宋体" w:hAnsi="宋体" w:eastAsia="宋体" w:cs="宋体"/>
          <w:color w:val="auto"/>
          <w:kern w:val="2"/>
          <w:sz w:val="24"/>
          <w:szCs w:val="24"/>
          <w:highlight w:val="none"/>
          <w:lang w:val="en-US" w:eastAsia="zh-CN" w:bidi="ar"/>
        </w:rPr>
        <w:t>投标人应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eastAsia="宋体" w:cs="Times New Roman"/>
          <w:color w:val="auto"/>
          <w:kern w:val="2"/>
          <w:sz w:val="24"/>
          <w:szCs w:val="24"/>
          <w:highlight w:val="none"/>
          <w:u w:val="single"/>
          <w:lang w:val="en-US" w:eastAsia="zh-CN" w:bidi="ar"/>
        </w:rPr>
        <w:t xml:space="preserve">            </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w:t>
      </w:r>
    </w:p>
    <w:p w14:paraId="3F3DC674">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color w:val="auto"/>
          <w:kern w:val="2"/>
          <w:sz w:val="24"/>
          <w:szCs w:val="24"/>
          <w:highlight w:val="none"/>
          <w:lang w:val="en-US" w:eastAsia="zh-CN" w:bidi="ar"/>
        </w:rPr>
        <w:t>17.1</w:t>
      </w:r>
      <w:r>
        <w:rPr>
          <w:rFonts w:hint="eastAsia" w:ascii="宋体" w:hAnsi="宋体" w:eastAsia="宋体" w:cs="宋体"/>
          <w:color w:val="auto"/>
          <w:kern w:val="2"/>
          <w:sz w:val="24"/>
          <w:szCs w:val="24"/>
          <w:highlight w:val="none"/>
          <w:lang w:val="en-US" w:eastAsia="zh-CN" w:bidi="ar"/>
        </w:rPr>
        <w:t>投标人应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eastAsia="宋体" w:cs="宋体"/>
          <w:color w:val="auto"/>
          <w:kern w:val="2"/>
          <w:sz w:val="24"/>
          <w:szCs w:val="24"/>
          <w:highlight w:val="none"/>
          <w:u w:val="single"/>
          <w:lang w:val="en-US" w:eastAsia="zh-CN" w:bidi="ar"/>
        </w:rPr>
        <w:t>广州公共资源交易中心网站</w:t>
      </w:r>
      <w:r>
        <w:rPr>
          <w:rFonts w:hint="eastAsia" w:ascii="宋体" w:hAnsi="宋体" w:eastAsia="宋体" w:cs="宋体"/>
          <w:color w:val="auto"/>
          <w:kern w:val="2"/>
          <w:sz w:val="24"/>
          <w:szCs w:val="24"/>
          <w:highlight w:val="none"/>
          <w:lang w:val="en-US" w:eastAsia="zh-CN" w:bidi="ar"/>
        </w:rPr>
        <w:t>。</w:t>
      </w:r>
    </w:p>
    <w:p w14:paraId="6E3A9EC3">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18.1             </w:t>
      </w:r>
      <w:r>
        <w:rPr>
          <w:rFonts w:hint="eastAsia" w:ascii="宋体" w:hAnsi="宋体" w:eastAsia="宋体" w:cs="宋体"/>
          <w:b/>
          <w:bCs w:val="0"/>
          <w:color w:val="auto"/>
          <w:kern w:val="2"/>
          <w:sz w:val="24"/>
          <w:szCs w:val="24"/>
          <w:highlight w:val="none"/>
          <w:lang w:val="en-US" w:eastAsia="zh-CN" w:bidi="ar"/>
        </w:rPr>
        <w:t>修改类型：修改</w:t>
      </w:r>
    </w:p>
    <w:p w14:paraId="3B152C4A">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bCs/>
          <w:color w:val="auto"/>
          <w:kern w:val="2"/>
          <w:sz w:val="24"/>
          <w:szCs w:val="24"/>
          <w:highlight w:val="none"/>
          <w:lang w:val="en-US" w:eastAsia="zh-CN" w:bidi="ar"/>
        </w:rPr>
        <w:t>18.1</w:t>
      </w:r>
      <w:r>
        <w:rPr>
          <w:rFonts w:hint="eastAsia" w:ascii="宋体" w:hAnsi="宋体" w:eastAsia="宋体" w:cs="宋体"/>
          <w:bCs/>
          <w:color w:val="auto"/>
          <w:kern w:val="2"/>
          <w:sz w:val="24"/>
          <w:szCs w:val="24"/>
          <w:highlight w:val="none"/>
          <w:lang w:val="en-US" w:eastAsia="zh-CN" w:bidi="ar"/>
        </w:rPr>
        <w:t>递交的电子投标文件（不含备用光盘）必须进行加密。按照交易平台关于</w:t>
      </w:r>
      <w:r>
        <w:rPr>
          <w:rFonts w:hint="eastAsia" w:ascii="宋体" w:hAnsi="宋体" w:eastAsia="宋体" w:cs="宋体"/>
          <w:color w:val="auto"/>
          <w:kern w:val="2"/>
          <w:sz w:val="24"/>
          <w:szCs w:val="24"/>
          <w:highlight w:val="none"/>
          <w:lang w:val="en-US" w:eastAsia="zh-CN" w:bidi="ar"/>
        </w:rPr>
        <w:t>全流程电子化项目的相关指南进行操作。详见：</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Times New Roman" w:hAnsi="Times New Roman" w:eastAsia="宋体" w:cs="Times New Roman"/>
          <w:color w:val="auto"/>
          <w:kern w:val="2"/>
          <w:sz w:val="24"/>
          <w:szCs w:val="24"/>
          <w:highlight w:val="none"/>
          <w:u w:val="single"/>
          <w:lang w:val="en-US" w:eastAsia="zh-CN" w:bidi="ar"/>
        </w:rPr>
        <w:t xml:space="preserve">   </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Times New Roman" w:hAnsi="Times New Roman"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w:t>
      </w:r>
    </w:p>
    <w:p w14:paraId="210FB7D6">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bCs/>
          <w:color w:val="auto"/>
          <w:kern w:val="2"/>
          <w:sz w:val="24"/>
          <w:szCs w:val="24"/>
          <w:highlight w:val="none"/>
          <w:lang w:val="en-US" w:eastAsia="zh-CN" w:bidi="ar"/>
        </w:rPr>
        <w:t>18.1</w:t>
      </w:r>
      <w:r>
        <w:rPr>
          <w:rFonts w:hint="eastAsia" w:ascii="宋体" w:hAnsi="宋体" w:eastAsia="宋体" w:cs="宋体"/>
          <w:bCs/>
          <w:color w:val="auto"/>
          <w:kern w:val="2"/>
          <w:sz w:val="24"/>
          <w:szCs w:val="24"/>
          <w:highlight w:val="none"/>
          <w:lang w:val="en-US" w:eastAsia="zh-CN" w:bidi="ar"/>
        </w:rPr>
        <w:t>递交的电子投标文件（不含备用光盘）必须进行加密。按照交易平台关于</w:t>
      </w:r>
      <w:r>
        <w:rPr>
          <w:rFonts w:hint="eastAsia" w:ascii="宋体" w:hAnsi="宋体" w:eastAsia="宋体" w:cs="宋体"/>
          <w:color w:val="auto"/>
          <w:kern w:val="2"/>
          <w:sz w:val="24"/>
          <w:szCs w:val="24"/>
          <w:highlight w:val="none"/>
          <w:lang w:val="en-US" w:eastAsia="zh-CN" w:bidi="ar"/>
        </w:rPr>
        <w:t>全流程电子化项目的相关指南进行操作。详见：</w:t>
      </w:r>
      <w:r>
        <w:rPr>
          <w:rFonts w:hint="eastAsia" w:ascii="宋体" w:hAnsi="宋体" w:eastAsia="宋体" w:cs="宋体"/>
          <w:color w:val="auto"/>
          <w:kern w:val="2"/>
          <w:sz w:val="24"/>
          <w:szCs w:val="24"/>
          <w:highlight w:val="none"/>
          <w:u w:val="single"/>
          <w:lang w:val="en-US" w:eastAsia="zh-CN" w:bidi="ar"/>
        </w:rPr>
        <w:t>广州公共资源交易中心网站</w:t>
      </w:r>
      <w:r>
        <w:rPr>
          <w:rFonts w:hint="eastAsia" w:ascii="Times New Roman" w:hAnsi="Times New Roman"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w:t>
      </w:r>
    </w:p>
    <w:p w14:paraId="4FF180B6">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18.2             </w:t>
      </w:r>
      <w:r>
        <w:rPr>
          <w:rFonts w:hint="eastAsia" w:ascii="宋体" w:hAnsi="宋体" w:eastAsia="宋体" w:cs="宋体"/>
          <w:b/>
          <w:bCs w:val="0"/>
          <w:color w:val="auto"/>
          <w:kern w:val="2"/>
          <w:sz w:val="24"/>
          <w:szCs w:val="24"/>
          <w:highlight w:val="none"/>
          <w:lang w:val="en-US" w:eastAsia="zh-CN" w:bidi="ar"/>
        </w:rPr>
        <w:t>修改类型：修改</w:t>
      </w:r>
    </w:p>
    <w:p w14:paraId="3D5B71B6">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bCs/>
          <w:color w:val="auto"/>
          <w:kern w:val="2"/>
          <w:sz w:val="24"/>
          <w:szCs w:val="24"/>
          <w:highlight w:val="none"/>
          <w:lang w:val="en-US" w:eastAsia="zh-CN" w:bidi="ar"/>
        </w:rPr>
        <w:t xml:space="preserve">18.2 </w:t>
      </w:r>
      <w:r>
        <w:rPr>
          <w:rFonts w:hint="eastAsia" w:ascii="宋体" w:hAnsi="宋体" w:eastAsia="宋体" w:cs="宋体"/>
          <w:bCs/>
          <w:color w:val="auto"/>
          <w:kern w:val="2"/>
          <w:sz w:val="24"/>
          <w:szCs w:val="24"/>
          <w:highlight w:val="none"/>
          <w:lang w:val="en-US" w:eastAsia="zh-CN" w:bidi="ar"/>
        </w:rPr>
        <w:t>未按要求加密的投标文件，</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w:t>
      </w:r>
      <w:r>
        <w:rPr>
          <w:rFonts w:hint="eastAsia" w:ascii="宋体" w:hAnsi="宋体" w:eastAsia="宋体" w:cs="宋体"/>
          <w:bCs/>
          <w:color w:val="auto"/>
          <w:kern w:val="2"/>
          <w:sz w:val="24"/>
          <w:szCs w:val="24"/>
          <w:highlight w:val="none"/>
          <w:lang w:val="en-US" w:eastAsia="zh-CN" w:bidi="ar"/>
        </w:rPr>
        <w:t>将予以拒收。</w:t>
      </w:r>
    </w:p>
    <w:p w14:paraId="5EA37375">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bCs/>
          <w:color w:val="auto"/>
          <w:kern w:val="2"/>
          <w:sz w:val="24"/>
          <w:szCs w:val="24"/>
          <w:highlight w:val="none"/>
          <w:lang w:val="en-US" w:eastAsia="zh-CN" w:bidi="ar"/>
        </w:rPr>
        <w:t xml:space="preserve">18.2 </w:t>
      </w:r>
      <w:r>
        <w:rPr>
          <w:rFonts w:hint="eastAsia" w:ascii="宋体" w:hAnsi="宋体" w:eastAsia="宋体" w:cs="宋体"/>
          <w:bCs/>
          <w:color w:val="auto"/>
          <w:kern w:val="2"/>
          <w:sz w:val="24"/>
          <w:szCs w:val="24"/>
          <w:highlight w:val="none"/>
          <w:lang w:val="en-US" w:eastAsia="zh-CN" w:bidi="ar"/>
        </w:rPr>
        <w:t>未按要求加密的投标文件，</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u w:val="single"/>
          <w:lang w:val="en-US" w:eastAsia="zh-CN" w:bidi="ar"/>
        </w:rPr>
        <w:t>广州公共资源交易中心</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w:t>
      </w:r>
      <w:r>
        <w:rPr>
          <w:rFonts w:hint="eastAsia" w:ascii="宋体" w:hAnsi="宋体" w:eastAsia="宋体" w:cs="宋体"/>
          <w:bCs/>
          <w:color w:val="auto"/>
          <w:kern w:val="2"/>
          <w:sz w:val="24"/>
          <w:szCs w:val="24"/>
          <w:highlight w:val="none"/>
          <w:lang w:val="en-US" w:eastAsia="zh-CN" w:bidi="ar"/>
        </w:rPr>
        <w:t>将予以拒收。</w:t>
      </w:r>
    </w:p>
    <w:p w14:paraId="3C16AF60">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19.1             </w:t>
      </w:r>
      <w:r>
        <w:rPr>
          <w:rFonts w:hint="eastAsia" w:ascii="宋体" w:hAnsi="宋体" w:eastAsia="宋体" w:cs="宋体"/>
          <w:b/>
          <w:bCs w:val="0"/>
          <w:color w:val="auto"/>
          <w:kern w:val="2"/>
          <w:sz w:val="24"/>
          <w:szCs w:val="24"/>
          <w:highlight w:val="none"/>
          <w:lang w:val="en-US" w:eastAsia="zh-CN" w:bidi="ar"/>
        </w:rPr>
        <w:t>修改类型：修改</w:t>
      </w:r>
    </w:p>
    <w:p w14:paraId="457B5653">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bCs/>
          <w:color w:val="auto"/>
          <w:kern w:val="2"/>
          <w:sz w:val="24"/>
          <w:szCs w:val="24"/>
          <w:highlight w:val="none"/>
          <w:lang w:val="en-US" w:eastAsia="zh-CN" w:bidi="ar"/>
        </w:rPr>
        <w:t>19.1</w:t>
      </w:r>
      <w:r>
        <w:rPr>
          <w:rFonts w:hint="eastAsia" w:ascii="宋体" w:hAnsi="宋体" w:eastAsia="宋体" w:cs="宋体"/>
          <w:bCs/>
          <w:color w:val="auto"/>
          <w:kern w:val="2"/>
          <w:sz w:val="24"/>
          <w:szCs w:val="24"/>
          <w:highlight w:val="none"/>
          <w:lang w:val="en-US" w:eastAsia="zh-CN" w:bidi="ar"/>
        </w:rPr>
        <w:t>投标人通过</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交易平台递交电子投标文件。</w:t>
      </w:r>
    </w:p>
    <w:p w14:paraId="5484933C">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bCs/>
          <w:color w:val="auto"/>
          <w:kern w:val="2"/>
          <w:sz w:val="24"/>
          <w:szCs w:val="24"/>
          <w:highlight w:val="none"/>
          <w:lang w:val="en-US" w:eastAsia="zh-CN" w:bidi="ar"/>
        </w:rPr>
        <w:t>19.1</w:t>
      </w:r>
      <w:r>
        <w:rPr>
          <w:rFonts w:hint="eastAsia" w:ascii="宋体" w:hAnsi="宋体" w:eastAsia="宋体" w:cs="宋体"/>
          <w:bCs/>
          <w:color w:val="auto"/>
          <w:kern w:val="2"/>
          <w:sz w:val="24"/>
          <w:szCs w:val="24"/>
          <w:highlight w:val="none"/>
          <w:lang w:val="en-US" w:eastAsia="zh-CN" w:bidi="ar"/>
        </w:rPr>
        <w:t>投标人通过</w:t>
      </w:r>
      <w:r>
        <w:rPr>
          <w:rFonts w:hint="eastAsia" w:ascii="宋体" w:hAnsi="宋体" w:eastAsia="宋体" w:cs="宋体"/>
          <w:color w:val="auto"/>
          <w:kern w:val="2"/>
          <w:sz w:val="24"/>
          <w:szCs w:val="24"/>
          <w:highlight w:val="none"/>
          <w:u w:val="single"/>
          <w:lang w:val="en-US" w:eastAsia="zh-CN" w:bidi="ar"/>
        </w:rPr>
        <w:t>广州公共资源交易中心</w:t>
      </w:r>
      <w:r>
        <w:rPr>
          <w:rFonts w:hint="eastAsia" w:ascii="宋体" w:hAnsi="宋体" w:eastAsia="宋体" w:cs="宋体"/>
          <w:color w:val="auto"/>
          <w:kern w:val="2"/>
          <w:sz w:val="24"/>
          <w:szCs w:val="24"/>
          <w:highlight w:val="none"/>
          <w:lang w:val="en-US" w:eastAsia="zh-CN" w:bidi="ar"/>
        </w:rPr>
        <w:t>交易平台递交电子投标文件。</w:t>
      </w:r>
    </w:p>
    <w:p w14:paraId="6C5520FB">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 19.2            </w:t>
      </w:r>
      <w:r>
        <w:rPr>
          <w:rFonts w:hint="eastAsia" w:ascii="宋体" w:hAnsi="宋体" w:eastAsia="宋体" w:cs="宋体"/>
          <w:b/>
          <w:bCs w:val="0"/>
          <w:color w:val="auto"/>
          <w:kern w:val="2"/>
          <w:sz w:val="24"/>
          <w:szCs w:val="24"/>
          <w:highlight w:val="none"/>
          <w:lang w:val="en-US" w:eastAsia="zh-CN" w:bidi="ar"/>
        </w:rPr>
        <w:t>修改类型：修改</w:t>
      </w:r>
    </w:p>
    <w:p w14:paraId="742558B7">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bCs/>
          <w:color w:val="auto"/>
          <w:kern w:val="2"/>
          <w:sz w:val="24"/>
          <w:szCs w:val="24"/>
          <w:highlight w:val="none"/>
          <w:lang w:val="en-US" w:eastAsia="zh-CN" w:bidi="ar"/>
        </w:rPr>
        <w:t>19.2</w:t>
      </w:r>
      <w:r>
        <w:rPr>
          <w:rFonts w:hint="eastAsia" w:ascii="宋体" w:hAnsi="宋体" w:eastAsia="宋体" w:cs="宋体"/>
          <w:bCs/>
          <w:color w:val="auto"/>
          <w:kern w:val="2"/>
          <w:sz w:val="24"/>
          <w:szCs w:val="24"/>
          <w:highlight w:val="none"/>
          <w:lang w:val="en-US" w:eastAsia="zh-CN" w:bidi="ar"/>
        </w:rPr>
        <w:t>投标人完成电子</w:t>
      </w:r>
      <w:r>
        <w:rPr>
          <w:rFonts w:hint="eastAsia" w:ascii="宋体" w:hAnsi="宋体" w:eastAsia="宋体" w:cs="宋体"/>
          <w:color w:val="auto"/>
          <w:kern w:val="2"/>
          <w:sz w:val="24"/>
          <w:szCs w:val="24"/>
          <w:highlight w:val="none"/>
          <w:lang w:val="en-US" w:eastAsia="zh-CN" w:bidi="ar"/>
        </w:rPr>
        <w:t>投标文件</w:t>
      </w:r>
      <w:r>
        <w:rPr>
          <w:rFonts w:hint="eastAsia" w:ascii="宋体" w:hAnsi="宋体" w:eastAsia="宋体" w:cs="宋体"/>
          <w:bCs/>
          <w:color w:val="auto"/>
          <w:kern w:val="2"/>
          <w:sz w:val="24"/>
          <w:szCs w:val="24"/>
          <w:highlight w:val="none"/>
          <w:lang w:val="en-US" w:eastAsia="zh-CN" w:bidi="ar"/>
        </w:rPr>
        <w:t>上传后，</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交易平台即时向投标人发出递交回执通知。递交时间以递交回执通知载明的传输完成时间为准。</w:t>
      </w:r>
    </w:p>
    <w:p w14:paraId="588C546A">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bCs/>
          <w:color w:val="auto"/>
          <w:kern w:val="2"/>
          <w:sz w:val="24"/>
          <w:szCs w:val="24"/>
          <w:highlight w:val="none"/>
          <w:lang w:val="en-US" w:eastAsia="zh-CN" w:bidi="ar"/>
        </w:rPr>
        <w:t>19.2</w:t>
      </w:r>
      <w:r>
        <w:rPr>
          <w:rFonts w:hint="eastAsia" w:ascii="宋体" w:hAnsi="宋体" w:eastAsia="宋体" w:cs="宋体"/>
          <w:bCs/>
          <w:color w:val="auto"/>
          <w:kern w:val="2"/>
          <w:sz w:val="24"/>
          <w:szCs w:val="24"/>
          <w:highlight w:val="none"/>
          <w:lang w:val="en-US" w:eastAsia="zh-CN" w:bidi="ar"/>
        </w:rPr>
        <w:t>投标人完成电子</w:t>
      </w:r>
      <w:r>
        <w:rPr>
          <w:rFonts w:hint="eastAsia" w:ascii="宋体" w:hAnsi="宋体" w:eastAsia="宋体" w:cs="宋体"/>
          <w:color w:val="auto"/>
          <w:kern w:val="2"/>
          <w:sz w:val="24"/>
          <w:szCs w:val="24"/>
          <w:highlight w:val="none"/>
          <w:lang w:val="en-US" w:eastAsia="zh-CN" w:bidi="ar"/>
        </w:rPr>
        <w:t>投标文件</w:t>
      </w:r>
      <w:r>
        <w:rPr>
          <w:rFonts w:hint="eastAsia" w:ascii="宋体" w:hAnsi="宋体" w:eastAsia="宋体" w:cs="宋体"/>
          <w:bCs/>
          <w:color w:val="auto"/>
          <w:kern w:val="2"/>
          <w:sz w:val="24"/>
          <w:szCs w:val="24"/>
          <w:highlight w:val="none"/>
          <w:lang w:val="en-US" w:eastAsia="zh-CN" w:bidi="ar"/>
        </w:rPr>
        <w:t>上传后，</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u w:val="single"/>
          <w:lang w:val="en-US" w:eastAsia="zh-CN" w:bidi="ar"/>
        </w:rPr>
        <w:t>广州公共资源交易中心</w:t>
      </w:r>
      <w:r>
        <w:rPr>
          <w:rFonts w:hint="eastAsia"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交易平台即时向投标人发出递交回执通知。递交时间以递交回执通知载明的传输完成时间为准。</w:t>
      </w:r>
    </w:p>
    <w:p w14:paraId="5A89FFCA">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19.3             </w:t>
      </w:r>
      <w:r>
        <w:rPr>
          <w:rFonts w:hint="eastAsia" w:ascii="宋体" w:hAnsi="宋体" w:eastAsia="宋体" w:cs="宋体"/>
          <w:b/>
          <w:bCs w:val="0"/>
          <w:color w:val="auto"/>
          <w:kern w:val="2"/>
          <w:sz w:val="24"/>
          <w:szCs w:val="24"/>
          <w:highlight w:val="none"/>
          <w:lang w:val="en-US" w:eastAsia="zh-CN" w:bidi="ar"/>
        </w:rPr>
        <w:t>修改类型：修改</w:t>
      </w:r>
    </w:p>
    <w:p w14:paraId="0DE6B766">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bCs/>
          <w:color w:val="auto"/>
          <w:kern w:val="2"/>
          <w:sz w:val="24"/>
          <w:szCs w:val="24"/>
          <w:highlight w:val="none"/>
          <w:lang w:val="en-US" w:eastAsia="zh-CN" w:bidi="ar"/>
        </w:rPr>
        <w:t>19.3</w:t>
      </w:r>
      <w:r>
        <w:rPr>
          <w:rFonts w:hint="eastAsia" w:ascii="宋体" w:hAnsi="宋体" w:eastAsia="宋体" w:cs="宋体"/>
          <w:bCs/>
          <w:color w:val="auto"/>
          <w:kern w:val="2"/>
          <w:sz w:val="24"/>
          <w:szCs w:val="24"/>
          <w:highlight w:val="none"/>
          <w:lang w:val="en-US" w:eastAsia="zh-CN" w:bidi="ar"/>
        </w:rPr>
        <w:t>逾期送达的电子投标文件，</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交易平台将予以拒收。</w:t>
      </w:r>
    </w:p>
    <w:p w14:paraId="75902510">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bCs/>
          <w:color w:val="auto"/>
          <w:kern w:val="2"/>
          <w:sz w:val="24"/>
          <w:szCs w:val="24"/>
          <w:highlight w:val="none"/>
          <w:lang w:val="en-US" w:eastAsia="zh-CN" w:bidi="ar"/>
        </w:rPr>
        <w:t>19.3</w:t>
      </w:r>
      <w:r>
        <w:rPr>
          <w:rFonts w:hint="eastAsia" w:ascii="宋体" w:hAnsi="宋体" w:eastAsia="宋体" w:cs="宋体"/>
          <w:bCs/>
          <w:color w:val="auto"/>
          <w:kern w:val="2"/>
          <w:sz w:val="24"/>
          <w:szCs w:val="24"/>
          <w:highlight w:val="none"/>
          <w:lang w:val="en-US" w:eastAsia="zh-CN" w:bidi="ar"/>
        </w:rPr>
        <w:t>逾期送达的电子投标文件，</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u w:val="single"/>
          <w:lang w:val="en-US" w:eastAsia="zh-CN" w:bidi="ar"/>
        </w:rPr>
        <w:t>广州公共资源交易中心</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交易平台将予以拒收。</w:t>
      </w:r>
    </w:p>
    <w:p w14:paraId="77F76DC6">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19.5             </w:t>
      </w:r>
      <w:r>
        <w:rPr>
          <w:rFonts w:hint="eastAsia" w:ascii="宋体" w:hAnsi="宋体" w:eastAsia="宋体" w:cs="宋体"/>
          <w:b/>
          <w:bCs w:val="0"/>
          <w:color w:val="auto"/>
          <w:kern w:val="2"/>
          <w:sz w:val="24"/>
          <w:szCs w:val="24"/>
          <w:highlight w:val="none"/>
          <w:lang w:val="en-US" w:eastAsia="zh-CN" w:bidi="ar"/>
        </w:rPr>
        <w:t>修改类型：删除</w:t>
      </w:r>
    </w:p>
    <w:p w14:paraId="74D9DF31">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723" w:firstLineChars="30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19.5</w:t>
      </w:r>
      <w:r>
        <w:rPr>
          <w:rFonts w:hint="eastAsia" w:ascii="宋体" w:hAnsi="宋体" w:eastAsia="宋体" w:cs="宋体"/>
          <w:color w:val="auto"/>
          <w:kern w:val="2"/>
          <w:sz w:val="24"/>
          <w:szCs w:val="24"/>
          <w:highlight w:val="none"/>
          <w:lang w:val="en-US" w:eastAsia="zh-CN" w:bidi="ar"/>
        </w:rPr>
        <w:t>如技术标和经济标先后分别开启，</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交易平台将按招标文件规定的时间分别开启技术标和经济标。</w:t>
      </w:r>
    </w:p>
    <w:p w14:paraId="7A69ED3C">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 21.1            </w:t>
      </w:r>
      <w:r>
        <w:rPr>
          <w:rFonts w:hint="eastAsia" w:ascii="宋体" w:hAnsi="宋体" w:eastAsia="宋体" w:cs="宋体"/>
          <w:b/>
          <w:bCs w:val="0"/>
          <w:color w:val="auto"/>
          <w:kern w:val="2"/>
          <w:sz w:val="24"/>
          <w:szCs w:val="24"/>
          <w:highlight w:val="none"/>
          <w:lang w:val="en-US" w:eastAsia="zh-CN" w:bidi="ar"/>
        </w:rPr>
        <w:t>修改类型：修改</w:t>
      </w:r>
    </w:p>
    <w:p w14:paraId="0F05934E">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 xml:space="preserve">21.1 </w:t>
      </w:r>
      <w:r>
        <w:rPr>
          <w:rFonts w:hint="eastAsia" w:ascii="宋体" w:hAnsi="宋体" w:eastAsia="宋体" w:cs="宋体"/>
          <w:color w:val="auto"/>
          <w:kern w:val="2"/>
          <w:sz w:val="24"/>
          <w:szCs w:val="24"/>
          <w:highlight w:val="none"/>
          <w:lang w:val="en-US" w:eastAsia="zh-CN" w:bidi="ar"/>
        </w:rPr>
        <w:t>本须知前附表第</w:t>
      </w:r>
      <w:r>
        <w:rPr>
          <w:rFonts w:hint="default" w:ascii="Times New Roman" w:hAnsi="Times New Roman" w:eastAsia="宋体" w:cs="Times New Roman"/>
          <w:color w:val="auto"/>
          <w:kern w:val="2"/>
          <w:sz w:val="24"/>
          <w:szCs w:val="24"/>
          <w:highlight w:val="none"/>
          <w:lang w:val="en-US" w:eastAsia="zh-CN" w:bidi="ar"/>
        </w:rPr>
        <w:t>17</w:t>
      </w:r>
      <w:r>
        <w:rPr>
          <w:rFonts w:hint="eastAsia" w:ascii="宋体" w:hAnsi="宋体" w:eastAsia="宋体" w:cs="宋体"/>
          <w:color w:val="auto"/>
          <w:kern w:val="2"/>
          <w:sz w:val="24"/>
          <w:szCs w:val="24"/>
          <w:highlight w:val="none"/>
          <w:lang w:val="en-US" w:eastAsia="zh-CN" w:bidi="ar"/>
        </w:rPr>
        <w:t>项规定的投标截止时间</w:t>
      </w:r>
      <w:r>
        <w:rPr>
          <w:rFonts w:hint="eastAsia" w:ascii="宋体" w:hAnsi="宋体" w:eastAsia="宋体" w:cs="宋体"/>
          <w:bCs/>
          <w:color w:val="auto"/>
          <w:kern w:val="2"/>
          <w:sz w:val="24"/>
          <w:szCs w:val="24"/>
          <w:highlight w:val="none"/>
          <w:lang w:val="en-US" w:eastAsia="zh-CN" w:bidi="ar"/>
        </w:rPr>
        <w:t>后送达的电子投标文件，</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交易平台将予以拒收。</w:t>
      </w:r>
    </w:p>
    <w:p w14:paraId="07D4B632">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color w:val="auto"/>
          <w:kern w:val="2"/>
          <w:sz w:val="24"/>
          <w:szCs w:val="24"/>
          <w:highlight w:val="none"/>
          <w:lang w:val="en-US" w:eastAsia="zh-CN" w:bidi="ar"/>
        </w:rPr>
        <w:t xml:space="preserve">21.1 </w:t>
      </w:r>
      <w:r>
        <w:rPr>
          <w:rFonts w:hint="eastAsia" w:ascii="宋体" w:hAnsi="宋体" w:eastAsia="宋体" w:cs="宋体"/>
          <w:color w:val="auto"/>
          <w:kern w:val="2"/>
          <w:sz w:val="24"/>
          <w:szCs w:val="24"/>
          <w:highlight w:val="none"/>
          <w:lang w:val="en-US" w:eastAsia="zh-CN" w:bidi="ar"/>
        </w:rPr>
        <w:t>本须知前附表第</w:t>
      </w:r>
      <w:r>
        <w:rPr>
          <w:rFonts w:hint="default" w:ascii="Times New Roman" w:hAnsi="Times New Roman" w:eastAsia="宋体" w:cs="Times New Roman"/>
          <w:color w:val="auto"/>
          <w:kern w:val="2"/>
          <w:sz w:val="24"/>
          <w:szCs w:val="24"/>
          <w:highlight w:val="none"/>
          <w:lang w:val="en-US" w:eastAsia="zh-CN" w:bidi="ar"/>
        </w:rPr>
        <w:t>17</w:t>
      </w:r>
      <w:r>
        <w:rPr>
          <w:rFonts w:hint="eastAsia" w:ascii="宋体" w:hAnsi="宋体" w:eastAsia="宋体" w:cs="宋体"/>
          <w:color w:val="auto"/>
          <w:kern w:val="2"/>
          <w:sz w:val="24"/>
          <w:szCs w:val="24"/>
          <w:highlight w:val="none"/>
          <w:lang w:val="en-US" w:eastAsia="zh-CN" w:bidi="ar"/>
        </w:rPr>
        <w:t>项规定的投标截止时间</w:t>
      </w:r>
      <w:r>
        <w:rPr>
          <w:rFonts w:hint="eastAsia" w:ascii="宋体" w:hAnsi="宋体" w:eastAsia="宋体" w:cs="宋体"/>
          <w:bCs/>
          <w:color w:val="auto"/>
          <w:kern w:val="2"/>
          <w:sz w:val="24"/>
          <w:szCs w:val="24"/>
          <w:highlight w:val="none"/>
          <w:lang w:val="en-US" w:eastAsia="zh-CN" w:bidi="ar"/>
        </w:rPr>
        <w:t>后送达的电子投标文件，</w:t>
      </w:r>
      <w:r>
        <w:rPr>
          <w:rFonts w:hint="eastAsia" w:ascii="宋体" w:hAnsi="宋体" w:eastAsia="宋体" w:cs="宋体"/>
          <w:color w:val="auto"/>
          <w:kern w:val="2"/>
          <w:sz w:val="24"/>
          <w:szCs w:val="24"/>
          <w:highlight w:val="none"/>
          <w:u w:val="single"/>
          <w:lang w:val="en-US" w:eastAsia="zh-CN" w:bidi="ar"/>
        </w:rPr>
        <w:t>广州公共资源交易中心</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交易平台将予以拒收。</w:t>
      </w:r>
    </w:p>
    <w:p w14:paraId="50831FAA">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27.1             </w:t>
      </w:r>
      <w:r>
        <w:rPr>
          <w:rFonts w:hint="eastAsia" w:ascii="宋体" w:hAnsi="宋体" w:eastAsia="宋体" w:cs="宋体"/>
          <w:b/>
          <w:bCs w:val="0"/>
          <w:color w:val="auto"/>
          <w:kern w:val="2"/>
          <w:sz w:val="24"/>
          <w:szCs w:val="24"/>
          <w:highlight w:val="none"/>
          <w:lang w:val="en-US" w:eastAsia="zh-CN" w:bidi="ar"/>
        </w:rPr>
        <w:t>修改类型：修改</w:t>
      </w:r>
    </w:p>
    <w:p w14:paraId="232B2A2B">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27.1</w:t>
      </w:r>
      <w:r>
        <w:rPr>
          <w:rFonts w:hint="eastAsia" w:ascii="宋体" w:hAnsi="宋体" w:eastAsia="宋体" w:cs="宋体"/>
          <w:color w:val="auto"/>
          <w:kern w:val="2"/>
          <w:sz w:val="24"/>
          <w:szCs w:val="24"/>
          <w:highlight w:val="none"/>
          <w:lang w:val="en-US" w:eastAsia="zh-CN" w:bidi="ar"/>
        </w:rPr>
        <w:t>招标人将在</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广东省招标投标监管网和中国招标投标公共服务平台公示中标候选人，公示期为三天。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p w14:paraId="05B5FF20">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color w:val="auto"/>
          <w:kern w:val="2"/>
          <w:sz w:val="24"/>
          <w:szCs w:val="24"/>
          <w:highlight w:val="none"/>
          <w:lang w:val="en-US" w:eastAsia="zh-CN" w:bidi="ar"/>
        </w:rPr>
        <w:t>27.1</w:t>
      </w:r>
      <w:r>
        <w:rPr>
          <w:rFonts w:hint="eastAsia" w:ascii="宋体" w:hAnsi="宋体" w:eastAsia="宋体" w:cs="宋体"/>
          <w:color w:val="auto"/>
          <w:kern w:val="2"/>
          <w:sz w:val="24"/>
          <w:szCs w:val="24"/>
          <w:highlight w:val="none"/>
          <w:lang w:val="en-US" w:eastAsia="zh-CN" w:bidi="ar"/>
        </w:rPr>
        <w:t>招标人将在</w:t>
      </w:r>
      <w:r>
        <w:rPr>
          <w:rFonts w:hint="eastAsia" w:ascii="宋体" w:hAnsi="宋体" w:eastAsia="宋体" w:cs="宋体"/>
          <w:color w:val="auto"/>
          <w:kern w:val="2"/>
          <w:sz w:val="24"/>
          <w:szCs w:val="24"/>
          <w:highlight w:val="none"/>
          <w:u w:val="single"/>
          <w:lang w:val="en-US" w:eastAsia="zh-CN" w:bidi="ar"/>
        </w:rPr>
        <w:t>广州公共资源交易中心</w:t>
      </w:r>
      <w:r>
        <w:rPr>
          <w:rFonts w:hint="eastAsia" w:ascii="宋体" w:hAnsi="宋体"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广东省招标投标监管网和中国招标投标公共服务平台公示中标候选人，公示期为三天。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p w14:paraId="376FCACD">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 27.4            </w:t>
      </w:r>
      <w:r>
        <w:rPr>
          <w:rFonts w:hint="eastAsia" w:ascii="宋体" w:hAnsi="宋体" w:eastAsia="宋体" w:cs="宋体"/>
          <w:b/>
          <w:bCs w:val="0"/>
          <w:color w:val="auto"/>
          <w:kern w:val="2"/>
          <w:sz w:val="24"/>
          <w:szCs w:val="24"/>
          <w:highlight w:val="none"/>
          <w:lang w:val="en-US" w:eastAsia="zh-CN" w:bidi="ar"/>
        </w:rPr>
        <w:t>修改类型：修改</w:t>
      </w:r>
    </w:p>
    <w:p w14:paraId="4ABBD098">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27.4</w:t>
      </w:r>
      <w:r>
        <w:rPr>
          <w:rFonts w:hint="eastAsia" w:ascii="宋体" w:hAnsi="宋体" w:eastAsia="宋体" w:cs="宋体"/>
          <w:color w:val="auto"/>
          <w:kern w:val="2"/>
          <w:sz w:val="24"/>
          <w:szCs w:val="24"/>
          <w:highlight w:val="none"/>
          <w:lang w:val="en-US" w:eastAsia="zh-CN" w:bidi="ar"/>
        </w:rPr>
        <w:t>在产生中标候选人后，招标人将中标候选人的投标文件商务部分文件的所有内容（包括人员、业绩、奖项等资料）在</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交易平台和广东省招标投标监管网公开。</w:t>
      </w:r>
    </w:p>
    <w:p w14:paraId="63727EFF">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color w:val="auto"/>
          <w:kern w:val="2"/>
          <w:sz w:val="24"/>
          <w:szCs w:val="24"/>
          <w:highlight w:val="none"/>
          <w:lang w:val="en-US" w:eastAsia="zh-CN" w:bidi="ar"/>
        </w:rPr>
        <w:t>27.4</w:t>
      </w:r>
      <w:r>
        <w:rPr>
          <w:rFonts w:hint="eastAsia" w:ascii="宋体" w:hAnsi="宋体" w:eastAsia="宋体" w:cs="宋体"/>
          <w:color w:val="auto"/>
          <w:kern w:val="2"/>
          <w:sz w:val="24"/>
          <w:szCs w:val="24"/>
          <w:highlight w:val="none"/>
          <w:lang w:val="en-US" w:eastAsia="zh-CN" w:bidi="ar"/>
        </w:rPr>
        <w:t>在产生中标候选人后，招标人将中标候选人的投标文件商务部分文件的所有内容（包括人员、业绩、奖项等资料）在</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u w:val="single"/>
          <w:lang w:val="en-US" w:eastAsia="zh-CN" w:bidi="ar"/>
        </w:rPr>
        <w:t>广州公共资源交易中心</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交易平台和广东省招标投标监管网公开。</w:t>
      </w:r>
    </w:p>
    <w:p w14:paraId="0F5552EE">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 28.2            </w:t>
      </w:r>
      <w:r>
        <w:rPr>
          <w:rFonts w:hint="eastAsia" w:ascii="宋体" w:hAnsi="宋体" w:eastAsia="宋体" w:cs="宋体"/>
          <w:b/>
          <w:bCs w:val="0"/>
          <w:color w:val="auto"/>
          <w:kern w:val="2"/>
          <w:sz w:val="24"/>
          <w:szCs w:val="24"/>
          <w:highlight w:val="none"/>
          <w:lang w:val="en-US" w:eastAsia="zh-CN" w:bidi="ar"/>
        </w:rPr>
        <w:t>修改类型：修改</w:t>
      </w:r>
    </w:p>
    <w:p w14:paraId="3F1A5C8E">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28.2</w:t>
      </w:r>
      <w:r>
        <w:rPr>
          <w:rFonts w:hint="eastAsia" w:ascii="宋体" w:hAnsi="宋体" w:eastAsia="宋体" w:cs="宋体"/>
          <w:color w:val="auto"/>
          <w:kern w:val="2"/>
          <w:sz w:val="24"/>
          <w:szCs w:val="24"/>
          <w:highlight w:val="none"/>
          <w:lang w:val="en-US" w:eastAsia="zh-CN" w:bidi="ar"/>
        </w:rPr>
        <w:t>中标通知书发出之日起</w:t>
      </w:r>
      <w:r>
        <w:rPr>
          <w:rFonts w:hint="eastAsia" w:ascii="宋体" w:hAnsi="宋体" w:eastAsia="宋体" w:cs="Times New Roman"/>
          <w:color w:val="auto"/>
          <w:kern w:val="2"/>
          <w:sz w:val="24"/>
          <w:szCs w:val="24"/>
          <w:highlight w:val="none"/>
          <w:lang w:val="en-US" w:eastAsia="zh-CN" w:bidi="ar"/>
        </w:rPr>
        <w:t>30</w:t>
      </w:r>
      <w:r>
        <w:rPr>
          <w:rFonts w:hint="eastAsia" w:ascii="宋体" w:hAnsi="宋体" w:eastAsia="宋体" w:cs="宋体"/>
          <w:color w:val="auto"/>
          <w:kern w:val="2"/>
          <w:sz w:val="24"/>
          <w:szCs w:val="24"/>
          <w:highlight w:val="none"/>
          <w:lang w:val="en-US" w:eastAsia="zh-CN" w:bidi="ar"/>
        </w:rPr>
        <w:t>日后，中标人未按上款的规定与招标人订立合同，招标人将解除中标通知书，原中标人的投标保证金不予退还，且依法承担相应法律责任。原中标人给招标人造成的损失超过投标保证金数额的，还应当对超过部分予以赔偿。原中标人有异议的，可以向人民法院起诉。</w:t>
      </w:r>
    </w:p>
    <w:p w14:paraId="64F6D5A9">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color w:val="auto"/>
          <w:kern w:val="2"/>
          <w:sz w:val="24"/>
          <w:szCs w:val="24"/>
          <w:highlight w:val="none"/>
          <w:lang w:val="en-US" w:eastAsia="zh-CN" w:bidi="ar"/>
        </w:rPr>
        <w:t>28.2</w:t>
      </w:r>
      <w:r>
        <w:rPr>
          <w:rFonts w:hint="eastAsia" w:ascii="宋体" w:hAnsi="宋体" w:eastAsia="宋体" w:cs="宋体"/>
          <w:color w:val="auto"/>
          <w:kern w:val="2"/>
          <w:sz w:val="24"/>
          <w:szCs w:val="24"/>
          <w:highlight w:val="none"/>
          <w:lang w:val="en-US" w:eastAsia="zh-CN" w:bidi="ar"/>
        </w:rPr>
        <w:t>中标通知书发出之日起</w:t>
      </w:r>
      <w:r>
        <w:rPr>
          <w:rFonts w:hint="eastAsia" w:ascii="宋体" w:hAnsi="宋体" w:eastAsia="宋体" w:cs="Times New Roman"/>
          <w:color w:val="auto"/>
          <w:kern w:val="2"/>
          <w:sz w:val="24"/>
          <w:szCs w:val="24"/>
          <w:highlight w:val="none"/>
          <w:lang w:val="en-US" w:eastAsia="zh-CN" w:bidi="ar"/>
        </w:rPr>
        <w:t>30</w:t>
      </w:r>
      <w:r>
        <w:rPr>
          <w:rFonts w:hint="eastAsia" w:ascii="宋体" w:hAnsi="宋体" w:eastAsia="宋体" w:cs="宋体"/>
          <w:color w:val="auto"/>
          <w:kern w:val="2"/>
          <w:sz w:val="24"/>
          <w:szCs w:val="24"/>
          <w:highlight w:val="none"/>
          <w:lang w:val="en-US" w:eastAsia="zh-CN" w:bidi="ar"/>
        </w:rPr>
        <w:t>日后，中标人未按上款的规定与招标人订立合同，招标人将解除中标通知书，原中标人应依法承担相应法律责任。</w:t>
      </w:r>
      <w:r>
        <w:rPr>
          <w:rFonts w:hint="eastAsia" w:ascii="宋体" w:hAnsi="宋体" w:eastAsia="宋体" w:cs="宋体"/>
          <w:bCs/>
          <w:color w:val="auto"/>
          <w:kern w:val="2"/>
          <w:sz w:val="24"/>
          <w:szCs w:val="24"/>
          <w:highlight w:val="none"/>
          <w:u w:val="single"/>
          <w:lang w:val="en-US" w:eastAsia="zh-CN" w:bidi="ar"/>
        </w:rPr>
        <w:t>原中标人给招标人造成损失的，招标人有权要求原中标人承担赔偿责任。</w:t>
      </w:r>
      <w:r>
        <w:rPr>
          <w:rFonts w:hint="eastAsia" w:ascii="宋体" w:hAnsi="宋体" w:eastAsia="宋体" w:cs="宋体"/>
          <w:color w:val="auto"/>
          <w:kern w:val="2"/>
          <w:sz w:val="24"/>
          <w:szCs w:val="24"/>
          <w:highlight w:val="none"/>
          <w:lang w:val="en-US" w:eastAsia="zh-CN" w:bidi="ar"/>
        </w:rPr>
        <w:t>原中标人有异议的，可以向人民法院起诉。</w:t>
      </w:r>
    </w:p>
    <w:p w14:paraId="564CD563">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29.1             </w:t>
      </w:r>
      <w:r>
        <w:rPr>
          <w:rFonts w:hint="eastAsia" w:ascii="宋体" w:hAnsi="宋体" w:eastAsia="宋体" w:cs="宋体"/>
          <w:b/>
          <w:bCs w:val="0"/>
          <w:color w:val="auto"/>
          <w:kern w:val="2"/>
          <w:sz w:val="24"/>
          <w:szCs w:val="24"/>
          <w:highlight w:val="none"/>
          <w:lang w:val="en-US" w:eastAsia="zh-CN" w:bidi="ar"/>
        </w:rPr>
        <w:t>修改类型：修改</w:t>
      </w:r>
    </w:p>
    <w:p w14:paraId="23503CDB">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 xml:space="preserve">29.1 </w:t>
      </w:r>
      <w:r>
        <w:rPr>
          <w:rFonts w:hint="eastAsia" w:ascii="宋体" w:hAnsi="宋体" w:eastAsia="宋体" w:cs="宋体"/>
          <w:color w:val="auto"/>
          <w:kern w:val="2"/>
          <w:sz w:val="24"/>
          <w:szCs w:val="24"/>
          <w:highlight w:val="none"/>
          <w:lang w:val="en-US" w:eastAsia="zh-CN" w:bidi="ar"/>
        </w:rPr>
        <w:t>在收到中标通知书后的</w:t>
      </w:r>
      <w:r>
        <w:rPr>
          <w:rFonts w:hint="eastAsia" w:ascii="宋体" w:hAnsi="宋体" w:eastAsia="宋体" w:cs="Times New Roman"/>
          <w:b/>
          <w:bCs w:val="0"/>
          <w:color w:val="auto"/>
          <w:kern w:val="2"/>
          <w:sz w:val="24"/>
          <w:szCs w:val="24"/>
          <w:highlight w:val="none"/>
          <w:lang w:val="en-US" w:eastAsia="zh-CN" w:bidi="ar"/>
        </w:rPr>
        <w:t>15</w:t>
      </w:r>
      <w:r>
        <w:rPr>
          <w:rFonts w:hint="eastAsia" w:ascii="宋体" w:hAnsi="宋体" w:eastAsia="宋体" w:cs="宋体"/>
          <w:b/>
          <w:bCs w:val="0"/>
          <w:color w:val="auto"/>
          <w:kern w:val="2"/>
          <w:sz w:val="24"/>
          <w:szCs w:val="24"/>
          <w:highlight w:val="none"/>
          <w:lang w:val="en-US" w:eastAsia="zh-CN" w:bidi="ar"/>
        </w:rPr>
        <w:t>日</w:t>
      </w:r>
      <w:r>
        <w:rPr>
          <w:rFonts w:hint="eastAsia" w:ascii="宋体" w:hAnsi="宋体" w:eastAsia="宋体" w:cs="宋体"/>
          <w:color w:val="auto"/>
          <w:kern w:val="2"/>
          <w:sz w:val="24"/>
          <w:szCs w:val="24"/>
          <w:highlight w:val="none"/>
          <w:lang w:val="en-US" w:eastAsia="zh-CN" w:bidi="ar"/>
        </w:rPr>
        <w:t>内，中标人应按本须知前附表第</w:t>
      </w:r>
      <w:r>
        <w:rPr>
          <w:rFonts w:hint="eastAsia" w:ascii="宋体" w:hAnsi="宋体" w:eastAsia="宋体" w:cs="Times New Roman"/>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0项的规定向招标人提交履约担保。</w:t>
      </w:r>
    </w:p>
    <w:p w14:paraId="1E2B8F4B">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color w:val="auto"/>
          <w:kern w:val="2"/>
          <w:sz w:val="24"/>
          <w:szCs w:val="24"/>
          <w:highlight w:val="none"/>
          <w:lang w:val="en-US" w:eastAsia="zh-CN" w:bidi="ar"/>
        </w:rPr>
        <w:t xml:space="preserve">29.1 </w:t>
      </w:r>
      <w:r>
        <w:rPr>
          <w:rFonts w:hint="eastAsia" w:ascii="宋体" w:hAnsi="宋体" w:eastAsia="宋体" w:cs="宋体"/>
          <w:color w:val="auto"/>
          <w:kern w:val="2"/>
          <w:sz w:val="24"/>
          <w:szCs w:val="24"/>
          <w:highlight w:val="none"/>
          <w:lang w:val="en-US" w:eastAsia="zh-CN" w:bidi="ar"/>
        </w:rPr>
        <w:t>在</w:t>
      </w:r>
      <w:r>
        <w:rPr>
          <w:rFonts w:hint="eastAsia" w:ascii="宋体" w:hAnsi="宋体" w:eastAsia="宋体" w:cs="宋体"/>
          <w:color w:val="auto"/>
          <w:kern w:val="2"/>
          <w:sz w:val="24"/>
          <w:szCs w:val="24"/>
          <w:highlight w:val="none"/>
          <w:u w:val="single"/>
          <w:lang w:val="en-US" w:eastAsia="zh-CN" w:bidi="ar"/>
        </w:rPr>
        <w:t>签订合同后按合同约定时间</w:t>
      </w:r>
      <w:r>
        <w:rPr>
          <w:rFonts w:hint="eastAsia" w:ascii="宋体" w:hAnsi="宋体" w:eastAsia="宋体" w:cs="宋体"/>
          <w:color w:val="auto"/>
          <w:kern w:val="2"/>
          <w:sz w:val="24"/>
          <w:szCs w:val="24"/>
          <w:highlight w:val="none"/>
          <w:lang w:val="en-US" w:eastAsia="zh-CN" w:bidi="ar"/>
        </w:rPr>
        <w:t>，中标人应按本须知前附表第</w:t>
      </w:r>
      <w:r>
        <w:rPr>
          <w:rFonts w:hint="default" w:ascii="Times New Roman" w:hAnsi="Times New Roman" w:eastAsia="宋体" w:cs="Times New Roman"/>
          <w:color w:val="auto"/>
          <w:kern w:val="2"/>
          <w:sz w:val="24"/>
          <w:szCs w:val="24"/>
          <w:highlight w:val="none"/>
          <w:lang w:val="en-US" w:eastAsia="zh-CN" w:bidi="ar"/>
        </w:rPr>
        <w:t>20</w:t>
      </w:r>
      <w:r>
        <w:rPr>
          <w:rFonts w:hint="eastAsia" w:ascii="宋体" w:hAnsi="宋体" w:eastAsia="宋体" w:cs="宋体"/>
          <w:color w:val="auto"/>
          <w:kern w:val="2"/>
          <w:sz w:val="24"/>
          <w:szCs w:val="24"/>
          <w:highlight w:val="none"/>
          <w:lang w:val="en-US" w:eastAsia="zh-CN" w:bidi="ar"/>
        </w:rPr>
        <w:t>项的规定向招标人提交履约担保</w:t>
      </w:r>
      <w:r>
        <w:rPr>
          <w:rFonts w:hint="eastAsia" w:ascii="宋体" w:hAnsi="宋体" w:eastAsia="宋体" w:cs="宋体"/>
          <w:color w:val="auto"/>
          <w:kern w:val="2"/>
          <w:sz w:val="24"/>
          <w:szCs w:val="24"/>
          <w:highlight w:val="none"/>
          <w:u w:val="single"/>
          <w:lang w:val="en-US" w:eastAsia="zh-CN" w:bidi="ar"/>
        </w:rPr>
        <w:t>（具体形式详见合同）</w:t>
      </w:r>
      <w:r>
        <w:rPr>
          <w:rFonts w:hint="eastAsia" w:ascii="宋体" w:hAnsi="宋体" w:eastAsia="宋体" w:cs="宋体"/>
          <w:color w:val="auto"/>
          <w:kern w:val="2"/>
          <w:sz w:val="24"/>
          <w:szCs w:val="24"/>
          <w:highlight w:val="none"/>
          <w:lang w:val="en-US" w:eastAsia="zh-CN" w:bidi="ar"/>
        </w:rPr>
        <w:t>。</w:t>
      </w:r>
    </w:p>
    <w:p w14:paraId="1ECD49CB">
      <w:pPr>
        <w:keepNext w:val="0"/>
        <w:keepLines w:val="0"/>
        <w:widowControl w:val="0"/>
        <w:suppressLineNumbers w:val="0"/>
        <w:spacing w:before="0" w:beforeAutospacing="0" w:after="0" w:afterAutospacing="0" w:line="440" w:lineRule="exact"/>
        <w:ind w:left="0" w:right="0" w:firstLine="540" w:firstLineChars="224"/>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 xml:space="preserve">条款号：  </w:t>
      </w:r>
      <w:r>
        <w:rPr>
          <w:rFonts w:hint="eastAsia" w:ascii="宋体" w:hAnsi="宋体" w:eastAsia="宋体" w:cs="宋体"/>
          <w:color w:val="auto"/>
          <w:kern w:val="2"/>
          <w:sz w:val="24"/>
          <w:szCs w:val="24"/>
          <w:highlight w:val="none"/>
          <w:lang w:val="en-US" w:eastAsia="zh-CN" w:bidi="ar"/>
        </w:rPr>
        <w:t>29.2</w:t>
      </w:r>
      <w:r>
        <w:rPr>
          <w:rFonts w:hint="eastAsia" w:ascii="宋体" w:hAnsi="宋体" w:eastAsia="宋体" w:cs="宋体"/>
          <w:b/>
          <w:bCs w:val="0"/>
          <w:color w:val="auto"/>
          <w:kern w:val="2"/>
          <w:sz w:val="24"/>
          <w:szCs w:val="24"/>
          <w:highlight w:val="none"/>
          <w:lang w:val="en-US" w:eastAsia="zh-CN" w:bidi="ar"/>
        </w:rPr>
        <w:t xml:space="preserve">           修改类型：修改</w:t>
      </w:r>
    </w:p>
    <w:p w14:paraId="4DFA44E6">
      <w:pPr>
        <w:keepNext w:val="0"/>
        <w:keepLines w:val="0"/>
        <w:widowControl w:val="0"/>
        <w:suppressLineNumbers w:val="0"/>
        <w:spacing w:before="0" w:beforeAutospacing="0" w:after="0" w:afterAutospacing="0" w:line="440" w:lineRule="exact"/>
        <w:ind w:left="0" w:right="0" w:firstLine="540" w:firstLineChars="224"/>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color w:val="auto"/>
          <w:kern w:val="2"/>
          <w:sz w:val="24"/>
          <w:szCs w:val="24"/>
          <w:highlight w:val="none"/>
          <w:lang w:val="en-US" w:eastAsia="zh-CN" w:bidi="ar"/>
        </w:rPr>
        <w:t>29.2中标通知书发出之日起</w:t>
      </w:r>
      <w:r>
        <w:rPr>
          <w:rFonts w:hint="eastAsia" w:ascii="宋体" w:hAnsi="宋体" w:eastAsia="宋体" w:cs="Times New Roman"/>
          <w:color w:val="auto"/>
          <w:kern w:val="2"/>
          <w:sz w:val="24"/>
          <w:szCs w:val="24"/>
          <w:highlight w:val="none"/>
          <w:lang w:val="en-US" w:eastAsia="zh-CN" w:bidi="ar"/>
        </w:rPr>
        <w:t>15</w:t>
      </w:r>
      <w:r>
        <w:rPr>
          <w:rFonts w:hint="eastAsia" w:ascii="宋体" w:hAnsi="宋体" w:eastAsia="宋体" w:cs="宋体"/>
          <w:color w:val="auto"/>
          <w:kern w:val="2"/>
          <w:sz w:val="24"/>
          <w:szCs w:val="24"/>
          <w:highlight w:val="none"/>
          <w:lang w:val="en-US" w:eastAsia="zh-CN" w:bidi="ar"/>
        </w:rPr>
        <w:t>日后，中标人未按上款的规定提交履约担保，招标人将解除中标通知书，原中标人的投标保证金不予退还，且依法承担相应法律责任。原中标人给招标人造成的损失超过投标保证金数额的，还应当对超过部分予以赔偿。原中标人有异议的，可以向人民法院起诉。</w:t>
      </w:r>
    </w:p>
    <w:p w14:paraId="69ADA1A1">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440" w:lineRule="exact"/>
        <w:ind w:left="0" w:right="0" w:firstLine="602" w:firstLineChars="250"/>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u w:val="single"/>
          <w:lang w:val="en-US" w:eastAsia="zh-CN" w:bidi="ar"/>
        </w:rPr>
        <w:t>在签订合同后，根据合同约定时间</w:t>
      </w:r>
      <w:r>
        <w:rPr>
          <w:rFonts w:hint="eastAsia" w:ascii="宋体" w:hAnsi="宋体" w:eastAsia="宋体" w:cs="宋体"/>
          <w:color w:val="auto"/>
          <w:kern w:val="2"/>
          <w:sz w:val="24"/>
          <w:szCs w:val="24"/>
          <w:highlight w:val="none"/>
          <w:lang w:val="en-US" w:eastAsia="zh-CN" w:bidi="ar"/>
        </w:rPr>
        <w:t>，中标人未按上款的规定提交履约担保，招标人将解除中标通知书，原中标人</w:t>
      </w:r>
      <w:r>
        <w:rPr>
          <w:rFonts w:hint="eastAsia" w:ascii="宋体" w:hAnsi="宋体" w:eastAsia="宋体" w:cs="宋体"/>
          <w:bCs/>
          <w:color w:val="auto"/>
          <w:kern w:val="2"/>
          <w:sz w:val="24"/>
          <w:szCs w:val="24"/>
          <w:highlight w:val="none"/>
          <w:u w:val="single"/>
          <w:lang w:val="en-US" w:eastAsia="zh-CN" w:bidi="ar"/>
        </w:rPr>
        <w:t>应</w:t>
      </w:r>
      <w:r>
        <w:rPr>
          <w:rFonts w:hint="eastAsia" w:ascii="宋体" w:hAnsi="宋体" w:eastAsia="宋体" w:cs="宋体"/>
          <w:bCs/>
          <w:color w:val="auto"/>
          <w:kern w:val="2"/>
          <w:sz w:val="24"/>
          <w:szCs w:val="24"/>
          <w:highlight w:val="none"/>
          <w:lang w:val="en-US" w:eastAsia="zh-CN" w:bidi="ar"/>
        </w:rPr>
        <w:t>依法承担相应法律责任。</w:t>
      </w:r>
      <w:r>
        <w:rPr>
          <w:rFonts w:hint="eastAsia" w:ascii="宋体" w:hAnsi="宋体" w:eastAsia="宋体" w:cs="宋体"/>
          <w:bCs/>
          <w:color w:val="auto"/>
          <w:kern w:val="2"/>
          <w:sz w:val="24"/>
          <w:szCs w:val="24"/>
          <w:highlight w:val="none"/>
          <w:u w:val="single"/>
          <w:lang w:val="en-US" w:eastAsia="zh-CN" w:bidi="ar"/>
        </w:rPr>
        <w:t>原中标人给招标人造成损失的，招标人有权要求原中标人承担赔偿责任。</w:t>
      </w:r>
      <w:r>
        <w:rPr>
          <w:rFonts w:hint="eastAsia" w:ascii="宋体" w:hAnsi="宋体" w:eastAsia="宋体" w:cs="宋体"/>
          <w:bCs/>
          <w:color w:val="auto"/>
          <w:kern w:val="2"/>
          <w:sz w:val="24"/>
          <w:szCs w:val="24"/>
          <w:highlight w:val="none"/>
          <w:lang w:val="en-US" w:eastAsia="zh-CN" w:bidi="ar"/>
        </w:rPr>
        <w:t>原</w:t>
      </w:r>
      <w:r>
        <w:rPr>
          <w:rFonts w:hint="eastAsia" w:ascii="宋体" w:hAnsi="宋体" w:eastAsia="宋体" w:cs="宋体"/>
          <w:color w:val="auto"/>
          <w:kern w:val="2"/>
          <w:sz w:val="24"/>
          <w:szCs w:val="24"/>
          <w:highlight w:val="none"/>
          <w:lang w:val="en-US" w:eastAsia="zh-CN" w:bidi="ar"/>
        </w:rPr>
        <w:t>中标人有异议的，可以向人民法院起诉。</w:t>
      </w:r>
      <w:r>
        <w:rPr>
          <w:rFonts w:hint="eastAsia" w:ascii="宋体" w:hAnsi="宋体" w:eastAsia="宋体" w:cs="宋体"/>
          <w:color w:val="auto"/>
          <w:kern w:val="2"/>
          <w:sz w:val="24"/>
          <w:szCs w:val="24"/>
          <w:highlight w:val="none"/>
          <w:u w:val="single"/>
          <w:lang w:val="en-US" w:eastAsia="zh-CN" w:bidi="ar"/>
        </w:rPr>
        <w:t>（具体形式详见合同）</w:t>
      </w:r>
      <w:r>
        <w:rPr>
          <w:rFonts w:hint="eastAsia" w:ascii="宋体" w:hAnsi="宋体" w:eastAsia="宋体" w:cs="宋体"/>
          <w:color w:val="auto"/>
          <w:kern w:val="2"/>
          <w:sz w:val="24"/>
          <w:szCs w:val="24"/>
          <w:highlight w:val="none"/>
          <w:lang w:val="en-US" w:eastAsia="zh-CN" w:bidi="ar"/>
        </w:rPr>
        <w:t>。</w:t>
      </w:r>
    </w:p>
    <w:p w14:paraId="4AFFB81C">
      <w:pPr>
        <w:keepNext w:val="0"/>
        <w:keepLines w:val="0"/>
        <w:widowControl w:val="0"/>
        <w:suppressLineNumbers w:val="0"/>
        <w:spacing w:before="0" w:beforeAutospacing="0" w:after="0" w:afterAutospacing="0" w:line="440" w:lineRule="exact"/>
        <w:ind w:left="0" w:right="0" w:firstLine="540" w:firstLineChars="224"/>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 xml:space="preserve">条款号： </w:t>
      </w:r>
      <w:r>
        <w:rPr>
          <w:rFonts w:hint="eastAsia" w:ascii="宋体" w:hAnsi="宋体" w:eastAsia="宋体" w:cs="宋体"/>
          <w:color w:val="auto"/>
          <w:kern w:val="2"/>
          <w:sz w:val="24"/>
          <w:szCs w:val="24"/>
          <w:highlight w:val="none"/>
          <w:lang w:val="en-US" w:eastAsia="zh-CN" w:bidi="ar"/>
        </w:rPr>
        <w:t>30.1</w:t>
      </w:r>
      <w:r>
        <w:rPr>
          <w:rFonts w:hint="eastAsia" w:ascii="宋体" w:hAnsi="宋体" w:eastAsia="宋体" w:cs="宋体"/>
          <w:b/>
          <w:bCs w:val="0"/>
          <w:color w:val="auto"/>
          <w:kern w:val="2"/>
          <w:sz w:val="24"/>
          <w:szCs w:val="24"/>
          <w:highlight w:val="none"/>
          <w:lang w:val="en-US" w:eastAsia="zh-CN" w:bidi="ar"/>
        </w:rPr>
        <w:t xml:space="preserve">            修改类型：修改</w:t>
      </w:r>
    </w:p>
    <w:p w14:paraId="278F0127">
      <w:pPr>
        <w:keepNext w:val="0"/>
        <w:keepLines w:val="0"/>
        <w:widowControl w:val="0"/>
        <w:suppressLineNumbers w:val="0"/>
        <w:spacing w:before="0" w:beforeAutospacing="0" w:after="0" w:afterAutospacing="0" w:line="440" w:lineRule="exact"/>
        <w:ind w:left="0" w:right="0" w:firstLine="540" w:firstLineChars="224"/>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color w:val="auto"/>
          <w:kern w:val="2"/>
          <w:sz w:val="24"/>
          <w:szCs w:val="24"/>
          <w:highlight w:val="none"/>
          <w:lang w:val="en-US" w:eastAsia="zh-CN" w:bidi="ar"/>
        </w:rPr>
        <w:t>在合同双方全权代表在合同协议书上签字，并分别加盖双方单位的公章后，合同正式生效。</w:t>
      </w:r>
    </w:p>
    <w:p w14:paraId="31EB5B9A">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440" w:lineRule="exact"/>
        <w:ind w:left="0" w:right="0" w:firstLine="482" w:firstLineChars="200"/>
        <w:jc w:val="both"/>
        <w:rPr>
          <w:rFonts w:hint="eastAsia" w:ascii="宋体" w:hAnsi="宋体" w:eastAsia="宋体" w:cs="宋体"/>
          <w:color w:val="auto"/>
          <w:kern w:val="2"/>
          <w:sz w:val="24"/>
          <w:szCs w:val="24"/>
          <w:highlight w:val="none"/>
          <w:u w:val="singl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u w:val="single"/>
          <w:lang w:val="en-US" w:eastAsia="zh-CN" w:bidi="ar"/>
        </w:rPr>
        <w:t>合同自发包人、承包人双方法定代表人或委托代理人签字并加盖公章之日起生效。</w:t>
      </w:r>
    </w:p>
    <w:p w14:paraId="5E624628">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 33           </w:t>
      </w:r>
      <w:r>
        <w:rPr>
          <w:rFonts w:hint="eastAsia" w:ascii="宋体" w:hAnsi="宋体" w:eastAsia="宋体" w:cs="宋体"/>
          <w:b/>
          <w:bCs w:val="0"/>
          <w:color w:val="auto"/>
          <w:kern w:val="2"/>
          <w:sz w:val="24"/>
          <w:szCs w:val="24"/>
          <w:highlight w:val="none"/>
          <w:lang w:val="en-US" w:eastAsia="zh-CN" w:bidi="ar"/>
        </w:rPr>
        <w:t>修改类型：增加</w:t>
      </w:r>
    </w:p>
    <w:p w14:paraId="19AFB565">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exact"/>
        <w:ind w:left="0" w:right="0" w:firstLine="600" w:firstLineChars="25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u w:val="single"/>
          <w:lang w:val="en-US" w:eastAsia="zh-CN" w:bidi="ar"/>
        </w:rPr>
        <w:t>（一）投标人需按下表格式，在投标文件“其他投标人认为应该提供的资料”处，提交投标报价总表。安装工程含配电箱的，需按下表格式，在投标文件“其他投标人认为应该提供的资料”处，提交配电箱价格分析表。</w:t>
      </w:r>
    </w:p>
    <w:p w14:paraId="09CDCDD2">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00" w:lineRule="exact"/>
        <w:ind w:left="0" w:right="0" w:firstLine="703" w:firstLineChars="250"/>
        <w:jc w:val="center"/>
        <w:rPr>
          <w:rFonts w:hint="eastAsia" w:ascii="宋体" w:hAnsi="宋体" w:eastAsia="宋体" w:cs="宋体"/>
          <w:b/>
          <w:bCs w:val="0"/>
          <w:color w:val="auto"/>
          <w:kern w:val="2"/>
          <w:sz w:val="28"/>
          <w:szCs w:val="28"/>
          <w:highlight w:val="none"/>
        </w:rPr>
      </w:pPr>
      <w:r>
        <w:rPr>
          <w:rFonts w:hint="eastAsia" w:ascii="宋体" w:hAnsi="宋体" w:eastAsia="宋体" w:cs="宋体"/>
          <w:b/>
          <w:bCs w:val="0"/>
          <w:color w:val="auto"/>
          <w:kern w:val="2"/>
          <w:sz w:val="28"/>
          <w:szCs w:val="28"/>
          <w:highlight w:val="none"/>
          <w:lang w:val="en-US" w:eastAsia="zh-CN" w:bidi="ar"/>
        </w:rPr>
        <w:t xml:space="preserve"> </w:t>
      </w:r>
    </w:p>
    <w:p w14:paraId="6E9AB68B">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00" w:lineRule="exact"/>
        <w:ind w:left="0" w:right="0" w:firstLine="703" w:firstLineChars="250"/>
        <w:jc w:val="center"/>
        <w:rPr>
          <w:rFonts w:hint="eastAsia" w:ascii="宋体" w:hAnsi="宋体" w:eastAsia="宋体" w:cs="宋体"/>
          <w:b/>
          <w:bCs w:val="0"/>
          <w:color w:val="auto"/>
          <w:kern w:val="2"/>
          <w:sz w:val="28"/>
          <w:szCs w:val="28"/>
          <w:highlight w:val="none"/>
        </w:rPr>
      </w:pPr>
      <w:r>
        <w:rPr>
          <w:rFonts w:hint="eastAsia" w:ascii="宋体" w:hAnsi="宋体" w:eastAsia="宋体" w:cs="宋体"/>
          <w:b/>
          <w:bCs w:val="0"/>
          <w:color w:val="auto"/>
          <w:kern w:val="2"/>
          <w:sz w:val="28"/>
          <w:szCs w:val="28"/>
          <w:highlight w:val="none"/>
          <w:lang w:val="en-US" w:eastAsia="zh-CN" w:bidi="ar"/>
        </w:rPr>
        <w:t>投标报价总表</w:t>
      </w:r>
    </w:p>
    <w:p w14:paraId="4509EEC1">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00" w:lineRule="exact"/>
        <w:ind w:left="0" w:right="0" w:firstLine="602" w:firstLineChars="250"/>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工程名称：</w:t>
      </w:r>
    </w:p>
    <w:tbl>
      <w:tblPr>
        <w:tblStyle w:val="17"/>
        <w:tblW w:w="901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59"/>
        <w:gridCol w:w="3568"/>
        <w:gridCol w:w="2355"/>
        <w:gridCol w:w="2431"/>
      </w:tblGrid>
      <w:tr w14:paraId="110CB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2A54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2"/>
                <w:szCs w:val="22"/>
                <w:highlight w:val="none"/>
              </w:rPr>
            </w:pPr>
            <w:r>
              <w:rPr>
                <w:rFonts w:hint="eastAsia" w:ascii="宋体" w:hAnsi="宋体" w:eastAsia="宋体" w:cs="宋体"/>
                <w:color w:val="auto"/>
                <w:kern w:val="0"/>
                <w:sz w:val="22"/>
                <w:szCs w:val="22"/>
                <w:highlight w:val="none"/>
                <w:lang w:val="en-US" w:eastAsia="zh-CN" w:bidi="ar"/>
              </w:rPr>
              <w:t>序号</w:t>
            </w:r>
          </w:p>
        </w:tc>
        <w:tc>
          <w:tcPr>
            <w:tcW w:w="35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59534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2"/>
                <w:szCs w:val="22"/>
                <w:highlight w:val="none"/>
              </w:rPr>
            </w:pPr>
            <w:r>
              <w:rPr>
                <w:rFonts w:hint="eastAsia" w:ascii="宋体" w:hAnsi="宋体" w:eastAsia="宋体" w:cs="宋体"/>
                <w:color w:val="auto"/>
                <w:kern w:val="0"/>
                <w:sz w:val="22"/>
                <w:szCs w:val="22"/>
                <w:highlight w:val="none"/>
                <w:lang w:val="en-US" w:eastAsia="zh-CN" w:bidi="ar"/>
              </w:rPr>
              <w:t>项目名称</w:t>
            </w:r>
          </w:p>
        </w:tc>
        <w:tc>
          <w:tcPr>
            <w:tcW w:w="235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970A4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2"/>
                <w:szCs w:val="22"/>
                <w:highlight w:val="none"/>
              </w:rPr>
            </w:pPr>
            <w:r>
              <w:rPr>
                <w:rFonts w:hint="eastAsia" w:ascii="宋体" w:hAnsi="宋体" w:eastAsia="宋体" w:cs="宋体"/>
                <w:color w:val="auto"/>
                <w:kern w:val="0"/>
                <w:sz w:val="22"/>
                <w:szCs w:val="22"/>
                <w:highlight w:val="none"/>
                <w:lang w:val="en-US" w:eastAsia="zh-CN" w:bidi="ar"/>
              </w:rPr>
              <w:t>金额（元）</w:t>
            </w:r>
          </w:p>
        </w:tc>
        <w:tc>
          <w:tcPr>
            <w:tcW w:w="243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B179F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2"/>
                <w:szCs w:val="22"/>
                <w:highlight w:val="none"/>
              </w:rPr>
            </w:pPr>
            <w:r>
              <w:rPr>
                <w:rFonts w:hint="eastAsia" w:ascii="宋体" w:hAnsi="宋体" w:eastAsia="宋体" w:cs="宋体"/>
                <w:color w:val="auto"/>
                <w:kern w:val="0"/>
                <w:sz w:val="22"/>
                <w:szCs w:val="22"/>
                <w:highlight w:val="none"/>
                <w:lang w:val="en-US" w:eastAsia="zh-CN" w:bidi="ar"/>
              </w:rPr>
              <w:t>备注</w:t>
            </w:r>
          </w:p>
        </w:tc>
      </w:tr>
      <w:tr w14:paraId="07364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1"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BCE2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2"/>
                <w:szCs w:val="22"/>
                <w:highlight w:val="none"/>
              </w:rPr>
            </w:pPr>
            <w:r>
              <w:rPr>
                <w:rFonts w:hint="eastAsia" w:ascii="宋体" w:hAnsi="宋体" w:eastAsia="宋体" w:cs="宋体"/>
                <w:color w:val="auto"/>
                <w:kern w:val="0"/>
                <w:sz w:val="22"/>
                <w:szCs w:val="22"/>
                <w:highlight w:val="none"/>
                <w:lang w:val="en-US" w:eastAsia="zh-CN" w:bidi="ar"/>
              </w:rPr>
              <w:t>一</w:t>
            </w:r>
          </w:p>
        </w:tc>
        <w:tc>
          <w:tcPr>
            <w:tcW w:w="35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C61076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2"/>
                <w:szCs w:val="22"/>
                <w:highlight w:val="none"/>
              </w:rPr>
            </w:pPr>
            <w:r>
              <w:rPr>
                <w:rFonts w:hint="eastAsia" w:ascii="宋体" w:hAnsi="宋体" w:eastAsia="宋体" w:cs="宋体"/>
                <w:color w:val="auto"/>
                <w:kern w:val="0"/>
                <w:sz w:val="22"/>
                <w:szCs w:val="22"/>
                <w:highlight w:val="none"/>
                <w:lang w:val="en-US" w:eastAsia="zh-CN" w:bidi="ar"/>
              </w:rPr>
              <w:t>分部分项工程量清单计价汇总合计</w:t>
            </w:r>
          </w:p>
        </w:tc>
        <w:tc>
          <w:tcPr>
            <w:tcW w:w="235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A26EC47">
            <w:pPr>
              <w:keepNext w:val="0"/>
              <w:keepLines w:val="0"/>
              <w:widowControl w:val="0"/>
              <w:suppressLineNumbers w:val="0"/>
              <w:spacing w:before="0" w:beforeAutospacing="0" w:after="0" w:afterAutospacing="0"/>
              <w:ind w:left="0" w:right="0"/>
              <w:jc w:val="right"/>
              <w:rPr>
                <w:rFonts w:hint="eastAsia" w:ascii="宋体" w:hAnsi="宋体" w:eastAsia="宋体" w:cs="宋体"/>
                <w:color w:val="auto"/>
                <w:kern w:val="2"/>
                <w:sz w:val="22"/>
                <w:szCs w:val="22"/>
                <w:highlight w:val="none"/>
              </w:rPr>
            </w:pPr>
          </w:p>
        </w:tc>
        <w:tc>
          <w:tcPr>
            <w:tcW w:w="243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4D95982">
            <w:pPr>
              <w:keepNext w:val="0"/>
              <w:keepLines w:val="0"/>
              <w:widowControl w:val="0"/>
              <w:suppressLineNumbers w:val="0"/>
              <w:spacing w:before="0" w:beforeAutospacing="0" w:after="0" w:afterAutospacing="0"/>
              <w:ind w:left="-178" w:leftChars="-85" w:right="1077" w:rightChars="513" w:firstLine="195" w:firstLineChars="89"/>
              <w:jc w:val="center"/>
              <w:rPr>
                <w:rFonts w:hint="eastAsia" w:ascii="宋体" w:hAnsi="宋体" w:eastAsia="宋体" w:cs="宋体"/>
                <w:color w:val="auto"/>
                <w:kern w:val="2"/>
                <w:sz w:val="22"/>
                <w:szCs w:val="22"/>
                <w:highlight w:val="none"/>
              </w:rPr>
            </w:pPr>
          </w:p>
        </w:tc>
      </w:tr>
      <w:tr w14:paraId="0F70F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A3C5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2"/>
                <w:szCs w:val="22"/>
                <w:highlight w:val="none"/>
              </w:rPr>
            </w:pPr>
            <w:r>
              <w:rPr>
                <w:rFonts w:hint="eastAsia" w:ascii="宋体" w:hAnsi="宋体" w:eastAsia="宋体" w:cs="宋体"/>
                <w:color w:val="auto"/>
                <w:kern w:val="0"/>
                <w:sz w:val="22"/>
                <w:szCs w:val="22"/>
                <w:highlight w:val="none"/>
                <w:lang w:val="en-US" w:eastAsia="zh-CN" w:bidi="ar"/>
              </w:rPr>
              <w:t>二</w:t>
            </w:r>
          </w:p>
        </w:tc>
        <w:tc>
          <w:tcPr>
            <w:tcW w:w="35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C6A993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2"/>
                <w:szCs w:val="22"/>
                <w:highlight w:val="none"/>
              </w:rPr>
            </w:pPr>
            <w:r>
              <w:rPr>
                <w:rFonts w:hint="eastAsia" w:ascii="宋体" w:hAnsi="宋体" w:eastAsia="宋体" w:cs="宋体"/>
                <w:color w:val="auto"/>
                <w:kern w:val="0"/>
                <w:sz w:val="22"/>
                <w:szCs w:val="22"/>
                <w:highlight w:val="none"/>
                <w:lang w:val="en-US" w:eastAsia="zh-CN" w:bidi="ar"/>
              </w:rPr>
              <w:t>措施项目清单计价汇总合计</w:t>
            </w:r>
          </w:p>
        </w:tc>
        <w:tc>
          <w:tcPr>
            <w:tcW w:w="235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E428FB8">
            <w:pPr>
              <w:keepNext w:val="0"/>
              <w:keepLines w:val="0"/>
              <w:widowControl w:val="0"/>
              <w:suppressLineNumbers w:val="0"/>
              <w:spacing w:before="0" w:beforeAutospacing="0" w:after="0" w:afterAutospacing="0"/>
              <w:ind w:left="0" w:right="0"/>
              <w:jc w:val="right"/>
              <w:rPr>
                <w:rFonts w:hint="eastAsia" w:ascii="宋体" w:hAnsi="宋体" w:eastAsia="宋体" w:cs="宋体"/>
                <w:color w:val="auto"/>
                <w:kern w:val="2"/>
                <w:sz w:val="22"/>
                <w:szCs w:val="22"/>
                <w:highlight w:val="none"/>
              </w:rPr>
            </w:pPr>
          </w:p>
        </w:tc>
        <w:tc>
          <w:tcPr>
            <w:tcW w:w="243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4EF267D">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rPr>
            </w:pPr>
          </w:p>
        </w:tc>
      </w:tr>
      <w:tr w14:paraId="2D5FD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8"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5EDC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2"/>
                <w:szCs w:val="22"/>
                <w:highlight w:val="none"/>
              </w:rPr>
            </w:pPr>
            <w:r>
              <w:rPr>
                <w:rFonts w:hint="eastAsia" w:ascii="宋体" w:hAnsi="宋体" w:eastAsia="宋体" w:cs="宋体"/>
                <w:color w:val="auto"/>
                <w:kern w:val="0"/>
                <w:sz w:val="22"/>
                <w:szCs w:val="22"/>
                <w:highlight w:val="none"/>
                <w:lang w:val="en-US" w:eastAsia="zh-CN" w:bidi="ar"/>
              </w:rPr>
              <w:t>三</w:t>
            </w:r>
          </w:p>
        </w:tc>
        <w:tc>
          <w:tcPr>
            <w:tcW w:w="35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0DAC0D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2"/>
                <w:szCs w:val="22"/>
                <w:highlight w:val="none"/>
              </w:rPr>
            </w:pPr>
            <w:r>
              <w:rPr>
                <w:rFonts w:hint="eastAsia" w:ascii="宋体" w:hAnsi="宋体" w:eastAsia="宋体" w:cs="宋体"/>
                <w:color w:val="auto"/>
                <w:kern w:val="0"/>
                <w:sz w:val="22"/>
                <w:szCs w:val="22"/>
                <w:highlight w:val="none"/>
                <w:lang w:val="en-US" w:eastAsia="zh-CN" w:bidi="ar"/>
              </w:rPr>
              <w:t>其它项目清单计价汇总合计</w:t>
            </w:r>
          </w:p>
        </w:tc>
        <w:tc>
          <w:tcPr>
            <w:tcW w:w="235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B0097CB">
            <w:pPr>
              <w:keepNext w:val="0"/>
              <w:keepLines w:val="0"/>
              <w:widowControl w:val="0"/>
              <w:suppressLineNumbers w:val="0"/>
              <w:spacing w:before="0" w:beforeAutospacing="0" w:after="0" w:afterAutospacing="0"/>
              <w:ind w:left="0" w:right="0"/>
              <w:jc w:val="right"/>
              <w:rPr>
                <w:rFonts w:hint="eastAsia" w:ascii="宋体" w:hAnsi="宋体" w:eastAsia="宋体" w:cs="宋体"/>
                <w:color w:val="auto"/>
                <w:kern w:val="2"/>
                <w:sz w:val="22"/>
                <w:szCs w:val="22"/>
                <w:highlight w:val="none"/>
              </w:rPr>
            </w:pPr>
          </w:p>
        </w:tc>
        <w:tc>
          <w:tcPr>
            <w:tcW w:w="243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F0D2C4B">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rPr>
            </w:pPr>
          </w:p>
        </w:tc>
      </w:tr>
      <w:tr w14:paraId="7BF17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6DB7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2"/>
                <w:szCs w:val="22"/>
                <w:highlight w:val="none"/>
              </w:rPr>
            </w:pPr>
            <w:r>
              <w:rPr>
                <w:rFonts w:hint="eastAsia" w:ascii="宋体" w:hAnsi="宋体" w:eastAsia="宋体" w:cs="宋体"/>
                <w:color w:val="auto"/>
                <w:kern w:val="0"/>
                <w:sz w:val="22"/>
                <w:szCs w:val="22"/>
                <w:highlight w:val="none"/>
                <w:lang w:val="en-US" w:eastAsia="zh-CN" w:bidi="ar"/>
              </w:rPr>
              <w:t>四</w:t>
            </w:r>
          </w:p>
        </w:tc>
        <w:tc>
          <w:tcPr>
            <w:tcW w:w="35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82B285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2"/>
                <w:szCs w:val="22"/>
                <w:highlight w:val="none"/>
              </w:rPr>
            </w:pPr>
            <w:r>
              <w:rPr>
                <w:rFonts w:hint="eastAsia" w:ascii="宋体" w:hAnsi="宋体" w:eastAsia="宋体" w:cs="宋体"/>
                <w:color w:val="auto"/>
                <w:kern w:val="0"/>
                <w:sz w:val="22"/>
                <w:szCs w:val="22"/>
                <w:highlight w:val="none"/>
                <w:lang w:val="en-US" w:eastAsia="zh-CN" w:bidi="ar"/>
              </w:rPr>
              <w:t>税金计价汇总合计</w:t>
            </w:r>
          </w:p>
        </w:tc>
        <w:tc>
          <w:tcPr>
            <w:tcW w:w="235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797010A">
            <w:pPr>
              <w:keepNext w:val="0"/>
              <w:keepLines w:val="0"/>
              <w:widowControl w:val="0"/>
              <w:suppressLineNumbers w:val="0"/>
              <w:spacing w:before="0" w:beforeAutospacing="0" w:after="0" w:afterAutospacing="0"/>
              <w:ind w:left="0" w:right="0"/>
              <w:jc w:val="right"/>
              <w:rPr>
                <w:rFonts w:hint="eastAsia" w:ascii="宋体" w:hAnsi="宋体" w:eastAsia="宋体" w:cs="宋体"/>
                <w:color w:val="auto"/>
                <w:kern w:val="2"/>
                <w:sz w:val="22"/>
                <w:szCs w:val="22"/>
                <w:highlight w:val="none"/>
              </w:rPr>
            </w:pPr>
          </w:p>
        </w:tc>
        <w:tc>
          <w:tcPr>
            <w:tcW w:w="243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58E6F62">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rPr>
            </w:pPr>
          </w:p>
        </w:tc>
      </w:tr>
      <w:tr w14:paraId="24303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8"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FD47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2"/>
                <w:szCs w:val="22"/>
                <w:highlight w:val="none"/>
              </w:rPr>
            </w:pPr>
            <w:r>
              <w:rPr>
                <w:rFonts w:hint="eastAsia" w:ascii="宋体" w:hAnsi="宋体" w:eastAsia="宋体" w:cs="宋体"/>
                <w:color w:val="auto"/>
                <w:kern w:val="0"/>
                <w:sz w:val="22"/>
                <w:szCs w:val="22"/>
                <w:highlight w:val="none"/>
                <w:lang w:val="en-US" w:eastAsia="zh-CN" w:bidi="ar"/>
              </w:rPr>
              <w:t>五</w:t>
            </w:r>
          </w:p>
        </w:tc>
        <w:tc>
          <w:tcPr>
            <w:tcW w:w="35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1F01DB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2"/>
                <w:szCs w:val="22"/>
                <w:highlight w:val="none"/>
              </w:rPr>
            </w:pPr>
            <w:r>
              <w:rPr>
                <w:rFonts w:hint="eastAsia" w:ascii="宋体" w:hAnsi="宋体" w:eastAsia="宋体" w:cs="宋体"/>
                <w:color w:val="auto"/>
                <w:kern w:val="0"/>
                <w:sz w:val="22"/>
                <w:szCs w:val="22"/>
                <w:highlight w:val="none"/>
                <w:lang w:val="en-US" w:eastAsia="zh-CN" w:bidi="ar"/>
              </w:rPr>
              <w:t>投标总报价(一+二+三+四)</w:t>
            </w:r>
          </w:p>
        </w:tc>
        <w:tc>
          <w:tcPr>
            <w:tcW w:w="235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34D5485">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2"/>
                <w:szCs w:val="22"/>
                <w:highlight w:val="none"/>
              </w:rPr>
            </w:pPr>
          </w:p>
        </w:tc>
        <w:tc>
          <w:tcPr>
            <w:tcW w:w="243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FF25E0F">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rPr>
            </w:pPr>
          </w:p>
        </w:tc>
      </w:tr>
      <w:tr w14:paraId="3293E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A846D0">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rPr>
            </w:pPr>
          </w:p>
        </w:tc>
        <w:tc>
          <w:tcPr>
            <w:tcW w:w="35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E88569D">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其中：1、绿色施工安全防护措施费</w:t>
            </w:r>
          </w:p>
        </w:tc>
        <w:tc>
          <w:tcPr>
            <w:tcW w:w="235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46EBEA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2"/>
                <w:szCs w:val="22"/>
                <w:highlight w:val="none"/>
              </w:rPr>
            </w:pPr>
          </w:p>
        </w:tc>
        <w:tc>
          <w:tcPr>
            <w:tcW w:w="243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8B1D8B7">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固定金额</w:t>
            </w:r>
          </w:p>
        </w:tc>
      </w:tr>
      <w:tr w14:paraId="6C4E3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1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D56106">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rPr>
            </w:pPr>
          </w:p>
        </w:tc>
        <w:tc>
          <w:tcPr>
            <w:tcW w:w="35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3A8409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xml:space="preserve">      2、暂列金额</w:t>
            </w:r>
          </w:p>
        </w:tc>
        <w:tc>
          <w:tcPr>
            <w:tcW w:w="235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8D9C20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2"/>
                <w:szCs w:val="22"/>
                <w:highlight w:val="none"/>
              </w:rPr>
            </w:pPr>
          </w:p>
        </w:tc>
        <w:tc>
          <w:tcPr>
            <w:tcW w:w="243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5FED51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固定金额</w:t>
            </w:r>
          </w:p>
        </w:tc>
      </w:tr>
      <w:tr w14:paraId="69084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5E00DF">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rPr>
            </w:pPr>
          </w:p>
        </w:tc>
        <w:tc>
          <w:tcPr>
            <w:tcW w:w="35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58AE5B3">
            <w:pPr>
              <w:keepNext w:val="0"/>
              <w:keepLines w:val="0"/>
              <w:widowControl/>
              <w:suppressLineNumbers w:val="0"/>
              <w:spacing w:before="0" w:beforeAutospacing="0" w:after="0" w:afterAutospacing="0"/>
              <w:ind w:left="0" w:leftChars="0" w:right="0" w:rightChars="0" w:firstLine="660" w:firstLineChars="300"/>
              <w:jc w:val="both"/>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3、工程保险费</w:t>
            </w:r>
          </w:p>
        </w:tc>
        <w:tc>
          <w:tcPr>
            <w:tcW w:w="235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416219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2"/>
                <w:szCs w:val="22"/>
                <w:highlight w:val="none"/>
              </w:rPr>
            </w:pPr>
          </w:p>
        </w:tc>
        <w:tc>
          <w:tcPr>
            <w:tcW w:w="243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84AF9D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固定金额</w:t>
            </w:r>
          </w:p>
        </w:tc>
      </w:tr>
      <w:tr w14:paraId="0B8C6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2059DB">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rPr>
            </w:pPr>
          </w:p>
        </w:tc>
        <w:tc>
          <w:tcPr>
            <w:tcW w:w="35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0DE90A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xml:space="preserve">      4、分部分项人工费</w:t>
            </w:r>
          </w:p>
        </w:tc>
        <w:tc>
          <w:tcPr>
            <w:tcW w:w="235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763475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2"/>
                <w:szCs w:val="22"/>
                <w:highlight w:val="none"/>
              </w:rPr>
            </w:pPr>
          </w:p>
        </w:tc>
        <w:tc>
          <w:tcPr>
            <w:tcW w:w="243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29E244B">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2"/>
                <w:szCs w:val="22"/>
                <w:highlight w:val="none"/>
              </w:rPr>
            </w:pPr>
          </w:p>
        </w:tc>
      </w:tr>
      <w:tr w14:paraId="7A533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65161">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rPr>
            </w:pPr>
          </w:p>
        </w:tc>
        <w:tc>
          <w:tcPr>
            <w:tcW w:w="35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FA14B49">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xml:space="preserve">      5、总人工费</w:t>
            </w:r>
          </w:p>
        </w:tc>
        <w:tc>
          <w:tcPr>
            <w:tcW w:w="235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94B490B">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2"/>
                <w:szCs w:val="22"/>
                <w:highlight w:val="none"/>
              </w:rPr>
            </w:pPr>
          </w:p>
        </w:tc>
        <w:tc>
          <w:tcPr>
            <w:tcW w:w="243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24B64D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含分部分项、措施项目</w:t>
            </w:r>
          </w:p>
        </w:tc>
      </w:tr>
    </w:tbl>
    <w:p w14:paraId="71144E1B">
      <w:pPr>
        <w:keepNext w:val="0"/>
        <w:keepLines w:val="0"/>
        <w:widowControl w:val="0"/>
        <w:suppressLineNumbers w:val="0"/>
        <w:topLinePunct/>
        <w:adjustRightInd w:val="0"/>
        <w:snapToGrid w:val="0"/>
        <w:spacing w:before="0" w:beforeAutospacing="0" w:after="0" w:afterAutospacing="0" w:line="360" w:lineRule="auto"/>
        <w:ind w:left="0" w:right="0" w:firstLine="199" w:firstLineChars="80"/>
        <w:jc w:val="center"/>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lang w:val="en-US" w:eastAsia="zh-CN" w:bidi="ar"/>
        </w:rPr>
        <w:t xml:space="preserve"> </w:t>
      </w:r>
    </w:p>
    <w:p w14:paraId="3C52FBC8">
      <w:pPr>
        <w:keepNext w:val="0"/>
        <w:keepLines w:val="0"/>
        <w:widowControl w:val="0"/>
        <w:suppressLineNumbers w:val="0"/>
        <w:topLinePunct/>
        <w:adjustRightInd w:val="0"/>
        <w:snapToGrid w:val="0"/>
        <w:spacing w:before="0" w:beforeAutospacing="0" w:after="0" w:afterAutospacing="0" w:line="360" w:lineRule="auto"/>
        <w:ind w:left="0" w:right="0" w:firstLine="231" w:firstLineChars="80"/>
        <w:jc w:val="center"/>
        <w:rPr>
          <w:rFonts w:hint="eastAsia" w:ascii="宋体" w:hAnsi="宋体" w:eastAsia="宋体" w:cs="宋体"/>
          <w:b/>
          <w:bCs w:val="0"/>
          <w:color w:val="auto"/>
          <w:spacing w:val="4"/>
          <w:kern w:val="2"/>
          <w:sz w:val="28"/>
          <w:szCs w:val="28"/>
          <w:highlight w:val="none"/>
        </w:rPr>
      </w:pPr>
      <w:r>
        <w:rPr>
          <w:rFonts w:hint="eastAsia" w:ascii="宋体" w:hAnsi="宋体" w:eastAsia="宋体" w:cs="宋体"/>
          <w:b/>
          <w:bCs w:val="0"/>
          <w:color w:val="auto"/>
          <w:spacing w:val="4"/>
          <w:kern w:val="0"/>
          <w:sz w:val="28"/>
          <w:szCs w:val="28"/>
          <w:highlight w:val="none"/>
          <w:lang w:val="en-US" w:eastAsia="zh-CN" w:bidi="ar"/>
        </w:rPr>
        <w:t>配电箱价格分析表</w:t>
      </w:r>
    </w:p>
    <w:p w14:paraId="2E7D5B62">
      <w:pPr>
        <w:keepNext w:val="0"/>
        <w:keepLines w:val="0"/>
        <w:widowControl w:val="0"/>
        <w:suppressLineNumbers w:val="0"/>
        <w:topLinePunct/>
        <w:adjustRightInd w:val="0"/>
        <w:snapToGrid w:val="0"/>
        <w:spacing w:before="0" w:beforeAutospacing="0" w:after="0" w:afterAutospacing="0" w:line="360" w:lineRule="auto"/>
        <w:ind w:left="0" w:right="0" w:firstLine="199" w:firstLineChars="80"/>
        <w:jc w:val="both"/>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lang w:val="en-US" w:eastAsia="zh-CN" w:bidi="ar"/>
        </w:rPr>
        <w:t>工程名称：</w:t>
      </w:r>
    </w:p>
    <w:tbl>
      <w:tblPr>
        <w:tblStyle w:val="17"/>
        <w:tblW w:w="85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4"/>
        <w:gridCol w:w="1156"/>
        <w:gridCol w:w="1679"/>
        <w:gridCol w:w="709"/>
        <w:gridCol w:w="851"/>
        <w:gridCol w:w="992"/>
        <w:gridCol w:w="1197"/>
        <w:gridCol w:w="1192"/>
      </w:tblGrid>
      <w:tr w14:paraId="44988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80"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24B2B1B0">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配电箱编号</w:t>
            </w:r>
          </w:p>
        </w:tc>
        <w:tc>
          <w:tcPr>
            <w:tcW w:w="1679" w:type="dxa"/>
            <w:tcBorders>
              <w:top w:val="single" w:color="auto" w:sz="4" w:space="0"/>
              <w:left w:val="nil"/>
              <w:bottom w:val="single" w:color="auto" w:sz="4" w:space="0"/>
              <w:right w:val="single" w:color="auto" w:sz="4" w:space="0"/>
            </w:tcBorders>
            <w:shd w:val="clear" w:color="auto" w:fill="auto"/>
            <w:vAlign w:val="center"/>
          </w:tcPr>
          <w:p w14:paraId="7543DC9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560" w:type="dxa"/>
            <w:gridSpan w:val="2"/>
            <w:tcBorders>
              <w:top w:val="single" w:color="auto" w:sz="4" w:space="0"/>
              <w:left w:val="nil"/>
              <w:bottom w:val="single" w:color="auto" w:sz="4" w:space="0"/>
              <w:right w:val="single" w:color="000000" w:sz="4" w:space="0"/>
            </w:tcBorders>
            <w:shd w:val="clear" w:color="auto" w:fill="auto"/>
            <w:vAlign w:val="center"/>
          </w:tcPr>
          <w:p w14:paraId="7948D3E2">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设计图号</w:t>
            </w:r>
          </w:p>
        </w:tc>
        <w:tc>
          <w:tcPr>
            <w:tcW w:w="3381" w:type="dxa"/>
            <w:gridSpan w:val="3"/>
            <w:tcBorders>
              <w:top w:val="single" w:color="auto" w:sz="4" w:space="0"/>
              <w:left w:val="nil"/>
              <w:bottom w:val="single" w:color="auto" w:sz="4" w:space="0"/>
              <w:right w:val="single" w:color="auto" w:sz="4" w:space="0"/>
            </w:tcBorders>
            <w:shd w:val="clear" w:color="auto" w:fill="auto"/>
            <w:vAlign w:val="center"/>
          </w:tcPr>
          <w:p w14:paraId="5672C5A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r>
      <w:tr w14:paraId="07732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trPr>
        <w:tc>
          <w:tcPr>
            <w:tcW w:w="724" w:type="dxa"/>
            <w:tcBorders>
              <w:top w:val="nil"/>
              <w:left w:val="single" w:color="auto" w:sz="4" w:space="0"/>
              <w:bottom w:val="single" w:color="auto" w:sz="4" w:space="0"/>
              <w:right w:val="single" w:color="auto" w:sz="4" w:space="0"/>
            </w:tcBorders>
            <w:shd w:val="clear" w:color="auto" w:fill="auto"/>
            <w:vAlign w:val="center"/>
          </w:tcPr>
          <w:p w14:paraId="5C5B0E5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序号</w:t>
            </w:r>
          </w:p>
        </w:tc>
        <w:tc>
          <w:tcPr>
            <w:tcW w:w="1156" w:type="dxa"/>
            <w:tcBorders>
              <w:top w:val="nil"/>
              <w:left w:val="nil"/>
              <w:bottom w:val="single" w:color="auto" w:sz="4" w:space="0"/>
              <w:right w:val="single" w:color="auto" w:sz="4" w:space="0"/>
            </w:tcBorders>
            <w:shd w:val="clear" w:color="auto" w:fill="auto"/>
            <w:vAlign w:val="center"/>
          </w:tcPr>
          <w:p w14:paraId="5C9ACD9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部件名称</w:t>
            </w:r>
          </w:p>
        </w:tc>
        <w:tc>
          <w:tcPr>
            <w:tcW w:w="1679" w:type="dxa"/>
            <w:tcBorders>
              <w:top w:val="nil"/>
              <w:left w:val="nil"/>
              <w:bottom w:val="single" w:color="auto" w:sz="4" w:space="0"/>
              <w:right w:val="single" w:color="auto" w:sz="4" w:space="0"/>
            </w:tcBorders>
            <w:shd w:val="clear" w:color="auto" w:fill="auto"/>
            <w:vAlign w:val="center"/>
          </w:tcPr>
          <w:p w14:paraId="65BCF17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型号规格</w:t>
            </w:r>
          </w:p>
        </w:tc>
        <w:tc>
          <w:tcPr>
            <w:tcW w:w="709" w:type="dxa"/>
            <w:tcBorders>
              <w:top w:val="nil"/>
              <w:left w:val="nil"/>
              <w:bottom w:val="single" w:color="auto" w:sz="4" w:space="0"/>
              <w:right w:val="single" w:color="auto" w:sz="4" w:space="0"/>
            </w:tcBorders>
            <w:shd w:val="clear" w:color="auto" w:fill="auto"/>
            <w:vAlign w:val="center"/>
          </w:tcPr>
          <w:p w14:paraId="5F836FA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单位</w:t>
            </w:r>
          </w:p>
        </w:tc>
        <w:tc>
          <w:tcPr>
            <w:tcW w:w="851" w:type="dxa"/>
            <w:tcBorders>
              <w:top w:val="nil"/>
              <w:left w:val="nil"/>
              <w:bottom w:val="nil"/>
              <w:right w:val="single" w:color="auto" w:sz="4" w:space="0"/>
            </w:tcBorders>
            <w:shd w:val="clear" w:color="auto" w:fill="auto"/>
            <w:vAlign w:val="center"/>
          </w:tcPr>
          <w:p w14:paraId="76AFC8E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数量</w:t>
            </w:r>
          </w:p>
        </w:tc>
        <w:tc>
          <w:tcPr>
            <w:tcW w:w="992" w:type="dxa"/>
            <w:tcBorders>
              <w:top w:val="nil"/>
              <w:left w:val="nil"/>
              <w:bottom w:val="single" w:color="auto" w:sz="4" w:space="0"/>
              <w:right w:val="single" w:color="auto" w:sz="4" w:space="0"/>
            </w:tcBorders>
            <w:shd w:val="clear" w:color="auto" w:fill="auto"/>
            <w:vAlign w:val="center"/>
          </w:tcPr>
          <w:p w14:paraId="7587478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单价</w:t>
            </w:r>
          </w:p>
        </w:tc>
        <w:tc>
          <w:tcPr>
            <w:tcW w:w="1197" w:type="dxa"/>
            <w:tcBorders>
              <w:top w:val="nil"/>
              <w:left w:val="nil"/>
              <w:bottom w:val="single" w:color="auto" w:sz="4" w:space="0"/>
              <w:right w:val="single" w:color="auto" w:sz="4" w:space="0"/>
            </w:tcBorders>
            <w:shd w:val="clear" w:color="auto" w:fill="auto"/>
            <w:vAlign w:val="center"/>
          </w:tcPr>
          <w:p w14:paraId="4E2CAA4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合价</w:t>
            </w:r>
          </w:p>
        </w:tc>
        <w:tc>
          <w:tcPr>
            <w:tcW w:w="1192" w:type="dxa"/>
            <w:tcBorders>
              <w:top w:val="nil"/>
              <w:left w:val="nil"/>
              <w:bottom w:val="single" w:color="auto" w:sz="4" w:space="0"/>
              <w:right w:val="single" w:color="auto" w:sz="4" w:space="0"/>
            </w:tcBorders>
            <w:shd w:val="clear" w:color="auto" w:fill="auto"/>
            <w:vAlign w:val="center"/>
          </w:tcPr>
          <w:p w14:paraId="29A4942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备注</w:t>
            </w:r>
          </w:p>
        </w:tc>
      </w:tr>
      <w:tr w14:paraId="5E335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724" w:type="dxa"/>
            <w:tcBorders>
              <w:top w:val="nil"/>
              <w:left w:val="single" w:color="auto" w:sz="4" w:space="0"/>
              <w:bottom w:val="single" w:color="auto" w:sz="4" w:space="0"/>
              <w:right w:val="single" w:color="auto" w:sz="4" w:space="0"/>
            </w:tcBorders>
            <w:shd w:val="clear" w:color="auto" w:fill="auto"/>
            <w:vAlign w:val="center"/>
          </w:tcPr>
          <w:p w14:paraId="1AB85F3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1</w:t>
            </w:r>
          </w:p>
        </w:tc>
        <w:tc>
          <w:tcPr>
            <w:tcW w:w="1156" w:type="dxa"/>
            <w:tcBorders>
              <w:top w:val="nil"/>
              <w:left w:val="nil"/>
              <w:bottom w:val="single" w:color="auto" w:sz="4" w:space="0"/>
              <w:right w:val="single" w:color="auto" w:sz="4" w:space="0"/>
            </w:tcBorders>
            <w:shd w:val="clear" w:color="auto" w:fill="auto"/>
            <w:vAlign w:val="center"/>
          </w:tcPr>
          <w:p w14:paraId="0B613B5E">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箱体</w:t>
            </w:r>
          </w:p>
        </w:tc>
        <w:tc>
          <w:tcPr>
            <w:tcW w:w="1679" w:type="dxa"/>
            <w:tcBorders>
              <w:top w:val="nil"/>
              <w:left w:val="nil"/>
              <w:bottom w:val="single" w:color="auto" w:sz="4" w:space="0"/>
              <w:right w:val="single" w:color="auto" w:sz="4" w:space="0"/>
            </w:tcBorders>
            <w:shd w:val="clear" w:color="auto" w:fill="auto"/>
            <w:vAlign w:val="center"/>
          </w:tcPr>
          <w:p w14:paraId="3825D4A1">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（长×宽×高）</w:t>
            </w:r>
          </w:p>
        </w:tc>
        <w:tc>
          <w:tcPr>
            <w:tcW w:w="709" w:type="dxa"/>
            <w:tcBorders>
              <w:top w:val="nil"/>
              <w:left w:val="nil"/>
              <w:bottom w:val="single" w:color="auto" w:sz="4" w:space="0"/>
              <w:right w:val="single" w:color="auto" w:sz="4" w:space="0"/>
            </w:tcBorders>
            <w:shd w:val="clear" w:color="auto" w:fill="auto"/>
            <w:vAlign w:val="center"/>
          </w:tcPr>
          <w:p w14:paraId="3103048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个</w:t>
            </w:r>
          </w:p>
        </w:tc>
        <w:tc>
          <w:tcPr>
            <w:tcW w:w="851" w:type="dxa"/>
            <w:tcBorders>
              <w:top w:val="single" w:color="auto" w:sz="4" w:space="0"/>
              <w:left w:val="nil"/>
              <w:bottom w:val="single" w:color="auto" w:sz="4" w:space="0"/>
              <w:right w:val="single" w:color="auto" w:sz="4" w:space="0"/>
            </w:tcBorders>
            <w:shd w:val="clear" w:color="auto" w:fill="auto"/>
            <w:vAlign w:val="center"/>
          </w:tcPr>
          <w:p w14:paraId="5905E3F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992" w:type="dxa"/>
            <w:tcBorders>
              <w:top w:val="nil"/>
              <w:left w:val="nil"/>
              <w:bottom w:val="single" w:color="auto" w:sz="4" w:space="0"/>
              <w:right w:val="single" w:color="auto" w:sz="4" w:space="0"/>
            </w:tcBorders>
            <w:shd w:val="clear" w:color="auto" w:fill="auto"/>
            <w:vAlign w:val="center"/>
          </w:tcPr>
          <w:p w14:paraId="6563BA8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197" w:type="dxa"/>
            <w:tcBorders>
              <w:top w:val="nil"/>
              <w:left w:val="nil"/>
              <w:bottom w:val="single" w:color="auto" w:sz="4" w:space="0"/>
              <w:right w:val="single" w:color="auto" w:sz="4" w:space="0"/>
            </w:tcBorders>
            <w:shd w:val="clear" w:color="auto" w:fill="auto"/>
            <w:vAlign w:val="center"/>
          </w:tcPr>
          <w:p w14:paraId="7774FA1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192" w:type="dxa"/>
            <w:tcBorders>
              <w:top w:val="nil"/>
              <w:left w:val="nil"/>
              <w:bottom w:val="single" w:color="auto" w:sz="4" w:space="0"/>
              <w:right w:val="single" w:color="auto" w:sz="4" w:space="0"/>
            </w:tcBorders>
            <w:shd w:val="clear" w:color="auto" w:fill="auto"/>
            <w:vAlign w:val="center"/>
          </w:tcPr>
          <w:p w14:paraId="60098C7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r>
      <w:tr w14:paraId="53B08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724" w:type="dxa"/>
            <w:tcBorders>
              <w:top w:val="nil"/>
              <w:left w:val="single" w:color="auto" w:sz="4" w:space="0"/>
              <w:bottom w:val="single" w:color="auto" w:sz="4" w:space="0"/>
              <w:right w:val="single" w:color="auto" w:sz="4" w:space="0"/>
            </w:tcBorders>
            <w:shd w:val="clear" w:color="auto" w:fill="auto"/>
            <w:vAlign w:val="center"/>
          </w:tcPr>
          <w:p w14:paraId="2DF9EB3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2</w:t>
            </w:r>
          </w:p>
        </w:tc>
        <w:tc>
          <w:tcPr>
            <w:tcW w:w="1156" w:type="dxa"/>
            <w:tcBorders>
              <w:top w:val="nil"/>
              <w:left w:val="nil"/>
              <w:bottom w:val="single" w:color="auto" w:sz="4" w:space="0"/>
              <w:right w:val="single" w:color="auto" w:sz="4" w:space="0"/>
            </w:tcBorders>
            <w:shd w:val="clear" w:color="auto" w:fill="auto"/>
            <w:vAlign w:val="center"/>
          </w:tcPr>
          <w:p w14:paraId="7A6BCD3B">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主元器件</w:t>
            </w:r>
          </w:p>
        </w:tc>
        <w:tc>
          <w:tcPr>
            <w:tcW w:w="1679" w:type="dxa"/>
            <w:tcBorders>
              <w:top w:val="nil"/>
              <w:left w:val="nil"/>
              <w:bottom w:val="single" w:color="auto" w:sz="4" w:space="0"/>
              <w:right w:val="single" w:color="auto" w:sz="4" w:space="0"/>
            </w:tcBorders>
            <w:shd w:val="clear" w:color="auto" w:fill="auto"/>
            <w:vAlign w:val="center"/>
          </w:tcPr>
          <w:p w14:paraId="71AD325A">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（按分类）</w:t>
            </w:r>
          </w:p>
        </w:tc>
        <w:tc>
          <w:tcPr>
            <w:tcW w:w="709" w:type="dxa"/>
            <w:tcBorders>
              <w:top w:val="nil"/>
              <w:left w:val="nil"/>
              <w:bottom w:val="single" w:color="auto" w:sz="4" w:space="0"/>
              <w:right w:val="single" w:color="auto" w:sz="4" w:space="0"/>
            </w:tcBorders>
            <w:shd w:val="clear" w:color="auto" w:fill="auto"/>
            <w:vAlign w:val="center"/>
          </w:tcPr>
          <w:p w14:paraId="09854CA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851" w:type="dxa"/>
            <w:tcBorders>
              <w:top w:val="nil"/>
              <w:left w:val="nil"/>
              <w:bottom w:val="single" w:color="auto" w:sz="4" w:space="0"/>
              <w:right w:val="single" w:color="auto" w:sz="4" w:space="0"/>
            </w:tcBorders>
            <w:shd w:val="clear" w:color="auto" w:fill="auto"/>
            <w:vAlign w:val="center"/>
          </w:tcPr>
          <w:p w14:paraId="0DBF42F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992" w:type="dxa"/>
            <w:tcBorders>
              <w:top w:val="nil"/>
              <w:left w:val="nil"/>
              <w:bottom w:val="single" w:color="auto" w:sz="4" w:space="0"/>
              <w:right w:val="single" w:color="auto" w:sz="4" w:space="0"/>
            </w:tcBorders>
            <w:shd w:val="clear" w:color="auto" w:fill="auto"/>
            <w:vAlign w:val="center"/>
          </w:tcPr>
          <w:p w14:paraId="404E727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197" w:type="dxa"/>
            <w:tcBorders>
              <w:top w:val="nil"/>
              <w:left w:val="nil"/>
              <w:bottom w:val="single" w:color="auto" w:sz="4" w:space="0"/>
              <w:right w:val="single" w:color="auto" w:sz="4" w:space="0"/>
            </w:tcBorders>
            <w:shd w:val="clear" w:color="auto" w:fill="auto"/>
            <w:vAlign w:val="center"/>
          </w:tcPr>
          <w:p w14:paraId="27560E8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192" w:type="dxa"/>
            <w:tcBorders>
              <w:top w:val="nil"/>
              <w:left w:val="nil"/>
              <w:bottom w:val="single" w:color="auto" w:sz="4" w:space="0"/>
              <w:right w:val="single" w:color="auto" w:sz="4" w:space="0"/>
            </w:tcBorders>
            <w:shd w:val="clear" w:color="auto" w:fill="auto"/>
            <w:vAlign w:val="center"/>
          </w:tcPr>
          <w:p w14:paraId="53C59B67">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r>
      <w:tr w14:paraId="68E39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724" w:type="dxa"/>
            <w:tcBorders>
              <w:top w:val="nil"/>
              <w:left w:val="single" w:color="auto" w:sz="4" w:space="0"/>
              <w:bottom w:val="single" w:color="auto" w:sz="4" w:space="0"/>
              <w:right w:val="single" w:color="auto" w:sz="4" w:space="0"/>
            </w:tcBorders>
            <w:shd w:val="clear" w:color="auto" w:fill="auto"/>
            <w:vAlign w:val="center"/>
          </w:tcPr>
          <w:p w14:paraId="7ADE30A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156" w:type="dxa"/>
            <w:tcBorders>
              <w:top w:val="nil"/>
              <w:left w:val="nil"/>
              <w:bottom w:val="single" w:color="auto" w:sz="4" w:space="0"/>
              <w:right w:val="single" w:color="auto" w:sz="4" w:space="0"/>
            </w:tcBorders>
            <w:shd w:val="clear" w:color="auto" w:fill="auto"/>
            <w:vAlign w:val="center"/>
          </w:tcPr>
          <w:p w14:paraId="5CF355FA">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断路器1</w:t>
            </w:r>
          </w:p>
        </w:tc>
        <w:tc>
          <w:tcPr>
            <w:tcW w:w="1679" w:type="dxa"/>
            <w:tcBorders>
              <w:top w:val="nil"/>
              <w:left w:val="nil"/>
              <w:bottom w:val="single" w:color="auto" w:sz="4" w:space="0"/>
              <w:right w:val="single" w:color="auto" w:sz="4" w:space="0"/>
            </w:tcBorders>
            <w:shd w:val="clear" w:color="auto" w:fill="auto"/>
            <w:vAlign w:val="center"/>
          </w:tcPr>
          <w:p w14:paraId="0CB806E0">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709" w:type="dxa"/>
            <w:tcBorders>
              <w:top w:val="nil"/>
              <w:left w:val="nil"/>
              <w:bottom w:val="single" w:color="auto" w:sz="4" w:space="0"/>
              <w:right w:val="single" w:color="auto" w:sz="4" w:space="0"/>
            </w:tcBorders>
            <w:shd w:val="clear" w:color="auto" w:fill="auto"/>
            <w:vAlign w:val="center"/>
          </w:tcPr>
          <w:p w14:paraId="253F061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个</w:t>
            </w:r>
          </w:p>
        </w:tc>
        <w:tc>
          <w:tcPr>
            <w:tcW w:w="851" w:type="dxa"/>
            <w:tcBorders>
              <w:top w:val="nil"/>
              <w:left w:val="nil"/>
              <w:bottom w:val="single" w:color="auto" w:sz="4" w:space="0"/>
              <w:right w:val="single" w:color="auto" w:sz="4" w:space="0"/>
            </w:tcBorders>
            <w:shd w:val="clear" w:color="auto" w:fill="auto"/>
            <w:vAlign w:val="center"/>
          </w:tcPr>
          <w:p w14:paraId="587DD85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992" w:type="dxa"/>
            <w:tcBorders>
              <w:top w:val="nil"/>
              <w:left w:val="nil"/>
              <w:bottom w:val="single" w:color="auto" w:sz="4" w:space="0"/>
              <w:right w:val="single" w:color="auto" w:sz="4" w:space="0"/>
            </w:tcBorders>
            <w:shd w:val="clear" w:color="auto" w:fill="auto"/>
            <w:vAlign w:val="center"/>
          </w:tcPr>
          <w:p w14:paraId="54D5CC2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197" w:type="dxa"/>
            <w:tcBorders>
              <w:top w:val="nil"/>
              <w:left w:val="nil"/>
              <w:bottom w:val="single" w:color="auto" w:sz="4" w:space="0"/>
              <w:right w:val="single" w:color="auto" w:sz="4" w:space="0"/>
            </w:tcBorders>
            <w:shd w:val="clear" w:color="auto" w:fill="auto"/>
            <w:vAlign w:val="center"/>
          </w:tcPr>
          <w:p w14:paraId="2BB476B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192" w:type="dxa"/>
            <w:tcBorders>
              <w:top w:val="nil"/>
              <w:left w:val="nil"/>
              <w:bottom w:val="single" w:color="auto" w:sz="4" w:space="0"/>
              <w:right w:val="single" w:color="auto" w:sz="4" w:space="0"/>
            </w:tcBorders>
            <w:shd w:val="clear" w:color="auto" w:fill="auto"/>
            <w:vAlign w:val="center"/>
          </w:tcPr>
          <w:p w14:paraId="78424583">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r>
      <w:tr w14:paraId="508BD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724" w:type="dxa"/>
            <w:tcBorders>
              <w:top w:val="nil"/>
              <w:left w:val="single" w:color="auto" w:sz="4" w:space="0"/>
              <w:bottom w:val="single" w:color="auto" w:sz="4" w:space="0"/>
              <w:right w:val="single" w:color="auto" w:sz="4" w:space="0"/>
            </w:tcBorders>
            <w:shd w:val="clear" w:color="auto" w:fill="auto"/>
            <w:vAlign w:val="center"/>
          </w:tcPr>
          <w:p w14:paraId="218644F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156" w:type="dxa"/>
            <w:tcBorders>
              <w:top w:val="nil"/>
              <w:left w:val="nil"/>
              <w:bottom w:val="single" w:color="auto" w:sz="4" w:space="0"/>
              <w:right w:val="single" w:color="auto" w:sz="4" w:space="0"/>
            </w:tcBorders>
            <w:shd w:val="clear" w:color="auto" w:fill="auto"/>
            <w:vAlign w:val="center"/>
          </w:tcPr>
          <w:p w14:paraId="367E5DE6">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断路器2</w:t>
            </w:r>
          </w:p>
        </w:tc>
        <w:tc>
          <w:tcPr>
            <w:tcW w:w="1679" w:type="dxa"/>
            <w:tcBorders>
              <w:top w:val="nil"/>
              <w:left w:val="nil"/>
              <w:bottom w:val="single" w:color="auto" w:sz="4" w:space="0"/>
              <w:right w:val="single" w:color="auto" w:sz="4" w:space="0"/>
            </w:tcBorders>
            <w:shd w:val="clear" w:color="auto" w:fill="auto"/>
            <w:vAlign w:val="center"/>
          </w:tcPr>
          <w:p w14:paraId="246A3DD9">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709" w:type="dxa"/>
            <w:tcBorders>
              <w:top w:val="nil"/>
              <w:left w:val="nil"/>
              <w:bottom w:val="single" w:color="auto" w:sz="4" w:space="0"/>
              <w:right w:val="single" w:color="auto" w:sz="4" w:space="0"/>
            </w:tcBorders>
            <w:shd w:val="clear" w:color="auto" w:fill="auto"/>
            <w:vAlign w:val="center"/>
          </w:tcPr>
          <w:p w14:paraId="20AD7F8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个</w:t>
            </w:r>
          </w:p>
        </w:tc>
        <w:tc>
          <w:tcPr>
            <w:tcW w:w="851" w:type="dxa"/>
            <w:tcBorders>
              <w:top w:val="nil"/>
              <w:left w:val="nil"/>
              <w:bottom w:val="single" w:color="auto" w:sz="4" w:space="0"/>
              <w:right w:val="single" w:color="auto" w:sz="4" w:space="0"/>
            </w:tcBorders>
            <w:shd w:val="clear" w:color="auto" w:fill="auto"/>
            <w:vAlign w:val="center"/>
          </w:tcPr>
          <w:p w14:paraId="2FEA601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992" w:type="dxa"/>
            <w:tcBorders>
              <w:top w:val="nil"/>
              <w:left w:val="nil"/>
              <w:bottom w:val="single" w:color="auto" w:sz="4" w:space="0"/>
              <w:right w:val="single" w:color="auto" w:sz="4" w:space="0"/>
            </w:tcBorders>
            <w:shd w:val="clear" w:color="auto" w:fill="auto"/>
            <w:vAlign w:val="center"/>
          </w:tcPr>
          <w:p w14:paraId="00D9999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197" w:type="dxa"/>
            <w:tcBorders>
              <w:top w:val="nil"/>
              <w:left w:val="nil"/>
              <w:bottom w:val="single" w:color="auto" w:sz="4" w:space="0"/>
              <w:right w:val="single" w:color="auto" w:sz="4" w:space="0"/>
            </w:tcBorders>
            <w:shd w:val="clear" w:color="auto" w:fill="auto"/>
            <w:vAlign w:val="center"/>
          </w:tcPr>
          <w:p w14:paraId="7B059B2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192" w:type="dxa"/>
            <w:tcBorders>
              <w:top w:val="nil"/>
              <w:left w:val="nil"/>
              <w:bottom w:val="single" w:color="auto" w:sz="4" w:space="0"/>
              <w:right w:val="single" w:color="auto" w:sz="4" w:space="0"/>
            </w:tcBorders>
            <w:shd w:val="clear" w:color="auto" w:fill="auto"/>
            <w:vAlign w:val="center"/>
          </w:tcPr>
          <w:p w14:paraId="5A08068B">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r>
      <w:tr w14:paraId="3E718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724" w:type="dxa"/>
            <w:tcBorders>
              <w:top w:val="nil"/>
              <w:left w:val="single" w:color="auto" w:sz="4" w:space="0"/>
              <w:bottom w:val="single" w:color="auto" w:sz="4" w:space="0"/>
              <w:right w:val="single" w:color="auto" w:sz="4" w:space="0"/>
            </w:tcBorders>
            <w:shd w:val="clear" w:color="auto" w:fill="auto"/>
            <w:vAlign w:val="center"/>
          </w:tcPr>
          <w:p w14:paraId="3FD8453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156" w:type="dxa"/>
            <w:tcBorders>
              <w:top w:val="nil"/>
              <w:left w:val="nil"/>
              <w:bottom w:val="single" w:color="auto" w:sz="4" w:space="0"/>
              <w:right w:val="single" w:color="auto" w:sz="4" w:space="0"/>
            </w:tcBorders>
            <w:shd w:val="clear" w:color="auto" w:fill="auto"/>
            <w:vAlign w:val="center"/>
          </w:tcPr>
          <w:p w14:paraId="35B4387D">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w:t>
            </w:r>
          </w:p>
        </w:tc>
        <w:tc>
          <w:tcPr>
            <w:tcW w:w="1679" w:type="dxa"/>
            <w:tcBorders>
              <w:top w:val="nil"/>
              <w:left w:val="nil"/>
              <w:bottom w:val="single" w:color="auto" w:sz="4" w:space="0"/>
              <w:right w:val="single" w:color="auto" w:sz="4" w:space="0"/>
            </w:tcBorders>
            <w:shd w:val="clear" w:color="auto" w:fill="auto"/>
            <w:vAlign w:val="center"/>
          </w:tcPr>
          <w:p w14:paraId="47A4CD29">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709" w:type="dxa"/>
            <w:tcBorders>
              <w:top w:val="nil"/>
              <w:left w:val="nil"/>
              <w:bottom w:val="single" w:color="auto" w:sz="4" w:space="0"/>
              <w:right w:val="single" w:color="auto" w:sz="4" w:space="0"/>
            </w:tcBorders>
            <w:shd w:val="clear" w:color="auto" w:fill="auto"/>
            <w:vAlign w:val="center"/>
          </w:tcPr>
          <w:p w14:paraId="000DE2C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851" w:type="dxa"/>
            <w:tcBorders>
              <w:top w:val="nil"/>
              <w:left w:val="nil"/>
              <w:bottom w:val="single" w:color="auto" w:sz="4" w:space="0"/>
              <w:right w:val="single" w:color="auto" w:sz="4" w:space="0"/>
            </w:tcBorders>
            <w:shd w:val="clear" w:color="auto" w:fill="auto"/>
            <w:vAlign w:val="center"/>
          </w:tcPr>
          <w:p w14:paraId="1EAB655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992" w:type="dxa"/>
            <w:tcBorders>
              <w:top w:val="nil"/>
              <w:left w:val="nil"/>
              <w:bottom w:val="single" w:color="auto" w:sz="4" w:space="0"/>
              <w:right w:val="single" w:color="auto" w:sz="4" w:space="0"/>
            </w:tcBorders>
            <w:shd w:val="clear" w:color="auto" w:fill="auto"/>
            <w:vAlign w:val="center"/>
          </w:tcPr>
          <w:p w14:paraId="660E7EC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197" w:type="dxa"/>
            <w:tcBorders>
              <w:top w:val="nil"/>
              <w:left w:val="nil"/>
              <w:bottom w:val="single" w:color="auto" w:sz="4" w:space="0"/>
              <w:right w:val="single" w:color="auto" w:sz="4" w:space="0"/>
            </w:tcBorders>
            <w:shd w:val="clear" w:color="auto" w:fill="auto"/>
            <w:vAlign w:val="center"/>
          </w:tcPr>
          <w:p w14:paraId="33C3A90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192" w:type="dxa"/>
            <w:tcBorders>
              <w:top w:val="nil"/>
              <w:left w:val="nil"/>
              <w:bottom w:val="nil"/>
              <w:right w:val="single" w:color="auto" w:sz="4" w:space="0"/>
            </w:tcBorders>
            <w:shd w:val="clear" w:color="auto" w:fill="auto"/>
            <w:vAlign w:val="center"/>
          </w:tcPr>
          <w:p w14:paraId="33E5D7A7">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r>
      <w:tr w14:paraId="503D1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4" w:hRule="atLeast"/>
        </w:trPr>
        <w:tc>
          <w:tcPr>
            <w:tcW w:w="724" w:type="dxa"/>
            <w:tcBorders>
              <w:top w:val="nil"/>
              <w:left w:val="single" w:color="auto" w:sz="4" w:space="0"/>
              <w:bottom w:val="single" w:color="auto" w:sz="4" w:space="0"/>
              <w:right w:val="single" w:color="auto" w:sz="4" w:space="0"/>
            </w:tcBorders>
            <w:shd w:val="clear" w:color="auto" w:fill="auto"/>
            <w:vAlign w:val="center"/>
          </w:tcPr>
          <w:p w14:paraId="0D57E9F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2835" w:type="dxa"/>
            <w:gridSpan w:val="2"/>
            <w:tcBorders>
              <w:top w:val="single" w:color="auto" w:sz="4" w:space="0"/>
              <w:left w:val="nil"/>
              <w:bottom w:val="single" w:color="auto" w:sz="4" w:space="0"/>
              <w:right w:val="single" w:color="auto" w:sz="4" w:space="0"/>
            </w:tcBorders>
            <w:shd w:val="clear" w:color="auto" w:fill="auto"/>
            <w:vAlign w:val="center"/>
          </w:tcPr>
          <w:p w14:paraId="580D438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出线回路数</w:t>
            </w:r>
          </w:p>
        </w:tc>
        <w:tc>
          <w:tcPr>
            <w:tcW w:w="709" w:type="dxa"/>
            <w:tcBorders>
              <w:top w:val="nil"/>
              <w:left w:val="nil"/>
              <w:bottom w:val="single" w:color="auto" w:sz="4" w:space="0"/>
              <w:right w:val="single" w:color="auto" w:sz="4" w:space="0"/>
            </w:tcBorders>
            <w:shd w:val="clear" w:color="auto" w:fill="auto"/>
            <w:vAlign w:val="center"/>
          </w:tcPr>
          <w:p w14:paraId="2767F59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个</w:t>
            </w:r>
          </w:p>
        </w:tc>
        <w:tc>
          <w:tcPr>
            <w:tcW w:w="851" w:type="dxa"/>
            <w:tcBorders>
              <w:top w:val="nil"/>
              <w:left w:val="nil"/>
              <w:bottom w:val="single" w:color="auto" w:sz="4" w:space="0"/>
              <w:right w:val="single" w:color="auto" w:sz="4" w:space="0"/>
            </w:tcBorders>
            <w:shd w:val="clear" w:color="auto" w:fill="auto"/>
            <w:vAlign w:val="center"/>
          </w:tcPr>
          <w:p w14:paraId="57125F8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992" w:type="dxa"/>
            <w:tcBorders>
              <w:top w:val="nil"/>
              <w:left w:val="nil"/>
              <w:bottom w:val="single" w:color="auto" w:sz="4" w:space="0"/>
              <w:right w:val="single" w:color="auto" w:sz="4" w:space="0"/>
            </w:tcBorders>
            <w:shd w:val="clear" w:color="auto" w:fill="auto"/>
            <w:vAlign w:val="center"/>
          </w:tcPr>
          <w:p w14:paraId="2C59376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197" w:type="dxa"/>
            <w:tcBorders>
              <w:top w:val="nil"/>
              <w:left w:val="nil"/>
              <w:bottom w:val="single" w:color="auto" w:sz="4" w:space="0"/>
              <w:right w:val="nil"/>
            </w:tcBorders>
            <w:shd w:val="clear" w:color="auto" w:fill="auto"/>
            <w:vAlign w:val="center"/>
          </w:tcPr>
          <w:p w14:paraId="5EB3C7C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79ED8194">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本项不参与计价</w:t>
            </w:r>
          </w:p>
        </w:tc>
      </w:tr>
      <w:tr w14:paraId="616CB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1" w:hRule="atLeast"/>
        </w:trPr>
        <w:tc>
          <w:tcPr>
            <w:tcW w:w="724" w:type="dxa"/>
            <w:tcBorders>
              <w:top w:val="nil"/>
              <w:left w:val="single" w:color="auto" w:sz="4" w:space="0"/>
              <w:bottom w:val="single" w:color="auto" w:sz="4" w:space="0"/>
              <w:right w:val="single" w:color="auto" w:sz="4" w:space="0"/>
            </w:tcBorders>
            <w:shd w:val="clear" w:color="auto" w:fill="auto"/>
            <w:vAlign w:val="center"/>
          </w:tcPr>
          <w:p w14:paraId="4093874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3</w:t>
            </w:r>
          </w:p>
        </w:tc>
        <w:tc>
          <w:tcPr>
            <w:tcW w:w="2835" w:type="dxa"/>
            <w:gridSpan w:val="2"/>
            <w:tcBorders>
              <w:top w:val="single" w:color="auto" w:sz="4" w:space="0"/>
              <w:left w:val="nil"/>
              <w:bottom w:val="single" w:color="auto" w:sz="4" w:space="0"/>
              <w:right w:val="single" w:color="auto" w:sz="4" w:space="0"/>
            </w:tcBorders>
            <w:shd w:val="clear" w:color="auto" w:fill="auto"/>
            <w:vAlign w:val="center"/>
          </w:tcPr>
          <w:p w14:paraId="23D01518">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综合费</w:t>
            </w:r>
          </w:p>
        </w:tc>
        <w:tc>
          <w:tcPr>
            <w:tcW w:w="709" w:type="dxa"/>
            <w:tcBorders>
              <w:top w:val="nil"/>
              <w:left w:val="nil"/>
              <w:bottom w:val="single" w:color="auto" w:sz="4" w:space="0"/>
              <w:right w:val="single" w:color="auto" w:sz="4" w:space="0"/>
            </w:tcBorders>
            <w:shd w:val="clear" w:color="auto" w:fill="auto"/>
            <w:vAlign w:val="center"/>
          </w:tcPr>
          <w:p w14:paraId="18C660E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项</w:t>
            </w:r>
          </w:p>
        </w:tc>
        <w:tc>
          <w:tcPr>
            <w:tcW w:w="851" w:type="dxa"/>
            <w:tcBorders>
              <w:top w:val="nil"/>
              <w:left w:val="nil"/>
              <w:bottom w:val="single" w:color="auto" w:sz="4" w:space="0"/>
              <w:right w:val="single" w:color="auto" w:sz="4" w:space="0"/>
            </w:tcBorders>
            <w:shd w:val="clear" w:color="auto" w:fill="auto"/>
            <w:vAlign w:val="center"/>
          </w:tcPr>
          <w:p w14:paraId="70BED87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992" w:type="dxa"/>
            <w:tcBorders>
              <w:top w:val="nil"/>
              <w:left w:val="nil"/>
              <w:bottom w:val="single" w:color="auto" w:sz="4" w:space="0"/>
              <w:right w:val="single" w:color="auto" w:sz="4" w:space="0"/>
            </w:tcBorders>
            <w:shd w:val="clear" w:color="auto" w:fill="auto"/>
            <w:vAlign w:val="center"/>
          </w:tcPr>
          <w:p w14:paraId="59D3501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c>
          <w:tcPr>
            <w:tcW w:w="1197" w:type="dxa"/>
            <w:tcBorders>
              <w:top w:val="nil"/>
              <w:left w:val="nil"/>
              <w:bottom w:val="single" w:color="auto" w:sz="4" w:space="0"/>
              <w:right w:val="nil"/>
            </w:tcBorders>
            <w:shd w:val="clear" w:color="auto" w:fill="auto"/>
            <w:vAlign w:val="center"/>
          </w:tcPr>
          <w:p w14:paraId="5B0A466F">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（1+2）×综合费率</w:t>
            </w:r>
          </w:p>
        </w:tc>
        <w:tc>
          <w:tcPr>
            <w:tcW w:w="1192" w:type="dxa"/>
            <w:tcBorders>
              <w:top w:val="nil"/>
              <w:left w:val="single" w:color="auto" w:sz="4" w:space="0"/>
              <w:bottom w:val="single" w:color="auto" w:sz="4" w:space="0"/>
              <w:right w:val="single" w:color="auto" w:sz="4" w:space="0"/>
            </w:tcBorders>
            <w:shd w:val="clear" w:color="auto" w:fill="auto"/>
            <w:vAlign w:val="center"/>
          </w:tcPr>
          <w:p w14:paraId="6597134A">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r>
      <w:tr w14:paraId="508B5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55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82DB98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配电箱总价(1+2+3)</w:t>
            </w:r>
          </w:p>
        </w:tc>
        <w:tc>
          <w:tcPr>
            <w:tcW w:w="4941" w:type="dxa"/>
            <w:gridSpan w:val="5"/>
            <w:tcBorders>
              <w:top w:val="single" w:color="auto" w:sz="4" w:space="0"/>
              <w:left w:val="nil"/>
              <w:bottom w:val="single" w:color="auto" w:sz="4" w:space="0"/>
              <w:right w:val="single" w:color="auto" w:sz="4" w:space="0"/>
            </w:tcBorders>
            <w:shd w:val="clear" w:color="auto" w:fill="auto"/>
            <w:vAlign w:val="center"/>
          </w:tcPr>
          <w:p w14:paraId="76AD4CF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w:t>
            </w:r>
          </w:p>
        </w:tc>
      </w:tr>
    </w:tbl>
    <w:p w14:paraId="220126D1">
      <w:pPr>
        <w:keepNext w:val="0"/>
        <w:keepLines w:val="0"/>
        <w:widowControl w:val="0"/>
        <w:suppressLineNumbers w:val="0"/>
        <w:topLinePunct/>
        <w:adjustRightInd w:val="0"/>
        <w:snapToGrid w:val="0"/>
        <w:spacing w:before="0" w:beforeAutospacing="0" w:after="0" w:afterAutospacing="0" w:line="240" w:lineRule="atLeast"/>
        <w:ind w:left="684" w:right="0" w:hanging="684" w:hangingChars="300"/>
        <w:jc w:val="both"/>
        <w:rPr>
          <w:rFonts w:hint="eastAsia" w:ascii="宋体" w:hAnsi="宋体" w:eastAsia="宋体" w:cs="宋体"/>
          <w:color w:val="auto"/>
          <w:spacing w:val="4"/>
          <w:kern w:val="2"/>
          <w:sz w:val="22"/>
          <w:szCs w:val="22"/>
          <w:highlight w:val="none"/>
        </w:rPr>
      </w:pPr>
      <w:r>
        <w:rPr>
          <w:rFonts w:hint="eastAsia" w:ascii="宋体" w:hAnsi="宋体" w:eastAsia="宋体" w:cs="宋体"/>
          <w:color w:val="auto"/>
          <w:spacing w:val="4"/>
          <w:kern w:val="0"/>
          <w:sz w:val="22"/>
          <w:szCs w:val="22"/>
          <w:highlight w:val="none"/>
          <w:lang w:val="en-US" w:eastAsia="zh-CN" w:bidi="ar"/>
        </w:rPr>
        <w:t>注：1.本表中内容由投标人对照招标人提供的设备清单和设计图纸，对每一类型配电箱规格/型号应分别填写。</w:t>
      </w:r>
    </w:p>
    <w:p w14:paraId="06082F2C">
      <w:pPr>
        <w:keepNext w:val="0"/>
        <w:keepLines w:val="0"/>
        <w:widowControl w:val="0"/>
        <w:suppressLineNumbers w:val="0"/>
        <w:topLinePunct/>
        <w:adjustRightInd w:val="0"/>
        <w:snapToGrid w:val="0"/>
        <w:spacing w:before="0" w:beforeAutospacing="0" w:after="0" w:afterAutospacing="0"/>
        <w:ind w:left="0" w:right="0" w:firstLine="456" w:firstLineChars="200"/>
        <w:jc w:val="both"/>
        <w:rPr>
          <w:rFonts w:hint="eastAsia" w:ascii="宋体" w:hAnsi="宋体" w:eastAsia="宋体" w:cs="宋体"/>
          <w:color w:val="auto"/>
          <w:spacing w:val="4"/>
          <w:kern w:val="0"/>
          <w:sz w:val="22"/>
          <w:szCs w:val="22"/>
          <w:highlight w:val="none"/>
        </w:rPr>
      </w:pPr>
      <w:r>
        <w:rPr>
          <w:rFonts w:hint="eastAsia" w:ascii="宋体" w:hAnsi="宋体" w:eastAsia="宋体" w:cs="宋体"/>
          <w:color w:val="auto"/>
          <w:spacing w:val="4"/>
          <w:kern w:val="0"/>
          <w:sz w:val="22"/>
          <w:szCs w:val="22"/>
          <w:highlight w:val="none"/>
          <w:lang w:val="en-US" w:eastAsia="zh-CN" w:bidi="ar"/>
        </w:rPr>
        <w:t>2.箱体单位面积限价为250.00元/ m</w:t>
      </w:r>
      <w:r>
        <w:rPr>
          <w:rFonts w:hint="eastAsia" w:ascii="宋体" w:hAnsi="宋体" w:eastAsia="宋体" w:cs="宋体"/>
          <w:color w:val="auto"/>
          <w:spacing w:val="4"/>
          <w:kern w:val="0"/>
          <w:sz w:val="22"/>
          <w:szCs w:val="22"/>
          <w:highlight w:val="none"/>
          <w:vertAlign w:val="superscript"/>
          <w:lang w:val="en-US" w:eastAsia="zh-CN" w:bidi="ar"/>
        </w:rPr>
        <w:t>2</w:t>
      </w:r>
      <w:r>
        <w:rPr>
          <w:rFonts w:hint="eastAsia" w:ascii="宋体" w:hAnsi="宋体" w:eastAsia="宋体" w:cs="宋体"/>
          <w:color w:val="auto"/>
          <w:spacing w:val="4"/>
          <w:kern w:val="0"/>
          <w:sz w:val="22"/>
          <w:szCs w:val="22"/>
          <w:highlight w:val="none"/>
          <w:lang w:val="en-US" w:eastAsia="zh-CN" w:bidi="ar"/>
        </w:rPr>
        <w:t>（此限价不作为否决其投标的条款）。</w:t>
      </w:r>
    </w:p>
    <w:p w14:paraId="68301C9F">
      <w:pPr>
        <w:keepNext w:val="0"/>
        <w:keepLines w:val="0"/>
        <w:widowControl w:val="0"/>
        <w:suppressLineNumbers w:val="0"/>
        <w:topLinePunct/>
        <w:adjustRightInd w:val="0"/>
        <w:snapToGrid w:val="0"/>
        <w:spacing w:before="0" w:beforeAutospacing="0" w:after="0" w:afterAutospacing="0"/>
        <w:ind w:left="0" w:right="0" w:firstLine="456" w:firstLineChars="200"/>
        <w:jc w:val="both"/>
        <w:rPr>
          <w:rFonts w:hint="eastAsia" w:ascii="宋体" w:hAnsi="宋体" w:eastAsia="宋体" w:cs="宋体"/>
          <w:color w:val="auto"/>
          <w:spacing w:val="4"/>
          <w:kern w:val="0"/>
          <w:sz w:val="22"/>
          <w:szCs w:val="22"/>
          <w:highlight w:val="none"/>
        </w:rPr>
      </w:pPr>
      <w:r>
        <w:rPr>
          <w:rFonts w:hint="eastAsia" w:ascii="宋体" w:hAnsi="宋体" w:eastAsia="宋体" w:cs="宋体"/>
          <w:color w:val="auto"/>
          <w:spacing w:val="4"/>
          <w:kern w:val="0"/>
          <w:sz w:val="22"/>
          <w:szCs w:val="22"/>
          <w:highlight w:val="none"/>
          <w:lang w:val="en-US" w:eastAsia="zh-CN" w:bidi="ar"/>
        </w:rPr>
        <w:t>3.综合费费率按25%统一取定。</w:t>
      </w:r>
    </w:p>
    <w:p w14:paraId="0721FAFB">
      <w:pPr>
        <w:keepNext w:val="0"/>
        <w:keepLines w:val="0"/>
        <w:widowControl w:val="0"/>
        <w:suppressLineNumbers w:val="0"/>
        <w:topLinePunct/>
        <w:adjustRightInd w:val="0"/>
        <w:snapToGrid w:val="0"/>
        <w:spacing w:before="0" w:beforeAutospacing="0" w:after="0" w:afterAutospacing="0"/>
        <w:ind w:left="0" w:right="0" w:firstLine="465" w:firstLineChars="204"/>
        <w:jc w:val="both"/>
        <w:rPr>
          <w:rFonts w:hint="eastAsia" w:ascii="宋体" w:hAnsi="宋体" w:eastAsia="宋体" w:cs="宋体"/>
          <w:color w:val="auto"/>
          <w:spacing w:val="4"/>
          <w:kern w:val="0"/>
          <w:sz w:val="22"/>
          <w:szCs w:val="22"/>
          <w:highlight w:val="none"/>
        </w:rPr>
      </w:pPr>
      <w:r>
        <w:rPr>
          <w:rFonts w:hint="eastAsia" w:ascii="宋体" w:hAnsi="宋体" w:eastAsia="宋体" w:cs="宋体"/>
          <w:color w:val="auto"/>
          <w:spacing w:val="4"/>
          <w:kern w:val="0"/>
          <w:sz w:val="22"/>
          <w:szCs w:val="22"/>
          <w:highlight w:val="none"/>
          <w:lang w:val="en-US" w:eastAsia="zh-CN" w:bidi="ar"/>
        </w:rPr>
        <w:t>4.以上配电箱价格分析表中计算出的各配电箱“配电箱总价”等于分部分项清单计价表中的“主材费”。</w:t>
      </w:r>
    </w:p>
    <w:p w14:paraId="4F12A9A6">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ind w:left="0" w:right="0" w:firstLine="440" w:firstLineChars="200"/>
        <w:jc w:val="both"/>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5.如投标人未填报配电箱价格分析表，则新增配电箱箱体价格以出线回路总位数统一按合同中《新增配电箱箱体税前价格计算表》计取。</w:t>
      </w:r>
    </w:p>
    <w:p w14:paraId="6EE93808">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0" w:firstLineChars="250"/>
        <w:jc w:val="both"/>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0"/>
          <w:sz w:val="24"/>
          <w:szCs w:val="24"/>
          <w:highlight w:val="none"/>
          <w:u w:val="single"/>
          <w:lang w:val="en-US" w:eastAsia="zh-CN" w:bidi="ar"/>
        </w:rPr>
        <w:t>（二）</w:t>
      </w:r>
      <w:r>
        <w:rPr>
          <w:rFonts w:hint="eastAsia" w:ascii="宋体" w:hAnsi="宋体" w:eastAsia="宋体" w:cs="宋体"/>
          <w:color w:val="auto"/>
          <w:kern w:val="2"/>
          <w:sz w:val="24"/>
          <w:szCs w:val="24"/>
          <w:highlight w:val="none"/>
          <w:u w:val="single"/>
          <w:lang w:val="en-US" w:eastAsia="zh-CN" w:bidi="ar"/>
        </w:rPr>
        <w:t>中标单位在中标公示后，签订合同前，须提供与所递交投标电子标书内容一致且加盖单位公章的纸质文件四套及电子文件二套（不用生成投标书；包括用Microsoft Excel 软件或广州公共资源交易中心提供的投标书制作软件制作的工程量清单报价表和单价分析表，用Microsoft Word软件或广州公共资源交易中心提供的投标书制作软件制作的经济投标文件其他部分；以及与所递交投标电子标书内容一致的投标版计价软件及XML投标版cos文件；补齐遗漏表格及相关内容或者无条件接受招标人给出的表格及相关内容。电子文件介质使用CD-R光盘，所有电子文件不能采用压缩处理）给招标人。</w:t>
      </w:r>
    </w:p>
    <w:p w14:paraId="21F8FFA0">
      <w:pPr>
        <w:keepNext w:val="0"/>
        <w:keepLines w:val="0"/>
        <w:widowControl w:val="0"/>
        <w:suppressLineNumbers w:val="0"/>
        <w:spacing w:before="0" w:beforeAutospacing="0" w:after="0" w:afterAutospacing="0" w:line="440" w:lineRule="exact"/>
        <w:ind w:left="0" w:right="0" w:firstLine="540" w:firstLineChars="224"/>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 34            修改类型：增加</w:t>
      </w:r>
    </w:p>
    <w:p w14:paraId="233390CC">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440" w:lineRule="exact"/>
        <w:ind w:left="0" w:right="0" w:firstLine="482" w:firstLineChars="200"/>
        <w:jc w:val="both"/>
        <w:rPr>
          <w:rFonts w:hint="eastAsia" w:ascii="宋体" w:hAnsi="宋体" w:eastAsia="宋体" w:cs="宋体"/>
          <w:color w:val="auto"/>
          <w:kern w:val="2"/>
          <w:sz w:val="24"/>
          <w:szCs w:val="24"/>
          <w:highlight w:val="none"/>
          <w:u w:val="singl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u w:val="single"/>
          <w:lang w:val="en-US" w:eastAsia="zh-CN" w:bidi="ar"/>
        </w:rPr>
        <w:t xml:space="preserve">34. </w:t>
      </w:r>
      <w:r>
        <w:rPr>
          <w:rFonts w:hint="eastAsia" w:ascii="宋体" w:hAnsi="宋体" w:eastAsia="宋体" w:cs="宋体"/>
          <w:bCs/>
          <w:color w:val="auto"/>
          <w:kern w:val="0"/>
          <w:sz w:val="24"/>
          <w:szCs w:val="24"/>
          <w:highlight w:val="none"/>
          <w:u w:val="single"/>
          <w:lang w:val="en-US" w:eastAsia="zh-CN" w:bidi="ar"/>
        </w:rPr>
        <w:t>在招标人与中标人签订合同或办理施工许可前，招标人将会核查中标人委派的项目负责人在建项目任职情况，如发现委派的项目负责人在其他在建项目中任职的，承包人应以书面形式向监理单位提出更换项目负责人意向（附前任和后任人员的详细履历资料），经总监理工程师签署意见后向发包人提出申请，征得发包人同意后更换项目负责人。承包人必须保证后任人员的资质、资历、业绩、实际工作能力不低于前任人员的素质。即使征得发包人同意更换的，承包人仍需承担严重违约责任1次，且自撤换之日起一年内，该项目负责人不得再作为发包人后续招标项目时拟委派项目管理机构的项目负责人。</w:t>
      </w:r>
    </w:p>
    <w:p w14:paraId="631E8559">
      <w:pPr>
        <w:keepNext w:val="0"/>
        <w:keepLines w:val="0"/>
        <w:widowControl w:val="0"/>
        <w:suppressLineNumbers w:val="0"/>
        <w:spacing w:before="0" w:beforeAutospacing="0" w:after="0" w:afterAutospacing="0" w:line="360" w:lineRule="auto"/>
        <w:ind w:left="0" w:right="0" w:firstLine="211" w:firstLineChars="100"/>
        <w:jc w:val="both"/>
        <w:rPr>
          <w:rFonts w:hint="default" w:ascii="Calibri" w:hAnsi="Calibri" w:eastAsia="宋体" w:cs="Times New Roman"/>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注：以上修改，仅限于本范本中有可供选择条款的情形。</w:t>
      </w:r>
    </w:p>
    <w:p w14:paraId="51C4FBF5">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Times New Roman"/>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（以下无正文）</w:t>
      </w:r>
    </w:p>
    <w:p w14:paraId="7CFCC7CB">
      <w:pPr>
        <w:pStyle w:val="3"/>
        <w:widowControl/>
        <w:spacing w:line="240" w:lineRule="auto"/>
        <w:rPr>
          <w:rFonts w:hint="default" w:ascii="Arial" w:hAnsi="Arial" w:eastAsia="宋体" w:cs="Times New Roman"/>
          <w:b/>
          <w:bCs w:val="0"/>
          <w:color w:val="auto"/>
          <w:kern w:val="2"/>
          <w:sz w:val="24"/>
          <w:szCs w:val="24"/>
          <w:highlight w:val="none"/>
        </w:rPr>
      </w:pPr>
      <w:r>
        <w:rPr>
          <w:rFonts w:hint="default" w:ascii="Arial" w:hAnsi="Arial" w:eastAsia="宋体" w:cs="Times New Roman"/>
          <w:b/>
          <w:bCs w:val="0"/>
          <w:color w:val="auto"/>
          <w:kern w:val="2"/>
          <w:sz w:val="24"/>
          <w:szCs w:val="24"/>
          <w:highlight w:val="none"/>
        </w:rPr>
        <w:br w:type="page"/>
      </w:r>
      <w:bookmarkStart w:id="6" w:name="_Toc2272548"/>
      <w:bookmarkEnd w:id="6"/>
      <w:bookmarkStart w:id="7" w:name="_Toc21525492"/>
      <w:r>
        <w:rPr>
          <w:rFonts w:hint="eastAsia" w:ascii="宋体" w:hAnsi="宋体" w:eastAsia="宋体" w:cs="宋体"/>
          <w:b/>
          <w:bCs w:val="0"/>
          <w:color w:val="auto"/>
          <w:kern w:val="2"/>
          <w:sz w:val="24"/>
          <w:szCs w:val="24"/>
          <w:highlight w:val="none"/>
        </w:rPr>
        <w:t>三、投标须知通用条款</w:t>
      </w:r>
      <w:bookmarkEnd w:id="7"/>
    </w:p>
    <w:p w14:paraId="309FF11B">
      <w:pPr>
        <w:pStyle w:val="4"/>
        <w:widowControl/>
        <w:spacing w:before="156" w:beforeAutospacing="0" w:after="156" w:afterAutospacing="0" w:line="240" w:lineRule="auto"/>
        <w:rPr>
          <w:rFonts w:hint="eastAsia" w:ascii="宋体" w:hAnsi="宋体" w:eastAsia="宋体" w:cs="宋体"/>
          <w:color w:val="auto"/>
          <w:kern w:val="0"/>
          <w:sz w:val="27"/>
          <w:szCs w:val="27"/>
          <w:highlight w:val="none"/>
        </w:rPr>
      </w:pPr>
      <w:bookmarkStart w:id="8" w:name="_Toc21525493"/>
      <w:bookmarkEnd w:id="8"/>
      <w:bookmarkStart w:id="9" w:name="_Toc2272549"/>
      <w:r>
        <w:rPr>
          <w:rFonts w:hint="eastAsia" w:ascii="宋体" w:hAnsi="宋体" w:eastAsia="宋体" w:cs="宋体"/>
          <w:color w:val="auto"/>
          <w:kern w:val="0"/>
          <w:sz w:val="27"/>
          <w:szCs w:val="27"/>
          <w:highlight w:val="none"/>
        </w:rPr>
        <w:t>（一）总则</w:t>
      </w:r>
      <w:bookmarkEnd w:id="9"/>
    </w:p>
    <w:p w14:paraId="7BFCAD5F">
      <w:pPr>
        <w:pStyle w:val="14"/>
        <w:keepNext w:val="0"/>
        <w:keepLines w:val="0"/>
        <w:widowControl w:val="0"/>
        <w:suppressLineNumbers w:val="0"/>
        <w:spacing w:before="0" w:beforeAutospacing="1" w:after="0" w:afterAutospacing="0" w:line="240" w:lineRule="auto"/>
        <w:ind w:left="0" w:right="0" w:firstLine="482" w:firstLineChars="200"/>
        <w:jc w:val="both"/>
        <w:rPr>
          <w:rFonts w:hint="eastAsia" w:ascii="宋体" w:hAnsi="Times New Roman"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1</w:t>
      </w:r>
      <w:r>
        <w:rPr>
          <w:rFonts w:hint="eastAsia" w:ascii="宋体" w:hAnsi="宋体" w:eastAsia="宋体" w:cs="宋体"/>
          <w:b/>
          <w:color w:val="auto"/>
          <w:kern w:val="2"/>
          <w:sz w:val="24"/>
          <w:szCs w:val="24"/>
          <w:highlight w:val="none"/>
          <w:lang w:val="en-US" w:eastAsia="zh-CN" w:bidi="ar"/>
        </w:rPr>
        <w:t>、定义</w:t>
      </w:r>
    </w:p>
    <w:p w14:paraId="39F8DACF">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b/>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本招标文件使用的下列词语具有如下规定的意义：</w:t>
      </w:r>
    </w:p>
    <w:p w14:paraId="2C6421D6">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b/>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Times New Roman"/>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）“招标人”（即发包人）、“项目建设管理单位”（或称“项目代建单位”）、“招标代理”、“设计单位”、“监理单位”均已在投标须知前附表中列明。</w:t>
      </w:r>
    </w:p>
    <w:p w14:paraId="66BC7191">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Times New Roman"/>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）“投标人”指向招标人提交投标文件的当事人。</w:t>
      </w:r>
      <w:r>
        <w:rPr>
          <w:rFonts w:hint="eastAsia" w:ascii="宋体" w:hAnsi="宋体" w:eastAsia="宋体" w:cs="Times New Roman"/>
          <w:color w:val="auto"/>
          <w:kern w:val="2"/>
          <w:sz w:val="24"/>
          <w:szCs w:val="24"/>
          <w:highlight w:val="none"/>
          <w:lang w:val="en-US" w:eastAsia="zh-CN" w:bidi="ar"/>
        </w:rPr>
        <w:t xml:space="preserve">   </w:t>
      </w:r>
    </w:p>
    <w:p w14:paraId="1DB5491D">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Times New Roman"/>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）“承包人”指其投标被招标人接受并与其签订承包合同的当事人。</w:t>
      </w:r>
    </w:p>
    <w:p w14:paraId="093080AC">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Times New Roman"/>
          <w:color w:val="auto"/>
          <w:kern w:val="2"/>
          <w:sz w:val="24"/>
          <w:szCs w:val="24"/>
          <w:highlight w:val="none"/>
          <w:lang w:val="en-US" w:eastAsia="zh-CN" w:bidi="ar"/>
        </w:rPr>
        <w:t>4</w:t>
      </w:r>
      <w:r>
        <w:rPr>
          <w:rFonts w:hint="eastAsia" w:ascii="宋体" w:hAnsi="宋体" w:eastAsia="宋体" w:cs="宋体"/>
          <w:color w:val="auto"/>
          <w:kern w:val="2"/>
          <w:sz w:val="24"/>
          <w:szCs w:val="24"/>
          <w:highlight w:val="none"/>
          <w:lang w:val="en-US" w:eastAsia="zh-CN" w:bidi="ar"/>
        </w:rPr>
        <w:t>）“招标文件”指由招标代理发出的本文件（包括全部章节、附件）及招标答疑会会议纪要和</w:t>
      </w:r>
      <w:r>
        <w:rPr>
          <w:rFonts w:hint="eastAsia" w:ascii="宋体" w:hAnsi="宋体" w:eastAsia="宋体" w:cs="宋体"/>
          <w:bCs/>
          <w:color w:val="auto"/>
          <w:kern w:val="2"/>
          <w:sz w:val="24"/>
          <w:szCs w:val="24"/>
          <w:highlight w:val="none"/>
          <w:lang w:val="en-US" w:eastAsia="zh-CN" w:bidi="ar"/>
        </w:rPr>
        <w:t>招标文件的澄清与修改</w:t>
      </w:r>
      <w:r>
        <w:rPr>
          <w:rFonts w:hint="eastAsia" w:ascii="宋体" w:hAnsi="宋体" w:eastAsia="宋体" w:cs="宋体"/>
          <w:color w:val="auto"/>
          <w:kern w:val="2"/>
          <w:sz w:val="24"/>
          <w:szCs w:val="24"/>
          <w:highlight w:val="none"/>
          <w:lang w:val="en-US" w:eastAsia="zh-CN" w:bidi="ar"/>
        </w:rPr>
        <w:t>文件。</w:t>
      </w:r>
    </w:p>
    <w:p w14:paraId="35205C49">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Times New Roman"/>
          <w:color w:val="auto"/>
          <w:kern w:val="2"/>
          <w:sz w:val="24"/>
          <w:szCs w:val="24"/>
          <w:highlight w:val="none"/>
          <w:lang w:val="en-US" w:eastAsia="zh-CN" w:bidi="ar"/>
        </w:rPr>
        <w:t>5</w:t>
      </w:r>
      <w:r>
        <w:rPr>
          <w:rFonts w:hint="eastAsia" w:ascii="宋体" w:hAnsi="宋体" w:eastAsia="宋体" w:cs="宋体"/>
          <w:color w:val="auto"/>
          <w:kern w:val="2"/>
          <w:sz w:val="24"/>
          <w:szCs w:val="24"/>
          <w:highlight w:val="none"/>
          <w:lang w:val="en-US" w:eastAsia="zh-CN" w:bidi="ar"/>
        </w:rPr>
        <w:t>）“投标文件”指投标人根据本项目招标文件向招标人提交的全部文件。</w:t>
      </w:r>
    </w:p>
    <w:p w14:paraId="23528066">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Times New Roman"/>
          <w:color w:val="auto"/>
          <w:kern w:val="2"/>
          <w:sz w:val="24"/>
          <w:szCs w:val="24"/>
          <w:highlight w:val="none"/>
          <w:lang w:val="en-US" w:eastAsia="zh-CN" w:bidi="ar"/>
        </w:rPr>
        <w:t>6</w:t>
      </w:r>
      <w:r>
        <w:rPr>
          <w:rFonts w:hint="eastAsia" w:ascii="宋体" w:hAnsi="宋体" w:eastAsia="宋体" w:cs="宋体"/>
          <w:color w:val="auto"/>
          <w:kern w:val="2"/>
          <w:sz w:val="24"/>
          <w:szCs w:val="24"/>
          <w:highlight w:val="none"/>
          <w:lang w:val="en-US" w:eastAsia="zh-CN" w:bidi="ar"/>
        </w:rPr>
        <w:t>）“书面形式”指打字或印刷的文件和数据电文（包括电报、电传、传真、电子数据交换和电子邮件）。</w:t>
      </w:r>
    </w:p>
    <w:p w14:paraId="709674C3">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bCs w:val="0"/>
          <w:color w:val="auto"/>
          <w:kern w:val="2"/>
          <w:sz w:val="24"/>
          <w:szCs w:val="24"/>
          <w:highlight w:val="none"/>
        </w:rPr>
      </w:pPr>
      <w:r>
        <w:rPr>
          <w:rFonts w:hint="eastAsia" w:ascii="宋体" w:hAnsi="宋体" w:eastAsia="宋体" w:cs="Times New Roman"/>
          <w:b/>
          <w:bCs w:val="0"/>
          <w:color w:val="auto"/>
          <w:kern w:val="2"/>
          <w:sz w:val="24"/>
          <w:szCs w:val="24"/>
          <w:highlight w:val="none"/>
          <w:lang w:val="en-US" w:eastAsia="zh-CN" w:bidi="ar"/>
        </w:rPr>
        <w:t>2</w:t>
      </w:r>
      <w:r>
        <w:rPr>
          <w:rFonts w:hint="eastAsia" w:ascii="宋体" w:hAnsi="宋体" w:eastAsia="宋体" w:cs="宋体"/>
          <w:b/>
          <w:bCs w:val="0"/>
          <w:color w:val="auto"/>
          <w:kern w:val="2"/>
          <w:sz w:val="24"/>
          <w:szCs w:val="24"/>
          <w:highlight w:val="none"/>
          <w:lang w:val="en-US" w:eastAsia="zh-CN" w:bidi="ar"/>
        </w:rPr>
        <w:t>、招标说明</w:t>
      </w:r>
    </w:p>
    <w:p w14:paraId="20FCE55B">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2.1</w:t>
      </w:r>
      <w:r>
        <w:rPr>
          <w:rFonts w:hint="eastAsia" w:ascii="宋体" w:hAnsi="宋体" w:eastAsia="宋体" w:cs="宋体"/>
          <w:bCs/>
          <w:color w:val="auto"/>
          <w:kern w:val="2"/>
          <w:sz w:val="24"/>
          <w:szCs w:val="24"/>
          <w:highlight w:val="none"/>
          <w:lang w:val="en-US" w:eastAsia="zh-CN" w:bidi="ar"/>
        </w:rPr>
        <w:t>本招标工程项目按照《中华人民共和国招标投标法》等有关法律、行政法规、规章和规范性文件，通过招标方式选定承包人。</w:t>
      </w:r>
    </w:p>
    <w:p w14:paraId="13B362BA">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2.2</w:t>
      </w:r>
      <w:r>
        <w:rPr>
          <w:rFonts w:hint="eastAsia" w:ascii="宋体" w:hAnsi="宋体" w:eastAsia="宋体" w:cs="宋体"/>
          <w:bCs/>
          <w:color w:val="auto"/>
          <w:kern w:val="2"/>
          <w:sz w:val="24"/>
          <w:szCs w:val="24"/>
          <w:highlight w:val="none"/>
          <w:lang w:val="en-US" w:eastAsia="zh-CN" w:bidi="ar"/>
        </w:rPr>
        <w:t>工程名称、建设地点、建设规模、承包方式、质量标准、招标范围、工期要求等均在投标须知前附表中列明。</w:t>
      </w:r>
    </w:p>
    <w:p w14:paraId="6B847AA5">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2.3</w:t>
      </w:r>
      <w:r>
        <w:rPr>
          <w:rFonts w:hint="eastAsia" w:ascii="宋体" w:hAnsi="宋体" w:eastAsia="宋体" w:cs="宋体"/>
          <w:bCs/>
          <w:color w:val="auto"/>
          <w:kern w:val="2"/>
          <w:sz w:val="24"/>
          <w:szCs w:val="24"/>
          <w:highlight w:val="none"/>
          <w:lang w:val="en-US" w:eastAsia="zh-CN" w:bidi="ar"/>
        </w:rPr>
        <w:t>设计说明：详见招标图纸。</w:t>
      </w:r>
    </w:p>
    <w:p w14:paraId="1C41C406">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2.4</w:t>
      </w:r>
      <w:r>
        <w:rPr>
          <w:rFonts w:hint="eastAsia" w:ascii="宋体" w:hAnsi="宋体" w:eastAsia="宋体" w:cs="宋体"/>
          <w:bCs/>
          <w:color w:val="auto"/>
          <w:kern w:val="2"/>
          <w:sz w:val="24"/>
          <w:szCs w:val="24"/>
          <w:highlight w:val="none"/>
          <w:lang w:val="en-US" w:eastAsia="zh-CN" w:bidi="ar"/>
        </w:rPr>
        <w:t>工程施工特点：详见招标图纸。</w:t>
      </w:r>
    </w:p>
    <w:p w14:paraId="3959DE7C">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bCs w:val="0"/>
          <w:color w:val="auto"/>
          <w:kern w:val="2"/>
          <w:sz w:val="24"/>
          <w:szCs w:val="24"/>
          <w:highlight w:val="none"/>
        </w:rPr>
      </w:pPr>
      <w:r>
        <w:rPr>
          <w:rFonts w:hint="eastAsia" w:ascii="宋体" w:hAnsi="宋体" w:eastAsia="宋体" w:cs="Times New Roman"/>
          <w:b/>
          <w:bCs w:val="0"/>
          <w:color w:val="auto"/>
          <w:kern w:val="2"/>
          <w:sz w:val="24"/>
          <w:szCs w:val="24"/>
          <w:highlight w:val="none"/>
          <w:lang w:val="en-US" w:eastAsia="zh-CN" w:bidi="ar"/>
        </w:rPr>
        <w:t>3</w:t>
      </w:r>
      <w:r>
        <w:rPr>
          <w:rFonts w:hint="eastAsia" w:ascii="宋体" w:hAnsi="宋体" w:eastAsia="宋体" w:cs="宋体"/>
          <w:b/>
          <w:bCs w:val="0"/>
          <w:color w:val="auto"/>
          <w:kern w:val="2"/>
          <w:sz w:val="24"/>
          <w:szCs w:val="24"/>
          <w:highlight w:val="none"/>
          <w:lang w:val="en-US" w:eastAsia="zh-CN" w:bidi="ar"/>
        </w:rPr>
        <w:t>．资金来源</w:t>
      </w:r>
    </w:p>
    <w:p w14:paraId="260B91AC">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3.1</w:t>
      </w:r>
      <w:r>
        <w:rPr>
          <w:rFonts w:hint="eastAsia" w:ascii="宋体" w:hAnsi="宋体" w:eastAsia="宋体" w:cs="宋体"/>
          <w:bCs/>
          <w:color w:val="auto"/>
          <w:kern w:val="2"/>
          <w:sz w:val="24"/>
          <w:szCs w:val="24"/>
          <w:highlight w:val="none"/>
          <w:lang w:val="en-US" w:eastAsia="zh-CN" w:bidi="ar"/>
        </w:rPr>
        <w:t>本招标工程项目资金来源见投标须知前附表第</w:t>
      </w:r>
      <w:r>
        <w:rPr>
          <w:rFonts w:hint="eastAsia" w:ascii="宋体" w:hAnsi="宋体" w:eastAsia="宋体" w:cs="Times New Roman"/>
          <w:bCs/>
          <w:color w:val="auto"/>
          <w:kern w:val="2"/>
          <w:sz w:val="24"/>
          <w:szCs w:val="24"/>
          <w:highlight w:val="none"/>
          <w:lang w:val="en-US" w:eastAsia="zh-CN" w:bidi="ar"/>
        </w:rPr>
        <w:t>9</w:t>
      </w:r>
      <w:r>
        <w:rPr>
          <w:rFonts w:hint="eastAsia" w:ascii="宋体" w:hAnsi="宋体" w:eastAsia="宋体" w:cs="宋体"/>
          <w:bCs/>
          <w:color w:val="auto"/>
          <w:kern w:val="2"/>
          <w:sz w:val="24"/>
          <w:szCs w:val="24"/>
          <w:highlight w:val="none"/>
          <w:lang w:val="en-US" w:eastAsia="zh-CN" w:bidi="ar"/>
        </w:rPr>
        <w:t>项</w:t>
      </w:r>
    </w:p>
    <w:p w14:paraId="5664F99B">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bCs w:val="0"/>
          <w:color w:val="auto"/>
          <w:kern w:val="2"/>
          <w:sz w:val="24"/>
          <w:szCs w:val="24"/>
          <w:highlight w:val="none"/>
        </w:rPr>
      </w:pPr>
      <w:r>
        <w:rPr>
          <w:rFonts w:hint="eastAsia" w:ascii="宋体" w:hAnsi="宋体" w:eastAsia="宋体" w:cs="Times New Roman"/>
          <w:b/>
          <w:bCs w:val="0"/>
          <w:color w:val="auto"/>
          <w:kern w:val="2"/>
          <w:sz w:val="24"/>
          <w:szCs w:val="24"/>
          <w:highlight w:val="none"/>
          <w:lang w:val="en-US" w:eastAsia="zh-CN" w:bidi="ar"/>
        </w:rPr>
        <w:t>4</w:t>
      </w:r>
      <w:r>
        <w:rPr>
          <w:rFonts w:hint="eastAsia" w:ascii="宋体" w:hAnsi="宋体" w:eastAsia="宋体" w:cs="宋体"/>
          <w:b/>
          <w:bCs w:val="0"/>
          <w:color w:val="auto"/>
          <w:kern w:val="2"/>
          <w:sz w:val="24"/>
          <w:szCs w:val="24"/>
          <w:highlight w:val="none"/>
          <w:lang w:val="en-US" w:eastAsia="zh-CN" w:bidi="ar"/>
        </w:rPr>
        <w:t>．合格投标人的条件</w:t>
      </w:r>
    </w:p>
    <w:p w14:paraId="6F9F817E">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4.1</w:t>
      </w:r>
      <w:r>
        <w:rPr>
          <w:rFonts w:hint="eastAsia" w:ascii="宋体" w:hAnsi="宋体" w:eastAsia="宋体" w:cs="宋体"/>
          <w:bCs/>
          <w:color w:val="auto"/>
          <w:kern w:val="2"/>
          <w:sz w:val="24"/>
          <w:szCs w:val="24"/>
          <w:highlight w:val="none"/>
          <w:lang w:val="en-US" w:eastAsia="zh-CN" w:bidi="ar"/>
        </w:rPr>
        <w:t>详见本项目招标公告</w:t>
      </w:r>
    </w:p>
    <w:p w14:paraId="67551F39">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bCs w:val="0"/>
          <w:color w:val="auto"/>
          <w:kern w:val="2"/>
          <w:sz w:val="24"/>
          <w:szCs w:val="24"/>
          <w:highlight w:val="none"/>
        </w:rPr>
      </w:pPr>
      <w:r>
        <w:rPr>
          <w:rFonts w:hint="eastAsia" w:ascii="宋体" w:hAnsi="宋体" w:eastAsia="宋体" w:cs="Times New Roman"/>
          <w:b/>
          <w:bCs w:val="0"/>
          <w:color w:val="auto"/>
          <w:kern w:val="2"/>
          <w:sz w:val="24"/>
          <w:szCs w:val="24"/>
          <w:highlight w:val="none"/>
          <w:lang w:val="en-US" w:eastAsia="zh-CN" w:bidi="ar"/>
        </w:rPr>
        <w:t>5</w:t>
      </w:r>
      <w:r>
        <w:rPr>
          <w:rFonts w:hint="eastAsia" w:ascii="宋体" w:hAnsi="宋体" w:eastAsia="宋体" w:cs="宋体"/>
          <w:b/>
          <w:bCs w:val="0"/>
          <w:color w:val="auto"/>
          <w:kern w:val="2"/>
          <w:sz w:val="24"/>
          <w:szCs w:val="24"/>
          <w:highlight w:val="none"/>
          <w:lang w:val="en-US" w:eastAsia="zh-CN" w:bidi="ar"/>
        </w:rPr>
        <w:t>．踏勘现场</w:t>
      </w:r>
    </w:p>
    <w:p w14:paraId="3C6FAC63">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u w:val="single"/>
        </w:rPr>
      </w:pPr>
      <w:r>
        <w:rPr>
          <w:rFonts w:hint="eastAsia" w:ascii="宋体" w:hAnsi="宋体" w:eastAsia="宋体" w:cs="Times New Roman"/>
          <w:bCs/>
          <w:color w:val="auto"/>
          <w:kern w:val="2"/>
          <w:sz w:val="24"/>
          <w:szCs w:val="24"/>
          <w:highlight w:val="none"/>
          <w:lang w:val="en-US" w:eastAsia="zh-CN" w:bidi="ar"/>
        </w:rPr>
        <w:t xml:space="preserve">5.1 </w:t>
      </w:r>
      <w:r>
        <w:rPr>
          <w:rFonts w:hint="eastAsia" w:ascii="宋体" w:hAnsi="宋体" w:eastAsia="宋体" w:cs="宋体"/>
          <w:bCs/>
          <w:color w:val="auto"/>
          <w:kern w:val="2"/>
          <w:sz w:val="24"/>
          <w:szCs w:val="24"/>
          <w:highlight w:val="none"/>
          <w:lang w:val="en-US" w:eastAsia="zh-CN" w:bidi="ar"/>
        </w:rPr>
        <w:t>投标人应按本投标须知前附表第</w:t>
      </w:r>
      <w:r>
        <w:rPr>
          <w:rFonts w:hint="eastAsia" w:ascii="宋体" w:hAnsi="宋体" w:eastAsia="宋体" w:cs="Times New Roman"/>
          <w:bCs/>
          <w:color w:val="auto"/>
          <w:kern w:val="2"/>
          <w:sz w:val="24"/>
          <w:szCs w:val="24"/>
          <w:highlight w:val="none"/>
          <w:lang w:val="en-US" w:eastAsia="zh-CN" w:bidi="ar"/>
        </w:rPr>
        <w:t>15</w:t>
      </w:r>
      <w:r>
        <w:rPr>
          <w:rFonts w:hint="eastAsia" w:ascii="宋体" w:hAnsi="宋体" w:eastAsia="宋体" w:cs="宋体"/>
          <w:bCs/>
          <w:color w:val="auto"/>
          <w:kern w:val="2"/>
          <w:sz w:val="24"/>
          <w:szCs w:val="24"/>
          <w:highlight w:val="none"/>
          <w:lang w:val="en-US" w:eastAsia="zh-CN" w:bidi="ar"/>
        </w:rPr>
        <w:t>项所述时间和要求对工程现场及周围环境进行踏勘，</w:t>
      </w:r>
      <w:r>
        <w:rPr>
          <w:rFonts w:hint="eastAsia" w:ascii="宋体" w:hAnsi="宋体" w:eastAsia="宋体" w:cs="宋体"/>
          <w:color w:val="auto"/>
          <w:kern w:val="2"/>
          <w:sz w:val="24"/>
          <w:szCs w:val="24"/>
          <w:highlight w:val="none"/>
          <w:lang w:val="en-US" w:eastAsia="zh-CN" w:bidi="ar"/>
        </w:rPr>
        <w:t>投标人应充分重视和仔细地进行这种考察，</w:t>
      </w:r>
      <w:r>
        <w:rPr>
          <w:rFonts w:hint="eastAsia" w:ascii="宋体" w:hAnsi="宋体" w:eastAsia="宋体" w:cs="宋体"/>
          <w:bCs/>
          <w:color w:val="auto"/>
          <w:kern w:val="2"/>
          <w:sz w:val="24"/>
          <w:szCs w:val="24"/>
          <w:highlight w:val="none"/>
          <w:lang w:val="en-US" w:eastAsia="zh-CN" w:bidi="ar"/>
        </w:rPr>
        <w:t>以便投标人获取</w:t>
      </w:r>
      <w:r>
        <w:rPr>
          <w:rFonts w:hint="eastAsia" w:ascii="宋体" w:hAnsi="宋体" w:eastAsia="宋体" w:cs="宋体"/>
          <w:color w:val="auto"/>
          <w:kern w:val="2"/>
          <w:sz w:val="24"/>
          <w:szCs w:val="24"/>
          <w:highlight w:val="none"/>
          <w:lang w:val="en-US" w:eastAsia="zh-CN" w:bidi="ar"/>
        </w:rPr>
        <w:t>那些须投标人自己负责的</w:t>
      </w:r>
      <w:r>
        <w:rPr>
          <w:rFonts w:hint="eastAsia" w:ascii="宋体" w:hAnsi="宋体" w:eastAsia="宋体" w:cs="宋体"/>
          <w:bCs/>
          <w:color w:val="auto"/>
          <w:kern w:val="2"/>
          <w:sz w:val="24"/>
          <w:szCs w:val="24"/>
          <w:highlight w:val="none"/>
          <w:lang w:val="en-US" w:eastAsia="zh-CN" w:bidi="ar"/>
        </w:rPr>
        <w:t>有关编制投标文件和签署合同所涉及现场所有的资料。</w:t>
      </w:r>
      <w:r>
        <w:rPr>
          <w:rFonts w:hint="eastAsia" w:ascii="宋体" w:hAnsi="宋体" w:eastAsia="宋体" w:cs="宋体"/>
          <w:color w:val="auto"/>
          <w:kern w:val="2"/>
          <w:sz w:val="24"/>
          <w:szCs w:val="24"/>
          <w:highlight w:val="none"/>
          <w:lang w:val="en-US" w:eastAsia="zh-CN" w:bidi="ar"/>
        </w:rPr>
        <w:t>一旦中标，这种考察即被认为其结果已在中标文件中得到充分反映。考察现场的费用由投标人自己承担。</w:t>
      </w:r>
    </w:p>
    <w:p w14:paraId="76B8B7D1">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 xml:space="preserve">5.2 </w:t>
      </w:r>
      <w:r>
        <w:rPr>
          <w:rFonts w:hint="eastAsia" w:ascii="宋体" w:hAnsi="宋体" w:eastAsia="宋体" w:cs="宋体"/>
          <w:bCs/>
          <w:color w:val="auto"/>
          <w:kern w:val="2"/>
          <w:sz w:val="24"/>
          <w:szCs w:val="24"/>
          <w:highlight w:val="none"/>
          <w:lang w:val="en-US" w:eastAsia="zh-CN" w:bidi="ar"/>
        </w:rPr>
        <w:t>招标人向投标人提供的有关现场的数据和资料，是招标人现有的能被投标人利用的资料，招标人对投标人做出的任何推论、理解和结论均不负责任。</w:t>
      </w:r>
    </w:p>
    <w:p w14:paraId="783829D0">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 xml:space="preserve">5.3 </w:t>
      </w:r>
      <w:r>
        <w:rPr>
          <w:rFonts w:hint="eastAsia" w:ascii="宋体" w:hAnsi="宋体" w:eastAsia="宋体" w:cs="宋体"/>
          <w:bCs/>
          <w:color w:val="auto"/>
          <w:kern w:val="2"/>
          <w:sz w:val="24"/>
          <w:szCs w:val="24"/>
          <w:highlight w:val="none"/>
          <w:lang w:val="en-US" w:eastAsia="zh-CN" w:bidi="ar"/>
        </w:rPr>
        <w:t>经招标人允许，投标人可为踏勘目的进入招标人的项目现场。</w:t>
      </w:r>
      <w:r>
        <w:rPr>
          <w:rFonts w:hint="eastAsia" w:ascii="宋体" w:hAnsi="宋体" w:eastAsia="宋体" w:cs="宋体"/>
          <w:color w:val="auto"/>
          <w:kern w:val="2"/>
          <w:sz w:val="24"/>
          <w:szCs w:val="24"/>
          <w:highlight w:val="none"/>
          <w:lang w:val="en-US" w:eastAsia="zh-CN" w:bidi="ar"/>
        </w:rPr>
        <w:t>在考察过程中，投标人及其代表必须承担那些进入现场后，由于他们的行为所造成的人身伤害（不管是否致命）、财产损失或损坏，以及其他任何原因造成的损失、损坏或费用，</w:t>
      </w:r>
      <w:r>
        <w:rPr>
          <w:rFonts w:hint="eastAsia" w:ascii="宋体" w:hAnsi="宋体" w:eastAsia="宋体" w:cs="宋体"/>
          <w:bCs/>
          <w:color w:val="auto"/>
          <w:kern w:val="2"/>
          <w:sz w:val="24"/>
          <w:szCs w:val="24"/>
          <w:highlight w:val="none"/>
          <w:lang w:val="en-US" w:eastAsia="zh-CN" w:bidi="ar"/>
        </w:rPr>
        <w:t>投标人不得因此使招标人承担有关的责任和蒙受损失。</w:t>
      </w:r>
    </w:p>
    <w:p w14:paraId="7D39F88D">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bCs w:val="0"/>
          <w:color w:val="auto"/>
          <w:kern w:val="2"/>
          <w:sz w:val="24"/>
          <w:szCs w:val="24"/>
          <w:highlight w:val="none"/>
        </w:rPr>
      </w:pPr>
      <w:r>
        <w:rPr>
          <w:rFonts w:hint="eastAsia" w:ascii="宋体" w:hAnsi="宋体" w:eastAsia="宋体" w:cs="Times New Roman"/>
          <w:b/>
          <w:bCs w:val="0"/>
          <w:color w:val="auto"/>
          <w:kern w:val="2"/>
          <w:sz w:val="24"/>
          <w:szCs w:val="24"/>
          <w:highlight w:val="none"/>
          <w:lang w:val="en-US" w:eastAsia="zh-CN" w:bidi="ar"/>
        </w:rPr>
        <w:t>6</w:t>
      </w:r>
      <w:r>
        <w:rPr>
          <w:rFonts w:hint="eastAsia" w:ascii="宋体" w:hAnsi="宋体" w:eastAsia="宋体" w:cs="宋体"/>
          <w:b/>
          <w:bCs w:val="0"/>
          <w:color w:val="auto"/>
          <w:kern w:val="2"/>
          <w:sz w:val="24"/>
          <w:szCs w:val="24"/>
          <w:highlight w:val="none"/>
          <w:lang w:val="en-US" w:eastAsia="zh-CN" w:bidi="ar"/>
        </w:rPr>
        <w:t>．投标费用</w:t>
      </w:r>
    </w:p>
    <w:p w14:paraId="1B57CDEF">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6.1</w:t>
      </w:r>
      <w:r>
        <w:rPr>
          <w:rFonts w:hint="eastAsia" w:ascii="宋体" w:hAnsi="宋体" w:eastAsia="宋体" w:cs="宋体"/>
          <w:color w:val="auto"/>
          <w:kern w:val="2"/>
          <w:sz w:val="24"/>
          <w:szCs w:val="24"/>
          <w:highlight w:val="none"/>
          <w:lang w:val="en-US" w:eastAsia="zh-CN" w:bidi="ar"/>
        </w:rPr>
        <w:t>不论投标结果如何，投标人应承担</w:t>
      </w:r>
      <w:r>
        <w:rPr>
          <w:rFonts w:hint="eastAsia" w:ascii="宋体" w:hAnsi="宋体" w:eastAsia="宋体" w:cs="宋体"/>
          <w:bCs/>
          <w:color w:val="auto"/>
          <w:kern w:val="2"/>
          <w:sz w:val="24"/>
          <w:szCs w:val="24"/>
          <w:highlight w:val="none"/>
          <w:lang w:val="en-US" w:eastAsia="zh-CN" w:bidi="ar"/>
        </w:rPr>
        <w:t>自身</w:t>
      </w:r>
      <w:r>
        <w:rPr>
          <w:rFonts w:hint="eastAsia" w:ascii="宋体" w:hAnsi="宋体" w:eastAsia="宋体" w:cs="宋体"/>
          <w:color w:val="auto"/>
          <w:kern w:val="2"/>
          <w:sz w:val="24"/>
          <w:szCs w:val="24"/>
          <w:highlight w:val="none"/>
          <w:lang w:val="en-US" w:eastAsia="zh-CN" w:bidi="ar"/>
        </w:rPr>
        <w:t>因投标文件编制、递交及其他</w:t>
      </w:r>
      <w:r>
        <w:rPr>
          <w:rFonts w:hint="eastAsia" w:ascii="宋体" w:hAnsi="宋体" w:eastAsia="宋体" w:cs="宋体"/>
          <w:bCs/>
          <w:color w:val="auto"/>
          <w:kern w:val="2"/>
          <w:sz w:val="24"/>
          <w:szCs w:val="24"/>
          <w:highlight w:val="none"/>
          <w:lang w:val="en-US" w:eastAsia="zh-CN" w:bidi="ar"/>
        </w:rPr>
        <w:t>参加本招标活动</w:t>
      </w:r>
      <w:r>
        <w:rPr>
          <w:rFonts w:hint="eastAsia" w:ascii="宋体" w:hAnsi="宋体" w:eastAsia="宋体" w:cs="宋体"/>
          <w:color w:val="auto"/>
          <w:kern w:val="2"/>
          <w:sz w:val="24"/>
          <w:szCs w:val="24"/>
          <w:highlight w:val="none"/>
          <w:lang w:val="en-US" w:eastAsia="zh-CN" w:bidi="ar"/>
        </w:rPr>
        <w:t>所涉及的一切费用，招标人对上述费用不负任何责任。</w:t>
      </w:r>
    </w:p>
    <w:p w14:paraId="7685B2D8">
      <w:pPr>
        <w:pStyle w:val="4"/>
        <w:widowControl/>
        <w:spacing w:before="156" w:beforeAutospacing="0" w:after="156" w:afterAutospacing="0" w:line="240" w:lineRule="auto"/>
        <w:rPr>
          <w:rFonts w:hint="eastAsia" w:ascii="宋体" w:hAnsi="宋体" w:eastAsia="宋体" w:cs="宋体"/>
          <w:color w:val="auto"/>
          <w:kern w:val="0"/>
          <w:sz w:val="27"/>
          <w:szCs w:val="27"/>
          <w:highlight w:val="none"/>
        </w:rPr>
      </w:pPr>
      <w:bookmarkStart w:id="10" w:name="_Toc21525494"/>
      <w:bookmarkEnd w:id="10"/>
      <w:bookmarkStart w:id="11" w:name="_Toc2272550"/>
      <w:r>
        <w:rPr>
          <w:rFonts w:hint="eastAsia" w:ascii="宋体" w:hAnsi="宋体" w:eastAsia="宋体" w:cs="宋体"/>
          <w:color w:val="auto"/>
          <w:kern w:val="0"/>
          <w:sz w:val="27"/>
          <w:szCs w:val="27"/>
          <w:highlight w:val="none"/>
        </w:rPr>
        <w:t>（二）招标文件</w:t>
      </w:r>
      <w:bookmarkEnd w:id="11"/>
    </w:p>
    <w:p w14:paraId="50508B2D">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bCs w:val="0"/>
          <w:color w:val="auto"/>
          <w:kern w:val="2"/>
          <w:sz w:val="24"/>
          <w:szCs w:val="24"/>
          <w:highlight w:val="none"/>
        </w:rPr>
      </w:pPr>
      <w:r>
        <w:rPr>
          <w:rFonts w:hint="eastAsia" w:ascii="宋体" w:hAnsi="宋体" w:eastAsia="宋体" w:cs="Times New Roman"/>
          <w:b/>
          <w:bCs w:val="0"/>
          <w:color w:val="auto"/>
          <w:kern w:val="2"/>
          <w:sz w:val="24"/>
          <w:szCs w:val="24"/>
          <w:highlight w:val="none"/>
          <w:lang w:val="en-US" w:eastAsia="zh-CN" w:bidi="ar"/>
        </w:rPr>
        <w:t>7.</w:t>
      </w:r>
      <w:r>
        <w:rPr>
          <w:rFonts w:hint="eastAsia" w:ascii="宋体" w:hAnsi="宋体" w:eastAsia="宋体" w:cs="宋体"/>
          <w:b/>
          <w:bCs w:val="0"/>
          <w:color w:val="auto"/>
          <w:kern w:val="2"/>
          <w:sz w:val="24"/>
          <w:szCs w:val="24"/>
          <w:highlight w:val="none"/>
          <w:lang w:val="en-US" w:eastAsia="zh-CN" w:bidi="ar"/>
        </w:rPr>
        <w:t>招标文件的组成</w:t>
      </w:r>
    </w:p>
    <w:p w14:paraId="4C139033">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7.1本招标文件包括下列文件，以及所有按本须知第8条发出的招标答疑会会议纪要和按本须知第9条发出的澄清或修改：</w:t>
      </w:r>
    </w:p>
    <w:p w14:paraId="4EE10863">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第一章  投标须知</w:t>
      </w:r>
    </w:p>
    <w:p w14:paraId="0A7324A2">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第二章  开标、评标及定标办法</w:t>
      </w:r>
    </w:p>
    <w:p w14:paraId="7C2D63F3">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第三章  合同条款</w:t>
      </w:r>
    </w:p>
    <w:p w14:paraId="1F3208FC">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第四章  投标文件格式</w:t>
      </w:r>
    </w:p>
    <w:p w14:paraId="482453D4">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第五章  技术条件（工程建设标准）（另册）</w:t>
      </w:r>
    </w:p>
    <w:p w14:paraId="061788CA">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第六章  图纸及勘察资料（另册）</w:t>
      </w:r>
    </w:p>
    <w:p w14:paraId="1AB170F4">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第七章  招标工程量清单（另册）</w:t>
      </w:r>
    </w:p>
    <w:p w14:paraId="4CDEE01A">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第八章  最高投标限价</w:t>
      </w:r>
    </w:p>
    <w:p w14:paraId="4EAD5FC2">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宋体" w:eastAsia="宋体" w:cs="宋体"/>
          <w:b/>
          <w:bCs w:val="0"/>
          <w:color w:val="auto"/>
          <w:kern w:val="2"/>
          <w:sz w:val="24"/>
          <w:szCs w:val="24"/>
          <w:highlight w:val="none"/>
          <w:lang w:val="en-US" w:eastAsia="zh-CN" w:bidi="ar"/>
        </w:rPr>
      </w:pPr>
      <w:r>
        <w:rPr>
          <w:rFonts w:hint="eastAsia" w:ascii="宋体" w:hAnsi="宋体" w:eastAsia="宋体" w:cs="宋体"/>
          <w:b/>
          <w:bCs w:val="0"/>
          <w:color w:val="auto"/>
          <w:kern w:val="2"/>
          <w:sz w:val="24"/>
          <w:szCs w:val="24"/>
          <w:highlight w:val="none"/>
          <w:lang w:val="en-US" w:eastAsia="zh-CN" w:bidi="ar"/>
        </w:rPr>
        <w:t>注：招标人应在技术条件（工程建设标准）中明确施工现场建筑垃圾源头减量的具体要求和建筑垃圾综合利用产品的使用要求。</w:t>
      </w:r>
    </w:p>
    <w:p w14:paraId="0093B17E">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7.2 </w:t>
      </w:r>
      <w:r>
        <w:rPr>
          <w:rFonts w:hint="eastAsia" w:ascii="宋体" w:hAnsi="宋体" w:eastAsia="宋体" w:cs="宋体"/>
          <w:color w:val="auto"/>
          <w:kern w:val="2"/>
          <w:sz w:val="24"/>
          <w:szCs w:val="24"/>
          <w:highlight w:val="none"/>
          <w:lang w:val="en-US" w:eastAsia="zh-CN" w:bidi="ar"/>
        </w:rPr>
        <w:t>投标人获取招标文件后，应仔细检查招标文件的所有内容，认真审阅招标文件中所有的事项、格式、条款和规范要求等，若投标人的投标文件没有按招标文件要求提交全部资料，或投标文件实质上没有响应招标文件的要求，招标人将按评标办法的规定予以拒绝，并且不允许投标人通过修改或撤消其不符合要求的差异或保留使之成为具有响应性的投标文件。</w:t>
      </w:r>
    </w:p>
    <w:p w14:paraId="035B0957">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7.3 </w:t>
      </w:r>
      <w:r>
        <w:rPr>
          <w:rFonts w:hint="eastAsia" w:ascii="宋体" w:hAnsi="宋体" w:eastAsia="宋体" w:cs="宋体"/>
          <w:color w:val="auto"/>
          <w:kern w:val="2"/>
          <w:sz w:val="24"/>
          <w:szCs w:val="24"/>
          <w:highlight w:val="none"/>
          <w:lang w:val="en-US" w:eastAsia="zh-CN" w:bidi="ar"/>
        </w:rPr>
        <w:t>投标人一旦中标，招标文件的内容对招标人和中标人双方均有约束力。</w:t>
      </w:r>
    </w:p>
    <w:p w14:paraId="08EC9C54">
      <w:pPr>
        <w:pStyle w:val="14"/>
        <w:keepNext w:val="0"/>
        <w:keepLines w:val="0"/>
        <w:widowControl w:val="0"/>
        <w:suppressLineNumbers w:val="0"/>
        <w:spacing w:before="0" w:beforeAutospacing="1" w:after="0" w:afterAutospacing="0" w:line="240" w:lineRule="auto"/>
        <w:ind w:left="0" w:right="0" w:firstLine="482" w:firstLineChars="200"/>
        <w:jc w:val="both"/>
        <w:rPr>
          <w:rFonts w:hint="eastAsia" w:ascii="宋体" w:hAnsi="Times New Roman"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8</w:t>
      </w:r>
      <w:r>
        <w:rPr>
          <w:rFonts w:hint="eastAsia" w:ascii="宋体" w:hAnsi="宋体" w:eastAsia="宋体" w:cs="宋体"/>
          <w:b/>
          <w:color w:val="auto"/>
          <w:kern w:val="2"/>
          <w:sz w:val="24"/>
          <w:szCs w:val="24"/>
          <w:highlight w:val="none"/>
          <w:lang w:val="en-US" w:eastAsia="zh-CN" w:bidi="ar"/>
        </w:rPr>
        <w:t>．招标答疑</w:t>
      </w:r>
    </w:p>
    <w:p w14:paraId="7373E515">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8.1 </w:t>
      </w:r>
      <w:r>
        <w:rPr>
          <w:rFonts w:hint="eastAsia" w:ascii="宋体" w:hAnsi="宋体" w:eastAsia="宋体" w:cs="宋体"/>
          <w:color w:val="auto"/>
          <w:kern w:val="2"/>
          <w:sz w:val="24"/>
          <w:szCs w:val="24"/>
          <w:highlight w:val="none"/>
          <w:lang w:val="en-US" w:eastAsia="zh-CN" w:bidi="ar"/>
        </w:rPr>
        <w:t>投标人若对招标文件（包括招标图纸）中有疑问，可以书面形式通过</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交易平台提交给招标人或招标代理人，提交形式见本须知前附表第</w:t>
      </w:r>
      <w:r>
        <w:rPr>
          <w:rFonts w:hint="eastAsia" w:ascii="宋体" w:hAnsi="宋体" w:eastAsia="宋体" w:cs="Times New Roman"/>
          <w:color w:val="auto"/>
          <w:kern w:val="2"/>
          <w:sz w:val="24"/>
          <w:szCs w:val="24"/>
          <w:highlight w:val="none"/>
          <w:lang w:val="en-US" w:eastAsia="zh-CN" w:bidi="ar"/>
        </w:rPr>
        <w:t>16</w:t>
      </w:r>
      <w:r>
        <w:rPr>
          <w:rFonts w:hint="eastAsia" w:ascii="宋体" w:hAnsi="宋体" w:eastAsia="宋体" w:cs="宋体"/>
          <w:color w:val="auto"/>
          <w:kern w:val="2"/>
          <w:sz w:val="24"/>
          <w:szCs w:val="24"/>
          <w:highlight w:val="none"/>
          <w:lang w:val="en-US" w:eastAsia="zh-CN" w:bidi="ar"/>
        </w:rPr>
        <w:t>项。</w:t>
      </w:r>
    </w:p>
    <w:p w14:paraId="4FF664AF">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8.2</w:t>
      </w:r>
      <w:r>
        <w:rPr>
          <w:rFonts w:hint="eastAsia" w:ascii="宋体" w:hAnsi="宋体" w:eastAsia="宋体" w:cs="宋体"/>
          <w:color w:val="auto"/>
          <w:kern w:val="2"/>
          <w:sz w:val="24"/>
          <w:szCs w:val="24"/>
          <w:highlight w:val="none"/>
          <w:lang w:val="en-US" w:eastAsia="zh-CN" w:bidi="ar"/>
        </w:rPr>
        <w:t>招标答疑会会议纪要将在提交投标文件截止时间15日前在</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w:t>
      </w:r>
      <w:r>
        <w:rPr>
          <w:rFonts w:hint="eastAsia" w:ascii="宋体" w:hAnsi="Times New Roman"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“项目答疑纪要”专区公开发布。答疑纪要一经在</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交易平台发布，视作已发放给所有投标人。</w:t>
      </w:r>
    </w:p>
    <w:p w14:paraId="48267C0F">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8.3</w:t>
      </w:r>
      <w:r>
        <w:rPr>
          <w:rFonts w:hint="eastAsia" w:ascii="宋体" w:hAnsi="宋体" w:eastAsia="宋体" w:cs="宋体"/>
          <w:color w:val="auto"/>
          <w:kern w:val="2"/>
          <w:sz w:val="24"/>
          <w:szCs w:val="24"/>
          <w:highlight w:val="none"/>
          <w:lang w:val="en-US" w:eastAsia="zh-CN" w:bidi="ar"/>
        </w:rPr>
        <w:t>答疑会会议纪要为招标文件的一部分。</w:t>
      </w:r>
    </w:p>
    <w:p w14:paraId="08DEAABA">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8.4</w:t>
      </w:r>
      <w:r>
        <w:rPr>
          <w:rFonts w:hint="eastAsia" w:ascii="宋体" w:hAnsi="宋体" w:eastAsia="宋体" w:cs="宋体"/>
          <w:color w:val="auto"/>
          <w:kern w:val="2"/>
          <w:sz w:val="24"/>
          <w:szCs w:val="24"/>
          <w:highlight w:val="none"/>
          <w:lang w:val="en-US" w:eastAsia="zh-CN" w:bidi="ar"/>
        </w:rPr>
        <w:t>若招标答疑会会议纪要与招标文件有矛盾，以答疑会议纪要最后发出的书面形式的文件为准。</w:t>
      </w:r>
    </w:p>
    <w:p w14:paraId="73FA26F3">
      <w:pPr>
        <w:pStyle w:val="14"/>
        <w:keepNext w:val="0"/>
        <w:keepLines w:val="0"/>
        <w:widowControl w:val="0"/>
        <w:suppressLineNumbers w:val="0"/>
        <w:spacing w:before="0" w:beforeAutospacing="1" w:after="0" w:afterAutospacing="0" w:line="240" w:lineRule="auto"/>
        <w:ind w:left="0" w:right="0" w:firstLine="482" w:firstLineChars="200"/>
        <w:jc w:val="both"/>
        <w:rPr>
          <w:rFonts w:hint="eastAsia" w:ascii="宋体" w:hAnsi="Times New Roman"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9.</w:t>
      </w:r>
      <w:r>
        <w:rPr>
          <w:rFonts w:hint="eastAsia" w:ascii="宋体" w:hAnsi="宋体" w:eastAsia="宋体" w:cs="宋体"/>
          <w:b/>
          <w:color w:val="auto"/>
          <w:kern w:val="2"/>
          <w:sz w:val="24"/>
          <w:szCs w:val="24"/>
          <w:highlight w:val="none"/>
          <w:lang w:val="en-US" w:eastAsia="zh-CN" w:bidi="ar"/>
        </w:rPr>
        <w:t>招标文件的澄清与修改</w:t>
      </w:r>
    </w:p>
    <w:p w14:paraId="58FC5FEF">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9.1</w:t>
      </w:r>
      <w:r>
        <w:rPr>
          <w:rFonts w:hint="eastAsia" w:ascii="宋体" w:hAnsi="宋体" w:eastAsia="宋体" w:cs="宋体"/>
          <w:color w:val="auto"/>
          <w:kern w:val="2"/>
          <w:sz w:val="24"/>
          <w:szCs w:val="24"/>
          <w:highlight w:val="none"/>
          <w:lang w:val="en-US" w:eastAsia="zh-CN" w:bidi="ar"/>
        </w:rPr>
        <w:t>招标文件发出后</w:t>
      </w:r>
      <w:r>
        <w:rPr>
          <w:rFonts w:hint="eastAsia" w:ascii="宋体" w:hAnsi="Times New Roman"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在提交投标文件截止时间15日前，招标人可对招标文件进行必要的澄清或修改。</w:t>
      </w:r>
    </w:p>
    <w:p w14:paraId="71E1FB14">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9.2</w:t>
      </w:r>
      <w:r>
        <w:rPr>
          <w:rFonts w:hint="eastAsia" w:ascii="宋体" w:hAnsi="宋体" w:eastAsia="宋体" w:cs="宋体"/>
          <w:color w:val="auto"/>
          <w:kern w:val="2"/>
          <w:sz w:val="24"/>
          <w:szCs w:val="24"/>
          <w:highlight w:val="none"/>
          <w:lang w:val="en-US" w:eastAsia="zh-CN" w:bidi="ar"/>
        </w:rPr>
        <w:t>招标文件的澄清或修改将在</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交易平台“项目答疑纪要”专区公开发布。答疑纪要一经在</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交易平台发布，视作已发放给所有投标人，以</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交易平台上网发布时间作为送达时间。</w:t>
      </w:r>
    </w:p>
    <w:p w14:paraId="3AC1AEBE">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9.3</w:t>
      </w:r>
      <w:r>
        <w:rPr>
          <w:rFonts w:hint="eastAsia" w:ascii="宋体" w:hAnsi="宋体" w:eastAsia="宋体" w:cs="宋体"/>
          <w:color w:val="auto"/>
          <w:kern w:val="2"/>
          <w:sz w:val="24"/>
          <w:szCs w:val="24"/>
          <w:highlight w:val="none"/>
          <w:lang w:val="en-US" w:eastAsia="zh-CN" w:bidi="ar"/>
        </w:rPr>
        <w:t>招标文件的修改内容为招标文件的组成部分。</w:t>
      </w:r>
    </w:p>
    <w:p w14:paraId="35689750">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9.4</w:t>
      </w:r>
      <w:r>
        <w:rPr>
          <w:rFonts w:hint="eastAsia" w:ascii="宋体" w:hAnsi="宋体" w:eastAsia="宋体" w:cs="宋体"/>
          <w:color w:val="auto"/>
          <w:kern w:val="2"/>
          <w:sz w:val="24"/>
          <w:szCs w:val="24"/>
          <w:highlight w:val="none"/>
          <w:lang w:val="en-US" w:eastAsia="zh-CN" w:bidi="ar"/>
        </w:rPr>
        <w:t>招标文件的澄清或修改均以书面形式明确的内容为准。当招标文件的澄清、修改、补充等在同一内容的表述不一致时，以最后发出的书面形式的文件为准。</w:t>
      </w:r>
    </w:p>
    <w:p w14:paraId="1069CBC7">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9.5</w:t>
      </w:r>
      <w:r>
        <w:rPr>
          <w:rFonts w:hint="eastAsia" w:ascii="宋体" w:hAnsi="宋体" w:eastAsia="宋体" w:cs="宋体"/>
          <w:color w:val="auto"/>
          <w:kern w:val="2"/>
          <w:sz w:val="24"/>
          <w:szCs w:val="24"/>
          <w:highlight w:val="none"/>
          <w:lang w:val="en-US" w:eastAsia="zh-CN" w:bidi="ar"/>
        </w:rPr>
        <w:t>为使投标人在编制投标文件时有充分的时间对招标文件的澄清或修改等内容考虑进去，招标人将酌情延长提交投标文件的截止时间，具体时间将在招标文件的澄清或修改中予以明确。若澄清或修改中没有明确延长时间，即表示投标时间不延长。</w:t>
      </w:r>
    </w:p>
    <w:p w14:paraId="60F7286D">
      <w:pPr>
        <w:pStyle w:val="4"/>
        <w:widowControl/>
        <w:spacing w:before="156" w:beforeAutospacing="0" w:after="156" w:afterAutospacing="0" w:line="240" w:lineRule="auto"/>
        <w:rPr>
          <w:rFonts w:hint="eastAsia" w:ascii="宋体" w:hAnsi="宋体" w:eastAsia="宋体" w:cs="宋体"/>
          <w:color w:val="auto"/>
          <w:kern w:val="0"/>
          <w:sz w:val="27"/>
          <w:szCs w:val="27"/>
          <w:highlight w:val="none"/>
        </w:rPr>
      </w:pPr>
      <w:bookmarkStart w:id="12" w:name="_Toc21525495"/>
      <w:bookmarkEnd w:id="12"/>
      <w:bookmarkStart w:id="13" w:name="_Toc2272551"/>
      <w:r>
        <w:rPr>
          <w:rFonts w:hint="eastAsia" w:ascii="宋体" w:hAnsi="宋体" w:eastAsia="宋体" w:cs="宋体"/>
          <w:color w:val="auto"/>
          <w:kern w:val="0"/>
          <w:sz w:val="27"/>
          <w:szCs w:val="27"/>
          <w:highlight w:val="none"/>
        </w:rPr>
        <w:t>（三）投标文件的编制</w:t>
      </w:r>
      <w:bookmarkEnd w:id="13"/>
    </w:p>
    <w:p w14:paraId="204061C1">
      <w:pPr>
        <w:pStyle w:val="14"/>
        <w:keepNext w:val="0"/>
        <w:keepLines w:val="0"/>
        <w:widowControl w:val="0"/>
        <w:suppressLineNumbers w:val="0"/>
        <w:spacing w:before="0" w:beforeAutospacing="1" w:after="0" w:afterAutospacing="0" w:line="240" w:lineRule="auto"/>
        <w:ind w:left="0" w:right="0" w:firstLine="482" w:firstLineChars="200"/>
        <w:jc w:val="both"/>
        <w:rPr>
          <w:rFonts w:hint="eastAsia" w:ascii="宋体" w:hAnsi="Times New Roman"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10</w:t>
      </w:r>
      <w:r>
        <w:rPr>
          <w:rFonts w:hint="eastAsia" w:ascii="宋体" w:hAnsi="宋体" w:eastAsia="宋体" w:cs="宋体"/>
          <w:b/>
          <w:color w:val="auto"/>
          <w:kern w:val="2"/>
          <w:sz w:val="24"/>
          <w:szCs w:val="24"/>
          <w:highlight w:val="none"/>
          <w:lang w:val="en-US" w:eastAsia="zh-CN" w:bidi="ar"/>
        </w:rPr>
        <w:t>．投标文件的语言及度量衡单位</w:t>
      </w:r>
    </w:p>
    <w:p w14:paraId="2D250517">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10.1 </w:t>
      </w:r>
      <w:r>
        <w:rPr>
          <w:rFonts w:hint="eastAsia" w:ascii="宋体" w:hAnsi="宋体" w:eastAsia="宋体" w:cs="宋体"/>
          <w:color w:val="auto"/>
          <w:kern w:val="2"/>
          <w:sz w:val="24"/>
          <w:szCs w:val="24"/>
          <w:highlight w:val="none"/>
          <w:lang w:val="en-US" w:eastAsia="zh-CN" w:bidi="ar"/>
        </w:rPr>
        <w:t>投标文件和与投标有关的所有文件均应使用中文。</w:t>
      </w:r>
    </w:p>
    <w:p w14:paraId="7F9821F0">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10.2 </w:t>
      </w:r>
      <w:r>
        <w:rPr>
          <w:rFonts w:hint="eastAsia" w:ascii="宋体" w:hAnsi="宋体" w:eastAsia="宋体" w:cs="宋体"/>
          <w:color w:val="auto"/>
          <w:kern w:val="2"/>
          <w:sz w:val="24"/>
          <w:szCs w:val="24"/>
          <w:highlight w:val="none"/>
          <w:lang w:val="en-US" w:eastAsia="zh-CN" w:bidi="ar"/>
        </w:rPr>
        <w:t>除工程规范另有规定外，投标文件使用的度量衡单位，均采用中华人民共和国法定计量单位。</w:t>
      </w:r>
    </w:p>
    <w:p w14:paraId="2C70EC76">
      <w:pPr>
        <w:pStyle w:val="14"/>
        <w:keepNext w:val="0"/>
        <w:keepLines w:val="0"/>
        <w:widowControl w:val="0"/>
        <w:suppressLineNumbers w:val="0"/>
        <w:spacing w:before="0" w:beforeAutospacing="1" w:after="0" w:afterAutospacing="0" w:line="240" w:lineRule="auto"/>
        <w:ind w:left="0" w:right="0" w:firstLine="482" w:firstLineChars="200"/>
        <w:jc w:val="both"/>
        <w:rPr>
          <w:rFonts w:hint="eastAsia" w:ascii="宋体" w:hAnsi="Times New Roman"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11</w:t>
      </w:r>
      <w:r>
        <w:rPr>
          <w:rFonts w:hint="eastAsia" w:ascii="宋体" w:hAnsi="宋体" w:eastAsia="宋体" w:cs="宋体"/>
          <w:b/>
          <w:color w:val="auto"/>
          <w:kern w:val="2"/>
          <w:sz w:val="24"/>
          <w:szCs w:val="24"/>
          <w:highlight w:val="none"/>
          <w:lang w:val="en-US" w:eastAsia="zh-CN" w:bidi="ar"/>
        </w:rPr>
        <w:t>．投标文件的组成</w:t>
      </w:r>
    </w:p>
    <w:p w14:paraId="5EEE9957">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b/>
          <w:bCs w:val="0"/>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11.1 </w:t>
      </w:r>
      <w:r>
        <w:rPr>
          <w:rFonts w:hint="eastAsia" w:ascii="宋体" w:hAnsi="宋体" w:eastAsia="宋体" w:cs="宋体"/>
          <w:color w:val="auto"/>
          <w:kern w:val="2"/>
          <w:sz w:val="24"/>
          <w:szCs w:val="24"/>
          <w:highlight w:val="none"/>
          <w:lang w:val="en-US" w:eastAsia="zh-CN" w:bidi="ar"/>
        </w:rPr>
        <w:t>投标文件由技术部分（含资格审查文件）和经济部分二部分投标文件组成</w:t>
      </w:r>
      <w:r>
        <w:rPr>
          <w:rFonts w:hint="eastAsia" w:ascii="宋体" w:hAnsi="宋体" w:eastAsia="宋体" w:cs="宋体"/>
          <w:b/>
          <w:bCs w:val="0"/>
          <w:color w:val="auto"/>
          <w:kern w:val="2"/>
          <w:sz w:val="24"/>
          <w:szCs w:val="24"/>
          <w:highlight w:val="none"/>
          <w:lang w:val="en-US" w:eastAsia="zh-CN" w:bidi="ar"/>
        </w:rPr>
        <w:t>。</w:t>
      </w:r>
    </w:p>
    <w:p w14:paraId="78F0E087">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11.2</w:t>
      </w:r>
      <w:r>
        <w:rPr>
          <w:rFonts w:hint="eastAsia" w:ascii="宋体" w:hAnsi="宋体" w:eastAsia="宋体" w:cs="宋体"/>
          <w:bCs/>
          <w:color w:val="auto"/>
          <w:kern w:val="2"/>
          <w:sz w:val="24"/>
          <w:szCs w:val="24"/>
          <w:highlight w:val="none"/>
          <w:lang w:val="en-US" w:eastAsia="zh-CN" w:bidi="ar"/>
        </w:rPr>
        <w:t>投标文件技术标部分主要包括下列内容</w:t>
      </w:r>
      <w:r>
        <w:rPr>
          <w:rFonts w:hint="eastAsia" w:ascii="宋体" w:hAnsi="宋体" w:eastAsia="宋体" w:cs="Times New Roman"/>
          <w:bCs/>
          <w:color w:val="auto"/>
          <w:kern w:val="2"/>
          <w:sz w:val="24"/>
          <w:szCs w:val="24"/>
          <w:highlight w:val="none"/>
          <w:lang w:val="en-US" w:eastAsia="zh-CN" w:bidi="ar"/>
        </w:rPr>
        <w:t>:</w:t>
      </w:r>
    </w:p>
    <w:p w14:paraId="7877B8A7">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11.2.1 技术投标文件</w:t>
      </w:r>
      <w:r>
        <w:rPr>
          <w:rFonts w:hint="eastAsia" w:ascii="宋体" w:hAnsi="宋体"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按招标文件的要求填写</w:t>
      </w:r>
      <w:r>
        <w:rPr>
          <w:rFonts w:hint="eastAsia" w:ascii="宋体" w:hAnsi="宋体" w:eastAsia="宋体" w:cs="Times New Roman"/>
          <w:color w:val="auto"/>
          <w:kern w:val="2"/>
          <w:sz w:val="24"/>
          <w:szCs w:val="24"/>
          <w:highlight w:val="none"/>
          <w:lang w:val="en-US" w:eastAsia="zh-CN" w:bidi="ar"/>
        </w:rPr>
        <w:t>)</w:t>
      </w:r>
      <w:r>
        <w:rPr>
          <w:rFonts w:hint="eastAsia" w:ascii="宋体" w:hAnsi="宋体" w:eastAsia="宋体" w:cs="宋体"/>
          <w:bCs/>
          <w:color w:val="auto"/>
          <w:kern w:val="2"/>
          <w:sz w:val="24"/>
          <w:szCs w:val="24"/>
          <w:highlight w:val="none"/>
          <w:lang w:val="en-US" w:eastAsia="zh-CN" w:bidi="ar"/>
        </w:rPr>
        <w:t>；</w:t>
      </w:r>
    </w:p>
    <w:p w14:paraId="73049600">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11.2.2 资格审查文件：</w:t>
      </w:r>
    </w:p>
    <w:p w14:paraId="2E25B4D1">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 xml:space="preserve">（1）投标人声明； </w:t>
      </w:r>
    </w:p>
    <w:p w14:paraId="4F3E08A3">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（2）法定代表人证明书、法定代表人签字或盖章的本投标文件授权委托证明书；</w:t>
      </w:r>
    </w:p>
    <w:p w14:paraId="7F3BEB1C">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（3）企业营业执照（取自平台内上传件）；</w:t>
      </w:r>
    </w:p>
    <w:p w14:paraId="2EF01ED6">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（4）企业资质证书（取自平台内上传件）；</w:t>
      </w:r>
    </w:p>
    <w:p w14:paraId="400D21EC">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（5）建筑施工企业安全生产许可证（取自平台内上传件）；</w:t>
      </w:r>
    </w:p>
    <w:p w14:paraId="057C4C6B">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（6）项目负责人（按网上投标登记时选择拟投标的项目负责人）</w:t>
      </w:r>
    </w:p>
    <w:p w14:paraId="30527F2F">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（7）专职安全员（按网上投标登记时选择拟投标的专职安全员）</w:t>
      </w:r>
    </w:p>
    <w:p w14:paraId="44A0D7B0">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（8）拟委托技术负责人的相关证书、资料（具体要求由招标人明确）</w:t>
      </w:r>
    </w:p>
    <w:p w14:paraId="31486CB5">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 xml:space="preserve">（9）拟委派项目负责人的建造师注册证书（取自平台内上传件）；  </w:t>
      </w:r>
    </w:p>
    <w:p w14:paraId="4C01C572">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（10）项目负责人安全生产考核合格证明或在有效期内的安全考核合格证书（B类）或建筑施工企业项目负责人安全生产考核合格证书（取自平台内上传件）；</w:t>
      </w:r>
    </w:p>
    <w:p w14:paraId="0A80C9AC">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（11）专职安全员须具有在有效期内的安全考核合格证书（C类）或建筑施工企业专职安全生产管理人员安全生产考核合格证书（取自平台内上传件）；</w:t>
      </w:r>
    </w:p>
    <w:p w14:paraId="1858479D">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（12）用于资格审查的业绩（设置业绩要求时选择此项，投标人</w:t>
      </w:r>
      <w:r>
        <w:rPr>
          <w:rFonts w:hint="eastAsia" w:ascii="宋体" w:hAnsi="宋体" w:eastAsia="宋体" w:cs="宋体"/>
          <w:color w:val="auto"/>
          <w:kern w:val="2"/>
          <w:sz w:val="24"/>
          <w:szCs w:val="24"/>
          <w:highlight w:val="none"/>
          <w:lang w:val="en-US" w:eastAsia="zh-CN" w:bidi="ar"/>
        </w:rPr>
        <w:t>须提供类似工程业绩的项目名称及项目编号，具体格式由招标人自定</w:t>
      </w:r>
      <w:r>
        <w:rPr>
          <w:rFonts w:hint="eastAsia" w:ascii="宋体" w:hAnsi="宋体" w:eastAsia="宋体" w:cs="宋体"/>
          <w:bCs/>
          <w:color w:val="auto"/>
          <w:kern w:val="2"/>
          <w:sz w:val="24"/>
          <w:szCs w:val="24"/>
          <w:highlight w:val="none"/>
          <w:lang w:val="en-US" w:eastAsia="zh-CN" w:bidi="ar"/>
        </w:rPr>
        <w:t>）；</w:t>
      </w:r>
    </w:p>
    <w:p w14:paraId="3F5955CF">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（13）资格审查前，投标人须在广州市住房和城乡建设局建立企业信用档案，拟担任本工程项目负责人、专职安全员须是本企业信用档案中的在册人员。</w:t>
      </w:r>
    </w:p>
    <w:p w14:paraId="5272159A">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（14）列明主办单位的联合体工作协议（采用联合体投标时需递交，投标人拟任本工程项目负责人应为联合体主办方信用档案中的在册人员，</w:t>
      </w:r>
      <w:r>
        <w:rPr>
          <w:rFonts w:hint="eastAsia" w:ascii="宋体" w:hAnsi="宋体" w:eastAsia="宋体" w:cs="宋体"/>
          <w:color w:val="auto"/>
          <w:kern w:val="2"/>
          <w:sz w:val="24"/>
          <w:szCs w:val="24"/>
          <w:highlight w:val="none"/>
          <w:lang w:val="en-US" w:eastAsia="zh-CN" w:bidi="ar"/>
        </w:rPr>
        <w:t>联合体工作协议应明确约定各方拟承担的工作和责任</w:t>
      </w:r>
      <w:r>
        <w:rPr>
          <w:rFonts w:hint="eastAsia" w:ascii="宋体" w:hAnsi="宋体" w:eastAsia="宋体" w:cs="宋体"/>
          <w:bCs/>
          <w:color w:val="auto"/>
          <w:kern w:val="2"/>
          <w:sz w:val="24"/>
          <w:szCs w:val="24"/>
          <w:highlight w:val="none"/>
          <w:lang w:val="en-US" w:eastAsia="zh-CN" w:bidi="ar"/>
        </w:rPr>
        <w:t>）；</w:t>
      </w:r>
      <w:r>
        <w:rPr>
          <w:rFonts w:hint="eastAsia" w:ascii="宋体" w:hAnsi="宋体" w:eastAsia="宋体" w:cs="Times New Roman"/>
          <w:bCs/>
          <w:color w:val="auto"/>
          <w:kern w:val="2"/>
          <w:sz w:val="24"/>
          <w:szCs w:val="24"/>
          <w:highlight w:val="none"/>
          <w:lang w:val="en-US" w:eastAsia="zh-CN" w:bidi="ar"/>
        </w:rPr>
        <w:t xml:space="preserve"> </w:t>
      </w:r>
    </w:p>
    <w:p w14:paraId="1C496010">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（15）</w:t>
      </w:r>
      <w:r>
        <w:rPr>
          <w:rFonts w:hint="eastAsia" w:ascii="宋体" w:hAnsi="宋体" w:eastAsia="宋体" w:cs="宋体"/>
          <w:color w:val="auto"/>
          <w:kern w:val="2"/>
          <w:sz w:val="24"/>
          <w:szCs w:val="24"/>
          <w:highlight w:val="none"/>
          <w:lang w:val="en-US" w:eastAsia="zh-CN" w:bidi="ar"/>
        </w:rPr>
        <w:t>投标人具有在广州地区可使用适合本工程的机械设备的证明文件（提供沥青摊铺机自有发票或权属证明及设备现场全貌彩照（彩照须能反映其规格型号））。（含有市政道路面层沥青摊铺且沥青摊铺占预计发包价50%或以上的大、中修市政公用工程需提供该项内容的证明文件）。</w:t>
      </w:r>
    </w:p>
    <w:p w14:paraId="51E5556B">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11.2.3</w:t>
      </w:r>
      <w:r>
        <w:rPr>
          <w:rFonts w:hint="eastAsia" w:ascii="宋体" w:hAnsi="宋体" w:eastAsia="宋体" w:cs="宋体"/>
          <w:color w:val="auto"/>
          <w:kern w:val="2"/>
          <w:sz w:val="24"/>
          <w:szCs w:val="24"/>
          <w:highlight w:val="none"/>
          <w:lang w:val="en-US" w:eastAsia="zh-CN" w:bidi="ar"/>
        </w:rPr>
        <w:t>项目管理机构配备。</w:t>
      </w:r>
    </w:p>
    <w:p w14:paraId="11A50B89">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Times New Roman"/>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）投标人应列出该项目工程的施工组织机构构成和画出机构框架图及其负责人；</w:t>
      </w:r>
    </w:p>
    <w:p w14:paraId="5AFFA14C">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Times New Roman"/>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）投标人应详细列出该施工组织机构中主要成员的名单、简历资料、职务职称和在本项目中拟担任的职务等资料，并附上有关证明材料扫描件；</w:t>
      </w:r>
    </w:p>
    <w:p w14:paraId="7278A907">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Times New Roman"/>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）其他辅助说明资料。</w:t>
      </w:r>
    </w:p>
    <w:p w14:paraId="2873880B">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11.2.4</w:t>
      </w:r>
      <w:r>
        <w:rPr>
          <w:rFonts w:hint="eastAsia" w:ascii="宋体" w:hAnsi="宋体" w:eastAsia="宋体" w:cs="宋体"/>
          <w:color w:val="auto"/>
          <w:kern w:val="2"/>
          <w:sz w:val="24"/>
          <w:szCs w:val="24"/>
          <w:highlight w:val="none"/>
          <w:lang w:val="en-US" w:eastAsia="zh-CN" w:bidi="ar"/>
        </w:rPr>
        <w:t>投标人在广州市可使用适合本工程的机械设备（附：机械设备为自有或租赁的说明；及承诺机械设备如属于租赁的，其租赁是不属于重复租赁）。</w:t>
      </w:r>
    </w:p>
    <w:p w14:paraId="28293273">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b/>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11.2.5</w:t>
      </w:r>
      <w:r>
        <w:rPr>
          <w:rFonts w:hint="eastAsia" w:ascii="宋体" w:hAnsi="宋体" w:eastAsia="宋体" w:cs="宋体"/>
          <w:color w:val="auto"/>
          <w:kern w:val="2"/>
          <w:sz w:val="24"/>
          <w:szCs w:val="24"/>
          <w:highlight w:val="none"/>
          <w:lang w:val="en-US" w:eastAsia="zh-CN" w:bidi="ar"/>
        </w:rPr>
        <w:t>施工组织设计或施工方案。</w:t>
      </w:r>
      <w:r>
        <w:rPr>
          <w:rFonts w:hint="eastAsia" w:ascii="宋体" w:hAnsi="宋体" w:eastAsia="宋体" w:cs="宋体"/>
          <w:b/>
          <w:color w:val="auto"/>
          <w:kern w:val="2"/>
          <w:sz w:val="24"/>
          <w:szCs w:val="24"/>
          <w:highlight w:val="none"/>
          <w:lang w:val="en-US" w:eastAsia="zh-CN" w:bidi="ar"/>
        </w:rPr>
        <w:t>（投标人在编制施工组织设计或施工方案时应按照招标人提出的施工现场建筑垃圾源头减量的具体要求以及建筑垃圾综合利用产品的使用要求提供相应措施。）</w:t>
      </w:r>
    </w:p>
    <w:p w14:paraId="5D0BAEC0">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11.2.</w:t>
      </w:r>
      <w:r>
        <w:rPr>
          <w:rFonts w:hint="eastAsia" w:ascii="宋体" w:hAnsi="宋体" w:eastAsia="宋体" w:cs="宋体"/>
          <w:color w:val="auto"/>
          <w:kern w:val="2"/>
          <w:sz w:val="24"/>
          <w:szCs w:val="24"/>
          <w:highlight w:val="none"/>
          <w:lang w:val="en-US" w:eastAsia="zh-CN" w:bidi="ar"/>
        </w:rPr>
        <w:t>6按照</w:t>
      </w:r>
      <w:r>
        <w:rPr>
          <w:rFonts w:hint="eastAsia" w:ascii="宋体" w:hAnsi="宋体" w:eastAsia="宋体" w:cs="宋体"/>
          <w:bCs/>
          <w:color w:val="auto"/>
          <w:kern w:val="2"/>
          <w:sz w:val="24"/>
          <w:szCs w:val="24"/>
          <w:highlight w:val="none"/>
          <w:lang w:val="en-US" w:eastAsia="zh-CN" w:bidi="ar"/>
        </w:rPr>
        <w:t>招标文件要求</w:t>
      </w:r>
      <w:r>
        <w:rPr>
          <w:rFonts w:hint="eastAsia" w:ascii="宋体" w:hAnsi="宋体" w:eastAsia="宋体" w:cs="宋体"/>
          <w:color w:val="auto"/>
          <w:kern w:val="2"/>
          <w:sz w:val="24"/>
          <w:szCs w:val="24"/>
          <w:highlight w:val="none"/>
          <w:lang w:val="en-US" w:eastAsia="zh-CN" w:bidi="ar"/>
        </w:rPr>
        <w:t>填写的《参与编制技术标投标文件人员名单》。</w:t>
      </w:r>
    </w:p>
    <w:p w14:paraId="4FD44C8A">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 xml:space="preserve">11.3 </w:t>
      </w:r>
      <w:r>
        <w:rPr>
          <w:rFonts w:hint="eastAsia" w:ascii="宋体" w:hAnsi="宋体" w:eastAsia="宋体" w:cs="宋体"/>
          <w:bCs/>
          <w:color w:val="auto"/>
          <w:kern w:val="2"/>
          <w:sz w:val="24"/>
          <w:szCs w:val="24"/>
          <w:highlight w:val="none"/>
          <w:lang w:val="en-US" w:eastAsia="zh-CN" w:bidi="ar"/>
        </w:rPr>
        <w:t>经济部分投标文件主要包括下列内容：</w:t>
      </w:r>
    </w:p>
    <w:p w14:paraId="3C12D8B2">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11.3.1 </w:t>
      </w:r>
      <w:r>
        <w:rPr>
          <w:rFonts w:hint="eastAsia" w:ascii="宋体" w:hAnsi="宋体" w:eastAsia="宋体" w:cs="宋体"/>
          <w:color w:val="auto"/>
          <w:kern w:val="2"/>
          <w:sz w:val="24"/>
          <w:szCs w:val="24"/>
          <w:highlight w:val="none"/>
          <w:lang w:val="en-US" w:eastAsia="zh-CN" w:bidi="ar"/>
        </w:rPr>
        <w:t>经济投标文件</w:t>
      </w:r>
      <w:r>
        <w:rPr>
          <w:rFonts w:hint="eastAsia" w:ascii="宋体" w:hAnsi="宋体"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按招标文件的要求填写</w:t>
      </w:r>
      <w:r>
        <w:rPr>
          <w:rFonts w:hint="eastAsia" w:ascii="宋体" w:hAnsi="宋体"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w:t>
      </w:r>
    </w:p>
    <w:p w14:paraId="5C8A61C0">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11.3.2</w:t>
      </w:r>
      <w:r>
        <w:rPr>
          <w:rFonts w:hint="eastAsia" w:ascii="宋体" w:hAnsi="宋体" w:eastAsia="宋体" w:cs="宋体"/>
          <w:color w:val="auto"/>
          <w:kern w:val="2"/>
          <w:sz w:val="24"/>
          <w:szCs w:val="24"/>
          <w:highlight w:val="none"/>
          <w:lang w:val="en-US" w:eastAsia="zh-CN" w:bidi="ar"/>
        </w:rPr>
        <w:t>投标总价。投标人必须按招标工程量清单填报价格，工程量清单的组成、格式、项目编码、项目名称、项目特征、计量单位、工程量和工程量计算规则必须与招标工程量清单一致。投标报价由投标人依据建设工程工程量清单计价规范、招标文件、招标工程量清单、设计文件、企业定额、施工现场情况和投标时拟定的施工组织设计或者施工方案，结合企业成本、市场价格以及招标文件中载明的风险内容和范围等编制。其中包括如下：</w:t>
      </w:r>
      <w:r>
        <w:rPr>
          <w:rFonts w:hint="eastAsia" w:ascii="宋体" w:hAnsi="Calibri" w:eastAsia="宋体" w:cs="Times New Roman"/>
          <w:color w:val="auto"/>
          <w:kern w:val="2"/>
          <w:sz w:val="24"/>
          <w:szCs w:val="24"/>
          <w:highlight w:val="none"/>
          <w:lang w:val="en-US" w:eastAsia="zh-CN" w:bidi="ar"/>
        </w:rPr>
        <w:t xml:space="preserve"> </w:t>
      </w:r>
    </w:p>
    <w:p w14:paraId="09F1EE93">
      <w:pPr>
        <w:keepNext w:val="0"/>
        <w:keepLines w:val="0"/>
        <w:widowControl w:val="0"/>
        <w:suppressLineNumbers w:val="0"/>
        <w:spacing w:before="0" w:beforeAutospacing="0" w:after="0" w:afterAutospacing="0" w:line="240" w:lineRule="auto"/>
        <w:ind w:left="0" w:right="0" w:firstLine="566" w:firstLineChars="236"/>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Times New Roman"/>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）投标总价封面、扉页；</w:t>
      </w:r>
    </w:p>
    <w:p w14:paraId="75986108">
      <w:pPr>
        <w:keepNext w:val="0"/>
        <w:keepLines w:val="0"/>
        <w:widowControl w:val="0"/>
        <w:suppressLineNumbers w:val="0"/>
        <w:spacing w:before="0" w:beforeAutospacing="0" w:after="0" w:afterAutospacing="0" w:line="240" w:lineRule="auto"/>
        <w:ind w:left="0" w:right="0" w:firstLine="566" w:firstLineChars="236"/>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Times New Roman"/>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）总说明</w:t>
      </w:r>
    </w:p>
    <w:p w14:paraId="7F814D35">
      <w:pPr>
        <w:keepNext w:val="0"/>
        <w:keepLines w:val="0"/>
        <w:widowControl w:val="0"/>
        <w:suppressLineNumbers w:val="0"/>
        <w:spacing w:before="0" w:beforeAutospacing="0" w:after="0" w:afterAutospacing="0" w:line="240" w:lineRule="auto"/>
        <w:ind w:left="0" w:right="0" w:firstLine="566" w:firstLineChars="236"/>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（3）工程项目投标报价汇总表；</w:t>
      </w:r>
    </w:p>
    <w:p w14:paraId="682A0D91">
      <w:pPr>
        <w:keepNext w:val="0"/>
        <w:keepLines w:val="0"/>
        <w:widowControl w:val="0"/>
        <w:suppressLineNumbers w:val="0"/>
        <w:spacing w:before="0" w:beforeAutospacing="0" w:after="0" w:afterAutospacing="0" w:line="240" w:lineRule="auto"/>
        <w:ind w:left="0" w:right="0" w:firstLine="566" w:firstLineChars="236"/>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（4）单项工程投标报价汇总表；</w:t>
      </w:r>
    </w:p>
    <w:p w14:paraId="4AD3FF4F">
      <w:pPr>
        <w:keepNext w:val="0"/>
        <w:keepLines w:val="0"/>
        <w:widowControl w:val="0"/>
        <w:suppressLineNumbers w:val="0"/>
        <w:spacing w:before="0" w:beforeAutospacing="0" w:after="0" w:afterAutospacing="0" w:line="240" w:lineRule="auto"/>
        <w:ind w:left="0" w:right="0" w:firstLine="566" w:firstLineChars="236"/>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（5）单位工程投标报价汇总表；</w:t>
      </w:r>
    </w:p>
    <w:p w14:paraId="4CB2E25C">
      <w:pPr>
        <w:keepNext w:val="0"/>
        <w:keepLines w:val="0"/>
        <w:widowControl w:val="0"/>
        <w:suppressLineNumbers w:val="0"/>
        <w:spacing w:before="0" w:beforeAutospacing="0" w:after="0" w:afterAutospacing="0" w:line="240" w:lineRule="auto"/>
        <w:ind w:left="0" w:right="0" w:firstLine="566" w:firstLineChars="236"/>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（6）分部分项工程清单与计价表；</w:t>
      </w:r>
    </w:p>
    <w:p w14:paraId="7410D30F">
      <w:pPr>
        <w:keepNext w:val="0"/>
        <w:keepLines w:val="0"/>
        <w:widowControl w:val="0"/>
        <w:suppressLineNumbers w:val="0"/>
        <w:spacing w:before="0" w:beforeAutospacing="0" w:after="0" w:afterAutospacing="0" w:line="240" w:lineRule="auto"/>
        <w:ind w:left="0" w:right="0" w:firstLine="566" w:firstLineChars="236"/>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（7）单价措施项目清单与计价表；</w:t>
      </w:r>
    </w:p>
    <w:p w14:paraId="702CC061">
      <w:pPr>
        <w:keepNext w:val="0"/>
        <w:keepLines w:val="0"/>
        <w:widowControl w:val="0"/>
        <w:suppressLineNumbers w:val="0"/>
        <w:spacing w:before="0" w:beforeAutospacing="0" w:after="0" w:afterAutospacing="0" w:line="240" w:lineRule="auto"/>
        <w:ind w:left="0" w:right="0" w:firstLine="566" w:firstLineChars="236"/>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（8）总价措施项目清单与计价表；</w:t>
      </w:r>
    </w:p>
    <w:p w14:paraId="4CFECD21">
      <w:pPr>
        <w:keepNext w:val="0"/>
        <w:keepLines w:val="0"/>
        <w:widowControl w:val="0"/>
        <w:suppressLineNumbers w:val="0"/>
        <w:spacing w:before="0" w:beforeAutospacing="0" w:after="0" w:afterAutospacing="0" w:line="240" w:lineRule="auto"/>
        <w:ind w:left="0" w:right="0" w:firstLine="566" w:firstLineChars="236"/>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（9）综合单价分析表；</w:t>
      </w:r>
    </w:p>
    <w:p w14:paraId="4ACC5C58">
      <w:pPr>
        <w:keepNext w:val="0"/>
        <w:keepLines w:val="0"/>
        <w:widowControl w:val="0"/>
        <w:suppressLineNumbers w:val="0"/>
        <w:spacing w:before="0" w:beforeAutospacing="0" w:after="0" w:afterAutospacing="0" w:line="240" w:lineRule="auto"/>
        <w:ind w:left="0" w:right="0" w:firstLine="566" w:firstLineChars="236"/>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（10）其他项目清单与计价汇总表；</w:t>
      </w:r>
    </w:p>
    <w:p w14:paraId="1103F632">
      <w:pPr>
        <w:keepNext w:val="0"/>
        <w:keepLines w:val="0"/>
        <w:widowControl w:val="0"/>
        <w:suppressLineNumbers w:val="0"/>
        <w:spacing w:before="0" w:beforeAutospacing="0" w:after="0" w:afterAutospacing="0" w:line="240" w:lineRule="auto"/>
        <w:ind w:left="0" w:right="0" w:firstLine="566" w:firstLineChars="236"/>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（11）暂列金额明细表；</w:t>
      </w:r>
    </w:p>
    <w:p w14:paraId="479870DB">
      <w:pPr>
        <w:keepNext w:val="0"/>
        <w:keepLines w:val="0"/>
        <w:widowControl w:val="0"/>
        <w:suppressLineNumbers w:val="0"/>
        <w:spacing w:before="0" w:beforeAutospacing="0" w:after="0" w:afterAutospacing="0" w:line="240" w:lineRule="auto"/>
        <w:ind w:left="0" w:right="0" w:firstLine="566" w:firstLineChars="236"/>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（12）材料（工程设备）暂估价明细表；</w:t>
      </w:r>
    </w:p>
    <w:p w14:paraId="6729C3E7">
      <w:pPr>
        <w:keepNext w:val="0"/>
        <w:keepLines w:val="0"/>
        <w:widowControl w:val="0"/>
        <w:suppressLineNumbers w:val="0"/>
        <w:spacing w:before="0" w:beforeAutospacing="0" w:after="0" w:afterAutospacing="0" w:line="240" w:lineRule="auto"/>
        <w:ind w:left="0" w:right="0" w:firstLine="566" w:firstLineChars="236"/>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（13）专业工程暂估价明细表；</w:t>
      </w:r>
    </w:p>
    <w:p w14:paraId="38BEBAA8">
      <w:pPr>
        <w:keepNext w:val="0"/>
        <w:keepLines w:val="0"/>
        <w:widowControl w:val="0"/>
        <w:suppressLineNumbers w:val="0"/>
        <w:spacing w:before="0" w:beforeAutospacing="0" w:after="0" w:afterAutospacing="0" w:line="240" w:lineRule="auto"/>
        <w:ind w:left="0" w:right="0" w:firstLine="566" w:firstLineChars="236"/>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（14）计日工表；</w:t>
      </w:r>
    </w:p>
    <w:p w14:paraId="680A26FA">
      <w:pPr>
        <w:keepNext w:val="0"/>
        <w:keepLines w:val="0"/>
        <w:widowControl w:val="0"/>
        <w:suppressLineNumbers w:val="0"/>
        <w:spacing w:before="0" w:beforeAutospacing="0" w:after="0" w:afterAutospacing="0" w:line="240" w:lineRule="auto"/>
        <w:ind w:left="0" w:right="0" w:firstLine="566" w:firstLineChars="236"/>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（15）总承包服务计价表；</w:t>
      </w:r>
    </w:p>
    <w:p w14:paraId="455B9271">
      <w:pPr>
        <w:keepNext w:val="0"/>
        <w:keepLines w:val="0"/>
        <w:widowControl w:val="0"/>
        <w:suppressLineNumbers w:val="0"/>
        <w:spacing w:before="0" w:beforeAutospacing="0" w:after="0" w:afterAutospacing="0" w:line="240" w:lineRule="auto"/>
        <w:ind w:left="0" w:right="0" w:firstLine="566" w:firstLineChars="236"/>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（16）规费和税金项目计价表；</w:t>
      </w:r>
    </w:p>
    <w:p w14:paraId="5470FA68">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（17）人工、主要材料和设备一览表</w:t>
      </w:r>
    </w:p>
    <w:p w14:paraId="215AEC0B">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11.3.</w:t>
      </w:r>
      <w:r>
        <w:rPr>
          <w:rFonts w:hint="eastAsia" w:ascii="宋体" w:hAnsi="宋体" w:eastAsia="宋体" w:cs="宋体"/>
          <w:color w:val="auto"/>
          <w:kern w:val="2"/>
          <w:sz w:val="24"/>
          <w:szCs w:val="24"/>
          <w:highlight w:val="none"/>
          <w:lang w:val="en-US" w:eastAsia="zh-CN" w:bidi="ar"/>
        </w:rPr>
        <w:t>3按照</w:t>
      </w:r>
      <w:r>
        <w:rPr>
          <w:rFonts w:hint="eastAsia" w:ascii="宋体" w:hAnsi="宋体" w:eastAsia="宋体" w:cs="宋体"/>
          <w:bCs/>
          <w:color w:val="auto"/>
          <w:kern w:val="2"/>
          <w:sz w:val="24"/>
          <w:szCs w:val="24"/>
          <w:highlight w:val="none"/>
          <w:lang w:val="en-US" w:eastAsia="zh-CN" w:bidi="ar"/>
        </w:rPr>
        <w:t>招标文件要求</w:t>
      </w:r>
      <w:r>
        <w:rPr>
          <w:rFonts w:hint="eastAsia" w:ascii="宋体" w:hAnsi="宋体" w:eastAsia="宋体" w:cs="宋体"/>
          <w:color w:val="auto"/>
          <w:kern w:val="2"/>
          <w:sz w:val="24"/>
          <w:szCs w:val="24"/>
          <w:highlight w:val="none"/>
          <w:lang w:val="en-US" w:eastAsia="zh-CN" w:bidi="ar"/>
        </w:rPr>
        <w:t>填写的《参与编制经济标投标文件人员名单》。</w:t>
      </w:r>
    </w:p>
    <w:p w14:paraId="087B8E63">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11.3.4若投标人的投标报价低于工程成本警戒价的，投标人还须提供详细的施工组织设计、单价、措施性费用、单价分析表、主要材料价格表、投标人成本分析供评标委员会评审。</w:t>
      </w:r>
    </w:p>
    <w:p w14:paraId="2605EB92">
      <w:pPr>
        <w:pStyle w:val="14"/>
        <w:keepNext w:val="0"/>
        <w:keepLines w:val="0"/>
        <w:widowControl w:val="0"/>
        <w:suppressLineNumbers w:val="0"/>
        <w:spacing w:before="0" w:beforeAutospacing="1" w:after="0" w:afterAutospacing="0" w:line="240" w:lineRule="auto"/>
        <w:ind w:left="0" w:right="0" w:firstLine="482" w:firstLineChars="200"/>
        <w:jc w:val="both"/>
        <w:rPr>
          <w:rFonts w:hint="eastAsia" w:ascii="宋体" w:hAnsi="Times New Roman"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12</w:t>
      </w:r>
      <w:r>
        <w:rPr>
          <w:rFonts w:hint="eastAsia" w:ascii="宋体" w:hAnsi="宋体" w:eastAsia="宋体" w:cs="宋体"/>
          <w:b/>
          <w:color w:val="auto"/>
          <w:kern w:val="2"/>
          <w:sz w:val="24"/>
          <w:szCs w:val="24"/>
          <w:highlight w:val="none"/>
          <w:lang w:val="en-US" w:eastAsia="zh-CN" w:bidi="ar"/>
        </w:rPr>
        <w:t>．投标文件格式</w:t>
      </w:r>
    </w:p>
    <w:p w14:paraId="4C30355C">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12.1 </w:t>
      </w:r>
      <w:r>
        <w:rPr>
          <w:rFonts w:hint="eastAsia" w:ascii="宋体" w:hAnsi="宋体" w:eastAsia="宋体" w:cs="宋体"/>
          <w:color w:val="auto"/>
          <w:kern w:val="2"/>
          <w:sz w:val="24"/>
          <w:szCs w:val="24"/>
          <w:highlight w:val="none"/>
          <w:lang w:val="en-US" w:eastAsia="zh-CN" w:bidi="ar"/>
        </w:rPr>
        <w:t>投标文件包括本须知第</w:t>
      </w:r>
      <w:r>
        <w:rPr>
          <w:rFonts w:hint="eastAsia" w:ascii="宋体" w:hAnsi="宋体" w:eastAsia="宋体" w:cs="Times New Roman"/>
          <w:color w:val="auto"/>
          <w:kern w:val="2"/>
          <w:sz w:val="24"/>
          <w:szCs w:val="24"/>
          <w:highlight w:val="none"/>
          <w:lang w:val="en-US" w:eastAsia="zh-CN" w:bidi="ar"/>
        </w:rPr>
        <w:t>11</w:t>
      </w:r>
      <w:r>
        <w:rPr>
          <w:rFonts w:hint="eastAsia" w:ascii="宋体" w:hAnsi="宋体" w:eastAsia="宋体" w:cs="宋体"/>
          <w:color w:val="auto"/>
          <w:kern w:val="2"/>
          <w:sz w:val="24"/>
          <w:szCs w:val="24"/>
          <w:highlight w:val="none"/>
          <w:lang w:val="en-US" w:eastAsia="zh-CN" w:bidi="ar"/>
        </w:rPr>
        <w:t>条中规定的内容，投标人提交的投标文件应当使用招标文件所提供的投标文件全部格式（表格可以按同样格式扩展）。</w:t>
      </w:r>
    </w:p>
    <w:p w14:paraId="6CAD12D1">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12.2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Times New Roman" w:hAnsi="Times New Roman" w:eastAsia="宋体" w:cs="Times New Roman"/>
          <w:color w:val="auto"/>
          <w:kern w:val="2"/>
          <w:sz w:val="24"/>
          <w:szCs w:val="24"/>
          <w:highlight w:val="none"/>
          <w:u w:val="single"/>
          <w:lang w:val="en-US" w:eastAsia="zh-CN" w:bidi="ar"/>
        </w:rPr>
        <w:t xml:space="preserve">    </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Times New Roman" w:hAnsi="Times New Roman"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w:t>
      </w:r>
    </w:p>
    <w:p w14:paraId="2876CA6C">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12.3 </w:t>
      </w:r>
      <w:r>
        <w:rPr>
          <w:rFonts w:hint="eastAsia" w:ascii="宋体" w:hAnsi="宋体" w:eastAsia="宋体" w:cs="宋体"/>
          <w:bCs/>
          <w:color w:val="auto"/>
          <w:kern w:val="2"/>
          <w:sz w:val="24"/>
          <w:szCs w:val="24"/>
          <w:highlight w:val="none"/>
          <w:lang w:val="en-US" w:eastAsia="zh-CN" w:bidi="ar"/>
        </w:rPr>
        <w:t>投标文件应按</w:t>
      </w:r>
      <w:r>
        <w:rPr>
          <w:rFonts w:hint="eastAsia" w:ascii="宋体" w:hAnsi="宋体" w:eastAsia="宋体" w:cs="宋体"/>
          <w:color w:val="auto"/>
          <w:kern w:val="2"/>
          <w:sz w:val="24"/>
          <w:szCs w:val="24"/>
          <w:highlight w:val="none"/>
          <w:lang w:val="en-US" w:eastAsia="zh-CN" w:bidi="ar"/>
        </w:rPr>
        <w:t>照交易平台关于全流程电子化项目的相关指南进行编制，详见：</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Times New Roman"/>
          <w:color w:val="auto"/>
          <w:kern w:val="2"/>
          <w:sz w:val="24"/>
          <w:szCs w:val="24"/>
          <w:highlight w:val="none"/>
          <w:lang w:val="en-US" w:eastAsia="zh-CN" w:bidi="ar"/>
        </w:rPr>
        <w:t xml:space="preserve">               </w:t>
      </w:r>
    </w:p>
    <w:p w14:paraId="2D1176EC">
      <w:pPr>
        <w:pStyle w:val="14"/>
        <w:keepNext w:val="0"/>
        <w:keepLines w:val="0"/>
        <w:widowControl w:val="0"/>
        <w:suppressLineNumbers w:val="0"/>
        <w:spacing w:before="0" w:beforeAutospacing="1" w:after="0" w:afterAutospacing="0" w:line="240" w:lineRule="auto"/>
        <w:ind w:left="0" w:right="0" w:firstLine="0"/>
        <w:jc w:val="both"/>
        <w:rPr>
          <w:rFonts w:hint="eastAsia" w:ascii="宋体" w:hAnsi="宋体" w:eastAsia="宋体" w:cs="Times New Roman"/>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如不按上述要求编制引起系统无法检索、读取相关信息的，其后果由投标人承担。</w:t>
      </w:r>
    </w:p>
    <w:p w14:paraId="684D1380">
      <w:pPr>
        <w:pStyle w:val="14"/>
        <w:keepNext w:val="0"/>
        <w:keepLines w:val="0"/>
        <w:widowControl w:val="0"/>
        <w:suppressLineNumbers w:val="0"/>
        <w:spacing w:before="0" w:beforeAutospacing="1" w:after="0" w:afterAutospacing="0" w:line="240" w:lineRule="auto"/>
        <w:ind w:left="0" w:right="0" w:firstLine="482" w:firstLineChars="200"/>
        <w:jc w:val="both"/>
        <w:rPr>
          <w:rFonts w:hint="eastAsia" w:ascii="宋体" w:hAnsi="Times New Roman"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13</w:t>
      </w:r>
      <w:r>
        <w:rPr>
          <w:rFonts w:hint="eastAsia" w:ascii="宋体" w:hAnsi="宋体" w:eastAsia="宋体" w:cs="宋体"/>
          <w:b/>
          <w:color w:val="auto"/>
          <w:kern w:val="2"/>
          <w:sz w:val="24"/>
          <w:szCs w:val="24"/>
          <w:highlight w:val="none"/>
          <w:lang w:val="en-US" w:eastAsia="zh-CN" w:bidi="ar"/>
        </w:rPr>
        <w:t>．投标报价及造价承包和变更结算方式</w:t>
      </w:r>
    </w:p>
    <w:p w14:paraId="380FDB91">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13.1 </w:t>
      </w:r>
      <w:r>
        <w:rPr>
          <w:rFonts w:hint="eastAsia" w:ascii="宋体" w:hAnsi="宋体" w:eastAsia="宋体" w:cs="宋体"/>
          <w:color w:val="auto"/>
          <w:kern w:val="2"/>
          <w:sz w:val="24"/>
          <w:szCs w:val="24"/>
          <w:highlight w:val="none"/>
          <w:lang w:val="en-US" w:eastAsia="zh-CN" w:bidi="ar"/>
        </w:rPr>
        <w:t>本工程的投标报价采用投标须知前附表第</w:t>
      </w:r>
      <w:r>
        <w:rPr>
          <w:rFonts w:hint="eastAsia" w:ascii="宋体" w:hAnsi="宋体" w:eastAsia="宋体" w:cs="Times New Roman"/>
          <w:color w:val="auto"/>
          <w:kern w:val="2"/>
          <w:sz w:val="24"/>
          <w:szCs w:val="24"/>
          <w:highlight w:val="none"/>
          <w:lang w:val="en-US" w:eastAsia="zh-CN" w:bidi="ar"/>
        </w:rPr>
        <w:t>12</w:t>
      </w:r>
      <w:r>
        <w:rPr>
          <w:rFonts w:hint="eastAsia" w:ascii="宋体" w:hAnsi="宋体" w:eastAsia="宋体" w:cs="宋体"/>
          <w:color w:val="auto"/>
          <w:kern w:val="2"/>
          <w:sz w:val="24"/>
          <w:szCs w:val="24"/>
          <w:highlight w:val="none"/>
          <w:lang w:val="en-US" w:eastAsia="zh-CN" w:bidi="ar"/>
        </w:rPr>
        <w:t>项所规定的方式。投标报价（含单价及总价）精确到“分”。</w:t>
      </w:r>
    </w:p>
    <w:p w14:paraId="3AD1BFDD">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13.2</w:t>
      </w:r>
      <w:r>
        <w:rPr>
          <w:rFonts w:hint="eastAsia" w:ascii="宋体" w:hAnsi="宋体" w:eastAsia="宋体" w:cs="宋体"/>
          <w:color w:val="auto"/>
          <w:kern w:val="2"/>
          <w:sz w:val="24"/>
          <w:szCs w:val="24"/>
          <w:highlight w:val="none"/>
          <w:lang w:val="en-US" w:eastAsia="zh-CN" w:bidi="ar"/>
        </w:rPr>
        <w:t>招标人按照招标图纸制定招标工程量清单，该清单载于本招标文件第七章中，投标人按照招标人提供的招标工程量清单中列出的工程项目和工程量填报单价和合价，每一项目只允许有一个报价，任何有选择的报价将不予接受。投标人未填报单价或合价的工程项目，视为此项费用已包含在已标价工程量清单中其他项目的单价和合价之中，在实施后，此项目不得重新组价予以调整，招标人将不予支付。</w:t>
      </w:r>
    </w:p>
    <w:p w14:paraId="65C62549">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13.3</w:t>
      </w:r>
      <w:r>
        <w:rPr>
          <w:rFonts w:hint="eastAsia" w:ascii="宋体" w:hAnsi="宋体" w:eastAsia="宋体" w:cs="宋体"/>
          <w:color w:val="auto"/>
          <w:kern w:val="2"/>
          <w:sz w:val="24"/>
          <w:szCs w:val="24"/>
          <w:highlight w:val="none"/>
          <w:lang w:val="en-US" w:eastAsia="zh-CN" w:bidi="ar"/>
        </w:rPr>
        <w:t>投标人的投标报价，应是按照投标须知前附表第</w:t>
      </w:r>
      <w:r>
        <w:rPr>
          <w:rFonts w:hint="eastAsia" w:ascii="宋体" w:hAnsi="宋体" w:eastAsia="宋体" w:cs="Times New Roman"/>
          <w:color w:val="auto"/>
          <w:kern w:val="2"/>
          <w:sz w:val="24"/>
          <w:szCs w:val="24"/>
          <w:highlight w:val="none"/>
          <w:lang w:val="en-US" w:eastAsia="zh-CN" w:bidi="ar"/>
        </w:rPr>
        <w:t>8</w:t>
      </w:r>
      <w:r>
        <w:rPr>
          <w:rFonts w:hint="eastAsia" w:ascii="宋体" w:hAnsi="宋体" w:eastAsia="宋体" w:cs="宋体"/>
          <w:color w:val="auto"/>
          <w:kern w:val="2"/>
          <w:sz w:val="24"/>
          <w:szCs w:val="24"/>
          <w:highlight w:val="none"/>
          <w:lang w:val="en-US" w:eastAsia="zh-CN" w:bidi="ar"/>
        </w:rPr>
        <w:t>项的工期要求，在投标须知前附表第</w:t>
      </w:r>
      <w:r>
        <w:rPr>
          <w:rFonts w:hint="eastAsia" w:ascii="宋体" w:hAnsi="宋体" w:eastAsia="宋体" w:cs="Times New Roman"/>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项的建设地点，完成投标须知前附表第</w:t>
      </w:r>
      <w:r>
        <w:rPr>
          <w:rFonts w:hint="eastAsia" w:ascii="宋体" w:hAnsi="宋体" w:eastAsia="宋体" w:cs="Times New Roman"/>
          <w:color w:val="auto"/>
          <w:kern w:val="2"/>
          <w:sz w:val="24"/>
          <w:szCs w:val="24"/>
          <w:highlight w:val="none"/>
          <w:lang w:val="en-US" w:eastAsia="zh-CN" w:bidi="ar"/>
        </w:rPr>
        <w:t>7</w:t>
      </w:r>
      <w:r>
        <w:rPr>
          <w:rFonts w:hint="eastAsia" w:ascii="宋体" w:hAnsi="宋体" w:eastAsia="宋体" w:cs="宋体"/>
          <w:color w:val="auto"/>
          <w:kern w:val="2"/>
          <w:sz w:val="24"/>
          <w:szCs w:val="24"/>
          <w:highlight w:val="none"/>
          <w:lang w:val="en-US" w:eastAsia="zh-CN" w:bidi="ar"/>
        </w:rPr>
        <w:t>项的招标范围内已由招标人制定的工程量清单列明工作的全部费用，包括但不限于完成工作的成本、利润、税金、技术措施费、大型机械进出场费、风险费以及政策性文件规定费用等，不得以任何理由予以重复计算。招标人提供的工程量清单或招标文件其他部分中有关规费、暂列金额、暂估价、绿色施工安全防护措施费等非竞争性项目明列了单价或合价的金额的，投标人应按照明列的单价或合价的金额报价，未按照规定金额报价的，由评标委员会按照招标文件规定的金额进行修正。</w:t>
      </w:r>
    </w:p>
    <w:p w14:paraId="7F1598E2">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13.4</w:t>
      </w:r>
      <w:r>
        <w:rPr>
          <w:rFonts w:hint="eastAsia" w:ascii="宋体" w:hAnsi="宋体" w:eastAsia="宋体" w:cs="宋体"/>
          <w:color w:val="auto"/>
          <w:kern w:val="2"/>
          <w:sz w:val="24"/>
          <w:szCs w:val="24"/>
          <w:highlight w:val="none"/>
          <w:lang w:val="en-US" w:eastAsia="zh-CN" w:bidi="ar"/>
        </w:rPr>
        <w:t>投标人一旦中标，投标人对招标人提供的招标工程量清单中列出的工程项目所报出的综合单价，在工程结算时将不得变更，招标人应在招标文件及合同中明确在人工、材料、设备或机械台班市场价格发生异常变动情况时合同价款的调整办法。因应计算的实际工程量与招标工程量清单出现偏差或因工程变更等原因导致的工程量偏差，引起相关措施项目相应发生变化时，按系数或单一总价方式计价的措施项目费，工程量增加的措施项目费调增，工程量减少的措施项目费调减。</w:t>
      </w:r>
    </w:p>
    <w:p w14:paraId="260F8022">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13.5</w:t>
      </w:r>
      <w:r>
        <w:rPr>
          <w:rFonts w:hint="eastAsia" w:ascii="宋体" w:hAnsi="宋体" w:eastAsia="宋体" w:cs="宋体"/>
          <w:color w:val="auto"/>
          <w:kern w:val="2"/>
          <w:sz w:val="24"/>
          <w:szCs w:val="24"/>
          <w:highlight w:val="none"/>
          <w:lang w:val="en-US" w:eastAsia="zh-CN" w:bidi="ar"/>
        </w:rPr>
        <w:t>工程项目实施期间和结算时，招标文件工程量清单中漏列而由监理单位和招标人现场签证确认的工程项目、原设计没有而由招标人批准设计变更产生的工程项目，视为新增项目，按以下顺序确定价格：</w:t>
      </w:r>
    </w:p>
    <w:p w14:paraId="22ADE991">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13.5.1</w:t>
      </w:r>
      <w:r>
        <w:rPr>
          <w:rFonts w:hint="eastAsia" w:ascii="宋体" w:hAnsi="宋体" w:eastAsia="宋体" w:cs="宋体"/>
          <w:color w:val="auto"/>
          <w:kern w:val="2"/>
          <w:sz w:val="24"/>
          <w:szCs w:val="24"/>
          <w:highlight w:val="none"/>
          <w:lang w:val="en-US" w:eastAsia="zh-CN" w:bidi="ar"/>
        </w:rPr>
        <w:t>中标的投标文件工程量清单中已有相同项目的适用综合单价，则沿用；</w:t>
      </w:r>
    </w:p>
    <w:p w14:paraId="28608B47">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13.5.2</w:t>
      </w:r>
      <w:r>
        <w:rPr>
          <w:rFonts w:hint="eastAsia" w:ascii="宋体" w:hAnsi="宋体" w:eastAsia="宋体" w:cs="宋体"/>
          <w:color w:val="auto"/>
          <w:kern w:val="2"/>
          <w:sz w:val="24"/>
          <w:szCs w:val="24"/>
          <w:highlight w:val="none"/>
          <w:lang w:val="en-US" w:eastAsia="zh-CN" w:bidi="ar"/>
        </w:rPr>
        <w:t>中标的投标文件工程量清单中已有类似项目的综合单价，则按类似项目的综合单价对相应子目、消耗量、单价等进行调整换算，原管理费、利润水平不变。如中标的投标文件工程量清单中类似项目的综合单价有两个以上，则由招标人按消耗量最少、管理费和利润取费最低的优先顺序选择类似项目综合单价进行换算。如换算时出现类似项目中没有的材料单价，按广州市造价管理站同期《广州地区建设工程常用材料税前综合价格》计算，《广州地区建设工程常用材料税前综合价格》没有的材料单价，由招标人在招标文件中依法确定计价方式。</w:t>
      </w:r>
    </w:p>
    <w:p w14:paraId="1483FF24">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13.5.3 </w:t>
      </w:r>
      <w:r>
        <w:rPr>
          <w:rFonts w:hint="eastAsia" w:ascii="宋体" w:hAnsi="宋体" w:eastAsia="宋体" w:cs="宋体"/>
          <w:color w:val="auto"/>
          <w:kern w:val="2"/>
          <w:sz w:val="24"/>
          <w:szCs w:val="24"/>
          <w:highlight w:val="none"/>
          <w:lang w:val="en-US" w:eastAsia="zh-CN" w:bidi="ar"/>
        </w:rPr>
        <w:t>中标的投标文件工程量清单中没有相同项目或类似项目的，如可套取相关定额，则以相关定额为基数下浮计算单价</w:t>
      </w:r>
      <w:r>
        <w:rPr>
          <w:rFonts w:hint="eastAsia" w:ascii="宋体" w:hAnsi="Times New Roman"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下浮率为中标价相对于最高投标限价的下浮率（下浮率</w:t>
      </w:r>
      <w:r>
        <w:rPr>
          <w:rFonts w:hint="eastAsia" w:ascii="宋体" w:hAnsi="宋体"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最高投标限价</w:t>
      </w:r>
      <w:r>
        <w:rPr>
          <w:rFonts w:hint="eastAsia" w:ascii="宋体" w:hAnsi="Times New Roman"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中标价</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最高投标限价）。</w:t>
      </w:r>
    </w:p>
    <w:p w14:paraId="6A3803E5">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13.5.4 </w:t>
      </w:r>
      <w:r>
        <w:rPr>
          <w:rFonts w:hint="eastAsia" w:ascii="宋体" w:hAnsi="宋体" w:eastAsia="宋体" w:cs="宋体"/>
          <w:color w:val="auto"/>
          <w:kern w:val="2"/>
          <w:sz w:val="24"/>
          <w:szCs w:val="24"/>
          <w:highlight w:val="none"/>
          <w:lang w:val="en-US" w:eastAsia="zh-CN" w:bidi="ar"/>
        </w:rPr>
        <w:t>如相关定额没有相应子目的，其计价方式由招标人在本招标文件第三章中另行规定。未规定的，中标后双方协商约定。</w:t>
      </w:r>
    </w:p>
    <w:p w14:paraId="6E3830A6">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13.6</w:t>
      </w:r>
      <w:r>
        <w:rPr>
          <w:rFonts w:hint="eastAsia" w:ascii="宋体" w:hAnsi="宋体" w:eastAsia="宋体" w:cs="宋体"/>
          <w:color w:val="auto"/>
          <w:kern w:val="2"/>
          <w:sz w:val="24"/>
          <w:szCs w:val="24"/>
          <w:highlight w:val="none"/>
          <w:lang w:val="en-US" w:eastAsia="zh-CN" w:bidi="ar"/>
        </w:rPr>
        <w:t>暂列金额、暂估价</w:t>
      </w:r>
    </w:p>
    <w:p w14:paraId="28A94B3B">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13.6.1</w:t>
      </w:r>
      <w:r>
        <w:rPr>
          <w:rFonts w:hint="eastAsia" w:ascii="宋体" w:hAnsi="宋体" w:eastAsia="宋体" w:cs="宋体"/>
          <w:color w:val="auto"/>
          <w:kern w:val="2"/>
          <w:sz w:val="24"/>
          <w:szCs w:val="24"/>
          <w:highlight w:val="none"/>
          <w:lang w:val="en-US" w:eastAsia="zh-CN" w:bidi="ar"/>
        </w:rPr>
        <w:t>暂列金额指招标人在工程量清单中暂定并包括在合同价款中的一笔款项。用于施工合同签订时尚未确定或者不可预见的所需材料、设备、服务的采购，施工中可能发生的工程量变更、合同约定调整因素出现时的工程价款调整以及发生的索赔、现场签证等费用。</w:t>
      </w:r>
    </w:p>
    <w:p w14:paraId="587DBDD9">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暂估价是指招标人在工程量清单中提供的用于支付必然发生但暂时不能确定价格的材料的单价以及专业工程的金额。</w:t>
      </w:r>
    </w:p>
    <w:p w14:paraId="0C1BC64F">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13.6.2</w:t>
      </w:r>
      <w:r>
        <w:rPr>
          <w:rFonts w:hint="eastAsia" w:ascii="宋体" w:hAnsi="宋体" w:eastAsia="宋体" w:cs="宋体"/>
          <w:color w:val="auto"/>
          <w:kern w:val="2"/>
          <w:sz w:val="24"/>
          <w:szCs w:val="24"/>
          <w:highlight w:val="none"/>
          <w:lang w:val="en-US" w:eastAsia="zh-CN" w:bidi="ar"/>
        </w:rPr>
        <w:t>在工程实施中，暂列金额、暂估价所包含的工作范围和图纸、标准深化固定后，按照工程专业、设备、材料类别等分类汇总的金额，达到法定招标范围标准的，应由招标人同中标人联合招标，确定承包人和承包价格。</w:t>
      </w:r>
    </w:p>
    <w:p w14:paraId="73A5AA2D">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13.6.3</w:t>
      </w:r>
      <w:r>
        <w:rPr>
          <w:rFonts w:hint="eastAsia" w:ascii="宋体" w:hAnsi="宋体" w:eastAsia="宋体" w:cs="宋体"/>
          <w:color w:val="auto"/>
          <w:kern w:val="2"/>
          <w:sz w:val="24"/>
          <w:szCs w:val="24"/>
          <w:highlight w:val="none"/>
          <w:lang w:val="en-US" w:eastAsia="zh-CN" w:bidi="ar"/>
        </w:rPr>
        <w:t>在工程实施中，暂列金额、暂估价所包含的工作范围和图纸、标准深化固定后，按照工程专业、设备、材料类别等分类汇总的金额，未达到法定招标范围标准但适用政府采购规定的，应按照政府采购规定确定承包人和承包价格。</w:t>
      </w:r>
    </w:p>
    <w:p w14:paraId="07DFA660">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13.6.4</w:t>
      </w:r>
      <w:r>
        <w:rPr>
          <w:rFonts w:hint="eastAsia" w:ascii="宋体" w:hAnsi="宋体" w:eastAsia="宋体" w:cs="宋体"/>
          <w:color w:val="auto"/>
          <w:kern w:val="2"/>
          <w:sz w:val="24"/>
          <w:szCs w:val="24"/>
          <w:highlight w:val="none"/>
          <w:lang w:val="en-US" w:eastAsia="zh-CN" w:bidi="ar"/>
        </w:rPr>
        <w:t>在工程实施中，暂列金额、暂估价所包含的工作范围和图纸、标准深化固定后，按照工程专业、设备、材料类别等分类汇总的金额，未达到法定招标范围标准也不适用政府采购规定，承包人有法定的承包资格的，由承包人承包，承包人无法定的承包资格但有法定的分包权的，由承包人分包，招标人同承包人结算的价格按本投标须知</w:t>
      </w:r>
      <w:r>
        <w:rPr>
          <w:rFonts w:hint="eastAsia" w:ascii="宋体" w:hAnsi="宋体" w:eastAsia="宋体" w:cs="Times New Roman"/>
          <w:color w:val="auto"/>
          <w:kern w:val="2"/>
          <w:sz w:val="24"/>
          <w:szCs w:val="24"/>
          <w:highlight w:val="none"/>
          <w:lang w:val="en-US" w:eastAsia="zh-CN" w:bidi="ar"/>
        </w:rPr>
        <w:t>13.5</w:t>
      </w:r>
      <w:r>
        <w:rPr>
          <w:rFonts w:hint="eastAsia" w:ascii="宋体" w:hAnsi="宋体" w:eastAsia="宋体" w:cs="宋体"/>
          <w:color w:val="auto"/>
          <w:kern w:val="2"/>
          <w:sz w:val="24"/>
          <w:szCs w:val="24"/>
          <w:highlight w:val="none"/>
          <w:lang w:val="en-US" w:eastAsia="zh-CN" w:bidi="ar"/>
        </w:rPr>
        <w:t>款规定确定。</w:t>
      </w:r>
    </w:p>
    <w:p w14:paraId="5251B6BF">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13.6.5</w:t>
      </w:r>
      <w:r>
        <w:rPr>
          <w:rFonts w:hint="eastAsia" w:ascii="宋体" w:hAnsi="宋体" w:eastAsia="宋体" w:cs="宋体"/>
          <w:color w:val="auto"/>
          <w:kern w:val="2"/>
          <w:sz w:val="24"/>
          <w:szCs w:val="24"/>
          <w:highlight w:val="none"/>
          <w:lang w:val="en-US" w:eastAsia="zh-CN" w:bidi="ar"/>
        </w:rPr>
        <w:t>在工程实施中，暂列金额、暂估价所包含的工作范围和图纸、标准深化固定后，按照工程专业、设备、材料类别等分类汇总的金额，未达到法定招标范围标准也不适用政府采购规定，承包人既无法定的承包资格又无法定的分包权的，由招标人另行发包。</w:t>
      </w:r>
    </w:p>
    <w:p w14:paraId="7BA6884B">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13.6.6 </w:t>
      </w:r>
      <w:r>
        <w:rPr>
          <w:rFonts w:hint="eastAsia" w:ascii="宋体" w:hAnsi="宋体" w:eastAsia="宋体" w:cs="宋体"/>
          <w:color w:val="auto"/>
          <w:kern w:val="2"/>
          <w:sz w:val="24"/>
          <w:szCs w:val="24"/>
          <w:highlight w:val="none"/>
          <w:lang w:val="en-US" w:eastAsia="zh-CN" w:bidi="ar"/>
        </w:rPr>
        <w:t>在工程实施中，暂列金额、暂估价所包含的工作范围由其他承包人承包的，纳入本项目承包人的管理和协调范围，由其他承包人向本项目承包人承担质量、安全、文明施工、工期责任，本项目承包人向招标人承担责任。投标人应当充分考虑此项管理和协调所发生的费用，并将其纳入招标人提供的工程量清单中的适当项目报价中。招标人将视为此项管理和协调所发生的费用已包含在其它有价款的竞争性报价内，在实施后，招标人将不予支付。</w:t>
      </w:r>
    </w:p>
    <w:p w14:paraId="6DBD3095">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13.7</w:t>
      </w:r>
      <w:r>
        <w:rPr>
          <w:rFonts w:hint="eastAsia" w:ascii="宋体" w:hAnsi="宋体" w:eastAsia="宋体" w:cs="宋体"/>
          <w:color w:val="auto"/>
          <w:kern w:val="2"/>
          <w:sz w:val="24"/>
          <w:szCs w:val="24"/>
          <w:highlight w:val="none"/>
          <w:lang w:val="en-US" w:eastAsia="zh-CN" w:bidi="ar"/>
        </w:rPr>
        <w:t>投标人可先到工地踏勘以充分了解工地位置、情况、道路、储存空间、装卸限制及任何其他足以影响承包价的情况，任何因忽视或误解工地情况而导致的索赔或工期延长申请将不被批准。</w:t>
      </w:r>
    </w:p>
    <w:p w14:paraId="7DD64F17">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13.8</w:t>
      </w:r>
      <w:r>
        <w:rPr>
          <w:rFonts w:hint="eastAsia" w:ascii="宋体" w:hAnsi="宋体" w:eastAsia="宋体" w:cs="宋体"/>
          <w:color w:val="auto"/>
          <w:kern w:val="2"/>
          <w:sz w:val="24"/>
          <w:szCs w:val="24"/>
          <w:highlight w:val="none"/>
          <w:lang w:val="en-US" w:eastAsia="zh-CN" w:bidi="ar"/>
        </w:rPr>
        <w:t>属于承包人自行采购的主要材料、设备，招标人应当在招标文件中提出材料、设备的技术标准或者质量要求，或者提出不少于</w:t>
      </w:r>
      <w:r>
        <w:rPr>
          <w:rFonts w:hint="eastAsia" w:ascii="宋体" w:hAnsi="宋体" w:eastAsia="宋体" w:cs="Times New Roman"/>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个同等档次品牌或分包商供投标人报价时选择</w:t>
      </w:r>
      <w:r>
        <w:rPr>
          <w:rFonts w:hint="eastAsia" w:ascii="宋体" w:hAnsi="Times New Roman"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凡招标人在招标文件中提出参考品牌的，必须在参考品牌后面加上“或相当于”字样。投标人在投标文件中应明确所选用主要材料、设备的品牌、厂家以及质量等级，并且应当符合招标文件的要求。</w:t>
      </w:r>
    </w:p>
    <w:p w14:paraId="0ABC600F">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13.9</w:t>
      </w:r>
      <w:r>
        <w:rPr>
          <w:rFonts w:hint="eastAsia" w:ascii="宋体" w:hAnsi="宋体" w:eastAsia="宋体" w:cs="宋体"/>
          <w:color w:val="auto"/>
          <w:kern w:val="2"/>
          <w:sz w:val="24"/>
          <w:szCs w:val="24"/>
          <w:highlight w:val="none"/>
          <w:lang w:val="en-US" w:eastAsia="zh-CN" w:bidi="ar"/>
        </w:rPr>
        <w:t>招标人与中标人应本着实事求是、风险共担的原则，充分考虑施工合同履行期间人工、建筑材料、机械设备价格因素的影响。对于各类钢筋、混凝土等主要材料以及人工、机械设备等，应结合合同工期、各价格因素对工程总造价的影响等，合理约定调价机制。调价机制应由招标人在招标文件及合同中明确，内容包括调价范围（含材料、机械的具体名称、工种等）、价格变动时限、幅度以及相应的合同价款调整方法。</w:t>
      </w:r>
    </w:p>
    <w:p w14:paraId="2F8EE673">
      <w:pPr>
        <w:pStyle w:val="14"/>
        <w:keepNext w:val="0"/>
        <w:keepLines w:val="0"/>
        <w:widowControl w:val="0"/>
        <w:suppressLineNumbers w:val="0"/>
        <w:spacing w:before="0" w:beforeAutospacing="1" w:after="0" w:afterAutospacing="0" w:line="240" w:lineRule="auto"/>
        <w:ind w:left="0" w:right="0" w:firstLine="482" w:firstLineChars="200"/>
        <w:jc w:val="both"/>
        <w:rPr>
          <w:rFonts w:hint="eastAsia" w:ascii="宋体" w:hAnsi="Times New Roman"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14</w:t>
      </w:r>
      <w:r>
        <w:rPr>
          <w:rFonts w:hint="eastAsia" w:ascii="宋体" w:hAnsi="宋体" w:eastAsia="宋体" w:cs="宋体"/>
          <w:b/>
          <w:color w:val="auto"/>
          <w:kern w:val="2"/>
          <w:sz w:val="24"/>
          <w:szCs w:val="24"/>
          <w:highlight w:val="none"/>
          <w:lang w:val="en-US" w:eastAsia="zh-CN" w:bidi="ar"/>
        </w:rPr>
        <w:t>．投标货币</w:t>
      </w:r>
    </w:p>
    <w:p w14:paraId="1E783066">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14.1 </w:t>
      </w:r>
      <w:r>
        <w:rPr>
          <w:rFonts w:hint="eastAsia" w:ascii="宋体" w:hAnsi="宋体" w:eastAsia="宋体" w:cs="宋体"/>
          <w:color w:val="auto"/>
          <w:kern w:val="2"/>
          <w:sz w:val="24"/>
          <w:szCs w:val="24"/>
          <w:highlight w:val="none"/>
          <w:lang w:val="en-US" w:eastAsia="zh-CN" w:bidi="ar"/>
        </w:rPr>
        <w:t>本工程投标报价采用的币种为人民币。</w:t>
      </w:r>
    </w:p>
    <w:p w14:paraId="04BBC945">
      <w:pPr>
        <w:pStyle w:val="14"/>
        <w:keepNext w:val="0"/>
        <w:keepLines w:val="0"/>
        <w:widowControl w:val="0"/>
        <w:suppressLineNumbers w:val="0"/>
        <w:spacing w:before="0" w:beforeAutospacing="1" w:after="0" w:afterAutospacing="0" w:line="240" w:lineRule="auto"/>
        <w:ind w:left="0" w:right="0" w:firstLine="482"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15</w:t>
      </w:r>
      <w:r>
        <w:rPr>
          <w:rFonts w:hint="eastAsia" w:ascii="宋体" w:hAnsi="宋体" w:eastAsia="宋体" w:cs="宋体"/>
          <w:b/>
          <w:color w:val="auto"/>
          <w:kern w:val="2"/>
          <w:sz w:val="24"/>
          <w:szCs w:val="24"/>
          <w:highlight w:val="none"/>
          <w:lang w:val="en-US" w:eastAsia="zh-CN" w:bidi="ar"/>
        </w:rPr>
        <w:t>．投标有效期</w:t>
      </w:r>
    </w:p>
    <w:p w14:paraId="6E3E20E8">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15.1 </w:t>
      </w:r>
      <w:r>
        <w:rPr>
          <w:rFonts w:hint="eastAsia" w:ascii="宋体" w:hAnsi="宋体" w:eastAsia="宋体" w:cs="宋体"/>
          <w:color w:val="auto"/>
          <w:kern w:val="2"/>
          <w:sz w:val="24"/>
          <w:szCs w:val="24"/>
          <w:highlight w:val="none"/>
          <w:lang w:val="en-US" w:eastAsia="zh-CN" w:bidi="ar"/>
        </w:rPr>
        <w:t>投标有效期见投标须知前附表第</w:t>
      </w:r>
      <w:r>
        <w:rPr>
          <w:rFonts w:hint="eastAsia" w:ascii="宋体" w:hAnsi="宋体" w:eastAsia="宋体" w:cs="Times New Roman"/>
          <w:color w:val="auto"/>
          <w:kern w:val="2"/>
          <w:sz w:val="24"/>
          <w:szCs w:val="24"/>
          <w:highlight w:val="none"/>
          <w:lang w:val="en-US" w:eastAsia="zh-CN" w:bidi="ar"/>
        </w:rPr>
        <w:t>13</w:t>
      </w:r>
      <w:r>
        <w:rPr>
          <w:rFonts w:hint="eastAsia" w:ascii="宋体" w:hAnsi="宋体" w:eastAsia="宋体" w:cs="宋体"/>
          <w:color w:val="auto"/>
          <w:kern w:val="2"/>
          <w:sz w:val="24"/>
          <w:szCs w:val="24"/>
          <w:highlight w:val="none"/>
          <w:lang w:val="en-US" w:eastAsia="zh-CN" w:bidi="ar"/>
        </w:rPr>
        <w:t>项所规定的期限，在此期限内，凡符合本招标文件要求的投标文件均保持有效。</w:t>
      </w:r>
    </w:p>
    <w:p w14:paraId="6F429D52">
      <w:pPr>
        <w:pStyle w:val="14"/>
        <w:keepNext w:val="0"/>
        <w:keepLines w:val="0"/>
        <w:widowControl w:val="0"/>
        <w:suppressLineNumbers w:val="0"/>
        <w:spacing w:before="0" w:beforeAutospacing="1" w:after="0" w:afterAutospacing="0" w:line="24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15.2 </w:t>
      </w:r>
      <w:r>
        <w:rPr>
          <w:rFonts w:hint="eastAsia" w:ascii="宋体" w:hAnsi="宋体" w:eastAsia="宋体" w:cs="宋体"/>
          <w:color w:val="auto"/>
          <w:kern w:val="2"/>
          <w:sz w:val="24"/>
          <w:szCs w:val="24"/>
          <w:highlight w:val="none"/>
          <w:lang w:val="en-US" w:eastAsia="zh-CN" w:bidi="ar"/>
        </w:rPr>
        <w:t>在特殊情况下，招标人在原定投标有效期内，可以根据需要以书面形式向投标人提出延长投标有效期的要求，对此要求投标人须以书面形式予以答复。投标人可以拒绝招标人这种要求，而不影响退还其投标保证金。同意延长投标有效期的投标人既不能要求也不允许修改其投标文件，但需要相应的延长投标保证金的有效期，在延长的投标有效期内，本须知第</w:t>
      </w:r>
      <w:r>
        <w:rPr>
          <w:rFonts w:hint="eastAsia" w:ascii="宋体" w:hAnsi="宋体" w:eastAsia="宋体" w:cs="Times New Roman"/>
          <w:color w:val="auto"/>
          <w:kern w:val="2"/>
          <w:sz w:val="24"/>
          <w:szCs w:val="24"/>
          <w:highlight w:val="none"/>
          <w:lang w:val="en-US" w:eastAsia="zh-CN" w:bidi="ar"/>
        </w:rPr>
        <w:t>16</w:t>
      </w:r>
      <w:r>
        <w:rPr>
          <w:rFonts w:hint="eastAsia" w:ascii="宋体" w:hAnsi="宋体" w:eastAsia="宋体" w:cs="宋体"/>
          <w:color w:val="auto"/>
          <w:kern w:val="2"/>
          <w:sz w:val="24"/>
          <w:szCs w:val="24"/>
          <w:highlight w:val="none"/>
          <w:lang w:val="en-US" w:eastAsia="zh-CN" w:bidi="ar"/>
        </w:rPr>
        <w:t>条关于投标保证金的退还与不予退还的规定仍然适用。</w:t>
      </w:r>
    </w:p>
    <w:p w14:paraId="41FE467D">
      <w:pPr>
        <w:pStyle w:val="14"/>
        <w:keepNext w:val="0"/>
        <w:keepLines w:val="0"/>
        <w:widowControl w:val="0"/>
        <w:suppressLineNumbers w:val="0"/>
        <w:spacing w:before="0" w:beforeAutospacing="1" w:after="0" w:afterAutospacing="0" w:line="240" w:lineRule="auto"/>
        <w:ind w:left="0" w:right="0" w:firstLine="482" w:firstLineChars="200"/>
        <w:jc w:val="both"/>
        <w:rPr>
          <w:rFonts w:hint="eastAsia" w:ascii="宋体" w:hAnsi="Times New Roman"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16</w:t>
      </w:r>
      <w:r>
        <w:rPr>
          <w:rFonts w:hint="eastAsia" w:ascii="宋体" w:hAnsi="宋体" w:eastAsia="宋体" w:cs="宋体"/>
          <w:b/>
          <w:color w:val="auto"/>
          <w:kern w:val="2"/>
          <w:sz w:val="24"/>
          <w:szCs w:val="24"/>
          <w:highlight w:val="none"/>
          <w:lang w:val="en-US" w:eastAsia="zh-CN" w:bidi="ar"/>
        </w:rPr>
        <w:t>．投标保证金</w:t>
      </w:r>
    </w:p>
    <w:p w14:paraId="6701D924">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16.1</w:t>
      </w:r>
      <w:r>
        <w:rPr>
          <w:rFonts w:hint="eastAsia" w:ascii="宋体" w:hAnsi="宋体" w:eastAsia="宋体" w:cs="宋体"/>
          <w:color w:val="auto"/>
          <w:kern w:val="2"/>
          <w:sz w:val="24"/>
          <w:szCs w:val="24"/>
          <w:highlight w:val="none"/>
          <w:lang w:val="en-US" w:eastAsia="zh-CN" w:bidi="ar"/>
        </w:rPr>
        <w:t>投标人应按投标须知前附表第</w:t>
      </w:r>
      <w:r>
        <w:rPr>
          <w:rFonts w:hint="eastAsia" w:ascii="宋体" w:hAnsi="宋体" w:eastAsia="宋体" w:cs="Times New Roman"/>
          <w:color w:val="auto"/>
          <w:kern w:val="2"/>
          <w:sz w:val="24"/>
          <w:szCs w:val="24"/>
          <w:highlight w:val="none"/>
          <w:lang w:val="en-US" w:eastAsia="zh-CN" w:bidi="ar"/>
        </w:rPr>
        <w:t>14</w:t>
      </w:r>
      <w:r>
        <w:rPr>
          <w:rFonts w:hint="eastAsia" w:ascii="宋体" w:hAnsi="宋体" w:eastAsia="宋体" w:cs="宋体"/>
          <w:color w:val="auto"/>
          <w:kern w:val="2"/>
          <w:sz w:val="24"/>
          <w:szCs w:val="24"/>
          <w:highlight w:val="none"/>
          <w:lang w:val="en-US" w:eastAsia="zh-CN" w:bidi="ar"/>
        </w:rPr>
        <w:t>项所述金额和时间递交</w:t>
      </w:r>
      <w:r>
        <w:rPr>
          <w:rFonts w:hint="eastAsia" w:ascii="宋体" w:hAnsi="宋体" w:eastAsia="宋体" w:cs="宋体"/>
          <w:bCs/>
          <w:color w:val="auto"/>
          <w:kern w:val="2"/>
          <w:sz w:val="24"/>
          <w:szCs w:val="24"/>
          <w:highlight w:val="none"/>
          <w:lang w:val="en-US" w:eastAsia="zh-CN" w:bidi="ar"/>
        </w:rPr>
        <w:t>投标保证金</w:t>
      </w:r>
      <w:r>
        <w:rPr>
          <w:rFonts w:hint="eastAsia" w:ascii="宋体" w:hAnsi="宋体" w:eastAsia="宋体" w:cs="宋体"/>
          <w:color w:val="auto"/>
          <w:kern w:val="2"/>
          <w:sz w:val="24"/>
          <w:szCs w:val="24"/>
          <w:highlight w:val="none"/>
          <w:lang w:val="en-US" w:eastAsia="zh-CN" w:bidi="ar"/>
        </w:rPr>
        <w:t>。招标人应当允许投标人自主选择现金、银行保函、保证保险、专业工程担保公司担保等方式缴纳投标保证金。</w:t>
      </w:r>
    </w:p>
    <w:p w14:paraId="36282DC7">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16.1.1 采用现金或者支票形式提交的，投标保证金须从投标人的银行基本账户转出。</w:t>
      </w:r>
    </w:p>
    <w:p w14:paraId="70B4D099">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16.1.2 依法必须招标的房屋建筑工程如采用非电子形式的银行保函、专业工程担保公司担保或保证保险提交投标保证金的，在开标前不强制要求投标人提交纸质原件，由中标候选人在中标候选人公示前提交并在网上公示，投标人应在投标文件中提交保函、担保或保证保险扫描件并加盖投标人电子印章。如投标人存在16.4条款所列情形的，应将纸质原件提交给招标人。</w:t>
      </w:r>
    </w:p>
    <w:p w14:paraId="54E5B63A">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16.1.3 采用电子形式的保函、担保或保证保险提交投标保证金的，应在招标文件中明确电子递交途径。</w:t>
      </w:r>
    </w:p>
    <w:p w14:paraId="2CFF0C61">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16.2开标时投标人没有按要求提供投标保证金的，其投标文件将被否决；未按招标文件要求提交符合免予提供投标保证金相关证明材料，且未提交投标保证金的投标人，视为未按要求提供投标保证金。</w:t>
      </w:r>
    </w:p>
    <w:p w14:paraId="75DF126E">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16.3投标保证金应依据法律法规的相关规定退还。</w:t>
      </w:r>
    </w:p>
    <w:p w14:paraId="7F75930A">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16.4如有下列情况之一的，招标人可以不予退还投标保证金（是否退还投标保证金由招标人在招标文件中规定）：</w:t>
      </w:r>
    </w:p>
    <w:p w14:paraId="79219080">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16.4.1因投标人原因造成投标文件未解密的；</w:t>
      </w:r>
    </w:p>
    <w:p w14:paraId="0FE34F6A">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16.4.2投标人在投标有效期内撤销投标文件；</w:t>
      </w:r>
    </w:p>
    <w:p w14:paraId="72AF891F">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16.4.3中标人未能在规定期限内按要求提交履约担保；</w:t>
      </w:r>
    </w:p>
    <w:p w14:paraId="7D9671CB">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16.4.4中标人未能在规定期限内签署合同协议。</w:t>
      </w:r>
    </w:p>
    <w:p w14:paraId="7E8133CA">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16.5投标人如存在下列情况之一的，将被拒绝在一定时期内参与招标人后续工程投标（拒绝时限需在招标文件中明确）：</w:t>
      </w:r>
    </w:p>
    <w:p w14:paraId="5FFFE5A5">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16.5.1投标人存在16.4条款所列情形且投标人提交的保函、担保或保证保险无法兑付的；</w:t>
      </w:r>
    </w:p>
    <w:p w14:paraId="6D3A1273">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16.5.2采用非电子形式提交投标保证金的投标人存在16.4条款所列情形，且未按招标人要求补交银行保函、专业工程担保公司担保或保证保险原件的；</w:t>
      </w:r>
    </w:p>
    <w:p w14:paraId="50BF6574">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16.5.3按招标文件要求免于提供投标保证金的投标人存在16.4条款所列情形，且未按招标人要求补交投标保证金的；</w:t>
      </w:r>
    </w:p>
    <w:p w14:paraId="03B8D82E">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16.5.3按招标文件要求免于提供投标保证金的投标人存在16.4条款所列情形的。</w:t>
      </w:r>
    </w:p>
    <w:p w14:paraId="56B78575">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注：16.5.3款由招标人二选一，需在招标文件中明确。</w:t>
      </w:r>
    </w:p>
    <w:p w14:paraId="61ECB714">
      <w:pPr>
        <w:pStyle w:val="14"/>
        <w:keepNext w:val="0"/>
        <w:keepLines w:val="0"/>
        <w:widowControl w:val="0"/>
        <w:suppressLineNumbers w:val="0"/>
        <w:spacing w:before="0" w:beforeAutospacing="1" w:after="0" w:afterAutospacing="0" w:line="240" w:lineRule="auto"/>
        <w:ind w:left="0" w:right="0" w:firstLine="482" w:firstLineChars="200"/>
        <w:jc w:val="both"/>
        <w:rPr>
          <w:rFonts w:hint="eastAsia" w:ascii="宋体" w:hAnsi="Times New Roman"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17</w:t>
      </w:r>
      <w:r>
        <w:rPr>
          <w:rFonts w:hint="eastAsia" w:ascii="宋体" w:hAnsi="宋体" w:eastAsia="宋体" w:cs="宋体"/>
          <w:b/>
          <w:color w:val="auto"/>
          <w:kern w:val="2"/>
          <w:sz w:val="24"/>
          <w:szCs w:val="24"/>
          <w:highlight w:val="none"/>
          <w:lang w:val="en-US" w:eastAsia="zh-CN" w:bidi="ar"/>
        </w:rPr>
        <w:t>．投标文件的签署</w:t>
      </w:r>
    </w:p>
    <w:p w14:paraId="711CD81E">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17.1</w:t>
      </w:r>
      <w:r>
        <w:rPr>
          <w:rFonts w:hint="eastAsia" w:ascii="宋体" w:hAnsi="宋体" w:eastAsia="宋体" w:cs="宋体"/>
          <w:color w:val="auto"/>
          <w:kern w:val="2"/>
          <w:sz w:val="24"/>
          <w:szCs w:val="24"/>
          <w:highlight w:val="none"/>
          <w:lang w:val="en-US" w:eastAsia="zh-CN" w:bidi="ar"/>
        </w:rPr>
        <w:t>投标人应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eastAsia="宋体" w:cs="Times New Roman"/>
          <w:color w:val="auto"/>
          <w:kern w:val="2"/>
          <w:sz w:val="24"/>
          <w:szCs w:val="24"/>
          <w:highlight w:val="none"/>
          <w:u w:val="single"/>
          <w:lang w:val="en-US" w:eastAsia="zh-CN" w:bidi="ar"/>
        </w:rPr>
        <w:t xml:space="preserve">            </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w:t>
      </w:r>
    </w:p>
    <w:p w14:paraId="1DFE8018">
      <w:pPr>
        <w:pStyle w:val="4"/>
        <w:widowControl/>
        <w:spacing w:before="156" w:beforeAutospacing="0" w:after="156" w:afterAutospacing="0" w:line="240" w:lineRule="auto"/>
        <w:rPr>
          <w:rFonts w:hint="eastAsia" w:ascii="宋体" w:hAnsi="宋体" w:eastAsia="宋体" w:cs="宋体"/>
          <w:color w:val="auto"/>
          <w:kern w:val="0"/>
          <w:sz w:val="27"/>
          <w:szCs w:val="27"/>
          <w:highlight w:val="none"/>
        </w:rPr>
      </w:pPr>
      <w:bookmarkStart w:id="14" w:name="_Toc21525496"/>
      <w:bookmarkEnd w:id="14"/>
      <w:bookmarkStart w:id="15" w:name="_Toc2272552"/>
      <w:r>
        <w:rPr>
          <w:rFonts w:hint="eastAsia" w:ascii="宋体" w:hAnsi="宋体" w:eastAsia="宋体" w:cs="宋体"/>
          <w:color w:val="auto"/>
          <w:kern w:val="0"/>
          <w:sz w:val="27"/>
          <w:szCs w:val="27"/>
          <w:highlight w:val="none"/>
        </w:rPr>
        <w:t>（四）投标文件的提交</w:t>
      </w:r>
      <w:bookmarkEnd w:id="15"/>
    </w:p>
    <w:p w14:paraId="2C640BE8">
      <w:pPr>
        <w:pStyle w:val="14"/>
        <w:keepNext w:val="0"/>
        <w:keepLines w:val="0"/>
        <w:widowControl w:val="0"/>
        <w:suppressLineNumbers w:val="0"/>
        <w:spacing w:before="0" w:beforeAutospacing="1" w:after="0" w:afterAutospacing="0" w:line="240" w:lineRule="auto"/>
        <w:ind w:left="0" w:right="0" w:firstLine="482" w:firstLineChars="200"/>
        <w:jc w:val="both"/>
        <w:rPr>
          <w:rFonts w:hint="eastAsia" w:ascii="宋体" w:hAnsi="Times New Roman"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18</w:t>
      </w:r>
      <w:r>
        <w:rPr>
          <w:rFonts w:hint="eastAsia" w:ascii="宋体" w:hAnsi="宋体" w:eastAsia="宋体" w:cs="宋体"/>
          <w:b/>
          <w:color w:val="auto"/>
          <w:kern w:val="2"/>
          <w:sz w:val="24"/>
          <w:szCs w:val="24"/>
          <w:highlight w:val="none"/>
          <w:lang w:val="en-US" w:eastAsia="zh-CN" w:bidi="ar"/>
        </w:rPr>
        <w:t>．</w:t>
      </w:r>
      <w:r>
        <w:rPr>
          <w:rFonts w:hint="eastAsia" w:ascii="宋体" w:hAnsi="宋体" w:eastAsia="宋体" w:cs="宋体"/>
          <w:b/>
          <w:bCs w:val="0"/>
          <w:color w:val="auto"/>
          <w:kern w:val="2"/>
          <w:sz w:val="24"/>
          <w:szCs w:val="24"/>
          <w:highlight w:val="none"/>
          <w:lang w:val="en-US" w:eastAsia="zh-CN" w:bidi="ar"/>
        </w:rPr>
        <w:t>投标文件的密封和标记</w:t>
      </w:r>
    </w:p>
    <w:p w14:paraId="5E12AFAE">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1</w:t>
      </w:r>
      <w:r>
        <w:rPr>
          <w:rFonts w:hint="eastAsia" w:ascii="宋体" w:hAnsi="宋体" w:eastAsia="宋体" w:cs="宋体"/>
          <w:bCs/>
          <w:color w:val="auto"/>
          <w:kern w:val="2"/>
          <w:sz w:val="24"/>
          <w:szCs w:val="24"/>
          <w:highlight w:val="none"/>
          <w:lang w:val="en-US" w:eastAsia="zh-CN" w:bidi="ar"/>
        </w:rPr>
        <w:t>8</w:t>
      </w:r>
      <w:r>
        <w:rPr>
          <w:rFonts w:hint="eastAsia" w:ascii="宋体" w:hAnsi="宋体" w:eastAsia="宋体" w:cs="Times New Roman"/>
          <w:bCs/>
          <w:color w:val="auto"/>
          <w:kern w:val="2"/>
          <w:sz w:val="24"/>
          <w:szCs w:val="24"/>
          <w:highlight w:val="none"/>
          <w:lang w:val="en-US" w:eastAsia="zh-CN" w:bidi="ar"/>
        </w:rPr>
        <w:t>.1</w:t>
      </w:r>
      <w:r>
        <w:rPr>
          <w:rFonts w:hint="eastAsia" w:ascii="宋体" w:hAnsi="宋体" w:eastAsia="宋体" w:cs="宋体"/>
          <w:bCs/>
          <w:color w:val="auto"/>
          <w:kern w:val="2"/>
          <w:sz w:val="24"/>
          <w:szCs w:val="24"/>
          <w:highlight w:val="none"/>
          <w:lang w:val="en-US" w:eastAsia="zh-CN" w:bidi="ar"/>
        </w:rPr>
        <w:t>递交的电子投标文件（不含备用光盘）必须进行加密。按照交易平台关于</w:t>
      </w:r>
      <w:r>
        <w:rPr>
          <w:rFonts w:hint="eastAsia" w:ascii="宋体" w:hAnsi="宋体" w:eastAsia="宋体" w:cs="宋体"/>
          <w:color w:val="auto"/>
          <w:kern w:val="2"/>
          <w:sz w:val="24"/>
          <w:szCs w:val="24"/>
          <w:highlight w:val="none"/>
          <w:lang w:val="en-US" w:eastAsia="zh-CN" w:bidi="ar"/>
        </w:rPr>
        <w:t>全流程电子化项目的相关指南进行操作。详见：</w:t>
      </w:r>
      <w:r>
        <w:rPr>
          <w:rFonts w:hint="default" w:ascii="Calibri" w:hAnsi="Calibri" w:eastAsia="宋体" w:cs="Times New Roman"/>
          <w:color w:val="auto"/>
          <w:kern w:val="2"/>
          <w:sz w:val="24"/>
          <w:szCs w:val="24"/>
          <w:highlight w:val="none"/>
          <w:u w:val="single"/>
          <w:lang w:val="en-US" w:eastAsia="zh-CN" w:bidi="ar"/>
        </w:rPr>
        <w:t xml:space="preserve">       </w:t>
      </w:r>
      <w:r>
        <w:rPr>
          <w:rFonts w:hint="eastAsia" w:ascii="Calibri" w:hAnsi="Calibri" w:eastAsia="宋体" w:cs="Times New Roman"/>
          <w:color w:val="auto"/>
          <w:kern w:val="2"/>
          <w:sz w:val="24"/>
          <w:szCs w:val="24"/>
          <w:highlight w:val="none"/>
          <w:u w:val="single"/>
          <w:lang w:val="en-US" w:eastAsia="zh-CN" w:bidi="ar"/>
        </w:rPr>
        <w:t xml:space="preserve">   </w:t>
      </w:r>
      <w:r>
        <w:rPr>
          <w:rFonts w:hint="default" w:ascii="Calibri" w:hAnsi="Calibri" w:eastAsia="宋体" w:cs="Times New Roman"/>
          <w:color w:val="auto"/>
          <w:kern w:val="2"/>
          <w:sz w:val="24"/>
          <w:szCs w:val="24"/>
          <w:highlight w:val="none"/>
          <w:u w:val="single"/>
          <w:lang w:val="en-US" w:eastAsia="zh-CN" w:bidi="ar"/>
        </w:rPr>
        <w:t xml:space="preserve"> </w:t>
      </w:r>
      <w:r>
        <w:rPr>
          <w:rFonts w:hint="eastAsia" w:ascii="Calibri" w:hAnsi="Calibri"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w:t>
      </w:r>
    </w:p>
    <w:p w14:paraId="782D89C0">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1</w:t>
      </w:r>
      <w:r>
        <w:rPr>
          <w:rFonts w:hint="eastAsia" w:ascii="宋体" w:hAnsi="宋体" w:eastAsia="宋体" w:cs="宋体"/>
          <w:bCs/>
          <w:color w:val="auto"/>
          <w:kern w:val="2"/>
          <w:sz w:val="24"/>
          <w:szCs w:val="24"/>
          <w:highlight w:val="none"/>
          <w:lang w:val="en-US" w:eastAsia="zh-CN" w:bidi="ar"/>
        </w:rPr>
        <w:t>8</w:t>
      </w:r>
      <w:r>
        <w:rPr>
          <w:rFonts w:hint="eastAsia" w:ascii="宋体" w:hAnsi="宋体" w:eastAsia="宋体" w:cs="Times New Roman"/>
          <w:bCs/>
          <w:color w:val="auto"/>
          <w:kern w:val="2"/>
          <w:sz w:val="24"/>
          <w:szCs w:val="24"/>
          <w:highlight w:val="none"/>
          <w:lang w:val="en-US" w:eastAsia="zh-CN" w:bidi="ar"/>
        </w:rPr>
        <w:t>.2</w:t>
      </w:r>
      <w:r>
        <w:rPr>
          <w:rFonts w:hint="eastAsia" w:ascii="宋体" w:hAnsi="Calibri" w:eastAsia="宋体" w:cs="Times New Roman"/>
          <w:bCs/>
          <w:color w:val="auto"/>
          <w:kern w:val="2"/>
          <w:sz w:val="24"/>
          <w:szCs w:val="24"/>
          <w:highlight w:val="none"/>
          <w:lang w:val="en-US" w:eastAsia="zh-CN" w:bidi="ar"/>
        </w:rPr>
        <w:t xml:space="preserve"> </w:t>
      </w:r>
      <w:r>
        <w:rPr>
          <w:rFonts w:hint="eastAsia" w:ascii="宋体" w:hAnsi="宋体" w:eastAsia="宋体" w:cs="宋体"/>
          <w:bCs/>
          <w:color w:val="auto"/>
          <w:kern w:val="2"/>
          <w:sz w:val="24"/>
          <w:szCs w:val="24"/>
          <w:highlight w:val="none"/>
          <w:lang w:val="en-US" w:eastAsia="zh-CN" w:bidi="ar"/>
        </w:rPr>
        <w:t>未按要求加密的投标文件，</w:t>
      </w:r>
      <w:r>
        <w:rPr>
          <w:rFonts w:hint="default" w:ascii="Calibri" w:hAnsi="Calibri"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w:t>
      </w:r>
      <w:r>
        <w:rPr>
          <w:rFonts w:hint="eastAsia" w:ascii="宋体" w:hAnsi="宋体" w:eastAsia="宋体" w:cs="宋体"/>
          <w:bCs/>
          <w:color w:val="auto"/>
          <w:kern w:val="2"/>
          <w:sz w:val="24"/>
          <w:szCs w:val="24"/>
          <w:highlight w:val="none"/>
          <w:lang w:val="en-US" w:eastAsia="zh-CN" w:bidi="ar"/>
        </w:rPr>
        <w:t>将予以拒收。</w:t>
      </w:r>
    </w:p>
    <w:p w14:paraId="30CAEBFA">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19</w:t>
      </w:r>
      <w:r>
        <w:rPr>
          <w:rFonts w:hint="eastAsia" w:ascii="宋体" w:hAnsi="宋体" w:eastAsia="宋体" w:cs="宋体"/>
          <w:b/>
          <w:color w:val="auto"/>
          <w:kern w:val="2"/>
          <w:sz w:val="24"/>
          <w:szCs w:val="24"/>
          <w:highlight w:val="none"/>
          <w:lang w:val="en-US" w:eastAsia="zh-CN" w:bidi="ar"/>
        </w:rPr>
        <w:t>．投标文件的递交和接收</w:t>
      </w:r>
    </w:p>
    <w:p w14:paraId="254CD3ED">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1</w:t>
      </w:r>
      <w:r>
        <w:rPr>
          <w:rFonts w:hint="eastAsia" w:ascii="宋体" w:hAnsi="宋体" w:eastAsia="宋体" w:cs="宋体"/>
          <w:bCs/>
          <w:color w:val="auto"/>
          <w:kern w:val="2"/>
          <w:sz w:val="24"/>
          <w:szCs w:val="24"/>
          <w:highlight w:val="none"/>
          <w:lang w:val="en-US" w:eastAsia="zh-CN" w:bidi="ar"/>
        </w:rPr>
        <w:t>9</w:t>
      </w:r>
      <w:r>
        <w:rPr>
          <w:rFonts w:hint="eastAsia" w:ascii="宋体" w:hAnsi="宋体" w:eastAsia="宋体" w:cs="Times New Roman"/>
          <w:bCs/>
          <w:color w:val="auto"/>
          <w:kern w:val="2"/>
          <w:sz w:val="24"/>
          <w:szCs w:val="24"/>
          <w:highlight w:val="none"/>
          <w:lang w:val="en-US" w:eastAsia="zh-CN" w:bidi="ar"/>
        </w:rPr>
        <w:t>.</w:t>
      </w:r>
      <w:r>
        <w:rPr>
          <w:rFonts w:hint="eastAsia" w:ascii="宋体" w:hAnsi="宋体" w:eastAsia="宋体" w:cs="宋体"/>
          <w:bCs/>
          <w:color w:val="auto"/>
          <w:kern w:val="2"/>
          <w:sz w:val="24"/>
          <w:szCs w:val="24"/>
          <w:highlight w:val="none"/>
          <w:lang w:val="en-US" w:eastAsia="zh-CN" w:bidi="ar"/>
        </w:rPr>
        <w:t>1投标人通过</w:t>
      </w:r>
      <w:r>
        <w:rPr>
          <w:rFonts w:hint="default" w:ascii="Calibri" w:hAnsi="Calibri"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交易平台递交电子投标文件。</w:t>
      </w:r>
    </w:p>
    <w:p w14:paraId="193C8635">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1</w:t>
      </w:r>
      <w:r>
        <w:rPr>
          <w:rFonts w:hint="eastAsia" w:ascii="宋体" w:hAnsi="宋体" w:eastAsia="宋体" w:cs="宋体"/>
          <w:bCs/>
          <w:color w:val="auto"/>
          <w:kern w:val="2"/>
          <w:sz w:val="24"/>
          <w:szCs w:val="24"/>
          <w:highlight w:val="none"/>
          <w:lang w:val="en-US" w:eastAsia="zh-CN" w:bidi="ar"/>
        </w:rPr>
        <w:t>9</w:t>
      </w:r>
      <w:r>
        <w:rPr>
          <w:rFonts w:hint="eastAsia" w:ascii="宋体" w:hAnsi="宋体" w:eastAsia="宋体" w:cs="Times New Roman"/>
          <w:bCs/>
          <w:color w:val="auto"/>
          <w:kern w:val="2"/>
          <w:sz w:val="24"/>
          <w:szCs w:val="24"/>
          <w:highlight w:val="none"/>
          <w:lang w:val="en-US" w:eastAsia="zh-CN" w:bidi="ar"/>
        </w:rPr>
        <w:t>.</w:t>
      </w:r>
      <w:r>
        <w:rPr>
          <w:rFonts w:hint="eastAsia" w:ascii="宋体" w:hAnsi="宋体" w:eastAsia="宋体" w:cs="宋体"/>
          <w:bCs/>
          <w:color w:val="auto"/>
          <w:kern w:val="2"/>
          <w:sz w:val="24"/>
          <w:szCs w:val="24"/>
          <w:highlight w:val="none"/>
          <w:lang w:val="en-US" w:eastAsia="zh-CN" w:bidi="ar"/>
        </w:rPr>
        <w:t>2投标人完成电子</w:t>
      </w:r>
      <w:r>
        <w:rPr>
          <w:rFonts w:hint="eastAsia" w:ascii="宋体" w:hAnsi="宋体" w:eastAsia="宋体" w:cs="宋体"/>
          <w:color w:val="auto"/>
          <w:kern w:val="2"/>
          <w:sz w:val="24"/>
          <w:szCs w:val="24"/>
          <w:highlight w:val="none"/>
          <w:lang w:val="en-US" w:eastAsia="zh-CN" w:bidi="ar"/>
        </w:rPr>
        <w:t>投标文件</w:t>
      </w:r>
      <w:r>
        <w:rPr>
          <w:rFonts w:hint="eastAsia" w:ascii="宋体" w:hAnsi="宋体" w:eastAsia="宋体" w:cs="宋体"/>
          <w:bCs/>
          <w:color w:val="auto"/>
          <w:kern w:val="2"/>
          <w:sz w:val="24"/>
          <w:szCs w:val="24"/>
          <w:highlight w:val="none"/>
          <w:lang w:val="en-US" w:eastAsia="zh-CN" w:bidi="ar"/>
        </w:rPr>
        <w:t>上传后，</w:t>
      </w:r>
      <w:r>
        <w:rPr>
          <w:rFonts w:hint="default" w:ascii="Calibri" w:hAnsi="Calibri"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交易平台即时向投标人发出递交回执通知。递交时间以递交回执通知载明的传输完成时间为准。</w:t>
      </w:r>
    </w:p>
    <w:p w14:paraId="2419FC4D">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1</w:t>
      </w:r>
      <w:r>
        <w:rPr>
          <w:rFonts w:hint="eastAsia" w:ascii="宋体" w:hAnsi="宋体" w:eastAsia="宋体" w:cs="宋体"/>
          <w:bCs/>
          <w:color w:val="auto"/>
          <w:kern w:val="2"/>
          <w:sz w:val="24"/>
          <w:szCs w:val="24"/>
          <w:highlight w:val="none"/>
          <w:lang w:val="en-US" w:eastAsia="zh-CN" w:bidi="ar"/>
        </w:rPr>
        <w:t>9</w:t>
      </w:r>
      <w:r>
        <w:rPr>
          <w:rFonts w:hint="eastAsia" w:ascii="宋体" w:hAnsi="宋体" w:eastAsia="宋体" w:cs="Times New Roman"/>
          <w:bCs/>
          <w:color w:val="auto"/>
          <w:kern w:val="2"/>
          <w:sz w:val="24"/>
          <w:szCs w:val="24"/>
          <w:highlight w:val="none"/>
          <w:lang w:val="en-US" w:eastAsia="zh-CN" w:bidi="ar"/>
        </w:rPr>
        <w:t>.</w:t>
      </w:r>
      <w:r>
        <w:rPr>
          <w:rFonts w:hint="eastAsia" w:ascii="宋体" w:hAnsi="宋体" w:eastAsia="宋体" w:cs="宋体"/>
          <w:bCs/>
          <w:color w:val="auto"/>
          <w:kern w:val="2"/>
          <w:sz w:val="24"/>
          <w:szCs w:val="24"/>
          <w:highlight w:val="none"/>
          <w:lang w:val="en-US" w:eastAsia="zh-CN" w:bidi="ar"/>
        </w:rPr>
        <w:t>3逾期送达的电子投标文件，</w:t>
      </w:r>
      <w:r>
        <w:rPr>
          <w:rFonts w:hint="default" w:ascii="Calibri" w:hAnsi="Calibri"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交易平台将予以拒收。</w:t>
      </w:r>
    </w:p>
    <w:p w14:paraId="466C4A0A">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19.</w:t>
      </w:r>
      <w:r>
        <w:rPr>
          <w:rFonts w:hint="eastAsia" w:ascii="宋体" w:hAnsi="宋体" w:eastAsia="宋体" w:cs="宋体"/>
          <w:color w:val="auto"/>
          <w:kern w:val="2"/>
          <w:sz w:val="24"/>
          <w:szCs w:val="24"/>
          <w:highlight w:val="none"/>
          <w:lang w:val="en-US" w:eastAsia="zh-CN" w:bidi="ar"/>
        </w:rPr>
        <w:t>4</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投标截止前，招标人拒绝接收符合条件的投标文件，投标人可向招标投标监督机构投诉。</w:t>
      </w:r>
    </w:p>
    <w:p w14:paraId="42D4FCCB">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19.</w:t>
      </w:r>
      <w:r>
        <w:rPr>
          <w:rFonts w:hint="eastAsia" w:ascii="宋体" w:hAnsi="宋体" w:eastAsia="宋体" w:cs="宋体"/>
          <w:color w:val="auto"/>
          <w:kern w:val="2"/>
          <w:sz w:val="24"/>
          <w:szCs w:val="24"/>
          <w:highlight w:val="none"/>
          <w:lang w:val="en-US" w:eastAsia="zh-CN" w:bidi="ar"/>
        </w:rPr>
        <w:t>5如技术标和经济标先后分别开启，</w:t>
      </w:r>
      <w:r>
        <w:rPr>
          <w:rFonts w:hint="default" w:ascii="Calibri" w:hAnsi="Calibri"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交易平台将按招标文件规定的时间分别开启技术标和经济标。</w:t>
      </w:r>
    </w:p>
    <w:p w14:paraId="5853CF4E">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20</w:t>
      </w:r>
      <w:r>
        <w:rPr>
          <w:rFonts w:hint="eastAsia" w:ascii="宋体" w:hAnsi="宋体" w:eastAsia="宋体" w:cs="宋体"/>
          <w:b/>
          <w:color w:val="auto"/>
          <w:kern w:val="2"/>
          <w:sz w:val="24"/>
          <w:szCs w:val="24"/>
          <w:highlight w:val="none"/>
          <w:lang w:val="en-US" w:eastAsia="zh-CN" w:bidi="ar"/>
        </w:rPr>
        <w:t>．投标文件提交的截止时间</w:t>
      </w:r>
    </w:p>
    <w:p w14:paraId="20F4B028">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20.1</w:t>
      </w:r>
      <w:r>
        <w:rPr>
          <w:rFonts w:hint="eastAsia" w:ascii="宋体" w:hAnsi="宋体" w:eastAsia="宋体" w:cs="宋体"/>
          <w:color w:val="auto"/>
          <w:kern w:val="2"/>
          <w:sz w:val="24"/>
          <w:szCs w:val="24"/>
          <w:highlight w:val="none"/>
          <w:lang w:val="en-US" w:eastAsia="zh-CN" w:bidi="ar"/>
        </w:rPr>
        <w:t>投标人应在投标须知前附表第17项所述的时间前提交投标文件。</w:t>
      </w:r>
    </w:p>
    <w:p w14:paraId="318CBC34">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20.2</w:t>
      </w:r>
      <w:r>
        <w:rPr>
          <w:rFonts w:hint="eastAsia" w:ascii="宋体" w:hAnsi="宋体" w:eastAsia="宋体" w:cs="宋体"/>
          <w:color w:val="auto"/>
          <w:kern w:val="2"/>
          <w:sz w:val="24"/>
          <w:szCs w:val="24"/>
          <w:highlight w:val="none"/>
          <w:lang w:val="en-US" w:eastAsia="zh-CN" w:bidi="ar"/>
        </w:rPr>
        <w:t>招标人可按本须知第</w:t>
      </w:r>
      <w:r>
        <w:rPr>
          <w:rFonts w:hint="eastAsia" w:ascii="宋体" w:hAnsi="宋体" w:eastAsia="宋体" w:cs="Times New Roman"/>
          <w:color w:val="auto"/>
          <w:kern w:val="2"/>
          <w:sz w:val="24"/>
          <w:szCs w:val="24"/>
          <w:highlight w:val="none"/>
          <w:lang w:val="en-US" w:eastAsia="zh-CN" w:bidi="ar"/>
        </w:rPr>
        <w:t>9</w:t>
      </w:r>
      <w:r>
        <w:rPr>
          <w:rFonts w:hint="eastAsia" w:ascii="宋体" w:hAnsi="宋体" w:eastAsia="宋体" w:cs="宋体"/>
          <w:color w:val="auto"/>
          <w:kern w:val="2"/>
          <w:sz w:val="24"/>
          <w:szCs w:val="24"/>
          <w:highlight w:val="none"/>
          <w:lang w:val="en-US" w:eastAsia="zh-CN" w:bidi="ar"/>
        </w:rPr>
        <w:t>条规定以招标文件修改的方式，酌情延长提交投标文件的截止时间。在此情况下，投标人的所有权利和义务以及投标人受制约的截止时间，均以延长后新的投标截止时间为准。</w:t>
      </w:r>
    </w:p>
    <w:p w14:paraId="0249CFF5">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20.3 </w:t>
      </w:r>
      <w:r>
        <w:rPr>
          <w:rFonts w:hint="eastAsia" w:ascii="宋体" w:hAnsi="宋体" w:eastAsia="宋体" w:cs="宋体"/>
          <w:color w:val="auto"/>
          <w:kern w:val="2"/>
          <w:sz w:val="24"/>
          <w:szCs w:val="24"/>
          <w:highlight w:val="none"/>
          <w:lang w:val="en-US" w:eastAsia="zh-CN" w:bidi="ar"/>
        </w:rPr>
        <w:t>到投标截止时间止，招标人收到的投标文件少于3家的，招标人将重新组织招标（当</w:t>
      </w:r>
      <w:r>
        <w:rPr>
          <w:rFonts w:hint="eastAsia" w:ascii="宋体" w:hAnsi="宋体" w:eastAsia="宋体" w:cs="Times New Roman"/>
          <w:color w:val="auto"/>
          <w:kern w:val="2"/>
          <w:sz w:val="24"/>
          <w:szCs w:val="24"/>
          <w:highlight w:val="none"/>
          <w:lang w:val="en-US" w:eastAsia="zh-CN" w:bidi="ar"/>
        </w:rPr>
        <w:t>N</w:t>
      </w:r>
      <w:r>
        <w:rPr>
          <w:rFonts w:hint="eastAsia" w:ascii="宋体" w:hAnsi="宋体" w:eastAsia="宋体" w:cs="宋体"/>
          <w:color w:val="auto"/>
          <w:kern w:val="2"/>
          <w:sz w:val="24"/>
          <w:szCs w:val="24"/>
          <w:highlight w:val="none"/>
          <w:lang w:val="en-US" w:eastAsia="zh-CN" w:bidi="ar"/>
        </w:rPr>
        <w:t>个标段同时招标且不允许兼中时，若有效投标人不足</w:t>
      </w:r>
      <w:r>
        <w:rPr>
          <w:rFonts w:hint="eastAsia" w:ascii="宋体" w:hAnsi="宋体" w:eastAsia="宋体" w:cs="Times New Roman"/>
          <w:color w:val="auto"/>
          <w:kern w:val="2"/>
          <w:sz w:val="24"/>
          <w:szCs w:val="24"/>
          <w:highlight w:val="none"/>
          <w:lang w:val="en-US" w:eastAsia="zh-CN" w:bidi="ar"/>
        </w:rPr>
        <w:t>N+</w:t>
      </w:r>
      <w:r>
        <w:rPr>
          <w:rFonts w:hint="eastAsia" w:ascii="宋体" w:hAnsi="宋体" w:eastAsia="宋体" w:cs="宋体"/>
          <w:color w:val="auto"/>
          <w:kern w:val="2"/>
          <w:sz w:val="24"/>
          <w:szCs w:val="24"/>
          <w:highlight w:val="none"/>
          <w:lang w:val="en-US" w:eastAsia="zh-CN" w:bidi="ar"/>
        </w:rPr>
        <w:t>2家，则重新组织招标）。</w:t>
      </w:r>
    </w:p>
    <w:p w14:paraId="66927C64">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21</w:t>
      </w:r>
      <w:r>
        <w:rPr>
          <w:rFonts w:hint="eastAsia" w:ascii="宋体" w:hAnsi="宋体" w:eastAsia="宋体" w:cs="宋体"/>
          <w:b/>
          <w:color w:val="auto"/>
          <w:kern w:val="2"/>
          <w:sz w:val="24"/>
          <w:szCs w:val="24"/>
          <w:highlight w:val="none"/>
          <w:lang w:val="en-US" w:eastAsia="zh-CN" w:bidi="ar"/>
        </w:rPr>
        <w:t>．迟交的投标文件</w:t>
      </w:r>
    </w:p>
    <w:p w14:paraId="6F320AC3">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21.1 </w:t>
      </w:r>
      <w:r>
        <w:rPr>
          <w:rFonts w:hint="eastAsia" w:ascii="宋体" w:hAnsi="宋体" w:eastAsia="宋体" w:cs="宋体"/>
          <w:color w:val="auto"/>
          <w:kern w:val="2"/>
          <w:sz w:val="24"/>
          <w:szCs w:val="24"/>
          <w:highlight w:val="none"/>
          <w:lang w:val="en-US" w:eastAsia="zh-CN" w:bidi="ar"/>
        </w:rPr>
        <w:t>本须知前附表第</w:t>
      </w:r>
      <w:r>
        <w:rPr>
          <w:rFonts w:hint="eastAsia" w:ascii="宋体" w:hAnsi="宋体" w:eastAsia="宋体" w:cs="Times New Roman"/>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7项规定的投标截止时间</w:t>
      </w:r>
      <w:r>
        <w:rPr>
          <w:rFonts w:hint="eastAsia" w:ascii="宋体" w:hAnsi="宋体" w:eastAsia="宋体" w:cs="宋体"/>
          <w:bCs/>
          <w:color w:val="auto"/>
          <w:kern w:val="2"/>
          <w:sz w:val="24"/>
          <w:szCs w:val="24"/>
          <w:highlight w:val="none"/>
          <w:lang w:val="en-US" w:eastAsia="zh-CN" w:bidi="ar"/>
        </w:rPr>
        <w:t>后送达的电子投标文件，</w:t>
      </w:r>
      <w:r>
        <w:rPr>
          <w:rFonts w:hint="default" w:ascii="Calibri" w:hAnsi="Calibri"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交易平台将予以拒收。</w:t>
      </w:r>
    </w:p>
    <w:p w14:paraId="5CD84ED7">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22</w:t>
      </w:r>
      <w:r>
        <w:rPr>
          <w:rFonts w:hint="eastAsia" w:ascii="宋体" w:hAnsi="宋体" w:eastAsia="宋体" w:cs="宋体"/>
          <w:b/>
          <w:color w:val="auto"/>
          <w:kern w:val="2"/>
          <w:sz w:val="24"/>
          <w:szCs w:val="24"/>
          <w:highlight w:val="none"/>
          <w:lang w:val="en-US" w:eastAsia="zh-CN" w:bidi="ar"/>
        </w:rPr>
        <w:t>．投标文件的修改与撤回</w:t>
      </w:r>
    </w:p>
    <w:p w14:paraId="1D580B58">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22.1</w:t>
      </w:r>
      <w:r>
        <w:rPr>
          <w:rFonts w:hint="eastAsia" w:ascii="宋体" w:hAnsi="宋体" w:eastAsia="宋体" w:cs="宋体"/>
          <w:color w:val="auto"/>
          <w:kern w:val="2"/>
          <w:sz w:val="24"/>
          <w:szCs w:val="24"/>
          <w:highlight w:val="none"/>
          <w:lang w:val="en-US" w:eastAsia="zh-CN" w:bidi="ar"/>
        </w:rPr>
        <w:t>在规定的投标截止时间前，投标人可以修改或撤回已递交的投标文件，但应以书面形式通知招标人。</w:t>
      </w:r>
    </w:p>
    <w:p w14:paraId="36481923">
      <w:pPr>
        <w:keepNext w:val="0"/>
        <w:keepLines w:val="0"/>
        <w:widowControl w:val="0"/>
        <w:suppressLineNumbers w:val="0"/>
        <w:spacing w:before="0" w:beforeAutospacing="0" w:after="0" w:afterAutospacing="0" w:line="240" w:lineRule="auto"/>
        <w:ind w:left="0" w:right="0" w:firstLine="480" w:firstLineChars="200"/>
        <w:jc w:val="both"/>
        <w:rPr>
          <w:rFonts w:hint="default" w:ascii="Calibri"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22.2</w:t>
      </w:r>
      <w:r>
        <w:rPr>
          <w:rFonts w:hint="eastAsia" w:ascii="宋体" w:hAnsi="宋体" w:eastAsia="宋体" w:cs="宋体"/>
          <w:color w:val="auto"/>
          <w:kern w:val="2"/>
          <w:sz w:val="24"/>
          <w:szCs w:val="24"/>
          <w:highlight w:val="none"/>
          <w:lang w:val="en-US" w:eastAsia="zh-CN" w:bidi="ar"/>
        </w:rPr>
        <w:t>投标人修改或撤回已递交的投标文件，需在交易平台发出修改或撤回通知，并按要求加盖电子印章。</w:t>
      </w:r>
      <w:r>
        <w:rPr>
          <w:rFonts w:hint="eastAsia" w:ascii="宋体" w:hAnsi="宋体" w:eastAsia="宋体" w:cs="宋体"/>
          <w:bCs/>
          <w:iCs/>
          <w:color w:val="auto"/>
          <w:kern w:val="2"/>
          <w:sz w:val="24"/>
          <w:szCs w:val="24"/>
          <w:highlight w:val="none"/>
          <w:lang w:val="en-US" w:eastAsia="zh-CN" w:bidi="ar"/>
        </w:rPr>
        <w:t>电子招标投标交易平台收到通知后，</w:t>
      </w:r>
      <w:r>
        <w:rPr>
          <w:rFonts w:hint="eastAsia" w:ascii="宋体" w:hAnsi="宋体" w:eastAsia="宋体" w:cs="宋体"/>
          <w:color w:val="auto"/>
          <w:kern w:val="2"/>
          <w:sz w:val="24"/>
          <w:szCs w:val="24"/>
          <w:highlight w:val="none"/>
          <w:lang w:val="en-US" w:eastAsia="zh-CN" w:bidi="ar"/>
        </w:rPr>
        <w:t>即时向投标人发出确认回执通知。</w:t>
      </w:r>
    </w:p>
    <w:p w14:paraId="67D6428E">
      <w:pPr>
        <w:keepNext w:val="0"/>
        <w:keepLines w:val="0"/>
        <w:widowControl w:val="0"/>
        <w:suppressLineNumbers w:val="0"/>
        <w:spacing w:before="0" w:beforeAutospacing="0" w:after="0" w:afterAutospacing="0" w:line="240" w:lineRule="auto"/>
        <w:ind w:left="0" w:right="0" w:firstLine="480" w:firstLineChars="200"/>
        <w:jc w:val="both"/>
        <w:rPr>
          <w:rFonts w:hint="default" w:ascii="Calibri"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22.3修改后再次递交的，按</w:t>
      </w:r>
      <w:r>
        <w:rPr>
          <w:rFonts w:hint="default" w:ascii="Calibri" w:hAnsi="Calibri" w:eastAsia="宋体" w:cs="Calibri"/>
          <w:color w:val="auto"/>
          <w:kern w:val="2"/>
          <w:sz w:val="24"/>
          <w:szCs w:val="24"/>
          <w:highlight w:val="none"/>
          <w:lang w:val="en-US" w:eastAsia="zh-CN" w:bidi="ar"/>
        </w:rPr>
        <w:t>19</w:t>
      </w:r>
      <w:r>
        <w:rPr>
          <w:rFonts w:hint="eastAsia" w:ascii="宋体" w:hAnsi="宋体" w:eastAsia="宋体" w:cs="宋体"/>
          <w:color w:val="auto"/>
          <w:kern w:val="2"/>
          <w:sz w:val="24"/>
          <w:szCs w:val="24"/>
          <w:highlight w:val="none"/>
          <w:lang w:val="en-US" w:eastAsia="zh-CN" w:bidi="ar"/>
        </w:rPr>
        <w:t>点的规定执行。</w:t>
      </w:r>
    </w:p>
    <w:p w14:paraId="451291A3">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22.</w:t>
      </w:r>
      <w:r>
        <w:rPr>
          <w:rFonts w:hint="eastAsia" w:ascii="宋体" w:hAnsi="宋体" w:eastAsia="宋体" w:cs="宋体"/>
          <w:color w:val="auto"/>
          <w:kern w:val="2"/>
          <w:sz w:val="24"/>
          <w:szCs w:val="24"/>
          <w:highlight w:val="none"/>
          <w:lang w:val="en-US" w:eastAsia="zh-CN" w:bidi="ar"/>
        </w:rPr>
        <w:t>4</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在投标截止时间之后，投标人不得补充、修改和更换投标文件。</w:t>
      </w:r>
    </w:p>
    <w:p w14:paraId="7DF857F2">
      <w:pPr>
        <w:pStyle w:val="4"/>
        <w:widowControl/>
        <w:spacing w:before="156" w:beforeAutospacing="0" w:after="156" w:afterAutospacing="0" w:line="240" w:lineRule="auto"/>
        <w:rPr>
          <w:rFonts w:hint="eastAsia" w:ascii="宋体" w:hAnsi="宋体" w:eastAsia="宋体" w:cs="宋体"/>
          <w:color w:val="auto"/>
          <w:kern w:val="0"/>
          <w:sz w:val="27"/>
          <w:szCs w:val="27"/>
          <w:highlight w:val="none"/>
        </w:rPr>
      </w:pPr>
      <w:bookmarkStart w:id="16" w:name="_Toc21525497"/>
      <w:bookmarkEnd w:id="16"/>
      <w:bookmarkStart w:id="17" w:name="_Toc2272553"/>
      <w:r>
        <w:rPr>
          <w:rFonts w:hint="eastAsia" w:ascii="宋体" w:hAnsi="宋体" w:eastAsia="宋体" w:cs="宋体"/>
          <w:color w:val="auto"/>
          <w:kern w:val="0"/>
          <w:sz w:val="27"/>
          <w:szCs w:val="27"/>
          <w:highlight w:val="none"/>
        </w:rPr>
        <w:t>（五）开标、评标、定标及合同签定</w:t>
      </w:r>
      <w:bookmarkEnd w:id="17"/>
    </w:p>
    <w:p w14:paraId="7AD904B2">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23</w:t>
      </w:r>
      <w:r>
        <w:rPr>
          <w:rFonts w:hint="eastAsia" w:ascii="宋体" w:hAnsi="宋体" w:eastAsia="宋体" w:cs="宋体"/>
          <w:b/>
          <w:color w:val="auto"/>
          <w:kern w:val="2"/>
          <w:sz w:val="24"/>
          <w:szCs w:val="24"/>
          <w:highlight w:val="none"/>
          <w:lang w:val="en-US" w:eastAsia="zh-CN" w:bidi="ar"/>
        </w:rPr>
        <w:t>、开标。</w:t>
      </w:r>
    </w:p>
    <w:p w14:paraId="30D782D3">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详见第二章开标、评标及定标办法</w:t>
      </w:r>
    </w:p>
    <w:p w14:paraId="536B9807">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24</w:t>
      </w:r>
      <w:r>
        <w:rPr>
          <w:rFonts w:hint="eastAsia" w:ascii="宋体" w:hAnsi="宋体" w:eastAsia="宋体" w:cs="宋体"/>
          <w:b/>
          <w:color w:val="auto"/>
          <w:kern w:val="2"/>
          <w:sz w:val="24"/>
          <w:szCs w:val="24"/>
          <w:highlight w:val="none"/>
          <w:lang w:val="en-US" w:eastAsia="zh-CN" w:bidi="ar"/>
        </w:rPr>
        <w:t>．评标过程的保密</w:t>
      </w:r>
    </w:p>
    <w:p w14:paraId="2BB94C9E">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24.1 </w:t>
      </w:r>
      <w:r>
        <w:rPr>
          <w:rFonts w:hint="eastAsia" w:ascii="宋体" w:hAnsi="宋体" w:eastAsia="宋体" w:cs="宋体"/>
          <w:color w:val="auto"/>
          <w:kern w:val="2"/>
          <w:sz w:val="24"/>
          <w:szCs w:val="24"/>
          <w:highlight w:val="none"/>
          <w:lang w:val="en-US" w:eastAsia="zh-CN" w:bidi="ar"/>
        </w:rPr>
        <w:t>开标后，直至中标公示为止，凡属于对投标文件的审查、澄清、评价和比较有关的资料以及中标候选人的推荐情况，与评标有关的其他任何情况均严格保密。</w:t>
      </w:r>
    </w:p>
    <w:p w14:paraId="6CEE1796">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24.2 </w:t>
      </w:r>
      <w:r>
        <w:rPr>
          <w:rFonts w:hint="eastAsia" w:ascii="宋体" w:hAnsi="宋体" w:eastAsia="宋体" w:cs="宋体"/>
          <w:color w:val="auto"/>
          <w:kern w:val="2"/>
          <w:sz w:val="24"/>
          <w:szCs w:val="24"/>
          <w:highlight w:val="none"/>
          <w:lang w:val="en-US" w:eastAsia="zh-CN" w:bidi="ar"/>
        </w:rPr>
        <w:t>在投标文件的评审和比较、中标候选人推荐以及授予合同的过程中，投标人向招标人和评标委员会施加不公正影响的任何行为，都将会导致其投标被拒绝。</w:t>
      </w:r>
    </w:p>
    <w:p w14:paraId="217BC249">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25</w:t>
      </w:r>
      <w:r>
        <w:rPr>
          <w:rFonts w:hint="eastAsia" w:ascii="宋体" w:hAnsi="宋体" w:eastAsia="宋体" w:cs="宋体"/>
          <w:b/>
          <w:color w:val="auto"/>
          <w:kern w:val="2"/>
          <w:sz w:val="24"/>
          <w:szCs w:val="24"/>
          <w:highlight w:val="none"/>
          <w:lang w:val="en-US" w:eastAsia="zh-CN" w:bidi="ar"/>
        </w:rPr>
        <w:t>．投标文件的澄清，计算错误的修正</w:t>
      </w:r>
    </w:p>
    <w:p w14:paraId="567AB715">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详见招标文件第二章开标、评标及定标办法</w:t>
      </w:r>
    </w:p>
    <w:p w14:paraId="12ED393A">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26</w:t>
      </w:r>
      <w:r>
        <w:rPr>
          <w:rFonts w:hint="eastAsia" w:ascii="宋体" w:hAnsi="宋体" w:eastAsia="宋体" w:cs="宋体"/>
          <w:b/>
          <w:color w:val="auto"/>
          <w:kern w:val="2"/>
          <w:sz w:val="24"/>
          <w:szCs w:val="24"/>
          <w:highlight w:val="none"/>
          <w:lang w:val="en-US" w:eastAsia="zh-CN" w:bidi="ar"/>
        </w:rPr>
        <w:t>．投标文件的评审、比较和否决</w:t>
      </w:r>
    </w:p>
    <w:p w14:paraId="44734233">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详见招标文件第二章开标、评标及定标办法。</w:t>
      </w:r>
    </w:p>
    <w:p w14:paraId="4D5FD9E5">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27</w:t>
      </w:r>
      <w:r>
        <w:rPr>
          <w:rFonts w:hint="eastAsia" w:ascii="宋体" w:hAnsi="宋体" w:eastAsia="宋体" w:cs="宋体"/>
          <w:b/>
          <w:color w:val="auto"/>
          <w:kern w:val="2"/>
          <w:sz w:val="24"/>
          <w:szCs w:val="24"/>
          <w:highlight w:val="none"/>
          <w:lang w:val="en-US" w:eastAsia="zh-CN" w:bidi="ar"/>
        </w:rPr>
        <w:t>．中标通知书</w:t>
      </w:r>
    </w:p>
    <w:p w14:paraId="006CE784">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27.1招标人将在</w:t>
      </w:r>
      <w:r>
        <w:rPr>
          <w:rFonts w:hint="eastAsia" w:ascii="宋体" w:hAnsi="宋体"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广东省招标投标监管网和中国招标投标公共服务平台公示中标候选人，公示期为三天。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p w14:paraId="06D1B27B">
      <w:pPr>
        <w:keepNext w:val="0"/>
        <w:keepLines w:val="0"/>
        <w:widowControl w:val="0"/>
        <w:suppressLineNumbers w:val="0"/>
        <w:spacing w:before="0" w:beforeAutospacing="0" w:after="0" w:afterAutospacing="0" w:line="240" w:lineRule="auto"/>
        <w:ind w:left="0" w:right="0" w:firstLine="480" w:firstLineChars="200"/>
        <w:jc w:val="both"/>
        <w:rPr>
          <w:rFonts w:hint="eastAsia" w:ascii="仿宋_GB2312" w:hAnsi="宋体" w:eastAsia="仿宋_GB2312"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27.2</w:t>
      </w:r>
      <w:r>
        <w:rPr>
          <w:rFonts w:hint="eastAsia" w:ascii="宋体" w:hAnsi="宋体" w:eastAsia="宋体" w:cs="宋体"/>
          <w:color w:val="auto"/>
          <w:kern w:val="2"/>
          <w:sz w:val="24"/>
          <w:szCs w:val="24"/>
          <w:highlight w:val="none"/>
          <w:lang w:val="en-US" w:eastAsia="zh-CN" w:bidi="ar"/>
        </w:rPr>
        <w:t>招标人应当自确定中标人后，向招标投标监管机构提交招标投标情况的书面报告；经招投标监管机构备案后，方可发出中标通知书。</w:t>
      </w:r>
    </w:p>
    <w:p w14:paraId="0FA8B895">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27.3</w:t>
      </w:r>
      <w:r>
        <w:rPr>
          <w:rFonts w:hint="eastAsia" w:ascii="宋体" w:hAnsi="宋体" w:eastAsia="宋体" w:cs="宋体"/>
          <w:color w:val="auto"/>
          <w:kern w:val="2"/>
          <w:sz w:val="24"/>
          <w:szCs w:val="24"/>
          <w:highlight w:val="none"/>
          <w:lang w:val="en-US" w:eastAsia="zh-CN" w:bidi="ar"/>
        </w:rPr>
        <w:t>中标人必须在收到中标通知书后</w:t>
      </w:r>
      <w:r>
        <w:rPr>
          <w:rFonts w:hint="eastAsia" w:ascii="宋体" w:hAnsi="宋体" w:eastAsia="宋体" w:cs="Times New Roman"/>
          <w:color w:val="auto"/>
          <w:kern w:val="2"/>
          <w:sz w:val="24"/>
          <w:szCs w:val="24"/>
          <w:highlight w:val="none"/>
          <w:lang w:val="en-US" w:eastAsia="zh-CN" w:bidi="ar"/>
        </w:rPr>
        <w:t>24</w:t>
      </w:r>
      <w:r>
        <w:rPr>
          <w:rFonts w:hint="eastAsia" w:ascii="宋体" w:hAnsi="宋体" w:eastAsia="宋体" w:cs="宋体"/>
          <w:color w:val="auto"/>
          <w:kern w:val="2"/>
          <w:sz w:val="24"/>
          <w:szCs w:val="24"/>
          <w:highlight w:val="none"/>
          <w:lang w:val="en-US" w:eastAsia="zh-CN" w:bidi="ar"/>
        </w:rPr>
        <w:t>小时之内以书面形式回复招标人，确认收到。</w:t>
      </w:r>
    </w:p>
    <w:p w14:paraId="5CE0A39B">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27.4在产生中标候选人后，招标人将中标候选人的投标文件商务部分文件的所有内容（包括人员、业绩、奖项等资料）在</w:t>
      </w:r>
      <w:r>
        <w:rPr>
          <w:rFonts w:hint="eastAsia" w:ascii="宋体" w:hAnsi="宋体"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交易平台和广东省招标投标监管网公开。</w:t>
      </w:r>
    </w:p>
    <w:p w14:paraId="2C7AA917">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28</w:t>
      </w:r>
      <w:r>
        <w:rPr>
          <w:rFonts w:hint="eastAsia" w:ascii="宋体" w:hAnsi="宋体" w:eastAsia="宋体" w:cs="宋体"/>
          <w:b/>
          <w:color w:val="auto"/>
          <w:kern w:val="2"/>
          <w:sz w:val="24"/>
          <w:szCs w:val="24"/>
          <w:highlight w:val="none"/>
          <w:lang w:val="en-US" w:eastAsia="zh-CN" w:bidi="ar"/>
        </w:rPr>
        <w:t>．合同协议书的签订</w:t>
      </w:r>
    </w:p>
    <w:p w14:paraId="31024625">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28.1 </w:t>
      </w:r>
      <w:r>
        <w:rPr>
          <w:rFonts w:hint="eastAsia" w:ascii="宋体" w:hAnsi="宋体" w:eastAsia="宋体" w:cs="宋体"/>
          <w:color w:val="auto"/>
          <w:kern w:val="2"/>
          <w:sz w:val="24"/>
          <w:szCs w:val="24"/>
          <w:highlight w:val="none"/>
          <w:lang w:val="en-US" w:eastAsia="zh-CN" w:bidi="ar"/>
        </w:rPr>
        <w:t>招标人与中标人将于中标通知书发出之日起</w:t>
      </w:r>
      <w:r>
        <w:rPr>
          <w:rFonts w:hint="eastAsia" w:ascii="宋体" w:hAnsi="宋体" w:eastAsia="宋体" w:cs="Times New Roman"/>
          <w:color w:val="auto"/>
          <w:kern w:val="2"/>
          <w:sz w:val="24"/>
          <w:szCs w:val="24"/>
          <w:highlight w:val="none"/>
          <w:lang w:val="en-US" w:eastAsia="zh-CN" w:bidi="ar"/>
        </w:rPr>
        <w:t>30</w:t>
      </w:r>
      <w:r>
        <w:rPr>
          <w:rFonts w:hint="eastAsia" w:ascii="宋体" w:hAnsi="宋体" w:eastAsia="宋体" w:cs="宋体"/>
          <w:color w:val="auto"/>
          <w:kern w:val="2"/>
          <w:sz w:val="24"/>
          <w:szCs w:val="24"/>
          <w:highlight w:val="none"/>
          <w:lang w:val="en-US" w:eastAsia="zh-CN" w:bidi="ar"/>
        </w:rPr>
        <w:t>日内，按照招标文件和中标人的投标文件商定和签订合同，招标人和中标人不得再行订立背离合同实质性内容的其他协议。</w:t>
      </w:r>
    </w:p>
    <w:p w14:paraId="0CA11DA0">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28.2</w:t>
      </w:r>
      <w:r>
        <w:rPr>
          <w:rFonts w:hint="eastAsia" w:ascii="宋体" w:hAnsi="宋体" w:eastAsia="宋体" w:cs="宋体"/>
          <w:color w:val="auto"/>
          <w:kern w:val="2"/>
          <w:sz w:val="24"/>
          <w:szCs w:val="24"/>
          <w:highlight w:val="none"/>
          <w:lang w:val="en-US" w:eastAsia="zh-CN" w:bidi="ar"/>
        </w:rPr>
        <w:t>中标通知书发出之日起</w:t>
      </w:r>
      <w:r>
        <w:rPr>
          <w:rFonts w:hint="eastAsia" w:ascii="宋体" w:hAnsi="宋体" w:eastAsia="宋体" w:cs="Times New Roman"/>
          <w:color w:val="auto"/>
          <w:kern w:val="2"/>
          <w:sz w:val="24"/>
          <w:szCs w:val="24"/>
          <w:highlight w:val="none"/>
          <w:lang w:val="en-US" w:eastAsia="zh-CN" w:bidi="ar"/>
        </w:rPr>
        <w:t>30</w:t>
      </w:r>
      <w:r>
        <w:rPr>
          <w:rFonts w:hint="eastAsia" w:ascii="宋体" w:hAnsi="宋体" w:eastAsia="宋体" w:cs="宋体"/>
          <w:color w:val="auto"/>
          <w:kern w:val="2"/>
          <w:sz w:val="24"/>
          <w:szCs w:val="24"/>
          <w:highlight w:val="none"/>
          <w:lang w:val="en-US" w:eastAsia="zh-CN" w:bidi="ar"/>
        </w:rPr>
        <w:t>日后，中标人未按上款的规定与招标人订立合同，招标人将解除中标通知书，原中标人的投标保证金不予退还，且依法承担相应法律责任。原中标人给招标人造成的损失超过投标保证金数额的，还应当对超过部分予以赔偿。原中标人有异议的，可以向人民法院起诉。</w:t>
      </w:r>
    </w:p>
    <w:p w14:paraId="6D5B646C">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28.3</w:t>
      </w:r>
      <w:r>
        <w:rPr>
          <w:rFonts w:hint="eastAsia" w:ascii="宋体" w:hAnsi="宋体" w:eastAsia="宋体" w:cs="宋体"/>
          <w:color w:val="auto"/>
          <w:kern w:val="2"/>
          <w:sz w:val="24"/>
          <w:szCs w:val="24"/>
          <w:highlight w:val="none"/>
          <w:lang w:val="en-US" w:eastAsia="zh-CN" w:bidi="ar"/>
        </w:rPr>
        <w:t>非经招标人同意，中标人在投标过程中使用的银行名称及帐号至完成竣工结算不得变更，否则招标人有权停止工程款项的拔付及至解除合同，由此造成的一切责任由中标人承担。</w:t>
      </w:r>
    </w:p>
    <w:p w14:paraId="66A49805">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28.4</w:t>
      </w:r>
      <w:r>
        <w:rPr>
          <w:rFonts w:hint="eastAsia" w:ascii="宋体" w:hAnsi="宋体" w:eastAsia="宋体" w:cs="宋体"/>
          <w:color w:val="auto"/>
          <w:kern w:val="2"/>
          <w:sz w:val="24"/>
          <w:szCs w:val="24"/>
          <w:highlight w:val="none"/>
          <w:lang w:val="en-US" w:eastAsia="zh-CN" w:bidi="ar"/>
        </w:rPr>
        <w:t>招标人支付工程款时，中标人应按规定开具发票。</w:t>
      </w:r>
    </w:p>
    <w:p w14:paraId="0B87D8A3">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29</w:t>
      </w:r>
      <w:r>
        <w:rPr>
          <w:rFonts w:hint="eastAsia" w:ascii="宋体" w:hAnsi="宋体" w:eastAsia="宋体" w:cs="宋体"/>
          <w:b/>
          <w:color w:val="auto"/>
          <w:kern w:val="2"/>
          <w:sz w:val="24"/>
          <w:szCs w:val="24"/>
          <w:highlight w:val="none"/>
          <w:lang w:val="en-US" w:eastAsia="zh-CN" w:bidi="ar"/>
        </w:rPr>
        <w:t>．履约担保</w:t>
      </w:r>
    </w:p>
    <w:p w14:paraId="01E04861">
      <w:pPr>
        <w:keepNext w:val="0"/>
        <w:keepLines w:val="0"/>
        <w:widowControl w:val="0"/>
        <w:suppressLineNumbers w:val="0"/>
        <w:snapToGrid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29.1 </w:t>
      </w:r>
      <w:r>
        <w:rPr>
          <w:rFonts w:hint="eastAsia" w:ascii="宋体" w:hAnsi="宋体" w:eastAsia="宋体" w:cs="宋体"/>
          <w:color w:val="auto"/>
          <w:kern w:val="2"/>
          <w:sz w:val="24"/>
          <w:szCs w:val="24"/>
          <w:highlight w:val="none"/>
          <w:lang w:val="en-US" w:eastAsia="zh-CN" w:bidi="ar"/>
        </w:rPr>
        <w:t>在收到中标通知书后的</w:t>
      </w:r>
      <w:r>
        <w:rPr>
          <w:rFonts w:hint="eastAsia" w:ascii="宋体" w:hAnsi="宋体" w:eastAsia="宋体" w:cs="Times New Roman"/>
          <w:b/>
          <w:bCs w:val="0"/>
          <w:color w:val="auto"/>
          <w:kern w:val="2"/>
          <w:sz w:val="24"/>
          <w:szCs w:val="24"/>
          <w:highlight w:val="none"/>
          <w:lang w:val="en-US" w:eastAsia="zh-CN" w:bidi="ar"/>
        </w:rPr>
        <w:t>15</w:t>
      </w:r>
      <w:r>
        <w:rPr>
          <w:rFonts w:hint="eastAsia" w:ascii="宋体" w:hAnsi="宋体" w:eastAsia="宋体" w:cs="宋体"/>
          <w:b/>
          <w:bCs w:val="0"/>
          <w:color w:val="auto"/>
          <w:kern w:val="2"/>
          <w:sz w:val="24"/>
          <w:szCs w:val="24"/>
          <w:highlight w:val="none"/>
          <w:lang w:val="en-US" w:eastAsia="zh-CN" w:bidi="ar"/>
        </w:rPr>
        <w:t>日</w:t>
      </w:r>
      <w:r>
        <w:rPr>
          <w:rFonts w:hint="eastAsia" w:ascii="宋体" w:hAnsi="宋体" w:eastAsia="宋体" w:cs="宋体"/>
          <w:color w:val="auto"/>
          <w:kern w:val="2"/>
          <w:sz w:val="24"/>
          <w:szCs w:val="24"/>
          <w:highlight w:val="none"/>
          <w:lang w:val="en-US" w:eastAsia="zh-CN" w:bidi="ar"/>
        </w:rPr>
        <w:t>内，中标人应按本须知前附表第</w:t>
      </w:r>
      <w:r>
        <w:rPr>
          <w:rFonts w:hint="eastAsia" w:ascii="宋体" w:hAnsi="宋体" w:eastAsia="宋体" w:cs="Times New Roman"/>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0项的规定向招标人提交履约担保。</w:t>
      </w:r>
    </w:p>
    <w:p w14:paraId="40E441CD">
      <w:pPr>
        <w:keepNext w:val="0"/>
        <w:keepLines w:val="0"/>
        <w:widowControl w:val="0"/>
        <w:suppressLineNumbers w:val="0"/>
        <w:snapToGrid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29.2</w:t>
      </w:r>
      <w:r>
        <w:rPr>
          <w:rFonts w:hint="eastAsia" w:ascii="宋体" w:hAnsi="宋体" w:eastAsia="宋体" w:cs="宋体"/>
          <w:color w:val="auto"/>
          <w:kern w:val="2"/>
          <w:sz w:val="24"/>
          <w:szCs w:val="24"/>
          <w:highlight w:val="none"/>
          <w:lang w:val="en-US" w:eastAsia="zh-CN" w:bidi="ar"/>
        </w:rPr>
        <w:t>中标通知书发出之日起</w:t>
      </w:r>
      <w:r>
        <w:rPr>
          <w:rFonts w:hint="eastAsia" w:ascii="宋体" w:hAnsi="宋体" w:eastAsia="宋体" w:cs="Times New Roman"/>
          <w:color w:val="auto"/>
          <w:kern w:val="2"/>
          <w:sz w:val="24"/>
          <w:szCs w:val="24"/>
          <w:highlight w:val="none"/>
          <w:lang w:val="en-US" w:eastAsia="zh-CN" w:bidi="ar"/>
        </w:rPr>
        <w:t>15</w:t>
      </w:r>
      <w:r>
        <w:rPr>
          <w:rFonts w:hint="eastAsia" w:ascii="宋体" w:hAnsi="宋体" w:eastAsia="宋体" w:cs="宋体"/>
          <w:color w:val="auto"/>
          <w:kern w:val="2"/>
          <w:sz w:val="24"/>
          <w:szCs w:val="24"/>
          <w:highlight w:val="none"/>
          <w:lang w:val="en-US" w:eastAsia="zh-CN" w:bidi="ar"/>
        </w:rPr>
        <w:t>日后，中标人未按上款的规定提交履约担保，招标人将解除中标通知书，原中标人的投标保证金不予退还，且依法承担相应法律责任。原中标人给招标人造成的损失超过投标保证金数额的，还应当对超过部分予以赔偿。原中标人有异议的，可以向人民法院起诉。</w:t>
      </w:r>
    </w:p>
    <w:p w14:paraId="2CD6D852">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30</w:t>
      </w:r>
      <w:r>
        <w:rPr>
          <w:rFonts w:hint="eastAsia" w:ascii="宋体" w:hAnsi="宋体" w:eastAsia="宋体" w:cs="宋体"/>
          <w:b/>
          <w:color w:val="auto"/>
          <w:kern w:val="2"/>
          <w:sz w:val="24"/>
          <w:szCs w:val="24"/>
          <w:highlight w:val="none"/>
          <w:lang w:val="en-US" w:eastAsia="zh-CN" w:bidi="ar"/>
        </w:rPr>
        <w:t>．合同生效</w:t>
      </w:r>
    </w:p>
    <w:p w14:paraId="3EA6F266">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30.1</w:t>
      </w:r>
      <w:r>
        <w:rPr>
          <w:rFonts w:hint="eastAsia" w:ascii="宋体" w:hAnsi="宋体" w:eastAsia="宋体" w:cs="宋体"/>
          <w:color w:val="auto"/>
          <w:kern w:val="2"/>
          <w:sz w:val="24"/>
          <w:szCs w:val="24"/>
          <w:highlight w:val="none"/>
          <w:lang w:val="en-US" w:eastAsia="zh-CN" w:bidi="ar"/>
        </w:rPr>
        <w:t>在合同双方全权代表在合同协议书上签字，并分别加盖双方单位的公章后，合同正式生效。</w:t>
      </w:r>
    </w:p>
    <w:p w14:paraId="6B76B566">
      <w:pPr>
        <w:keepNext w:val="0"/>
        <w:keepLines w:val="0"/>
        <w:widowControl w:val="0"/>
        <w:suppressLineNumbers w:val="0"/>
        <w:spacing w:before="0" w:beforeAutospacing="0" w:after="0" w:afterAutospacing="0" w:line="240" w:lineRule="auto"/>
        <w:ind w:left="0" w:right="0" w:firstLine="482" w:firstLineChars="200"/>
        <w:jc w:val="both"/>
        <w:rPr>
          <w:rFonts w:hint="eastAsia" w:ascii="宋体" w:hAnsi="Calibri"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31</w:t>
      </w:r>
      <w:r>
        <w:rPr>
          <w:rFonts w:hint="eastAsia" w:ascii="宋体" w:hAnsi="宋体" w:eastAsia="宋体" w:cs="宋体"/>
          <w:b/>
          <w:color w:val="auto"/>
          <w:kern w:val="2"/>
          <w:sz w:val="24"/>
          <w:szCs w:val="24"/>
          <w:highlight w:val="none"/>
          <w:lang w:val="en-US" w:eastAsia="zh-CN" w:bidi="ar"/>
        </w:rPr>
        <w:t>．其它费用</w:t>
      </w:r>
    </w:p>
    <w:p w14:paraId="5D3C8D06">
      <w:pPr>
        <w:pStyle w:val="14"/>
        <w:keepNext w:val="0"/>
        <w:keepLines w:val="0"/>
        <w:widowControl w:val="0"/>
        <w:suppressLineNumbers w:val="0"/>
        <w:spacing w:before="0" w:beforeAutospacing="1" w:after="0" w:afterAutospacing="0" w:line="240" w:lineRule="auto"/>
        <w:ind w:left="0" w:right="0" w:firstLine="482" w:firstLineChars="200"/>
        <w:jc w:val="both"/>
        <w:rPr>
          <w:rFonts w:hint="eastAsia" w:ascii="宋体" w:hAnsi="Times New Roman"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lang w:val="en-US" w:eastAsia="zh-CN" w:bidi="ar"/>
        </w:rPr>
        <w:t>32</w:t>
      </w:r>
      <w:r>
        <w:rPr>
          <w:rFonts w:hint="eastAsia" w:ascii="宋体" w:hAnsi="宋体" w:eastAsia="宋体" w:cs="宋体"/>
          <w:b/>
          <w:color w:val="auto"/>
          <w:kern w:val="2"/>
          <w:sz w:val="24"/>
          <w:szCs w:val="24"/>
          <w:highlight w:val="none"/>
          <w:lang w:val="en-US" w:eastAsia="zh-CN" w:bidi="ar"/>
        </w:rPr>
        <w:t>．腐败与欺诈行为</w:t>
      </w:r>
    </w:p>
    <w:p w14:paraId="2AA38BF0">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在招标和合同实施期间，招标人要求投标人和承包人遵守最高的道德标准。</w:t>
      </w:r>
    </w:p>
    <w:p w14:paraId="7E9707FD">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32．1对本条款的规定，特定义如下词汇：</w:t>
      </w:r>
    </w:p>
    <w:p w14:paraId="6018A0C1">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1）、“腐败行为”是指在招标或合同执行期间，通过提供、给予、接受或索要任何有价值的东西，从而影响招标人有关人员工作的行为；</w:t>
      </w:r>
    </w:p>
    <w:p w14:paraId="79A0A2A7">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欺诈行为”是指通过提供伪证影响招标或合同执行，从而损害招标人利益的行为；也包括投标人之间串通（在提交投标文件之前或之后），人为地使招标过程失去竞争性，从而使招标人无法从公开的自由竞争中获得利益的行为。</w:t>
      </w:r>
    </w:p>
    <w:p w14:paraId="30C430FB">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32．2如果投标人被认定在本招标的竞争中有腐败或欺诈行为，则会被取消投标资格。</w:t>
      </w:r>
    </w:p>
    <w:p w14:paraId="14FA7042">
      <w:pPr>
        <w:keepNext w:val="0"/>
        <w:keepLines w:val="0"/>
        <w:widowControl w:val="0"/>
        <w:suppressLineNumbers w:val="0"/>
        <w:spacing w:before="0" w:beforeAutospacing="0" w:after="0" w:afterAutospacing="0" w:line="24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32.3投标人如在本项目中存在串通投标、弄虚作假骗取中标、行贿情形的，中标无效，行政监督部门将对其违法行为进行政处罚。该投标人将被招标人列入黑名单并限制其参与招标人后续项目的投标。</w:t>
      </w:r>
    </w:p>
    <w:p w14:paraId="41EF1E43">
      <w:pPr>
        <w:pStyle w:val="2"/>
        <w:widowControl/>
        <w:rPr>
          <w:rFonts w:hint="default" w:ascii="Arial" w:hAnsi="Arial" w:eastAsia="宋体" w:cs="Times New Roman"/>
          <w:b/>
          <w:bCs w:val="0"/>
          <w:color w:val="auto"/>
          <w:kern w:val="44"/>
          <w:sz w:val="28"/>
          <w:szCs w:val="28"/>
          <w:highlight w:val="none"/>
        </w:rPr>
      </w:pPr>
      <w:r>
        <w:rPr>
          <w:rFonts w:hint="eastAsia" w:ascii="宋体" w:hAnsi="Arial" w:eastAsia="宋体" w:cs="Times New Roman"/>
          <w:b/>
          <w:bCs w:val="0"/>
          <w:color w:val="auto"/>
          <w:kern w:val="44"/>
          <w:sz w:val="24"/>
          <w:szCs w:val="24"/>
          <w:highlight w:val="none"/>
        </w:rPr>
        <w:br w:type="page"/>
      </w:r>
      <w:bookmarkStart w:id="18" w:name="_Toc2272554"/>
      <w:bookmarkEnd w:id="18"/>
      <w:bookmarkStart w:id="19" w:name="_Toc21525498"/>
      <w:r>
        <w:rPr>
          <w:rFonts w:hint="eastAsia" w:ascii="宋体" w:hAnsi="宋体" w:eastAsia="宋体" w:cs="宋体"/>
          <w:b/>
          <w:bCs w:val="0"/>
          <w:color w:val="auto"/>
          <w:kern w:val="44"/>
          <w:sz w:val="28"/>
          <w:szCs w:val="28"/>
          <w:highlight w:val="none"/>
        </w:rPr>
        <w:t>第二章</w:t>
      </w:r>
      <w:bookmarkEnd w:id="19"/>
      <w:r>
        <w:rPr>
          <w:rFonts w:hint="default" w:ascii="Arial" w:hAnsi="Arial" w:eastAsia="宋体" w:cs="Times New Roman"/>
          <w:b/>
          <w:bCs w:val="0"/>
          <w:color w:val="auto"/>
          <w:kern w:val="44"/>
          <w:sz w:val="28"/>
          <w:szCs w:val="28"/>
          <w:highlight w:val="none"/>
        </w:rPr>
        <w:t xml:space="preserve">  </w:t>
      </w:r>
      <w:r>
        <w:rPr>
          <w:rFonts w:hint="eastAsia" w:ascii="宋体" w:hAnsi="宋体" w:eastAsia="宋体" w:cs="宋体"/>
          <w:b/>
          <w:bCs w:val="0"/>
          <w:color w:val="auto"/>
          <w:kern w:val="44"/>
          <w:sz w:val="28"/>
          <w:szCs w:val="28"/>
          <w:highlight w:val="none"/>
        </w:rPr>
        <w:t>开标、评标及定标办法</w:t>
      </w:r>
    </w:p>
    <w:p w14:paraId="7966749D">
      <w:pPr>
        <w:pStyle w:val="3"/>
        <w:widowControl/>
        <w:rPr>
          <w:rFonts w:hint="default" w:ascii="Arial" w:hAnsi="Arial" w:eastAsia="宋体" w:cs="Times New Roman"/>
          <w:b/>
          <w:bCs w:val="0"/>
          <w:color w:val="auto"/>
          <w:kern w:val="2"/>
          <w:sz w:val="24"/>
          <w:szCs w:val="24"/>
          <w:highlight w:val="none"/>
        </w:rPr>
      </w:pPr>
      <w:bookmarkStart w:id="20" w:name="_Toc2272555"/>
      <w:bookmarkEnd w:id="20"/>
      <w:bookmarkStart w:id="21" w:name="_Toc21525499"/>
      <w:r>
        <w:rPr>
          <w:rFonts w:hint="eastAsia" w:ascii="宋体" w:hAnsi="宋体" w:eastAsia="宋体" w:cs="宋体"/>
          <w:b/>
          <w:bCs w:val="0"/>
          <w:color w:val="auto"/>
          <w:kern w:val="2"/>
          <w:sz w:val="28"/>
          <w:szCs w:val="28"/>
          <w:highlight w:val="none"/>
        </w:rPr>
        <w:t>一、</w:t>
      </w:r>
      <w:bookmarkEnd w:id="21"/>
      <w:r>
        <w:rPr>
          <w:rFonts w:hint="eastAsia" w:ascii="宋体" w:hAnsi="宋体" w:eastAsia="宋体" w:cs="宋体"/>
          <w:b/>
          <w:bCs w:val="0"/>
          <w:color w:val="auto"/>
          <w:kern w:val="2"/>
          <w:sz w:val="24"/>
          <w:szCs w:val="24"/>
          <w:highlight w:val="none"/>
        </w:rPr>
        <w:t>开标、评标及定标办法修改表</w:t>
      </w:r>
    </w:p>
    <w:p w14:paraId="4AFDF41D">
      <w:pPr>
        <w:pStyle w:val="14"/>
        <w:keepNext w:val="0"/>
        <w:keepLines w:val="0"/>
        <w:widowControl w:val="0"/>
        <w:suppressLineNumbers w:val="0"/>
        <w:spacing w:before="0" w:beforeAutospacing="1" w:after="0" w:afterAutospacing="0" w:line="360" w:lineRule="auto"/>
        <w:ind w:left="0" w:right="0" w:firstLine="420"/>
        <w:jc w:val="both"/>
        <w:rPr>
          <w:rFonts w:hint="default" w:ascii="Times New Roman" w:hAnsi="Times New Roman" w:eastAsia="宋体" w:cs="Times New Roman"/>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声明：本开标、评标及定标办法使用</w:t>
      </w:r>
      <w:r>
        <w:rPr>
          <w:rFonts w:hint="default" w:ascii="Times New Roman" w:hAnsi="Times New Roman" w:eastAsia="宋体" w:cs="Times New Roman"/>
          <w:b/>
          <w:bCs w:val="0"/>
          <w:color w:val="auto"/>
          <w:kern w:val="2"/>
          <w:sz w:val="21"/>
          <w:szCs w:val="21"/>
          <w:highlight w:val="none"/>
          <w:lang w:val="en-US" w:eastAsia="zh-CN" w:bidi="ar"/>
        </w:rPr>
        <w:t>GZZB2018-3</w:t>
      </w:r>
      <w:r>
        <w:rPr>
          <w:rFonts w:hint="eastAsia" w:ascii="宋体" w:hAnsi="宋体" w:eastAsia="宋体" w:cs="宋体"/>
          <w:b/>
          <w:bCs w:val="0"/>
          <w:color w:val="auto"/>
          <w:kern w:val="2"/>
          <w:sz w:val="21"/>
          <w:szCs w:val="21"/>
          <w:highlight w:val="none"/>
          <w:lang w:val="en-US" w:eastAsia="zh-CN" w:bidi="ar"/>
        </w:rPr>
        <w:t>招标文件范本的开标、评标及定标办法通用条款，与该通用条款不同之处，均在本表中列明，并以现文为准，原文不再有效。本招标文件中不再转录开标、评标及定标办法通用条款，请投标人自行到广州市住房和城乡建设局网站（网址：</w:t>
      </w:r>
      <w:r>
        <w:rPr>
          <w:rFonts w:hint="default" w:ascii="Times New Roman" w:hAnsi="Times New Roman" w:eastAsia="宋体" w:cs="Times New Roman"/>
          <w:color w:val="auto"/>
          <w:kern w:val="2"/>
          <w:sz w:val="21"/>
          <w:szCs w:val="21"/>
          <w:highlight w:val="none"/>
          <w:lang w:val="en-US" w:eastAsia="zh-CN" w:bidi="ar"/>
        </w:rPr>
        <w:fldChar w:fldCharType="begin"/>
      </w:r>
      <w:r>
        <w:rPr>
          <w:rFonts w:hint="default" w:ascii="Times New Roman" w:hAnsi="Times New Roman" w:eastAsia="宋体" w:cs="Times New Roman"/>
          <w:color w:val="auto"/>
          <w:kern w:val="2"/>
          <w:sz w:val="21"/>
          <w:szCs w:val="21"/>
          <w:highlight w:val="none"/>
          <w:lang w:val="en-US" w:eastAsia="zh-CN" w:bidi="ar"/>
        </w:rPr>
        <w:instrText xml:space="preserve"> HYPERLINK "http://www.gzcc.gov.cn/）下载GZZB2018-3" </w:instrText>
      </w:r>
      <w:r>
        <w:rPr>
          <w:rFonts w:hint="default" w:ascii="Times New Roman" w:hAnsi="Times New Roman" w:eastAsia="宋体" w:cs="Times New Roman"/>
          <w:color w:val="auto"/>
          <w:kern w:val="2"/>
          <w:sz w:val="21"/>
          <w:szCs w:val="21"/>
          <w:highlight w:val="none"/>
          <w:lang w:val="en-US" w:eastAsia="zh-CN" w:bidi="ar"/>
        </w:rPr>
        <w:fldChar w:fldCharType="separate"/>
      </w:r>
      <w:r>
        <w:rPr>
          <w:rStyle w:val="20"/>
          <w:rFonts w:hint="default" w:ascii="Times New Roman" w:hAnsi="Times New Roman" w:eastAsia="宋体" w:cs="Times New Roman"/>
          <w:b/>
          <w:bCs w:val="0"/>
          <w:color w:val="auto"/>
          <w:highlight w:val="none"/>
        </w:rPr>
        <w:t>http://zfcj.gz.gov.cn/</w:t>
      </w:r>
      <w:r>
        <w:rPr>
          <w:rStyle w:val="20"/>
          <w:rFonts w:hint="eastAsia" w:ascii="宋体" w:hAnsi="宋体" w:eastAsia="宋体" w:cs="宋体"/>
          <w:b/>
          <w:bCs w:val="0"/>
          <w:color w:val="auto"/>
          <w:highlight w:val="none"/>
        </w:rPr>
        <w:t>）下载</w:t>
      </w:r>
      <w:r>
        <w:rPr>
          <w:rStyle w:val="20"/>
          <w:rFonts w:hint="default" w:ascii="Times New Roman" w:hAnsi="Times New Roman" w:eastAsia="宋体" w:cs="Times New Roman"/>
          <w:b/>
          <w:bCs w:val="0"/>
          <w:color w:val="auto"/>
          <w:highlight w:val="none"/>
        </w:rPr>
        <w:t>GZZB2018-3</w:t>
      </w:r>
      <w:r>
        <w:rPr>
          <w:rFonts w:hint="default" w:ascii="Times New Roman" w:hAnsi="Times New Roman" w:eastAsia="宋体" w:cs="Times New Roman"/>
          <w:color w:val="auto"/>
          <w:kern w:val="2"/>
          <w:sz w:val="21"/>
          <w:szCs w:val="21"/>
          <w:highlight w:val="none"/>
          <w:lang w:val="en-US" w:eastAsia="zh-CN" w:bidi="ar"/>
        </w:rPr>
        <w:fldChar w:fldCharType="end"/>
      </w:r>
      <w:r>
        <w:rPr>
          <w:rFonts w:hint="eastAsia" w:ascii="宋体" w:hAnsi="宋体" w:eastAsia="宋体" w:cs="宋体"/>
          <w:b/>
          <w:bCs w:val="0"/>
          <w:color w:val="auto"/>
          <w:kern w:val="2"/>
          <w:sz w:val="21"/>
          <w:szCs w:val="21"/>
          <w:highlight w:val="none"/>
          <w:lang w:val="en-US" w:eastAsia="zh-CN" w:bidi="ar"/>
        </w:rPr>
        <w:t>范本查阅。</w:t>
      </w:r>
    </w:p>
    <w:p w14:paraId="3523AF99">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条款号：（二）开标评标办法程序和细则        修改类型：删除</w:t>
      </w:r>
    </w:p>
    <w:p w14:paraId="4144ED6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原文：可选办法一（适合综合评分法一，技术标与经济标先后分别开启）</w:t>
      </w:r>
    </w:p>
    <w:p w14:paraId="24EBC32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原文：可选办法二（适合综合评分法一，技术标与经济标同时开启）</w:t>
      </w:r>
    </w:p>
    <w:p w14:paraId="59A062D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原文：可选办法三（适合综合评分法二，技术标与经济标先后分别开启）</w:t>
      </w:r>
    </w:p>
    <w:p w14:paraId="1883F35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原文：可选办法四（适合综合评分法二，技术标与经济标同时开启）</w:t>
      </w:r>
    </w:p>
    <w:p w14:paraId="6EA6C7D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原文：可选办法五（适合综合评分法三，技术标与经济标先后分别开启）</w:t>
      </w:r>
    </w:p>
    <w:p w14:paraId="0AE2496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原文：可选办法六（适合综合评分法三，技术标与经济标同时开启）</w:t>
      </w:r>
    </w:p>
    <w:p w14:paraId="186D4561">
      <w:pPr>
        <w:keepNext w:val="0"/>
        <w:keepLines w:val="0"/>
        <w:widowControl w:val="0"/>
        <w:suppressLineNumbers w:val="0"/>
        <w:pBdr>
          <w:top w:val="none" w:color="auto" w:sz="0" w:space="0"/>
          <w:left w:val="none" w:color="auto" w:sz="0" w:space="0"/>
          <w:bottom w:val="single" w:color="auto" w:sz="4" w:space="1"/>
          <w:right w:val="none" w:color="auto" w:sz="0" w:space="0"/>
        </w:pBdr>
        <w:spacing w:before="0" w:beforeAutospacing="0" w:after="0" w:afterAutospacing="0" w:line="360" w:lineRule="auto"/>
        <w:ind w:left="0" w:right="0" w:firstLine="480" w:firstLineChars="200"/>
        <w:jc w:val="both"/>
        <w:rPr>
          <w:rFonts w:hint="eastAsia" w:ascii="宋体" w:hAnsi="宋体" w:eastAsia="宋体" w:cs="宋体"/>
          <w:b/>
          <w:bCs w:val="0"/>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原文：可选办法八（适合经评审的最低投标价法，技术标与经济标同时开启）</w:t>
      </w:r>
    </w:p>
    <w:p w14:paraId="52C7CBBE">
      <w:pPr>
        <w:keepNext w:val="0"/>
        <w:keepLines w:val="0"/>
        <w:widowControl w:val="0"/>
        <w:suppressLineNumbers w:val="0"/>
        <w:spacing w:before="0" w:beforeAutospacing="0" w:after="0" w:afterAutospacing="0" w:line="480" w:lineRule="auto"/>
        <w:ind w:left="0" w:right="0" w:firstLine="540" w:firstLineChars="224"/>
        <w:jc w:val="both"/>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条款号：</w:t>
      </w:r>
      <w:r>
        <w:rPr>
          <w:rFonts w:hint="default" w:ascii="Calibri" w:hAnsi="Calibri" w:eastAsia="宋体" w:cs="Times New Roman"/>
          <w:b/>
          <w:bCs w:val="0"/>
          <w:color w:val="auto"/>
          <w:kern w:val="2"/>
          <w:sz w:val="24"/>
          <w:szCs w:val="24"/>
          <w:highlight w:val="none"/>
          <w:lang w:val="en-US" w:eastAsia="zh-CN" w:bidi="ar"/>
        </w:rPr>
        <w:t xml:space="preserve">35   </w:t>
      </w:r>
      <w:r>
        <w:rPr>
          <w:rFonts w:hint="eastAsia" w:ascii="宋体" w:hAnsi="宋体" w:eastAsia="宋体" w:cs="宋体"/>
          <w:b/>
          <w:bCs w:val="0"/>
          <w:color w:val="auto"/>
          <w:kern w:val="2"/>
          <w:sz w:val="24"/>
          <w:szCs w:val="24"/>
          <w:highlight w:val="none"/>
          <w:lang w:val="en-US" w:eastAsia="zh-CN" w:bidi="ar"/>
        </w:rPr>
        <w:t xml:space="preserve">          修改类型：修改</w:t>
      </w:r>
    </w:p>
    <w:p w14:paraId="1563F7A6">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原文：35 开标、评标及定标所依据的规则</w:t>
      </w:r>
    </w:p>
    <w:p w14:paraId="7D1FD8E4">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35.1《中华人民共和国招标投标法》；</w:t>
      </w:r>
    </w:p>
    <w:p w14:paraId="745081F9">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35.2《中华人民共和国招标投标法实施条例》；</w:t>
      </w:r>
    </w:p>
    <w:p w14:paraId="1BACB8F4">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35.3《评标委员会和评标方法暂行规定》（七部委第12号令）；</w:t>
      </w:r>
    </w:p>
    <w:p w14:paraId="45AC9FDE">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35.4《工程建设项目施工招标投标办法》（七部委2003年第30号令）；</w:t>
      </w:r>
    </w:p>
    <w:p w14:paraId="0CD0DD82">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35.5《广东省实施〈中华人民共和国招标投标法〉办法》；</w:t>
      </w:r>
    </w:p>
    <w:p w14:paraId="4BC72D6F">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35.6《房屋建筑和市政基础设施工程施工招标投标管理办法》（建设部令第89号）；</w:t>
      </w:r>
    </w:p>
    <w:p w14:paraId="2D8EC476">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35.7《广东省加强建设工程招标投标监督管理的若干规定》（粤发〔2004〕4号）；</w:t>
      </w:r>
    </w:p>
    <w:p w14:paraId="4D16DDC5">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35.8《广州市工程建设项目招标投标管理办法》（穗府办规〔2017〕5号）；</w:t>
      </w:r>
    </w:p>
    <w:p w14:paraId="4F948567">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35.9本项目招标文件。</w:t>
      </w:r>
    </w:p>
    <w:p w14:paraId="6142A808">
      <w:pPr>
        <w:keepNext w:val="0"/>
        <w:keepLines w:val="0"/>
        <w:widowControl/>
        <w:suppressLineNumbers w:val="0"/>
        <w:spacing w:before="0" w:beforeAutospacing="0" w:after="0" w:afterAutospacing="0" w:line="360" w:lineRule="auto"/>
        <w:ind w:left="0" w:right="0" w:firstLine="482" w:firstLineChars="200"/>
        <w:jc w:val="left"/>
        <w:rPr>
          <w:rFonts w:hint="eastAsia" w:ascii="宋体" w:hAnsi="宋体" w:eastAsia="宋体" w:cs="宋体"/>
          <w:color w:val="auto"/>
          <w:sz w:val="24"/>
          <w:szCs w:val="24"/>
          <w:highlight w:val="none"/>
          <w:lang w:val="en-US" w:bidi="ar"/>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lang w:val="en-US" w:eastAsia="zh-CN" w:bidi="ar"/>
        </w:rPr>
        <w:t>35 开标、评标及定标所依据的规则</w:t>
      </w:r>
    </w:p>
    <w:p w14:paraId="435E5767">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bidi="ar"/>
        </w:rPr>
      </w:pPr>
      <w:r>
        <w:rPr>
          <w:rFonts w:hint="eastAsia" w:ascii="宋体" w:hAnsi="宋体" w:eastAsia="宋体" w:cs="宋体"/>
          <w:color w:val="auto"/>
          <w:kern w:val="2"/>
          <w:sz w:val="24"/>
          <w:szCs w:val="24"/>
          <w:highlight w:val="none"/>
          <w:lang w:val="en-US" w:eastAsia="zh-CN" w:bidi="ar"/>
        </w:rPr>
        <w:t>35.1《中华人民共和国招标投标法》；</w:t>
      </w:r>
    </w:p>
    <w:p w14:paraId="0180D975">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bidi="ar"/>
        </w:rPr>
      </w:pPr>
      <w:r>
        <w:rPr>
          <w:rFonts w:hint="eastAsia" w:ascii="宋体" w:hAnsi="宋体" w:eastAsia="宋体" w:cs="宋体"/>
          <w:color w:val="auto"/>
          <w:kern w:val="2"/>
          <w:sz w:val="24"/>
          <w:szCs w:val="24"/>
          <w:highlight w:val="none"/>
          <w:lang w:val="en-US" w:eastAsia="zh-CN" w:bidi="ar"/>
        </w:rPr>
        <w:t>35.2《中华人民共和国招标投标法实施条例》；</w:t>
      </w:r>
    </w:p>
    <w:p w14:paraId="417ADA06">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bidi="ar"/>
        </w:rPr>
      </w:pPr>
      <w:r>
        <w:rPr>
          <w:rFonts w:hint="eastAsia" w:ascii="宋体" w:hAnsi="宋体" w:eastAsia="宋体" w:cs="宋体"/>
          <w:color w:val="auto"/>
          <w:kern w:val="2"/>
          <w:sz w:val="24"/>
          <w:szCs w:val="24"/>
          <w:highlight w:val="none"/>
          <w:lang w:val="en-US" w:eastAsia="zh-CN" w:bidi="ar"/>
        </w:rPr>
        <w:t>35.3《评标委员会和评标方法暂行规定》（七部委第12号令）；</w:t>
      </w:r>
    </w:p>
    <w:p w14:paraId="1528E8CB">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bidi="ar"/>
        </w:rPr>
      </w:pPr>
      <w:r>
        <w:rPr>
          <w:rFonts w:hint="eastAsia" w:ascii="宋体" w:hAnsi="宋体" w:eastAsia="宋体" w:cs="宋体"/>
          <w:color w:val="auto"/>
          <w:kern w:val="2"/>
          <w:sz w:val="24"/>
          <w:szCs w:val="24"/>
          <w:highlight w:val="none"/>
          <w:lang w:val="en-US" w:eastAsia="zh-CN" w:bidi="ar"/>
        </w:rPr>
        <w:t>35.4《工程建设项目施工招标投标办法》（七部委2003年第30号令）；</w:t>
      </w:r>
    </w:p>
    <w:p w14:paraId="283C2DDE">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bidi="ar"/>
        </w:rPr>
      </w:pPr>
      <w:r>
        <w:rPr>
          <w:rFonts w:hint="eastAsia" w:ascii="宋体" w:hAnsi="宋体" w:eastAsia="宋体" w:cs="宋体"/>
          <w:color w:val="auto"/>
          <w:kern w:val="2"/>
          <w:sz w:val="24"/>
          <w:szCs w:val="24"/>
          <w:highlight w:val="none"/>
          <w:lang w:val="en-US" w:eastAsia="zh-CN" w:bidi="ar"/>
        </w:rPr>
        <w:t>35.5《广东省实施〈中华人民共和国招标投标法〉办法》；</w:t>
      </w:r>
    </w:p>
    <w:p w14:paraId="41EDA0F5">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bidi="ar"/>
        </w:rPr>
      </w:pPr>
      <w:r>
        <w:rPr>
          <w:rFonts w:hint="eastAsia" w:ascii="宋体" w:hAnsi="宋体" w:eastAsia="宋体" w:cs="宋体"/>
          <w:color w:val="auto"/>
          <w:kern w:val="2"/>
          <w:sz w:val="24"/>
          <w:szCs w:val="24"/>
          <w:highlight w:val="none"/>
          <w:lang w:val="en-US" w:eastAsia="zh-CN" w:bidi="ar"/>
        </w:rPr>
        <w:t>35.6《房屋建筑和市政基础设施工程施工招标投标管理办法》（建设部令第89号）；</w:t>
      </w:r>
    </w:p>
    <w:p w14:paraId="60FA2CBC">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bidi="ar"/>
        </w:rPr>
      </w:pPr>
      <w:r>
        <w:rPr>
          <w:rFonts w:hint="eastAsia" w:ascii="宋体" w:hAnsi="宋体" w:eastAsia="宋体" w:cs="宋体"/>
          <w:color w:val="auto"/>
          <w:kern w:val="2"/>
          <w:sz w:val="24"/>
          <w:szCs w:val="24"/>
          <w:highlight w:val="none"/>
          <w:lang w:val="en-US" w:eastAsia="zh-CN" w:bidi="ar"/>
        </w:rPr>
        <w:t>35.7《广东省加强建设工程招标投标监督管理的若干规定》（粤发〔2004〕4号）；</w:t>
      </w:r>
    </w:p>
    <w:p w14:paraId="2291893D">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lang w:val="en-US" w:bidi="ar"/>
        </w:rPr>
      </w:pPr>
      <w:r>
        <w:rPr>
          <w:rFonts w:hint="eastAsia" w:ascii="宋体" w:hAnsi="宋体" w:eastAsia="宋体" w:cs="宋体"/>
          <w:color w:val="auto"/>
          <w:kern w:val="2"/>
          <w:sz w:val="24"/>
          <w:szCs w:val="24"/>
          <w:highlight w:val="none"/>
          <w:lang w:val="en-US" w:eastAsia="zh-CN" w:bidi="ar"/>
        </w:rPr>
        <w:t>35.8《广州市工程建设项目招标投标管理办法》（穗建规字〔2023〕12号）；</w:t>
      </w:r>
    </w:p>
    <w:p w14:paraId="5BBD8792">
      <w:pPr>
        <w:keepNext w:val="0"/>
        <w:keepLines w:val="0"/>
        <w:widowControl/>
        <w:suppressLineNumbers w:val="0"/>
        <w:jc w:val="left"/>
        <w:rPr>
          <w:color w:val="auto"/>
          <w:highlight w:val="none"/>
        </w:rPr>
      </w:pPr>
      <w:r>
        <w:rPr>
          <w:rFonts w:hint="eastAsia" w:ascii="宋体" w:hAnsi="宋体" w:eastAsia="宋体" w:cs="宋体"/>
          <w:color w:val="auto"/>
          <w:kern w:val="2"/>
          <w:sz w:val="24"/>
          <w:szCs w:val="24"/>
          <w:highlight w:val="none"/>
          <w:lang w:val="en-US" w:eastAsia="zh-CN" w:bidi="ar"/>
        </w:rPr>
        <w:t>35.9本项目招标文件。</w:t>
      </w:r>
      <w:r>
        <w:rPr>
          <w:rFonts w:hint="default" w:ascii="宋体" w:hAnsi="宋体" w:eastAsia="宋体" w:cs="宋体"/>
          <w:color w:val="auto"/>
          <w:kern w:val="2"/>
          <w:sz w:val="24"/>
          <w:szCs w:val="24"/>
          <w:highlight w:val="none"/>
          <w:lang w:val="en-US" w:eastAsia="zh-CN" w:bidi="ar"/>
        </w:rPr>
        <w:t xml:space="preserve"> </w:t>
      </w:r>
    </w:p>
    <w:p w14:paraId="473516E8">
      <w:pPr>
        <w:keepNext w:val="0"/>
        <w:keepLines w:val="0"/>
        <w:widowControl w:val="0"/>
        <w:suppressLineNumbers w:val="0"/>
        <w:spacing w:before="0" w:beforeAutospacing="0" w:after="0" w:afterAutospacing="0" w:line="480" w:lineRule="auto"/>
        <w:ind w:left="0" w:right="0" w:firstLine="540" w:firstLineChars="224"/>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Calibri" w:hAnsi="Calibri" w:eastAsia="宋体" w:cs="Times New Roman"/>
          <w:b/>
          <w:bCs w:val="0"/>
          <w:color w:val="auto"/>
          <w:kern w:val="2"/>
          <w:sz w:val="24"/>
          <w:szCs w:val="24"/>
          <w:highlight w:val="none"/>
          <w:lang w:val="en-US" w:eastAsia="zh-CN" w:bidi="ar"/>
        </w:rPr>
        <w:t xml:space="preserve">36.1   </w:t>
      </w:r>
      <w:r>
        <w:rPr>
          <w:rFonts w:hint="eastAsia" w:ascii="宋体" w:hAnsi="宋体" w:eastAsia="宋体" w:cs="宋体"/>
          <w:b/>
          <w:bCs w:val="0"/>
          <w:color w:val="auto"/>
          <w:kern w:val="2"/>
          <w:sz w:val="24"/>
          <w:szCs w:val="24"/>
          <w:highlight w:val="none"/>
          <w:lang w:val="en-US" w:eastAsia="zh-CN" w:bidi="ar"/>
        </w:rPr>
        <w:t xml:space="preserve">          修改类型：修改</w:t>
      </w:r>
    </w:p>
    <w:p w14:paraId="37C74E78">
      <w:pPr>
        <w:keepNext w:val="0"/>
        <w:keepLines w:val="0"/>
        <w:widowControl w:val="0"/>
        <w:suppressLineNumbers w:val="0"/>
        <w:spacing w:before="0" w:beforeAutospacing="0" w:after="0" w:afterAutospacing="0" w:line="360" w:lineRule="auto"/>
        <w:ind w:left="0" w:right="0" w:firstLine="540" w:firstLineChars="224"/>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color w:val="auto"/>
          <w:kern w:val="2"/>
          <w:sz w:val="24"/>
          <w:szCs w:val="24"/>
          <w:highlight w:val="none"/>
          <w:lang w:val="en-US" w:eastAsia="zh-CN" w:bidi="ar"/>
        </w:rPr>
        <w:t>：</w:t>
      </w:r>
      <w:r>
        <w:rPr>
          <w:rFonts w:hint="default" w:ascii="Calibri" w:hAnsi="Calibri" w:eastAsia="宋体" w:cs="Times New Roman"/>
          <w:color w:val="auto"/>
          <w:kern w:val="2"/>
          <w:sz w:val="24"/>
          <w:szCs w:val="24"/>
          <w:highlight w:val="none"/>
          <w:lang w:val="en-US" w:eastAsia="zh-CN" w:bidi="ar"/>
        </w:rPr>
        <w:t>36.1</w:t>
      </w:r>
      <w:r>
        <w:rPr>
          <w:rFonts w:hint="eastAsia" w:ascii="宋体" w:hAnsi="宋体" w:eastAsia="宋体" w:cs="宋体"/>
          <w:color w:val="auto"/>
          <w:kern w:val="2"/>
          <w:sz w:val="24"/>
          <w:szCs w:val="24"/>
          <w:highlight w:val="none"/>
          <w:lang w:val="en-US" w:eastAsia="zh-CN" w:bidi="ar"/>
        </w:rPr>
        <w:t xml:space="preserve"> 招标人按投标须知前附表第18项所规定的时间和地点公开开标，并邀请所有投标人参加。截标后，开标开始时间因故推迟的，相关评标信息仍以原定的开标开始时间的信息为准。</w:t>
      </w:r>
    </w:p>
    <w:p w14:paraId="2306105D">
      <w:pPr>
        <w:keepNext w:val="0"/>
        <w:keepLines w:val="0"/>
        <w:widowControl w:val="0"/>
        <w:suppressLineNumbers w:val="0"/>
        <w:pBdr>
          <w:top w:val="none" w:color="auto" w:sz="0" w:space="0"/>
          <w:left w:val="none" w:color="auto" w:sz="0" w:space="0"/>
          <w:bottom w:val="single" w:color="auto" w:sz="6" w:space="0"/>
          <w:right w:val="none" w:color="auto" w:sz="0" w:space="0"/>
        </w:pBdr>
        <w:spacing w:before="0" w:beforeAutospacing="0" w:after="0" w:afterAutospacing="0" w:line="360" w:lineRule="auto"/>
        <w:ind w:left="0" w:right="0" w:firstLine="482" w:firstLineChars="200"/>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Calibri" w:hAnsi="Calibri" w:eastAsia="宋体" w:cs="Times New Roman"/>
          <w:color w:val="auto"/>
          <w:kern w:val="2"/>
          <w:sz w:val="24"/>
          <w:szCs w:val="24"/>
          <w:highlight w:val="none"/>
          <w:lang w:val="en-US" w:eastAsia="zh-CN" w:bidi="ar"/>
        </w:rPr>
        <w:t>36.1</w:t>
      </w:r>
      <w:r>
        <w:rPr>
          <w:rFonts w:hint="eastAsia" w:ascii="宋体" w:hAnsi="宋体" w:eastAsia="宋体" w:cs="宋体"/>
          <w:color w:val="auto"/>
          <w:kern w:val="2"/>
          <w:sz w:val="24"/>
          <w:szCs w:val="24"/>
          <w:highlight w:val="none"/>
          <w:lang w:val="en-US" w:eastAsia="zh-CN" w:bidi="ar"/>
        </w:rPr>
        <w:t xml:space="preserve"> 招标人按投标须知前附表第18项所规定的时间和地点公开开标，并邀请所有投标人参加。截标后，开标开始时间因故推迟的，相关评标信息仍以原定的开标开始时间的信息为准。</w:t>
      </w:r>
      <w:r>
        <w:rPr>
          <w:rFonts w:hint="eastAsia" w:ascii="宋体" w:hAnsi="宋体" w:eastAsia="宋体" w:cs="宋体"/>
          <w:color w:val="auto"/>
          <w:kern w:val="2"/>
          <w:sz w:val="24"/>
          <w:szCs w:val="24"/>
          <w:highlight w:val="none"/>
          <w:u w:val="single"/>
          <w:lang w:val="en-US" w:eastAsia="zh-CN" w:bidi="ar"/>
        </w:rPr>
        <w:t>若投标人不参加开标会的，其投标文件在开标现场的投标人或招标人代表、招标代理机构代表及交易中心代表见证下公开开启、解密、公布，并视同该投标人认可开标结果。</w:t>
      </w:r>
    </w:p>
    <w:p w14:paraId="649A1EFF">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36.3             </w:t>
      </w:r>
      <w:r>
        <w:rPr>
          <w:rFonts w:hint="eastAsia" w:ascii="宋体" w:hAnsi="宋体" w:eastAsia="宋体" w:cs="宋体"/>
          <w:b/>
          <w:bCs w:val="0"/>
          <w:color w:val="auto"/>
          <w:kern w:val="2"/>
          <w:sz w:val="24"/>
          <w:szCs w:val="24"/>
          <w:highlight w:val="none"/>
          <w:lang w:val="en-US" w:eastAsia="zh-CN" w:bidi="ar"/>
        </w:rPr>
        <w:t>修改类型：删除</w:t>
      </w:r>
    </w:p>
    <w:p w14:paraId="21D32541">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36.3</w:t>
      </w:r>
      <w:r>
        <w:rPr>
          <w:rFonts w:hint="eastAsia" w:ascii="宋体" w:hAnsi="宋体" w:eastAsia="宋体" w:cs="宋体"/>
          <w:color w:val="auto"/>
          <w:kern w:val="2"/>
          <w:sz w:val="24"/>
          <w:szCs w:val="24"/>
          <w:highlight w:val="none"/>
          <w:lang w:val="en-US" w:eastAsia="zh-CN" w:bidi="ar"/>
        </w:rPr>
        <w:t>根据投标须知前附表第19项，如需抽取某一种评标办法供评标时使用的，应在开标前抽取。首先对招标文件中约定的若干种评标方法进行编号，再随机抽取某一编号，该编号所对应的评标办法供评标时使用。</w:t>
      </w:r>
    </w:p>
    <w:p w14:paraId="3CB543B9">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36.4             </w:t>
      </w:r>
      <w:r>
        <w:rPr>
          <w:rFonts w:hint="eastAsia" w:ascii="宋体" w:hAnsi="宋体" w:eastAsia="宋体" w:cs="宋体"/>
          <w:b/>
          <w:bCs w:val="0"/>
          <w:color w:val="auto"/>
          <w:kern w:val="2"/>
          <w:sz w:val="24"/>
          <w:szCs w:val="24"/>
          <w:highlight w:val="none"/>
          <w:lang w:val="en-US" w:eastAsia="zh-CN" w:bidi="ar"/>
        </w:rPr>
        <w:t>修改类型：修改</w:t>
      </w:r>
    </w:p>
    <w:p w14:paraId="5C100D20">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36.4</w:t>
      </w:r>
      <w:r>
        <w:rPr>
          <w:rFonts w:hint="eastAsia" w:ascii="宋体" w:hAnsi="宋体" w:eastAsia="宋体" w:cs="宋体"/>
          <w:color w:val="auto"/>
          <w:kern w:val="2"/>
          <w:sz w:val="24"/>
          <w:szCs w:val="24"/>
          <w:highlight w:val="none"/>
          <w:lang w:val="en-US" w:eastAsia="zh-CN" w:bidi="ar"/>
        </w:rPr>
        <w:t>若递交投标文件的投标人不足3家，则重新组织招标。（当</w:t>
      </w:r>
      <w:r>
        <w:rPr>
          <w:rFonts w:hint="eastAsia" w:ascii="宋体" w:hAnsi="宋体" w:eastAsia="宋体" w:cs="Times New Roman"/>
          <w:color w:val="auto"/>
          <w:kern w:val="2"/>
          <w:sz w:val="24"/>
          <w:szCs w:val="24"/>
          <w:highlight w:val="none"/>
          <w:lang w:val="en-US" w:eastAsia="zh-CN" w:bidi="ar"/>
        </w:rPr>
        <w:t>N</w:t>
      </w:r>
      <w:r>
        <w:rPr>
          <w:rFonts w:hint="eastAsia" w:ascii="宋体" w:hAnsi="宋体" w:eastAsia="宋体" w:cs="宋体"/>
          <w:color w:val="auto"/>
          <w:kern w:val="2"/>
          <w:sz w:val="24"/>
          <w:szCs w:val="24"/>
          <w:highlight w:val="none"/>
          <w:lang w:val="en-US" w:eastAsia="zh-CN" w:bidi="ar"/>
        </w:rPr>
        <w:t>个标段同时招标且不允许兼中时，若有效投标人不足</w:t>
      </w:r>
      <w:r>
        <w:rPr>
          <w:rFonts w:hint="eastAsia" w:ascii="宋体" w:hAnsi="宋体" w:eastAsia="宋体" w:cs="Times New Roman"/>
          <w:color w:val="auto"/>
          <w:kern w:val="2"/>
          <w:sz w:val="24"/>
          <w:szCs w:val="24"/>
          <w:highlight w:val="none"/>
          <w:lang w:val="en-US" w:eastAsia="zh-CN" w:bidi="ar"/>
        </w:rPr>
        <w:t>N+</w:t>
      </w:r>
      <w:r>
        <w:rPr>
          <w:rFonts w:hint="eastAsia" w:ascii="宋体" w:hAnsi="宋体" w:eastAsia="宋体" w:cs="宋体"/>
          <w:color w:val="auto"/>
          <w:kern w:val="2"/>
          <w:sz w:val="24"/>
          <w:szCs w:val="24"/>
          <w:highlight w:val="none"/>
          <w:lang w:val="en-US" w:eastAsia="zh-CN" w:bidi="ar"/>
        </w:rPr>
        <w:t>2家，则重新组织招标）</w:t>
      </w:r>
    </w:p>
    <w:p w14:paraId="4101E7F2">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color w:val="auto"/>
          <w:kern w:val="2"/>
          <w:sz w:val="24"/>
          <w:szCs w:val="24"/>
          <w:highlight w:val="none"/>
          <w:lang w:val="en-US" w:eastAsia="zh-CN" w:bidi="ar"/>
        </w:rPr>
        <w:t>36.4</w:t>
      </w:r>
      <w:r>
        <w:rPr>
          <w:rFonts w:hint="eastAsia" w:ascii="宋体" w:hAnsi="宋体" w:eastAsia="宋体" w:cs="宋体"/>
          <w:color w:val="auto"/>
          <w:kern w:val="2"/>
          <w:sz w:val="24"/>
          <w:szCs w:val="24"/>
          <w:highlight w:val="none"/>
          <w:lang w:val="en-US" w:eastAsia="zh-CN" w:bidi="ar"/>
        </w:rPr>
        <w:t>若递交投标文件的投标人不足</w:t>
      </w:r>
      <w:r>
        <w:rPr>
          <w:rFonts w:hint="default" w:ascii="Times New Roman" w:hAnsi="Times New Roman" w:eastAsia="宋体" w:cs="Times New Roman"/>
          <w:color w:val="auto"/>
          <w:kern w:val="2"/>
          <w:sz w:val="24"/>
          <w:szCs w:val="24"/>
          <w:highlight w:val="none"/>
          <w:u w:val="single"/>
          <w:lang w:val="en-US" w:eastAsia="zh-CN" w:bidi="ar"/>
        </w:rPr>
        <w:t>3</w:t>
      </w:r>
      <w:r>
        <w:rPr>
          <w:rFonts w:hint="eastAsia" w:ascii="宋体" w:hAnsi="宋体" w:eastAsia="宋体" w:cs="宋体"/>
          <w:color w:val="auto"/>
          <w:kern w:val="2"/>
          <w:sz w:val="24"/>
          <w:szCs w:val="24"/>
          <w:highlight w:val="none"/>
          <w:lang w:val="en-US" w:eastAsia="zh-CN" w:bidi="ar"/>
        </w:rPr>
        <w:t>家，则重新组织招标。</w:t>
      </w:r>
    </w:p>
    <w:p w14:paraId="57D6CB70">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36.5.1             </w:t>
      </w:r>
      <w:r>
        <w:rPr>
          <w:rFonts w:hint="eastAsia" w:ascii="宋体" w:hAnsi="宋体" w:eastAsia="宋体" w:cs="宋体"/>
          <w:b/>
          <w:bCs w:val="0"/>
          <w:color w:val="auto"/>
          <w:kern w:val="2"/>
          <w:sz w:val="24"/>
          <w:szCs w:val="24"/>
          <w:highlight w:val="none"/>
          <w:lang w:val="en-US" w:eastAsia="zh-CN" w:bidi="ar"/>
        </w:rPr>
        <w:t>修改类型：修改</w:t>
      </w:r>
    </w:p>
    <w:p w14:paraId="2252E392">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36.5.1</w:t>
      </w:r>
      <w:r>
        <w:rPr>
          <w:rFonts w:hint="eastAsia" w:ascii="宋体" w:hAnsi="宋体" w:eastAsia="宋体" w:cs="宋体"/>
          <w:color w:val="auto"/>
          <w:kern w:val="2"/>
          <w:sz w:val="24"/>
          <w:szCs w:val="24"/>
          <w:highlight w:val="none"/>
          <w:lang w:val="en-US" w:eastAsia="zh-CN" w:bidi="ar"/>
        </w:rPr>
        <w:t>在投标截止时间后半小时内，投标人通过交易平台对已递交的电子投标文件进行解密。投标人完成解密后，再由招标人进行解密。解密完成后，公布招标项目名称、投标人名称、投标保证金的递交情况、投标报价、工期及其他内容；</w:t>
      </w:r>
    </w:p>
    <w:p w14:paraId="5154CD8C">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color w:val="auto"/>
          <w:kern w:val="2"/>
          <w:sz w:val="24"/>
          <w:szCs w:val="24"/>
          <w:highlight w:val="none"/>
          <w:lang w:val="en-US" w:eastAsia="zh-CN" w:bidi="ar"/>
        </w:rPr>
        <w:t>36.5.1</w:t>
      </w:r>
      <w:r>
        <w:rPr>
          <w:rFonts w:hint="eastAsia" w:ascii="宋体" w:hAnsi="宋体" w:eastAsia="宋体" w:cs="宋体"/>
          <w:color w:val="auto"/>
          <w:kern w:val="2"/>
          <w:sz w:val="24"/>
          <w:szCs w:val="24"/>
          <w:highlight w:val="none"/>
          <w:lang w:val="en-US" w:eastAsia="zh-CN" w:bidi="ar"/>
        </w:rPr>
        <w:t>在投标截止时间后半小时内，投标人通过</w:t>
      </w:r>
      <w:r>
        <w:rPr>
          <w:rFonts w:hint="eastAsia" w:ascii="宋体" w:hAnsi="宋体" w:eastAsia="宋体" w:cs="宋体"/>
          <w:color w:val="auto"/>
          <w:kern w:val="2"/>
          <w:sz w:val="24"/>
          <w:szCs w:val="24"/>
          <w:highlight w:val="none"/>
          <w:u w:val="single"/>
          <w:lang w:val="en-US" w:eastAsia="zh-CN" w:bidi="ar"/>
        </w:rPr>
        <w:t>广州公共资源交易中心</w:t>
      </w:r>
      <w:r>
        <w:rPr>
          <w:rFonts w:hint="eastAsia" w:ascii="宋体" w:hAnsi="宋体" w:eastAsia="宋体" w:cs="宋体"/>
          <w:color w:val="auto"/>
          <w:kern w:val="2"/>
          <w:sz w:val="24"/>
          <w:szCs w:val="24"/>
          <w:highlight w:val="none"/>
          <w:lang w:val="en-US" w:eastAsia="zh-CN" w:bidi="ar"/>
        </w:rPr>
        <w:t>交易平台对已递交的电子投标文件进行解密。投标人完成解密后，再由招标人进行解密。解密完成后，公布招标项目名称、投标人名称、投标报价、工期及其他内容；</w:t>
      </w:r>
    </w:p>
    <w:p w14:paraId="33EEA7D4">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color w:val="auto"/>
          <w:kern w:val="2"/>
          <w:sz w:val="24"/>
          <w:szCs w:val="24"/>
          <w:highlight w:val="none"/>
          <w:lang w:val="en-US" w:eastAsia="zh-CN" w:bidi="ar"/>
        </w:rPr>
        <w:t xml:space="preserve">36.5.3 </w:t>
      </w:r>
      <w:r>
        <w:rPr>
          <w:rFonts w:hint="default" w:ascii="Times New Roman" w:hAnsi="Times New Roman"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修改类型：修改</w:t>
      </w:r>
    </w:p>
    <w:p w14:paraId="3F747667">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color w:val="auto"/>
          <w:kern w:val="2"/>
          <w:sz w:val="24"/>
          <w:szCs w:val="24"/>
          <w:highlight w:val="none"/>
          <w:lang w:val="en-US" w:eastAsia="zh-CN" w:bidi="ar"/>
        </w:rPr>
        <w:t>投标人代表、招标人代表、监标人、记录人等有关人员在开标记录上签字确认；若有关人员不签字的，不影响开标程序；</w:t>
      </w:r>
    </w:p>
    <w:p w14:paraId="04CA3FA2">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lang w:val="en-US" w:eastAsia="zh-CN" w:bidi="ar"/>
        </w:rPr>
        <w:t>投标人代表、招标人代表、监标人、记录人等有关人员在开标记录上签字确认；若有关人员不签字的，不影响开标程序；</w:t>
      </w:r>
      <w:r>
        <w:rPr>
          <w:rFonts w:hint="eastAsia" w:ascii="宋体" w:hAnsi="宋体" w:eastAsia="宋体" w:cs="宋体"/>
          <w:color w:val="auto"/>
          <w:kern w:val="2"/>
          <w:sz w:val="24"/>
          <w:szCs w:val="24"/>
          <w:highlight w:val="none"/>
          <w:u w:val="single"/>
          <w:lang w:val="en-US" w:eastAsia="zh-CN" w:bidi="ar"/>
        </w:rPr>
        <w:t>若投标人不参加开标会的，或不签字确认的，视同该投标人认可开标结果。</w:t>
      </w:r>
    </w:p>
    <w:p w14:paraId="60701D9E">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38.1            </w:t>
      </w:r>
      <w:r>
        <w:rPr>
          <w:rFonts w:hint="eastAsia" w:ascii="宋体" w:hAnsi="宋体" w:eastAsia="宋体" w:cs="宋体"/>
          <w:b/>
          <w:bCs w:val="0"/>
          <w:color w:val="auto"/>
          <w:kern w:val="2"/>
          <w:sz w:val="24"/>
          <w:szCs w:val="24"/>
          <w:highlight w:val="none"/>
          <w:lang w:val="en-US" w:eastAsia="zh-CN" w:bidi="ar"/>
        </w:rPr>
        <w:t>修改类型：修改</w:t>
      </w:r>
    </w:p>
    <w:p w14:paraId="02A15F4B">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38.1</w:t>
      </w:r>
      <w:r>
        <w:rPr>
          <w:rFonts w:hint="eastAsia" w:ascii="宋体" w:hAnsi="宋体" w:eastAsia="宋体" w:cs="宋体"/>
          <w:color w:val="auto"/>
          <w:kern w:val="2"/>
          <w:sz w:val="24"/>
          <w:szCs w:val="24"/>
          <w:highlight w:val="none"/>
          <w:lang w:val="en-US" w:eastAsia="zh-CN" w:bidi="ar"/>
        </w:rPr>
        <w:t>为有助于投标文件的审查、评价和比较，评标期间，经评标委员会或评标委员会专业评审组中两人以上（含两人）以书面形式提出动议，评标委员会或评标委员会专业评审组应当书面发出澄清通知，要求投标人对投标文件含义不明确的内容作出澄清。</w:t>
      </w:r>
    </w:p>
    <w:p w14:paraId="13F3ADFF">
      <w:pPr>
        <w:keepNext w:val="0"/>
        <w:keepLines w:val="0"/>
        <w:widowControl w:val="0"/>
        <w:suppressLineNumbers w:val="0"/>
        <w:pBdr>
          <w:top w:val="none" w:color="auto" w:sz="0" w:space="0"/>
          <w:left w:val="none" w:color="auto" w:sz="0" w:space="0"/>
          <w:bottom w:val="single" w:color="auto" w:sz="12" w:space="1"/>
          <w:right w:val="none" w:color="auto" w:sz="0" w:space="0"/>
        </w:pBdr>
        <w:spacing w:before="0" w:beforeAutospacing="0" w:after="0" w:afterAutospacing="0" w:line="360" w:lineRule="auto"/>
        <w:ind w:left="0" w:right="0" w:firstLine="42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color w:val="auto"/>
          <w:kern w:val="2"/>
          <w:sz w:val="24"/>
          <w:szCs w:val="24"/>
          <w:highlight w:val="none"/>
          <w:lang w:val="en-US" w:eastAsia="zh-CN" w:bidi="ar"/>
        </w:rPr>
        <w:t>38.1</w:t>
      </w:r>
      <w:r>
        <w:rPr>
          <w:rFonts w:hint="eastAsia" w:ascii="宋体" w:hAnsi="宋体" w:eastAsia="宋体" w:cs="宋体"/>
          <w:color w:val="auto"/>
          <w:kern w:val="2"/>
          <w:sz w:val="24"/>
          <w:szCs w:val="24"/>
          <w:highlight w:val="none"/>
          <w:lang w:val="en-US" w:eastAsia="zh-CN" w:bidi="ar"/>
        </w:rPr>
        <w:t>为有助于投标文件的审查、评价和比较，评标期间，经评标委员会或评标委员会专业评审组中两人以上（含两人）以书面形式提出动议，评标委员会或评标委员会专业评审组应当书面发出澄清通知，要求投标人</w:t>
      </w:r>
      <w:r>
        <w:rPr>
          <w:rFonts w:hint="eastAsia" w:ascii="宋体" w:hAnsi="宋体" w:eastAsia="宋体" w:cs="宋体"/>
          <w:color w:val="auto"/>
          <w:kern w:val="2"/>
          <w:sz w:val="24"/>
          <w:szCs w:val="24"/>
          <w:highlight w:val="none"/>
          <w:u w:val="single"/>
          <w:lang w:val="en-US" w:eastAsia="zh-CN" w:bidi="ar"/>
        </w:rPr>
        <w:t>对投标文件含义不明确、对同类问题表述不一致、有明显文字和计算错误的内容以及细微偏差的</w:t>
      </w:r>
      <w:r>
        <w:rPr>
          <w:rFonts w:hint="eastAsia" w:ascii="宋体" w:hAnsi="宋体" w:eastAsia="宋体" w:cs="宋体"/>
          <w:color w:val="auto"/>
          <w:kern w:val="2"/>
          <w:sz w:val="24"/>
          <w:szCs w:val="24"/>
          <w:highlight w:val="none"/>
          <w:lang w:val="en-US" w:eastAsia="zh-CN" w:bidi="ar"/>
        </w:rPr>
        <w:t>内容作出澄清。</w:t>
      </w:r>
    </w:p>
    <w:p w14:paraId="1660D705">
      <w:pPr>
        <w:keepNext w:val="0"/>
        <w:keepLines w:val="0"/>
        <w:widowControl w:val="0"/>
        <w:suppressLineNumbers w:val="0"/>
        <w:spacing w:before="0" w:beforeAutospacing="0" w:after="0" w:afterAutospacing="0" w:line="360" w:lineRule="auto"/>
        <w:ind w:left="0" w:right="0" w:firstLine="540" w:firstLineChars="224"/>
        <w:jc w:val="both"/>
        <w:rPr>
          <w:rFonts w:hint="eastAsia" w:ascii="宋体" w:hAnsi="宋体" w:eastAsia="宋体" w:cs="Times New Roman"/>
          <w:b/>
          <w:color w:val="auto"/>
          <w:kern w:val="2"/>
          <w:sz w:val="24"/>
          <w:szCs w:val="24"/>
          <w:highlight w:val="none"/>
        </w:rPr>
      </w:pPr>
      <w:r>
        <w:rPr>
          <w:rFonts w:hint="eastAsia" w:ascii="宋体" w:hAnsi="宋体" w:eastAsia="宋体" w:cs="宋体"/>
          <w:b/>
          <w:color w:val="auto"/>
          <w:kern w:val="2"/>
          <w:sz w:val="24"/>
          <w:szCs w:val="24"/>
          <w:highlight w:val="none"/>
          <w:lang w:val="en-US" w:eastAsia="zh-CN" w:bidi="ar"/>
        </w:rPr>
        <w:t>条款号：</w:t>
      </w:r>
      <w:r>
        <w:rPr>
          <w:rFonts w:hint="default" w:ascii="Calibri" w:hAnsi="Calibri" w:eastAsia="宋体" w:cs="Calibri"/>
          <w:b/>
          <w:bCs w:val="0"/>
          <w:color w:val="auto"/>
          <w:kern w:val="2"/>
          <w:sz w:val="24"/>
          <w:szCs w:val="24"/>
          <w:highlight w:val="none"/>
          <w:lang w:val="en-US" w:eastAsia="zh-CN" w:bidi="ar"/>
        </w:rPr>
        <w:t xml:space="preserve">39.2  </w:t>
      </w:r>
      <w:r>
        <w:rPr>
          <w:rFonts w:hint="eastAsia" w:ascii="宋体" w:hAnsi="宋体" w:eastAsia="宋体" w:cs="Times New Roman"/>
          <w:b/>
          <w:color w:val="auto"/>
          <w:kern w:val="2"/>
          <w:sz w:val="24"/>
          <w:szCs w:val="24"/>
          <w:highlight w:val="none"/>
          <w:lang w:val="en-US" w:eastAsia="zh-CN" w:bidi="ar"/>
        </w:rPr>
        <w:t xml:space="preserve">         </w:t>
      </w:r>
      <w:r>
        <w:rPr>
          <w:rFonts w:hint="eastAsia" w:ascii="宋体" w:hAnsi="宋体" w:eastAsia="宋体" w:cs="宋体"/>
          <w:b/>
          <w:color w:val="auto"/>
          <w:kern w:val="2"/>
          <w:sz w:val="24"/>
          <w:szCs w:val="24"/>
          <w:highlight w:val="none"/>
          <w:lang w:val="en-US" w:eastAsia="zh-CN" w:bidi="ar"/>
        </w:rPr>
        <w:t>修改类型：修改</w:t>
      </w:r>
    </w:p>
    <w:p w14:paraId="3FE57867">
      <w:pPr>
        <w:keepNext w:val="0"/>
        <w:keepLines w:val="0"/>
        <w:widowControl w:val="0"/>
        <w:suppressLineNumbers w:val="0"/>
        <w:spacing w:before="0" w:beforeAutospacing="0" w:after="0" w:afterAutospacing="0" w:line="360" w:lineRule="auto"/>
        <w:ind w:left="0" w:right="0" w:firstLine="540" w:firstLineChars="224"/>
        <w:jc w:val="both"/>
        <w:rPr>
          <w:rFonts w:hint="eastAsia" w:ascii="宋体" w:hAnsi="宋体" w:eastAsia="宋体" w:cs="Times New Roman"/>
          <w:color w:val="auto"/>
          <w:kern w:val="2"/>
          <w:sz w:val="24"/>
          <w:szCs w:val="24"/>
          <w:highlight w:val="none"/>
        </w:rPr>
      </w:pPr>
      <w:r>
        <w:rPr>
          <w:rFonts w:hint="eastAsia" w:ascii="宋体" w:hAnsi="宋体" w:eastAsia="宋体" w:cs="宋体"/>
          <w:b/>
          <w:color w:val="auto"/>
          <w:kern w:val="2"/>
          <w:sz w:val="24"/>
          <w:szCs w:val="24"/>
          <w:highlight w:val="none"/>
          <w:lang w:val="en-US" w:eastAsia="zh-CN" w:bidi="ar"/>
        </w:rPr>
        <w:t>原文：</w:t>
      </w:r>
      <w:r>
        <w:rPr>
          <w:rFonts w:hint="default" w:ascii="Calibri" w:hAnsi="Calibri" w:eastAsia="宋体" w:cs="Calibri"/>
          <w:color w:val="auto"/>
          <w:kern w:val="2"/>
          <w:sz w:val="24"/>
          <w:szCs w:val="24"/>
          <w:highlight w:val="none"/>
          <w:lang w:val="en-US" w:eastAsia="zh-CN" w:bidi="ar"/>
        </w:rPr>
        <w:t>39.2</w:t>
      </w:r>
      <w:r>
        <w:rPr>
          <w:rFonts w:hint="eastAsia" w:ascii="宋体" w:hAnsi="宋体" w:eastAsia="宋体" w:cs="宋体"/>
          <w:color w:val="auto"/>
          <w:kern w:val="2"/>
          <w:sz w:val="24"/>
          <w:szCs w:val="24"/>
          <w:highlight w:val="none"/>
          <w:lang w:val="en-US" w:eastAsia="zh-CN" w:bidi="ar"/>
        </w:rPr>
        <w:t>依法必须进行公开招标的项目，招标人应当确定排名第一的中标候选人为中标人；</w:t>
      </w:r>
    </w:p>
    <w:p w14:paraId="0538E7ED">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eastAsia" w:ascii="宋体" w:hAnsi="宋体" w:eastAsia="宋体" w:cs="Times New Roman"/>
          <w:color w:val="auto"/>
          <w:kern w:val="2"/>
          <w:sz w:val="24"/>
          <w:szCs w:val="24"/>
          <w:highlight w:val="none"/>
          <w:u w:val="single"/>
        </w:rPr>
      </w:pPr>
      <w:r>
        <w:rPr>
          <w:rFonts w:hint="eastAsia" w:ascii="宋体" w:hAnsi="宋体" w:eastAsia="宋体" w:cs="宋体"/>
          <w:b/>
          <w:color w:val="auto"/>
          <w:kern w:val="2"/>
          <w:sz w:val="24"/>
          <w:szCs w:val="24"/>
          <w:highlight w:val="none"/>
          <w:lang w:val="en-US" w:eastAsia="zh-CN" w:bidi="ar"/>
        </w:rPr>
        <w:t>现文：</w:t>
      </w:r>
      <w:r>
        <w:rPr>
          <w:rFonts w:hint="default" w:ascii="Calibri" w:hAnsi="Calibri" w:eastAsia="宋体" w:cs="Calibri"/>
          <w:color w:val="auto"/>
          <w:kern w:val="2"/>
          <w:sz w:val="24"/>
          <w:szCs w:val="24"/>
          <w:highlight w:val="none"/>
          <w:lang w:val="en-US" w:eastAsia="zh-CN" w:bidi="ar"/>
        </w:rPr>
        <w:t>39.2</w:t>
      </w:r>
      <w:r>
        <w:rPr>
          <w:rFonts w:hint="eastAsia" w:ascii="宋体" w:hAnsi="宋体" w:eastAsia="宋体" w:cs="宋体"/>
          <w:color w:val="auto"/>
          <w:kern w:val="2"/>
          <w:sz w:val="24"/>
          <w:szCs w:val="24"/>
          <w:highlight w:val="none"/>
          <w:lang w:val="en-US" w:eastAsia="zh-CN" w:bidi="ar"/>
        </w:rPr>
        <w:t>依法必须进行公开招标的项目，招标人应当确定排名第一的中标候选人，</w:t>
      </w:r>
      <w:r>
        <w:rPr>
          <w:rFonts w:hint="eastAsia" w:ascii="宋体" w:hAnsi="宋体" w:eastAsia="宋体" w:cs="宋体"/>
          <w:color w:val="auto"/>
          <w:kern w:val="2"/>
          <w:sz w:val="24"/>
          <w:szCs w:val="24"/>
          <w:highlight w:val="none"/>
          <w:u w:val="single"/>
          <w:lang w:val="en-US" w:eastAsia="zh-CN" w:bidi="ar"/>
        </w:rPr>
        <w:t>若在填报中标候选人公示信息时被发现委派的项目负责人已在其他在建项目中任职、不符合任职数量规定时，则不能进行中标候选人公示，招标人可以确定排名第二的中标候选人为中标人。</w:t>
      </w:r>
    </w:p>
    <w:p w14:paraId="5975FA97">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39.3            </w:t>
      </w:r>
      <w:r>
        <w:rPr>
          <w:rFonts w:hint="eastAsia" w:ascii="宋体" w:hAnsi="宋体" w:eastAsia="宋体" w:cs="宋体"/>
          <w:b/>
          <w:bCs w:val="0"/>
          <w:color w:val="auto"/>
          <w:kern w:val="2"/>
          <w:sz w:val="24"/>
          <w:szCs w:val="24"/>
          <w:highlight w:val="none"/>
          <w:lang w:val="en-US" w:eastAsia="zh-CN" w:bidi="ar"/>
        </w:rPr>
        <w:t>修改类型：修改</w:t>
      </w:r>
    </w:p>
    <w:p w14:paraId="388899C5">
      <w:pPr>
        <w:keepNext w:val="0"/>
        <w:keepLines w:val="0"/>
        <w:widowControl w:val="0"/>
        <w:suppressLineNumbers w:val="0"/>
        <w:spacing w:before="0" w:beforeAutospacing="0" w:after="0" w:afterAutospacing="0" w:line="360" w:lineRule="auto"/>
        <w:ind w:left="0" w:right="0" w:firstLine="540" w:firstLineChars="224"/>
        <w:jc w:val="both"/>
        <w:rPr>
          <w:rFonts w:hint="default" w:ascii="Times New Roman" w:hAnsi="Times New Roman" w:eastAsia="宋体" w:cs="宋体"/>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default" w:ascii="Times New Roman" w:hAnsi="Times New Roman" w:eastAsia="宋体" w:cs="Times New Roman"/>
          <w:color w:val="auto"/>
          <w:kern w:val="2"/>
          <w:sz w:val="24"/>
          <w:szCs w:val="24"/>
          <w:highlight w:val="none"/>
          <w:lang w:val="en-US" w:eastAsia="zh-CN" w:bidi="ar"/>
        </w:rPr>
        <w:t>39.3</w:t>
      </w:r>
      <w:r>
        <w:rPr>
          <w:rFonts w:hint="eastAsia" w:ascii="宋体" w:hAnsi="宋体" w:eastAsia="宋体" w:cs="宋体"/>
          <w:color w:val="auto"/>
          <w:kern w:val="2"/>
          <w:sz w:val="24"/>
          <w:szCs w:val="24"/>
          <w:highlight w:val="none"/>
          <w:lang w:val="en-US" w:eastAsia="zh-CN" w:bidi="ar"/>
        </w:rPr>
        <w:t>排名第一的中标候选人放弃中标、或因不可抗力提出不能履行合同，或者招标文件规定应当提交履约担保而在规定的期限内未能提交的，招标人可以确定排名第二的中标候选人为中标人。</w:t>
      </w:r>
    </w:p>
    <w:p w14:paraId="348F69C8">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2" w:firstLineChars="200"/>
        <w:jc w:val="both"/>
        <w:rPr>
          <w:rFonts w:hint="default" w:ascii="Times New Roman" w:hAnsi="Times New Roman" w:eastAsia="宋体" w:cs="宋体"/>
          <w:color w:val="auto"/>
          <w:kern w:val="2"/>
          <w:sz w:val="24"/>
          <w:szCs w:val="24"/>
          <w:highlight w:val="none"/>
          <w:u w:val="singl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color w:val="auto"/>
          <w:kern w:val="2"/>
          <w:sz w:val="24"/>
          <w:szCs w:val="24"/>
          <w:highlight w:val="none"/>
          <w:lang w:val="en-US" w:eastAsia="zh-CN" w:bidi="ar"/>
        </w:rPr>
        <w:t>39.3</w:t>
      </w:r>
      <w:r>
        <w:rPr>
          <w:rFonts w:hint="eastAsia" w:ascii="宋体" w:hAnsi="宋体" w:eastAsia="宋体" w:cs="宋体"/>
          <w:color w:val="auto"/>
          <w:kern w:val="2"/>
          <w:sz w:val="24"/>
          <w:szCs w:val="24"/>
          <w:highlight w:val="none"/>
          <w:lang w:val="en-US" w:eastAsia="zh-CN" w:bidi="ar"/>
        </w:rPr>
        <w:t>排名第一的中标候选人放弃中标、或因不可抗力提出不能履行合同，或者招标文件规定应当提交履约担保而在规定的期限内未能提交的，</w:t>
      </w:r>
      <w:r>
        <w:rPr>
          <w:rFonts w:hint="eastAsia" w:ascii="宋体" w:hAnsi="宋体" w:eastAsia="宋体" w:cs="宋体"/>
          <w:color w:val="auto"/>
          <w:kern w:val="2"/>
          <w:sz w:val="24"/>
          <w:szCs w:val="24"/>
          <w:highlight w:val="none"/>
          <w:u w:val="single"/>
          <w:lang w:val="en-US" w:eastAsia="zh-CN" w:bidi="ar"/>
        </w:rPr>
        <w:t>或经核查发现委派的项目负责人已在其他在建项目中任职、不符合任职数量规定时，</w:t>
      </w:r>
      <w:r>
        <w:rPr>
          <w:rFonts w:hint="eastAsia" w:ascii="宋体" w:hAnsi="宋体" w:eastAsia="宋体" w:cs="宋体"/>
          <w:color w:val="auto"/>
          <w:kern w:val="2"/>
          <w:sz w:val="24"/>
          <w:szCs w:val="24"/>
          <w:highlight w:val="none"/>
          <w:lang w:val="en-US" w:eastAsia="zh-CN" w:bidi="ar"/>
        </w:rPr>
        <w:t>招标人可以确定排名第二的中标候选人为中标人。</w:t>
      </w:r>
    </w:p>
    <w:p w14:paraId="189E8EA4">
      <w:pPr>
        <w:keepNext w:val="0"/>
        <w:keepLines w:val="0"/>
        <w:widowControl w:val="0"/>
        <w:suppressLineNumbers w:val="0"/>
        <w:spacing w:before="0" w:beforeAutospacing="0" w:after="0" w:afterAutospacing="0" w:line="360" w:lineRule="auto"/>
        <w:ind w:left="0" w:right="0" w:firstLine="540" w:firstLineChars="224"/>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条款号：（二）开标评标办法程序和细则  注     修改类型：</w:t>
      </w:r>
      <w:r>
        <w:rPr>
          <w:rFonts w:hint="default" w:ascii="宋体" w:hAnsi="宋体" w:eastAsia="宋体" w:cs="宋体"/>
          <w:b/>
          <w:bCs w:val="0"/>
          <w:color w:val="auto"/>
          <w:kern w:val="2"/>
          <w:sz w:val="24"/>
          <w:szCs w:val="24"/>
          <w:highlight w:val="none"/>
          <w:lang w:eastAsia="zh-CN" w:bidi="ar"/>
        </w:rPr>
        <w:t>修改</w:t>
      </w:r>
    </w:p>
    <w:p w14:paraId="75FF2D68">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color w:val="auto"/>
          <w:kern w:val="2"/>
          <w:sz w:val="24"/>
          <w:szCs w:val="24"/>
          <w:highlight w:val="none"/>
          <w:lang w:val="en-US" w:eastAsia="zh-CN" w:bidi="ar"/>
        </w:rPr>
        <w:t>注：以下八种评标办法所述企业综合诚信评价分数即投标截止当日广州市工程招标代理行业协会网站上公布的企业综合诚信评价</w:t>
      </w:r>
      <w:r>
        <w:rPr>
          <w:rFonts w:hint="eastAsia" w:ascii="宋体" w:hAnsi="宋体" w:eastAsia="宋体" w:cs="Times New Roman"/>
          <w:color w:val="auto"/>
          <w:kern w:val="2"/>
          <w:sz w:val="24"/>
          <w:szCs w:val="24"/>
          <w:highlight w:val="none"/>
          <w:lang w:val="en-US" w:eastAsia="zh-CN" w:bidi="ar"/>
        </w:rPr>
        <w:t>60</w:t>
      </w:r>
      <w:r>
        <w:rPr>
          <w:rFonts w:hint="eastAsia" w:ascii="宋体" w:hAnsi="宋体" w:eastAsia="宋体" w:cs="宋体"/>
          <w:color w:val="auto"/>
          <w:kern w:val="2"/>
          <w:sz w:val="24"/>
          <w:szCs w:val="24"/>
          <w:highlight w:val="none"/>
          <w:lang w:val="en-US" w:eastAsia="zh-CN" w:bidi="ar"/>
        </w:rPr>
        <w:t>日诚信分。</w:t>
      </w:r>
    </w:p>
    <w:p w14:paraId="0CECF99E">
      <w:pPr>
        <w:keepNext w:val="0"/>
        <w:keepLines w:val="0"/>
        <w:widowControl w:val="0"/>
        <w:suppressLineNumbers w:val="0"/>
        <w:pBdr>
          <w:top w:val="none" w:color="auto" w:sz="0" w:space="0"/>
          <w:left w:val="none" w:color="auto" w:sz="0" w:space="0"/>
          <w:bottom w:val="single" w:color="auto" w:sz="4" w:space="0"/>
          <w:right w:val="none" w:color="auto" w:sz="0" w:space="0"/>
        </w:pBdr>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lang w:val="en-US" w:eastAsia="zh-CN" w:bidi="ar"/>
        </w:rPr>
        <w:t>注：以下八种评标办法所述企业综合诚信评价分数即投标截止当日</w:t>
      </w:r>
      <w:r>
        <w:rPr>
          <w:rFonts w:hint="eastAsia" w:ascii="宋体" w:hAnsi="宋体" w:eastAsia="宋体" w:cs="宋体"/>
          <w:color w:val="auto"/>
          <w:kern w:val="2"/>
          <w:sz w:val="24"/>
          <w:szCs w:val="24"/>
          <w:highlight w:val="none"/>
          <w:u w:val="single"/>
          <w:lang w:val="en-US" w:eastAsia="zh-CN" w:bidi="ar"/>
        </w:rPr>
        <w:t>广州市工程招标行业协会发布</w:t>
      </w:r>
      <w:r>
        <w:rPr>
          <w:rFonts w:hint="eastAsia" w:ascii="宋体" w:hAnsi="宋体" w:eastAsia="宋体" w:cs="宋体"/>
          <w:color w:val="auto"/>
          <w:kern w:val="2"/>
          <w:sz w:val="24"/>
          <w:szCs w:val="24"/>
          <w:highlight w:val="none"/>
          <w:lang w:val="en-US" w:eastAsia="zh-CN" w:bidi="ar"/>
        </w:rPr>
        <w:t>的企业综合诚信评价60日诚信分。</w:t>
      </w:r>
    </w:p>
    <w:p w14:paraId="76EC5DC7">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b/>
          <w:bCs w:val="0"/>
          <w:color w:val="auto"/>
          <w:kern w:val="2"/>
          <w:sz w:val="24"/>
          <w:szCs w:val="24"/>
          <w:highlight w:val="none"/>
          <w:lang w:val="en-US" w:eastAsia="zh-CN" w:bidi="ar"/>
        </w:rPr>
        <w:t xml:space="preserve">40             </w:t>
      </w:r>
      <w:r>
        <w:rPr>
          <w:rFonts w:hint="eastAsia" w:ascii="宋体" w:hAnsi="宋体" w:eastAsia="宋体" w:cs="宋体"/>
          <w:b/>
          <w:bCs w:val="0"/>
          <w:color w:val="auto"/>
          <w:kern w:val="2"/>
          <w:sz w:val="24"/>
          <w:szCs w:val="24"/>
          <w:highlight w:val="none"/>
          <w:lang w:val="en-US" w:eastAsia="zh-CN" w:bidi="ar"/>
        </w:rPr>
        <w:t>修改类型：修改</w:t>
      </w:r>
    </w:p>
    <w:p w14:paraId="012E8FED">
      <w:pPr>
        <w:keepNext w:val="0"/>
        <w:keepLines w:val="0"/>
        <w:widowControl w:val="0"/>
        <w:suppressLineNumbers w:val="0"/>
        <w:snapToGrid w:val="0"/>
        <w:spacing w:before="0" w:beforeAutospacing="0" w:after="0" w:afterAutospacing="0" w:line="360" w:lineRule="auto"/>
        <w:ind w:left="0" w:right="0" w:firstLine="482"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b/>
          <w:bCs w:val="0"/>
          <w:color w:val="auto"/>
          <w:kern w:val="0"/>
          <w:sz w:val="24"/>
          <w:szCs w:val="24"/>
          <w:highlight w:val="none"/>
          <w:lang w:val="en-US" w:eastAsia="zh-CN" w:bidi="ar"/>
        </w:rPr>
        <w:t>原文：</w:t>
      </w:r>
      <w:r>
        <w:rPr>
          <w:rFonts w:hint="eastAsia" w:ascii="宋体" w:hAnsi="宋体" w:eastAsia="宋体" w:cs="Times New Roman"/>
          <w:color w:val="auto"/>
          <w:kern w:val="0"/>
          <w:sz w:val="24"/>
          <w:szCs w:val="24"/>
          <w:highlight w:val="none"/>
          <w:lang w:val="en-US" w:eastAsia="zh-CN" w:bidi="ar"/>
        </w:rPr>
        <w:t>40</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开标和评标程序</w:t>
      </w:r>
    </w:p>
    <w:p w14:paraId="47A88906">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40.1技术标（含资格审查文件）与经济标投标文件同时公开开标；</w:t>
      </w:r>
    </w:p>
    <w:p w14:paraId="64CDA1F6">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40.2由评标委员会对所有已公开开标的投标人进行资格审查；</w:t>
      </w:r>
    </w:p>
    <w:p w14:paraId="516CCA99">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40.3技术标投标文件有效性审查；</w:t>
      </w:r>
    </w:p>
    <w:p w14:paraId="40C24EF2">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40.4技术标详细审查评分；</w:t>
      </w:r>
    </w:p>
    <w:p w14:paraId="43AFA83F">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40.5经济标详细审查评分；</w:t>
      </w:r>
      <w:r>
        <w:rPr>
          <w:rFonts w:hint="eastAsia" w:ascii="宋体" w:hAnsi="Calibri" w:eastAsia="宋体" w:cs="Times New Roman"/>
          <w:color w:val="auto"/>
          <w:kern w:val="2"/>
          <w:sz w:val="24"/>
          <w:szCs w:val="24"/>
          <w:highlight w:val="none"/>
          <w:lang w:val="en-US" w:eastAsia="zh-CN" w:bidi="ar"/>
        </w:rPr>
        <w:t xml:space="preserve"> </w:t>
      </w:r>
    </w:p>
    <w:p w14:paraId="4D872718">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40.6评标委员会按照投标人总得分由高至低排序；</w:t>
      </w:r>
    </w:p>
    <w:p w14:paraId="532784E5">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40.7经济标投标文件有效性审查；</w:t>
      </w:r>
    </w:p>
    <w:p w14:paraId="528887E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40.8评标委员会按排序向招标人推荐中标候选人名单，并递交资格审查报告及评标报告。</w:t>
      </w:r>
    </w:p>
    <w:p w14:paraId="78F06846">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Times New Roman"/>
          <w:color w:val="auto"/>
          <w:kern w:val="2"/>
          <w:sz w:val="24"/>
          <w:szCs w:val="24"/>
          <w:highlight w:val="none"/>
          <w:lang w:val="en-US" w:eastAsia="zh-CN" w:bidi="ar"/>
        </w:rPr>
        <w:t>40</w:t>
      </w:r>
      <w:r>
        <w:rPr>
          <w:rFonts w:hint="eastAsia" w:ascii="宋体" w:hAnsi="宋体" w:eastAsia="宋体" w:cs="宋体"/>
          <w:color w:val="auto"/>
          <w:kern w:val="2"/>
          <w:sz w:val="24"/>
          <w:szCs w:val="24"/>
          <w:highlight w:val="none"/>
          <w:lang w:val="en-US" w:eastAsia="zh-CN" w:bidi="ar"/>
        </w:rPr>
        <w:t>．开标和评标程序</w:t>
      </w:r>
    </w:p>
    <w:p w14:paraId="21379F2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40.1技术标（含资格审查文件）与经济标投标文件同时公开开标；</w:t>
      </w:r>
    </w:p>
    <w:p w14:paraId="1A46230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40.2由评标委员会对所有已公开开标的投标人进行资格审查；</w:t>
      </w:r>
    </w:p>
    <w:p w14:paraId="3F847D6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40.3技术标投标文件有效性审查；</w:t>
      </w:r>
    </w:p>
    <w:p w14:paraId="7C395CA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40.4技术标详细审查评分；</w:t>
      </w:r>
    </w:p>
    <w:p w14:paraId="50FE982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40.5经济标详细审查评分； </w:t>
      </w:r>
    </w:p>
    <w:p w14:paraId="7054CB24">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40.6评标委员会</w:t>
      </w:r>
      <w:r>
        <w:rPr>
          <w:rFonts w:hint="eastAsia" w:ascii="宋体" w:hAnsi="宋体" w:eastAsia="宋体" w:cs="宋体"/>
          <w:color w:val="auto"/>
          <w:kern w:val="2"/>
          <w:sz w:val="24"/>
          <w:szCs w:val="24"/>
          <w:highlight w:val="none"/>
          <w:u w:val="single"/>
          <w:lang w:val="en-US" w:eastAsia="zh-CN" w:bidi="ar"/>
        </w:rPr>
        <w:t>汇总投标人得分，并</w:t>
      </w:r>
      <w:r>
        <w:rPr>
          <w:rFonts w:hint="eastAsia" w:ascii="宋体" w:hAnsi="宋体" w:eastAsia="宋体" w:cs="宋体"/>
          <w:color w:val="auto"/>
          <w:kern w:val="2"/>
          <w:sz w:val="24"/>
          <w:szCs w:val="24"/>
          <w:highlight w:val="none"/>
          <w:lang w:val="en-US" w:eastAsia="zh-CN" w:bidi="ar"/>
        </w:rPr>
        <w:t>按照投标人总得分由高至低排序；</w:t>
      </w:r>
    </w:p>
    <w:p w14:paraId="12BC3EA6">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40.7</w:t>
      </w:r>
      <w:r>
        <w:rPr>
          <w:rFonts w:hint="eastAsia" w:ascii="宋体" w:hAnsi="宋体" w:eastAsia="宋体" w:cs="宋体"/>
          <w:color w:val="auto"/>
          <w:kern w:val="2"/>
          <w:sz w:val="24"/>
          <w:szCs w:val="24"/>
          <w:highlight w:val="none"/>
          <w:u w:val="single"/>
          <w:lang w:val="en-US" w:eastAsia="zh-CN" w:bidi="ar"/>
        </w:rPr>
        <w:t>按照投标人总得分由高至低排序，依次进行</w:t>
      </w:r>
      <w:r>
        <w:rPr>
          <w:rFonts w:hint="eastAsia" w:ascii="宋体" w:hAnsi="宋体" w:eastAsia="宋体" w:cs="宋体"/>
          <w:color w:val="auto"/>
          <w:kern w:val="2"/>
          <w:sz w:val="24"/>
          <w:szCs w:val="24"/>
          <w:highlight w:val="none"/>
          <w:lang w:val="en-US" w:eastAsia="zh-CN" w:bidi="ar"/>
        </w:rPr>
        <w:t>经济标投标文件有效性审查；</w:t>
      </w:r>
    </w:p>
    <w:p w14:paraId="267661BF">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40.8评标委员会按</w:t>
      </w:r>
      <w:r>
        <w:rPr>
          <w:rFonts w:hint="eastAsia" w:ascii="宋体" w:hAnsi="宋体" w:eastAsia="宋体" w:cs="宋体"/>
          <w:color w:val="auto"/>
          <w:kern w:val="2"/>
          <w:sz w:val="24"/>
          <w:szCs w:val="24"/>
          <w:highlight w:val="none"/>
          <w:u w:val="single"/>
          <w:lang w:val="en-US" w:eastAsia="zh-CN" w:bidi="ar"/>
        </w:rPr>
        <w:t>总得分</w:t>
      </w:r>
      <w:r>
        <w:rPr>
          <w:rFonts w:hint="eastAsia" w:ascii="宋体" w:hAnsi="宋体" w:eastAsia="宋体" w:cs="宋体"/>
          <w:color w:val="auto"/>
          <w:kern w:val="2"/>
          <w:sz w:val="24"/>
          <w:szCs w:val="24"/>
          <w:highlight w:val="none"/>
          <w:lang w:val="en-US" w:eastAsia="zh-CN" w:bidi="ar"/>
        </w:rPr>
        <w:t>排序，向招标人推荐</w:t>
      </w:r>
      <w:r>
        <w:rPr>
          <w:rFonts w:hint="eastAsia" w:ascii="宋体" w:hAnsi="宋体" w:eastAsia="宋体" w:cs="宋体"/>
          <w:color w:val="auto"/>
          <w:kern w:val="2"/>
          <w:sz w:val="24"/>
          <w:szCs w:val="24"/>
          <w:highlight w:val="none"/>
          <w:u w:val="single"/>
          <w:lang w:val="en-US" w:eastAsia="zh-CN" w:bidi="ar"/>
        </w:rPr>
        <w:t>通过经济标有效性审查的</w:t>
      </w:r>
      <w:r>
        <w:rPr>
          <w:rFonts w:hint="eastAsia" w:ascii="宋体" w:hAnsi="宋体" w:eastAsia="宋体" w:cs="宋体"/>
          <w:color w:val="auto"/>
          <w:kern w:val="2"/>
          <w:sz w:val="24"/>
          <w:szCs w:val="24"/>
          <w:highlight w:val="none"/>
          <w:lang w:val="en-US" w:eastAsia="zh-CN" w:bidi="ar"/>
        </w:rPr>
        <w:t>中标候选人，并递交资格审查报告及评标报告。</w:t>
      </w:r>
    </w:p>
    <w:p w14:paraId="589B3BB0">
      <w:pPr>
        <w:keepNext w:val="0"/>
        <w:keepLines w:val="0"/>
        <w:widowControl w:val="0"/>
        <w:suppressLineNumbers w:val="0"/>
        <w:spacing w:before="0" w:beforeAutospacing="0" w:after="0" w:afterAutospacing="0" w:line="480" w:lineRule="auto"/>
        <w:ind w:left="0" w:right="0" w:firstLine="540" w:firstLineChars="224"/>
        <w:jc w:val="both"/>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eastAsia" w:ascii="宋体" w:hAnsi="宋体" w:eastAsia="宋体" w:cs="宋体"/>
          <w:color w:val="auto"/>
          <w:kern w:val="2"/>
          <w:sz w:val="24"/>
          <w:szCs w:val="24"/>
          <w:highlight w:val="none"/>
          <w:lang w:val="en-US" w:eastAsia="zh-CN" w:bidi="ar"/>
        </w:rPr>
        <w:t>41.1</w:t>
      </w:r>
      <w:r>
        <w:rPr>
          <w:rFonts w:hint="eastAsia" w:ascii="宋体" w:hAnsi="宋体"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修改类型：修改</w:t>
      </w:r>
    </w:p>
    <w:p w14:paraId="5837119F">
      <w:pPr>
        <w:keepNext w:val="0"/>
        <w:keepLines w:val="0"/>
        <w:widowControl w:val="0"/>
        <w:suppressLineNumbers w:val="0"/>
        <w:snapToGrid w:val="0"/>
        <w:spacing w:before="0" w:beforeAutospacing="0" w:after="0" w:afterAutospacing="0" w:line="360" w:lineRule="auto"/>
        <w:ind w:left="0" w:right="0" w:firstLine="525" w:firstLineChars="218"/>
        <w:jc w:val="both"/>
        <w:rPr>
          <w:rFonts w:hint="eastAsia" w:ascii="宋体" w:hAnsi="宋体"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bCs/>
          <w:color w:val="auto"/>
          <w:kern w:val="2"/>
          <w:sz w:val="24"/>
          <w:szCs w:val="24"/>
          <w:highlight w:val="none"/>
          <w:lang w:val="en-US" w:eastAsia="zh-CN" w:bidi="ar"/>
        </w:rPr>
        <w:t>41.1开</w:t>
      </w:r>
      <w:r>
        <w:rPr>
          <w:rFonts w:hint="eastAsia" w:ascii="宋体" w:hAnsi="宋体" w:eastAsia="宋体" w:cs="宋体"/>
          <w:color w:val="auto"/>
          <w:kern w:val="2"/>
          <w:sz w:val="24"/>
          <w:szCs w:val="24"/>
          <w:highlight w:val="none"/>
          <w:lang w:val="en-US" w:eastAsia="zh-CN" w:bidi="ar"/>
        </w:rPr>
        <w:t>标由招标人主持；</w:t>
      </w:r>
    </w:p>
    <w:p w14:paraId="39FC7850">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480" w:lineRule="auto"/>
        <w:ind w:left="0" w:right="0" w:firstLine="540" w:firstLineChars="224"/>
        <w:jc w:val="both"/>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bCs/>
          <w:color w:val="auto"/>
          <w:kern w:val="2"/>
          <w:sz w:val="24"/>
          <w:szCs w:val="24"/>
          <w:highlight w:val="none"/>
          <w:lang w:val="en-US" w:eastAsia="zh-CN" w:bidi="ar"/>
        </w:rPr>
        <w:t>41.1</w:t>
      </w:r>
      <w:r>
        <w:rPr>
          <w:rFonts w:hint="eastAsia" w:ascii="宋体" w:hAnsi="宋体" w:eastAsia="宋体" w:cs="宋体"/>
          <w:color w:val="auto"/>
          <w:kern w:val="2"/>
          <w:sz w:val="24"/>
          <w:szCs w:val="24"/>
          <w:highlight w:val="none"/>
          <w:u w:val="single"/>
          <w:lang w:val="en-US" w:eastAsia="zh-CN" w:bidi="ar"/>
        </w:rPr>
        <w:t>开标由招标人或招标代理主持；</w:t>
      </w:r>
    </w:p>
    <w:p w14:paraId="736F4197">
      <w:pPr>
        <w:keepNext w:val="0"/>
        <w:keepLines w:val="0"/>
        <w:widowControl w:val="0"/>
        <w:suppressLineNumbers w:val="0"/>
        <w:spacing w:before="0" w:beforeAutospacing="0" w:after="0" w:afterAutospacing="0" w:line="480" w:lineRule="auto"/>
        <w:ind w:left="0" w:right="0" w:firstLine="540" w:firstLineChars="224"/>
        <w:jc w:val="both"/>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eastAsia" w:ascii="宋体" w:hAnsi="宋体" w:eastAsia="宋体" w:cs="宋体"/>
          <w:color w:val="auto"/>
          <w:kern w:val="2"/>
          <w:sz w:val="24"/>
          <w:szCs w:val="24"/>
          <w:highlight w:val="none"/>
          <w:lang w:val="en-US" w:eastAsia="zh-CN" w:bidi="ar"/>
        </w:rPr>
        <w:t>41.2.1</w:t>
      </w:r>
      <w:r>
        <w:rPr>
          <w:rFonts w:hint="eastAsia" w:ascii="宋体" w:hAnsi="宋体"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修改类型：修改</w:t>
      </w:r>
    </w:p>
    <w:p w14:paraId="70AF2EB4">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480" w:lineRule="auto"/>
        <w:ind w:left="0" w:right="0" w:firstLine="540" w:firstLineChars="224"/>
        <w:jc w:val="both"/>
        <w:rPr>
          <w:rFonts w:hint="eastAsia" w:ascii="宋体" w:hAnsi="宋体"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bCs/>
          <w:color w:val="auto"/>
          <w:kern w:val="2"/>
          <w:sz w:val="24"/>
          <w:szCs w:val="24"/>
          <w:highlight w:val="none"/>
          <w:lang w:val="en-US" w:eastAsia="zh-CN" w:bidi="ar"/>
        </w:rPr>
        <w:t>41.2.1</w:t>
      </w:r>
      <w:r>
        <w:rPr>
          <w:rFonts w:hint="eastAsia" w:ascii="宋体" w:hAnsi="宋体" w:eastAsia="宋体" w:cs="宋体"/>
          <w:color w:val="auto"/>
          <w:kern w:val="2"/>
          <w:sz w:val="24"/>
          <w:szCs w:val="24"/>
          <w:highlight w:val="none"/>
          <w:lang w:val="en-US" w:eastAsia="zh-CN" w:bidi="ar"/>
        </w:rPr>
        <w:t>投标截止期前，各投标人递交投标文件（包括技术标投标文件、经济标投标文件）至</w:t>
      </w:r>
      <w:r>
        <w:rPr>
          <w:rFonts w:hint="eastAsia" w:ascii="宋体" w:hAnsi="宋体"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交易平台。有关投标文件提交的事项详见第一章投标须知。</w:t>
      </w:r>
    </w:p>
    <w:p w14:paraId="60539375">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eastAsia" w:ascii="宋体" w:hAnsi="宋体"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bCs/>
          <w:color w:val="auto"/>
          <w:kern w:val="2"/>
          <w:sz w:val="24"/>
          <w:szCs w:val="24"/>
          <w:highlight w:val="none"/>
          <w:lang w:val="en-US" w:eastAsia="zh-CN" w:bidi="ar"/>
        </w:rPr>
        <w:t>41.2.1</w:t>
      </w:r>
      <w:r>
        <w:rPr>
          <w:rFonts w:hint="eastAsia" w:ascii="宋体" w:hAnsi="宋体" w:eastAsia="宋体" w:cs="宋体"/>
          <w:color w:val="auto"/>
          <w:kern w:val="2"/>
          <w:sz w:val="24"/>
          <w:szCs w:val="24"/>
          <w:highlight w:val="none"/>
          <w:lang w:val="en-US" w:eastAsia="zh-CN" w:bidi="ar"/>
        </w:rPr>
        <w:t>投标截止期前，各投标人递交投标文件（包括技术标投标文件（含资格审查文件）、经济标投标文件）至</w:t>
      </w:r>
      <w:r>
        <w:rPr>
          <w:rFonts w:hint="eastAsia" w:ascii="宋体" w:hAnsi="宋体" w:eastAsia="宋体" w:cs="宋体"/>
          <w:color w:val="auto"/>
          <w:kern w:val="2"/>
          <w:sz w:val="24"/>
          <w:szCs w:val="24"/>
          <w:highlight w:val="none"/>
          <w:u w:val="single"/>
          <w:lang w:val="en-US" w:eastAsia="zh-CN" w:bidi="ar"/>
        </w:rPr>
        <w:t>广州公共资源交易中心</w:t>
      </w:r>
      <w:r>
        <w:rPr>
          <w:rFonts w:hint="eastAsia" w:ascii="宋体" w:hAnsi="宋体" w:eastAsia="宋体" w:cs="宋体"/>
          <w:color w:val="auto"/>
          <w:kern w:val="2"/>
          <w:sz w:val="24"/>
          <w:szCs w:val="24"/>
          <w:highlight w:val="none"/>
          <w:lang w:val="en-US" w:eastAsia="zh-CN" w:bidi="ar"/>
        </w:rPr>
        <w:t>交易平台。有关投标文件提交的事项详见第一章投标须知。</w:t>
      </w:r>
    </w:p>
    <w:p w14:paraId="422C62BF">
      <w:pPr>
        <w:keepNext w:val="0"/>
        <w:keepLines w:val="0"/>
        <w:widowControl w:val="0"/>
        <w:suppressLineNumbers w:val="0"/>
        <w:pBdr>
          <w:top w:val="none" w:color="auto" w:sz="0" w:space="0"/>
          <w:left w:val="none" w:color="auto" w:sz="0" w:space="0"/>
          <w:bottom w:val="single" w:color="auto" w:sz="4" w:space="1"/>
          <w:right w:val="none" w:color="auto" w:sz="0" w:space="0"/>
        </w:pBdr>
        <w:spacing w:before="0" w:beforeAutospacing="0" w:after="0" w:afterAutospacing="0" w:line="480" w:lineRule="auto"/>
        <w:ind w:left="0" w:right="0" w:firstLine="540" w:firstLineChars="224"/>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 xml:space="preserve">条款号： </w:t>
      </w:r>
      <w:r>
        <w:rPr>
          <w:rFonts w:hint="eastAsia" w:ascii="宋体" w:hAnsi="宋体" w:eastAsia="宋体" w:cs="宋体"/>
          <w:color w:val="auto"/>
          <w:kern w:val="2"/>
          <w:sz w:val="24"/>
          <w:szCs w:val="24"/>
          <w:highlight w:val="none"/>
          <w:lang w:val="en-US" w:eastAsia="zh-CN" w:bidi="ar"/>
        </w:rPr>
        <w:t>41.2.2</w:t>
      </w:r>
      <w:r>
        <w:rPr>
          <w:rFonts w:hint="eastAsia" w:ascii="宋体" w:hAnsi="宋体" w:eastAsia="宋体" w:cs="宋体"/>
          <w:b/>
          <w:bCs w:val="0"/>
          <w:color w:val="auto"/>
          <w:kern w:val="2"/>
          <w:sz w:val="24"/>
          <w:szCs w:val="24"/>
          <w:highlight w:val="none"/>
          <w:lang w:val="en-US" w:eastAsia="zh-CN" w:bidi="ar"/>
        </w:rPr>
        <w:t xml:space="preserve">           修改类型：删除</w:t>
      </w:r>
    </w:p>
    <w:p w14:paraId="0E6F5644">
      <w:pPr>
        <w:keepNext w:val="0"/>
        <w:keepLines w:val="0"/>
        <w:widowControl w:val="0"/>
        <w:suppressLineNumbers w:val="0"/>
        <w:pBdr>
          <w:top w:val="none" w:color="auto" w:sz="0" w:space="0"/>
          <w:left w:val="none" w:color="auto" w:sz="0" w:space="0"/>
          <w:bottom w:val="single" w:color="auto" w:sz="4" w:space="1"/>
          <w:right w:val="none" w:color="auto" w:sz="0" w:space="0"/>
        </w:pBdr>
        <w:spacing w:before="0" w:beforeAutospacing="0" w:after="0" w:afterAutospacing="0" w:line="360" w:lineRule="auto"/>
        <w:ind w:left="0" w:right="0" w:firstLine="540" w:firstLineChars="224"/>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color w:val="auto"/>
          <w:kern w:val="2"/>
          <w:sz w:val="24"/>
          <w:szCs w:val="24"/>
          <w:highlight w:val="none"/>
          <w:lang w:val="en-US" w:eastAsia="zh-CN" w:bidi="ar"/>
        </w:rPr>
        <w:t>41.2.2开标前，首先由招标人随机抽取确定该工程计算评标参考价的等分点值X。</w:t>
      </w:r>
    </w:p>
    <w:p w14:paraId="5B57DAEA">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40" w:firstLineChars="224"/>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 41.2.4.1            修改类型：修改</w:t>
      </w:r>
    </w:p>
    <w:p w14:paraId="56B3D523">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40" w:firstLineChars="224"/>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color w:val="auto"/>
          <w:kern w:val="2"/>
          <w:sz w:val="24"/>
          <w:szCs w:val="24"/>
          <w:highlight w:val="none"/>
          <w:lang w:val="en-US" w:eastAsia="zh-CN" w:bidi="ar"/>
        </w:rPr>
        <w:t>开标时，公布：a、投标人名称；b、投标文件密封情况；c、投标报价；d、投标保证金；e、项目经理（负责人）名称；f、法定代表人证明及授权委托等主要内容及开标记录表中的其他必要内容。投标报价以数字和文字两种方式表述的，应公布文字表述的投标报价。</w:t>
      </w:r>
    </w:p>
    <w:p w14:paraId="250E26A6">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540" w:firstLineChars="224"/>
        <w:jc w:val="both"/>
        <w:rPr>
          <w:rFonts w:hint="eastAsia" w:ascii="宋体" w:hAnsi="宋体" w:eastAsia="宋体" w:cs="宋体"/>
          <w:color w:val="auto"/>
          <w:kern w:val="2"/>
          <w:sz w:val="24"/>
          <w:szCs w:val="24"/>
          <w:highlight w:val="none"/>
        </w:rPr>
      </w:pPr>
      <w:r>
        <w:rPr>
          <w:rFonts w:hint="eastAsia" w:ascii="宋体" w:hAnsi="宋体" w:eastAsia="宋体" w:cs="宋体"/>
          <w:b/>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lang w:val="en-US" w:eastAsia="zh-CN" w:bidi="ar"/>
        </w:rPr>
        <w:t>开标时，公布：a、投标人名称；b、投标文件密封情况；c、投标报价；</w:t>
      </w:r>
      <w:r>
        <w:rPr>
          <w:rFonts w:hint="eastAsia" w:ascii="宋体" w:hAnsi="宋体" w:eastAsia="宋体" w:cs="宋体"/>
          <w:bCs/>
          <w:color w:val="auto"/>
          <w:kern w:val="2"/>
          <w:sz w:val="24"/>
          <w:szCs w:val="24"/>
          <w:highlight w:val="none"/>
          <w:u w:val="single"/>
          <w:lang w:val="en-US" w:eastAsia="zh-CN" w:bidi="ar"/>
        </w:rPr>
        <w:t>d、</w:t>
      </w:r>
      <w:r>
        <w:rPr>
          <w:rFonts w:hint="eastAsia" w:ascii="宋体" w:hAnsi="宋体" w:eastAsia="宋体" w:cs="宋体"/>
          <w:bCs/>
          <w:color w:val="auto"/>
          <w:kern w:val="2"/>
          <w:sz w:val="24"/>
          <w:szCs w:val="24"/>
          <w:highlight w:val="none"/>
          <w:lang w:val="en-US" w:eastAsia="zh-CN" w:bidi="ar"/>
        </w:rPr>
        <w:t>项目经理（负责人）名称；</w:t>
      </w:r>
      <w:r>
        <w:rPr>
          <w:rFonts w:hint="eastAsia" w:ascii="宋体" w:hAnsi="宋体" w:eastAsia="宋体" w:cs="宋体"/>
          <w:bCs/>
          <w:color w:val="auto"/>
          <w:kern w:val="2"/>
          <w:sz w:val="24"/>
          <w:szCs w:val="24"/>
          <w:highlight w:val="none"/>
          <w:u w:val="single"/>
          <w:lang w:val="en-US" w:eastAsia="zh-CN" w:bidi="ar"/>
        </w:rPr>
        <w:t>e、</w:t>
      </w:r>
      <w:r>
        <w:rPr>
          <w:rFonts w:hint="eastAsia" w:ascii="宋体" w:hAnsi="宋体" w:eastAsia="宋体" w:cs="宋体"/>
          <w:bCs/>
          <w:color w:val="auto"/>
          <w:kern w:val="2"/>
          <w:sz w:val="24"/>
          <w:szCs w:val="24"/>
          <w:highlight w:val="none"/>
          <w:lang w:val="en-US" w:eastAsia="zh-CN" w:bidi="ar"/>
        </w:rPr>
        <w:t>法定代表人证明及授权委托等主要内容及开标记录</w:t>
      </w:r>
      <w:r>
        <w:rPr>
          <w:rFonts w:hint="eastAsia" w:ascii="宋体" w:hAnsi="宋体" w:eastAsia="宋体" w:cs="宋体"/>
          <w:color w:val="auto"/>
          <w:kern w:val="2"/>
          <w:sz w:val="24"/>
          <w:szCs w:val="24"/>
          <w:highlight w:val="none"/>
          <w:lang w:val="en-US" w:eastAsia="zh-CN" w:bidi="ar"/>
        </w:rPr>
        <w:t>表中的其他必要内容。投标报价以数字和文字两种方式表述的，应公布文字表述的投标报价。</w:t>
      </w:r>
    </w:p>
    <w:p w14:paraId="01CD091D">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条款号：41.3                       修改类型：修改</w:t>
      </w:r>
    </w:p>
    <w:p w14:paraId="17D7DA11">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bCs/>
          <w:color w:val="auto"/>
          <w:kern w:val="2"/>
          <w:sz w:val="24"/>
          <w:szCs w:val="24"/>
          <w:highlight w:val="none"/>
          <w:lang w:val="en-US" w:eastAsia="zh-CN" w:bidi="ar"/>
        </w:rPr>
        <w:t>41.3</w:t>
      </w:r>
      <w:r>
        <w:rPr>
          <w:rFonts w:hint="eastAsia" w:ascii="宋体" w:hAnsi="宋体" w:eastAsia="宋体" w:cs="宋体"/>
          <w:color w:val="auto"/>
          <w:kern w:val="2"/>
          <w:sz w:val="24"/>
          <w:szCs w:val="24"/>
          <w:highlight w:val="none"/>
          <w:lang w:val="en-US" w:eastAsia="zh-CN" w:bidi="ar"/>
        </w:rPr>
        <w:t>招标人对开标过程进行记录，并存档备查，投标人在技术标开标记录上签字。</w:t>
      </w:r>
    </w:p>
    <w:p w14:paraId="35F582A1">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2" w:firstLineChars="200"/>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bCs/>
          <w:color w:val="auto"/>
          <w:kern w:val="2"/>
          <w:sz w:val="24"/>
          <w:szCs w:val="24"/>
          <w:highlight w:val="none"/>
          <w:lang w:val="en-US" w:eastAsia="zh-CN" w:bidi="ar"/>
        </w:rPr>
        <w:t>41.3</w:t>
      </w:r>
      <w:r>
        <w:rPr>
          <w:rFonts w:hint="eastAsia" w:ascii="宋体" w:hAnsi="宋体" w:eastAsia="宋体" w:cs="宋体"/>
          <w:color w:val="auto"/>
          <w:kern w:val="2"/>
          <w:sz w:val="24"/>
          <w:szCs w:val="24"/>
          <w:highlight w:val="none"/>
          <w:lang w:val="en-US" w:eastAsia="zh-CN" w:bidi="ar"/>
        </w:rPr>
        <w:t>招标人</w:t>
      </w:r>
      <w:r>
        <w:rPr>
          <w:rFonts w:hint="eastAsia" w:ascii="宋体" w:hAnsi="宋体" w:eastAsia="宋体" w:cs="宋体"/>
          <w:color w:val="auto"/>
          <w:kern w:val="2"/>
          <w:sz w:val="24"/>
          <w:szCs w:val="24"/>
          <w:highlight w:val="none"/>
          <w:u w:val="single"/>
          <w:lang w:val="en-US" w:eastAsia="zh-CN" w:bidi="ar"/>
        </w:rPr>
        <w:t>或招标代理机构</w:t>
      </w:r>
      <w:r>
        <w:rPr>
          <w:rFonts w:hint="eastAsia" w:ascii="宋体" w:hAnsi="宋体" w:eastAsia="宋体" w:cs="宋体"/>
          <w:color w:val="auto"/>
          <w:kern w:val="2"/>
          <w:sz w:val="24"/>
          <w:szCs w:val="24"/>
          <w:highlight w:val="none"/>
          <w:lang w:val="en-US" w:eastAsia="zh-CN" w:bidi="ar"/>
        </w:rPr>
        <w:t>对开标过程进行记录，并存档备查，</w:t>
      </w:r>
      <w:r>
        <w:rPr>
          <w:rFonts w:hint="eastAsia" w:ascii="宋体" w:hAnsi="宋体" w:eastAsia="宋体" w:cs="宋体"/>
          <w:color w:val="auto"/>
          <w:kern w:val="2"/>
          <w:sz w:val="24"/>
          <w:szCs w:val="24"/>
          <w:highlight w:val="none"/>
          <w:u w:val="single"/>
          <w:lang w:val="en-US" w:eastAsia="zh-CN" w:bidi="ar"/>
        </w:rPr>
        <w:t>参加开标会的</w:t>
      </w:r>
      <w:r>
        <w:rPr>
          <w:rFonts w:hint="eastAsia" w:ascii="宋体" w:hAnsi="宋体" w:eastAsia="宋体" w:cs="宋体"/>
          <w:color w:val="auto"/>
          <w:kern w:val="2"/>
          <w:sz w:val="24"/>
          <w:szCs w:val="24"/>
          <w:highlight w:val="none"/>
          <w:lang w:val="en-US" w:eastAsia="zh-CN" w:bidi="ar"/>
        </w:rPr>
        <w:t>投标人在开标记录上签字。</w:t>
      </w:r>
    </w:p>
    <w:p w14:paraId="1BFA10D5">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条款号：41.4                       修改类型：修改</w:t>
      </w:r>
    </w:p>
    <w:p w14:paraId="10745FD2">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bCs/>
          <w:color w:val="auto"/>
          <w:kern w:val="2"/>
          <w:sz w:val="24"/>
          <w:szCs w:val="24"/>
          <w:highlight w:val="none"/>
          <w:lang w:val="en-US" w:eastAsia="zh-CN" w:bidi="ar"/>
        </w:rPr>
        <w:t>41.4招标人将上述符合要求的投标文件，送至评标委员会进行评审</w:t>
      </w:r>
      <w:r>
        <w:rPr>
          <w:rFonts w:hint="eastAsia" w:ascii="宋体" w:hAnsi="宋体" w:eastAsia="宋体" w:cs="宋体"/>
          <w:color w:val="auto"/>
          <w:kern w:val="2"/>
          <w:sz w:val="24"/>
          <w:szCs w:val="24"/>
          <w:highlight w:val="none"/>
          <w:lang w:val="en-US" w:eastAsia="zh-CN" w:bidi="ar"/>
        </w:rPr>
        <w:t>。</w:t>
      </w:r>
    </w:p>
    <w:p w14:paraId="0CBF0696">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2" w:firstLineChars="200"/>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bCs/>
          <w:color w:val="auto"/>
          <w:kern w:val="2"/>
          <w:sz w:val="24"/>
          <w:szCs w:val="24"/>
          <w:highlight w:val="none"/>
          <w:lang w:val="en-US" w:eastAsia="zh-CN" w:bidi="ar"/>
        </w:rPr>
        <w:t>41.4</w:t>
      </w:r>
      <w:r>
        <w:rPr>
          <w:rFonts w:hint="eastAsia" w:ascii="宋体" w:hAnsi="宋体" w:eastAsia="宋体" w:cs="宋体"/>
          <w:color w:val="auto"/>
          <w:kern w:val="2"/>
          <w:sz w:val="24"/>
          <w:szCs w:val="24"/>
          <w:highlight w:val="none"/>
          <w:lang w:val="en-US" w:eastAsia="zh-CN" w:bidi="ar"/>
        </w:rPr>
        <w:t>招标人</w:t>
      </w:r>
      <w:r>
        <w:rPr>
          <w:rFonts w:hint="eastAsia" w:ascii="宋体" w:hAnsi="宋体" w:eastAsia="宋体" w:cs="宋体"/>
          <w:color w:val="auto"/>
          <w:kern w:val="2"/>
          <w:sz w:val="24"/>
          <w:szCs w:val="24"/>
          <w:highlight w:val="none"/>
          <w:u w:val="single"/>
          <w:lang w:val="en-US" w:eastAsia="zh-CN" w:bidi="ar"/>
        </w:rPr>
        <w:t>或招标代理机构</w:t>
      </w:r>
      <w:r>
        <w:rPr>
          <w:rFonts w:hint="eastAsia" w:ascii="宋体" w:hAnsi="宋体" w:eastAsia="宋体" w:cs="宋体"/>
          <w:bCs/>
          <w:color w:val="auto"/>
          <w:kern w:val="2"/>
          <w:sz w:val="24"/>
          <w:szCs w:val="24"/>
          <w:highlight w:val="none"/>
          <w:lang w:val="en-US" w:eastAsia="zh-CN" w:bidi="ar"/>
        </w:rPr>
        <w:t>将上述符合要求的投标文件，送至评标委员会进行评审</w:t>
      </w:r>
      <w:r>
        <w:rPr>
          <w:rFonts w:hint="eastAsia" w:ascii="宋体" w:hAnsi="宋体" w:eastAsia="宋体" w:cs="宋体"/>
          <w:color w:val="auto"/>
          <w:kern w:val="2"/>
          <w:sz w:val="24"/>
          <w:szCs w:val="24"/>
          <w:highlight w:val="none"/>
          <w:lang w:val="en-US" w:eastAsia="zh-CN" w:bidi="ar"/>
        </w:rPr>
        <w:t>。</w:t>
      </w:r>
    </w:p>
    <w:p w14:paraId="63EAE9B8">
      <w:pPr>
        <w:keepNext w:val="0"/>
        <w:keepLines w:val="0"/>
        <w:widowControl w:val="0"/>
        <w:suppressLineNumbers w:val="0"/>
        <w:spacing w:before="0" w:beforeAutospacing="0" w:after="0" w:afterAutospacing="0" w:line="360" w:lineRule="auto"/>
        <w:ind w:left="0" w:right="0" w:firstLine="540" w:firstLineChars="224"/>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 xml:space="preserve">条款号： </w:t>
      </w:r>
      <w:r>
        <w:rPr>
          <w:rFonts w:hint="eastAsia" w:ascii="宋体" w:hAnsi="宋体" w:eastAsia="宋体" w:cs="宋体"/>
          <w:color w:val="auto"/>
          <w:kern w:val="2"/>
          <w:sz w:val="24"/>
          <w:szCs w:val="24"/>
          <w:highlight w:val="none"/>
          <w:lang w:val="en-US" w:eastAsia="zh-CN" w:bidi="ar"/>
        </w:rPr>
        <w:t>42.2</w:t>
      </w:r>
      <w:r>
        <w:rPr>
          <w:rFonts w:hint="eastAsia" w:ascii="宋体" w:hAnsi="宋体" w:eastAsia="宋体" w:cs="宋体"/>
          <w:b/>
          <w:bCs w:val="0"/>
          <w:color w:val="auto"/>
          <w:kern w:val="2"/>
          <w:sz w:val="24"/>
          <w:szCs w:val="24"/>
          <w:highlight w:val="none"/>
          <w:lang w:val="en-US" w:eastAsia="zh-CN" w:bidi="ar"/>
        </w:rPr>
        <w:t xml:space="preserve">            修改类型：修改</w:t>
      </w:r>
    </w:p>
    <w:p w14:paraId="5C29DA7B">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color w:val="auto"/>
          <w:kern w:val="2"/>
          <w:sz w:val="24"/>
          <w:szCs w:val="24"/>
          <w:highlight w:val="none"/>
          <w:lang w:val="en-US" w:eastAsia="zh-CN" w:bidi="ar"/>
        </w:rPr>
        <w:t>评标委员会的组成：方式  。</w:t>
      </w:r>
    </w:p>
    <w:p w14:paraId="3771AE7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方式一：评标委员会为综合评标委员会，负责资格审查及评标工作。</w:t>
      </w:r>
    </w:p>
    <w:p w14:paraId="202ECC11">
      <w:pPr>
        <w:keepNext w:val="0"/>
        <w:keepLines w:val="0"/>
        <w:widowControl w:val="0"/>
        <w:suppressLineNumbers w:val="0"/>
        <w:spacing w:before="0" w:beforeAutospacing="0" w:after="0" w:afterAutospacing="0" w:line="360" w:lineRule="auto"/>
        <w:ind w:left="0" w:right="0" w:firstLine="537" w:firstLineChars="224"/>
        <w:jc w:val="both"/>
        <w:rPr>
          <w:rFonts w:hint="eastAsia" w:ascii="宋体" w:hAnsi="宋体" w:eastAsia="宋体" w:cs="宋体"/>
          <w:b/>
          <w:bCs w:val="0"/>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方式二：评标委员会由技术评审组和经济评审组组成。其中：资格审查及技术评审由技术评标组负责，经济评审由经济评审组负责。</w:t>
      </w:r>
    </w:p>
    <w:p w14:paraId="576B4BCC">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540" w:firstLineChars="224"/>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lang w:val="en-US" w:eastAsia="zh-CN" w:bidi="ar"/>
        </w:rPr>
        <w:t>评标委员会的组成：方式</w:t>
      </w:r>
      <w:r>
        <w:rPr>
          <w:rFonts w:hint="eastAsia" w:ascii="宋体" w:hAnsi="宋体" w:eastAsia="宋体" w:cs="宋体"/>
          <w:color w:val="auto"/>
          <w:kern w:val="2"/>
          <w:sz w:val="24"/>
          <w:szCs w:val="24"/>
          <w:highlight w:val="none"/>
          <w:u w:val="single"/>
          <w:lang w:val="en-US" w:eastAsia="zh-CN" w:bidi="ar"/>
        </w:rPr>
        <w:t>一</w:t>
      </w:r>
      <w:r>
        <w:rPr>
          <w:rFonts w:hint="eastAsia" w:ascii="宋体" w:hAnsi="宋体" w:eastAsia="宋体" w:cs="宋体"/>
          <w:color w:val="auto"/>
          <w:kern w:val="2"/>
          <w:sz w:val="24"/>
          <w:szCs w:val="24"/>
          <w:highlight w:val="none"/>
          <w:lang w:val="en-US" w:eastAsia="zh-CN" w:bidi="ar"/>
        </w:rPr>
        <w:t>。</w:t>
      </w:r>
    </w:p>
    <w:p w14:paraId="0C4AA5FE">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537" w:firstLineChars="224"/>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方式一：评标委员会为综合评标委员会，负责资格审查及评标工作。</w:t>
      </w:r>
    </w:p>
    <w:p w14:paraId="38D851AB">
      <w:pPr>
        <w:keepNext w:val="0"/>
        <w:keepLines w:val="0"/>
        <w:widowControl w:val="0"/>
        <w:suppressLineNumbers w:val="0"/>
        <w:spacing w:before="0" w:beforeAutospacing="0" w:after="0" w:afterAutospacing="0" w:line="480" w:lineRule="auto"/>
        <w:ind w:left="0" w:right="0" w:firstLine="540" w:firstLineChars="224"/>
        <w:jc w:val="both"/>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eastAsia" w:ascii="宋体" w:hAnsi="宋体" w:eastAsia="宋体" w:cs="Times New Roman"/>
          <w:b/>
          <w:bCs w:val="0"/>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43</w:t>
      </w:r>
      <w:r>
        <w:rPr>
          <w:rFonts w:hint="eastAsia" w:ascii="宋体" w:hAnsi="宋体" w:eastAsia="宋体" w:cs="Times New Roman"/>
          <w:color w:val="auto"/>
          <w:kern w:val="2"/>
          <w:sz w:val="24"/>
          <w:szCs w:val="24"/>
          <w:highlight w:val="none"/>
          <w:lang w:val="en-US" w:eastAsia="zh-CN" w:bidi="ar"/>
        </w:rPr>
        <w:t>.6</w:t>
      </w:r>
      <w:r>
        <w:rPr>
          <w:rFonts w:hint="eastAsia" w:ascii="宋体" w:hAnsi="宋体"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修改类型：修改</w:t>
      </w:r>
    </w:p>
    <w:p w14:paraId="7B6DB607">
      <w:pPr>
        <w:keepNext w:val="0"/>
        <w:keepLines w:val="0"/>
        <w:widowControl/>
        <w:suppressLineNumbers w:val="0"/>
        <w:spacing w:before="0" w:beforeAutospacing="0" w:after="0" w:afterAutospacing="0" w:line="360" w:lineRule="auto"/>
        <w:ind w:left="0" w:right="0" w:firstLine="482" w:firstLineChars="200"/>
        <w:jc w:val="left"/>
        <w:rPr>
          <w:rFonts w:hint="eastAsia" w:ascii="宋体" w:hAnsi="宋体" w:eastAsia="宋体" w:cs="宋体"/>
          <w:color w:val="auto"/>
          <w:kern w:val="0"/>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bCs/>
          <w:color w:val="auto"/>
          <w:kern w:val="2"/>
          <w:sz w:val="24"/>
          <w:szCs w:val="24"/>
          <w:highlight w:val="none"/>
          <w:lang w:val="en-US" w:eastAsia="zh-CN" w:bidi="ar"/>
        </w:rPr>
        <w:t>43.6</w:t>
      </w:r>
      <w:r>
        <w:rPr>
          <w:rFonts w:hint="eastAsia" w:ascii="宋体" w:hAnsi="宋体" w:eastAsia="宋体" w:cs="宋体"/>
          <w:color w:val="auto"/>
          <w:kern w:val="2"/>
          <w:sz w:val="24"/>
          <w:szCs w:val="24"/>
          <w:highlight w:val="none"/>
          <w:lang w:val="en-US" w:eastAsia="zh-CN" w:bidi="ar"/>
        </w:rPr>
        <w:t>资格审查合格的投标人少于3名的（当N个标段同时招标且不允许兼中时，资格审查合格的投标人少于N+2名），则本项目招标失败。</w:t>
      </w:r>
    </w:p>
    <w:p w14:paraId="30B1C69C">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2"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bCs/>
          <w:color w:val="auto"/>
          <w:kern w:val="2"/>
          <w:sz w:val="24"/>
          <w:szCs w:val="24"/>
          <w:highlight w:val="none"/>
          <w:lang w:val="en-US" w:eastAsia="zh-CN" w:bidi="ar"/>
        </w:rPr>
        <w:t>43.6</w:t>
      </w:r>
      <w:r>
        <w:rPr>
          <w:rFonts w:hint="eastAsia" w:ascii="宋体" w:hAnsi="宋体" w:eastAsia="宋体" w:cs="宋体"/>
          <w:color w:val="auto"/>
          <w:kern w:val="2"/>
          <w:sz w:val="24"/>
          <w:szCs w:val="24"/>
          <w:highlight w:val="none"/>
          <w:lang w:val="en-US" w:eastAsia="zh-CN" w:bidi="ar"/>
        </w:rPr>
        <w:t>资格审查合格的投标人少于</w:t>
      </w:r>
      <w:r>
        <w:rPr>
          <w:rFonts w:hint="eastAsia" w:ascii="宋体" w:hAnsi="Calibri" w:eastAsia="宋体" w:cs="Times New Roman"/>
          <w:color w:val="auto"/>
          <w:kern w:val="2"/>
          <w:sz w:val="24"/>
          <w:szCs w:val="24"/>
          <w:highlight w:val="none"/>
          <w:u w:val="single"/>
          <w:lang w:val="en-US" w:eastAsia="zh-CN" w:bidi="ar"/>
        </w:rPr>
        <w:t>3</w:t>
      </w:r>
      <w:r>
        <w:rPr>
          <w:rFonts w:hint="eastAsia" w:ascii="宋体" w:hAnsi="宋体" w:eastAsia="宋体" w:cs="宋体"/>
          <w:color w:val="auto"/>
          <w:kern w:val="2"/>
          <w:sz w:val="24"/>
          <w:szCs w:val="24"/>
          <w:highlight w:val="none"/>
          <w:lang w:val="en-US" w:eastAsia="zh-CN" w:bidi="ar"/>
        </w:rPr>
        <w:t>名的，则本项目招标失败。</w:t>
      </w:r>
    </w:p>
    <w:p w14:paraId="540F9C16">
      <w:pPr>
        <w:keepNext w:val="0"/>
        <w:keepLines w:val="0"/>
        <w:widowControl w:val="0"/>
        <w:suppressLineNumbers w:val="0"/>
        <w:spacing w:before="0" w:beforeAutospacing="0" w:after="0" w:afterAutospacing="0" w:line="480" w:lineRule="auto"/>
        <w:ind w:left="0" w:right="0" w:firstLine="540" w:firstLineChars="224"/>
        <w:jc w:val="both"/>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eastAsia" w:ascii="宋体" w:hAnsi="宋体" w:eastAsia="宋体" w:cs="Times New Roman"/>
          <w:b/>
          <w:bCs w:val="0"/>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44</w:t>
      </w:r>
      <w:r>
        <w:rPr>
          <w:rFonts w:hint="eastAsia" w:ascii="宋体" w:hAnsi="宋体" w:eastAsia="宋体" w:cs="Times New Roman"/>
          <w:color w:val="auto"/>
          <w:kern w:val="2"/>
          <w:sz w:val="24"/>
          <w:szCs w:val="24"/>
          <w:highlight w:val="none"/>
          <w:lang w:val="en-US" w:eastAsia="zh-CN" w:bidi="ar"/>
        </w:rPr>
        <w:t>.1</w:t>
      </w:r>
      <w:r>
        <w:rPr>
          <w:rFonts w:hint="eastAsia" w:ascii="宋体" w:hAnsi="宋体"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修改类型：修改</w:t>
      </w:r>
    </w:p>
    <w:p w14:paraId="7ADE5BA5">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Times New Roman"/>
          <w:color w:val="auto"/>
          <w:kern w:val="2"/>
          <w:sz w:val="24"/>
          <w:szCs w:val="24"/>
          <w:highlight w:val="none"/>
          <w:lang w:val="en-US" w:eastAsia="zh-CN" w:bidi="ar"/>
        </w:rPr>
        <w:t>4</w:t>
      </w:r>
      <w:r>
        <w:rPr>
          <w:rFonts w:hint="eastAsia" w:ascii="宋体" w:hAnsi="宋体" w:eastAsia="宋体" w:cs="宋体"/>
          <w:color w:val="auto"/>
          <w:kern w:val="2"/>
          <w:sz w:val="24"/>
          <w:szCs w:val="24"/>
          <w:highlight w:val="none"/>
          <w:lang w:val="en-US" w:eastAsia="zh-CN" w:bidi="ar"/>
        </w:rPr>
        <w:t>4.1技术标的有效性审查：投标文件中没有任一种列于本办法附表二《技术标有效性审查表》中情形的，为有效投标文件。否则其投标文件将被否决。被否决的投标人不参与下一阶段评审，不参与评标参考价的计算。如评标委员会成员的评审意见不一致时，以评标委员会过半数成员的意见作为评标委员会对该情形的认定结论。若通过技术标有效性审查的投标人不足三家，则重新招标。（当N个标段同时招标且不允许兼中时，若通过技术标有效性审查投标人不足N+2家，则重新招标）。评委发现投标文件中含义不明确、对同类问题表述不一致、有明显文字和计算错误的，应当要求投标人作必要的澄清、说明后再判定投标人是否通过有效性审查，不得直接否决投标。</w:t>
      </w:r>
    </w:p>
    <w:p w14:paraId="32925E0D">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82"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Times New Roman"/>
          <w:color w:val="auto"/>
          <w:kern w:val="2"/>
          <w:sz w:val="24"/>
          <w:szCs w:val="24"/>
          <w:highlight w:val="none"/>
          <w:lang w:val="en-US" w:eastAsia="zh-CN" w:bidi="ar"/>
        </w:rPr>
        <w:t>4</w:t>
      </w:r>
      <w:r>
        <w:rPr>
          <w:rFonts w:hint="eastAsia" w:ascii="宋体" w:hAnsi="宋体" w:eastAsia="宋体" w:cs="宋体"/>
          <w:color w:val="auto"/>
          <w:kern w:val="2"/>
          <w:sz w:val="24"/>
          <w:szCs w:val="24"/>
          <w:highlight w:val="none"/>
          <w:lang w:val="en-US" w:eastAsia="zh-CN" w:bidi="ar"/>
        </w:rPr>
        <w:t>4.1技术标的有效性审查：投标文件中没有任一种列于本办法附表二《技术标有效性审查表》中情形的，为有效投标文件。否则其投标文件将被否决。被否决的投标人不参与下一阶段评审，不参与评标参考价的计算。如评标委员会成员的评审意见不一致时，以评标委员会过半数成员的意见作为评标委员会对该情形的认定结论。若通过技术标有效性审查的投标人不足三家，则重新招标。评委发现投标文件中含义不明确、对同类问题表述不一致、有明显文字和计算错误的，应当要求投标人作必要的澄清、说明后再判定投标人是否通过有效性审查，不得直接否决投标。</w:t>
      </w:r>
    </w:p>
    <w:p w14:paraId="5A1D73E8">
      <w:pPr>
        <w:keepNext w:val="0"/>
        <w:keepLines w:val="0"/>
        <w:widowControl w:val="0"/>
        <w:suppressLineNumbers w:val="0"/>
        <w:spacing w:before="0" w:beforeAutospacing="0" w:after="0" w:afterAutospacing="0" w:line="360" w:lineRule="auto"/>
        <w:ind w:left="0" w:right="0" w:firstLine="472" w:firstLineChars="224"/>
        <w:jc w:val="both"/>
        <w:rPr>
          <w:rFonts w:hint="eastAsia" w:ascii="宋体" w:hAnsi="Calibri"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条款号：</w:t>
      </w:r>
      <w:r>
        <w:rPr>
          <w:rFonts w:hint="default" w:ascii="Times New Roman" w:hAnsi="Times New Roman" w:eastAsia="宋体" w:cs="Times New Roman"/>
          <w:b/>
          <w:bCs w:val="0"/>
          <w:color w:val="auto"/>
          <w:kern w:val="2"/>
          <w:sz w:val="21"/>
          <w:szCs w:val="21"/>
          <w:highlight w:val="none"/>
          <w:lang w:val="en-US" w:eastAsia="zh-CN" w:bidi="ar"/>
        </w:rPr>
        <w:t xml:space="preserve">44.2  </w:t>
      </w:r>
      <w:r>
        <w:rPr>
          <w:rFonts w:hint="eastAsia" w:ascii="宋体" w:hAnsi="宋体" w:eastAsia="宋体" w:cs="宋体"/>
          <w:b/>
          <w:bCs w:val="0"/>
          <w:color w:val="auto"/>
          <w:kern w:val="2"/>
          <w:sz w:val="21"/>
          <w:szCs w:val="21"/>
          <w:highlight w:val="none"/>
          <w:lang w:val="en-US" w:eastAsia="zh-CN" w:bidi="ar"/>
        </w:rPr>
        <w:t xml:space="preserve">                修改类型：修改</w:t>
      </w:r>
    </w:p>
    <w:p w14:paraId="28B3A96D">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alibri" w:eastAsia="宋体" w:cs="宋体"/>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原文：</w:t>
      </w:r>
      <w:r>
        <w:rPr>
          <w:rFonts w:hint="eastAsia" w:ascii="宋体" w:hAnsi="宋体" w:eastAsia="宋体" w:cs="宋体"/>
          <w:color w:val="auto"/>
          <w:kern w:val="2"/>
          <w:sz w:val="24"/>
          <w:szCs w:val="24"/>
          <w:highlight w:val="none"/>
          <w:lang w:val="en-US" w:eastAsia="zh-CN" w:bidi="ar"/>
        </w:rPr>
        <w:t>44.2技术标详细审查评分：评标委员会按照附表四《技术标详细审查评分表》的标准，对通过技术标有效性审查的投标文件技术标进行详细审查，评出技术分，得分四舍五入精确到小数点后两位。</w:t>
      </w:r>
    </w:p>
    <w:p w14:paraId="7C2A436C">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472" w:firstLineChars="224"/>
        <w:jc w:val="both"/>
        <w:rPr>
          <w:rFonts w:hint="eastAsia" w:ascii="宋体" w:hAnsi="Calibri"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现文：</w:t>
      </w:r>
      <w:r>
        <w:rPr>
          <w:rFonts w:hint="eastAsia" w:ascii="宋体" w:hAnsi="宋体" w:eastAsia="宋体" w:cs="宋体"/>
          <w:color w:val="auto"/>
          <w:kern w:val="2"/>
          <w:sz w:val="24"/>
          <w:szCs w:val="24"/>
          <w:highlight w:val="none"/>
          <w:lang w:val="en-US" w:eastAsia="zh-CN" w:bidi="ar"/>
        </w:rPr>
        <w:t>44.2技术标详细审查评分：评标委员会按照附表四《技术标详细审查评分表》的标准，对通过技术标有效性审查的投标文件技术标进行详细审查，评出技术分，</w:t>
      </w:r>
      <w:r>
        <w:rPr>
          <w:rFonts w:hint="eastAsia" w:ascii="宋体" w:hAnsi="宋体" w:eastAsia="宋体" w:cs="宋体"/>
          <w:color w:val="auto"/>
          <w:kern w:val="2"/>
          <w:sz w:val="24"/>
          <w:szCs w:val="24"/>
          <w:highlight w:val="none"/>
          <w:u w:val="single"/>
          <w:lang w:val="en-US" w:eastAsia="zh-CN" w:bidi="ar"/>
        </w:rPr>
        <w:t>投标人的技术分为各评委评分的算术平均值，</w:t>
      </w:r>
      <w:r>
        <w:rPr>
          <w:rFonts w:hint="eastAsia" w:ascii="宋体" w:hAnsi="宋体" w:eastAsia="宋体" w:cs="宋体"/>
          <w:color w:val="auto"/>
          <w:kern w:val="2"/>
          <w:sz w:val="24"/>
          <w:szCs w:val="24"/>
          <w:highlight w:val="none"/>
          <w:lang w:val="en-US" w:eastAsia="zh-CN" w:bidi="ar"/>
        </w:rPr>
        <w:t>得分四舍五入精确到小数点后两位。</w:t>
      </w:r>
    </w:p>
    <w:p w14:paraId="7284EB6E">
      <w:pPr>
        <w:keepNext w:val="0"/>
        <w:keepLines w:val="0"/>
        <w:widowControl w:val="0"/>
        <w:suppressLineNumbers w:val="0"/>
        <w:spacing w:before="0" w:beforeAutospacing="0" w:after="0" w:afterAutospacing="0" w:line="360" w:lineRule="auto"/>
        <w:ind w:left="0" w:right="0" w:firstLine="540" w:firstLineChars="224"/>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eastAsia" w:ascii="宋体" w:hAnsi="宋体" w:eastAsia="宋体" w:cs="宋体"/>
          <w:color w:val="auto"/>
          <w:kern w:val="2"/>
          <w:sz w:val="24"/>
          <w:szCs w:val="24"/>
          <w:highlight w:val="none"/>
          <w:lang w:val="en-US" w:eastAsia="zh-CN" w:bidi="ar"/>
        </w:rPr>
        <w:t>45</w:t>
      </w:r>
      <w:r>
        <w:rPr>
          <w:rFonts w:hint="eastAsia" w:ascii="宋体" w:hAnsi="宋体" w:eastAsia="宋体" w:cs="宋体"/>
          <w:b/>
          <w:bCs w:val="0"/>
          <w:color w:val="auto"/>
          <w:kern w:val="2"/>
          <w:sz w:val="24"/>
          <w:szCs w:val="24"/>
          <w:highlight w:val="none"/>
          <w:lang w:val="en-US" w:eastAsia="zh-CN" w:bidi="ar"/>
        </w:rPr>
        <w:t xml:space="preserve">                  修改类型：修改</w:t>
      </w:r>
    </w:p>
    <w:p w14:paraId="691E8D92">
      <w:pPr>
        <w:pStyle w:val="14"/>
        <w:keepNext w:val="0"/>
        <w:keepLines w:val="0"/>
        <w:widowControl w:val="0"/>
        <w:suppressLineNumbers w:val="0"/>
        <w:snapToGrid w:val="0"/>
        <w:spacing w:before="0" w:beforeAutospacing="1" w:after="0" w:afterAutospacing="0" w:line="360" w:lineRule="auto"/>
        <w:ind w:left="0" w:right="0" w:firstLine="482" w:firstLineChars="200"/>
        <w:jc w:val="both"/>
        <w:rPr>
          <w:rFonts w:hint="eastAsia" w:ascii="宋体" w:hAnsi="宋体" w:eastAsia="宋体" w:cs="宋体"/>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原文：</w:t>
      </w:r>
      <w:r>
        <w:rPr>
          <w:rFonts w:hint="eastAsia" w:ascii="宋体" w:hAnsi="宋体" w:eastAsia="宋体" w:cs="宋体"/>
          <w:color w:val="auto"/>
          <w:kern w:val="0"/>
          <w:sz w:val="24"/>
          <w:szCs w:val="24"/>
          <w:highlight w:val="none"/>
          <w:lang w:val="en-US" w:eastAsia="zh-CN" w:bidi="ar"/>
        </w:rPr>
        <w:t>45．经济标评审和得分汇总</w:t>
      </w:r>
    </w:p>
    <w:p w14:paraId="5835CF72">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45.1若通过技术标有效性审查的投标人中所有投标报价均大于等于最高投标限价，则本项目招标失败，由招标人依法重新招标。</w:t>
      </w:r>
    </w:p>
    <w:p w14:paraId="42BD43BE">
      <w:pPr>
        <w:pStyle w:val="14"/>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45.2按方法计算评标参考价：</w:t>
      </w:r>
    </w:p>
    <w:p w14:paraId="5351D8AA">
      <w:pPr>
        <w:keepNext w:val="0"/>
        <w:keepLines w:val="0"/>
        <w:widowControl/>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方法一：加权平均法</w:t>
      </w:r>
    </w:p>
    <w:p w14:paraId="4ED10B4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技术标或技术标加诚信得分（具体由招标人自定）前N名（N≥5，具体由招标人自定）的经济报价加权平均，计算评标参考价。公式如下：</w:t>
      </w:r>
    </w:p>
    <w:p w14:paraId="79731E8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评标参考价=Σ（投标人的投标报价*报价权重）。</w:t>
      </w:r>
    </w:p>
    <w:p w14:paraId="18DF09B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其中：报价权重的计算方法为：将N名投标人按技术分由高至低进行排序，第一名投标人的权重为（</w:t>
      </w:r>
      <w:r>
        <w:rPr>
          <w:rFonts w:hint="eastAsia" w:ascii="宋体" w:hAnsi="宋体" w:eastAsia="宋体" w:cs="宋体"/>
          <w:color w:val="auto"/>
          <w:kern w:val="2"/>
          <w:sz w:val="24"/>
          <w:szCs w:val="24"/>
          <w:highlight w:val="none"/>
          <w:lang w:val="en-US" w:eastAsia="zh-CN" w:bidi="ar"/>
        </w:rPr>
        <w:drawing>
          <wp:inline distT="0" distB="0" distL="114300" distR="114300">
            <wp:extent cx="393700" cy="450850"/>
            <wp:effectExtent l="0" t="0" r="0" b="635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6"/>
                    <a:stretch>
                      <a:fillRect/>
                    </a:stretch>
                  </pic:blipFill>
                  <pic:spPr>
                    <a:xfrm>
                      <a:off x="0" y="0"/>
                      <a:ext cx="393700" cy="450850"/>
                    </a:xfrm>
                    <a:prstGeom prst="rect">
                      <a:avLst/>
                    </a:prstGeom>
                  </pic:spPr>
                </pic:pic>
              </a:graphicData>
            </a:graphic>
          </wp:inline>
        </w:drawing>
      </w:r>
      <w:r>
        <w:rPr>
          <w:rFonts w:hint="eastAsia" w:ascii="宋体" w:hAnsi="宋体" w:eastAsia="宋体" w:cs="宋体"/>
          <w:color w:val="auto"/>
          <w:kern w:val="2"/>
          <w:sz w:val="24"/>
          <w:szCs w:val="24"/>
          <w:highlight w:val="none"/>
          <w:lang w:val="en-US" w:eastAsia="zh-CN" w:bidi="ar"/>
        </w:rPr>
        <w:t>），第二名投标人的权重为（</w:t>
      </w:r>
      <w:r>
        <w:rPr>
          <w:rFonts w:hint="eastAsia" w:ascii="宋体" w:hAnsi="宋体" w:eastAsia="宋体" w:cs="宋体"/>
          <w:color w:val="auto"/>
          <w:kern w:val="2"/>
          <w:sz w:val="24"/>
          <w:szCs w:val="24"/>
          <w:highlight w:val="none"/>
          <w:lang w:val="en-US" w:eastAsia="zh-CN" w:bidi="ar"/>
        </w:rPr>
        <w:drawing>
          <wp:inline distT="0" distB="0" distL="114300" distR="114300">
            <wp:extent cx="323850" cy="400050"/>
            <wp:effectExtent l="0" t="0" r="6350" b="571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7"/>
                    <a:stretch>
                      <a:fillRect/>
                    </a:stretch>
                  </pic:blipFill>
                  <pic:spPr>
                    <a:xfrm>
                      <a:off x="0" y="0"/>
                      <a:ext cx="323850" cy="400050"/>
                    </a:xfrm>
                    <a:prstGeom prst="rect">
                      <a:avLst/>
                    </a:prstGeom>
                  </pic:spPr>
                </pic:pic>
              </a:graphicData>
            </a:graphic>
          </wp:inline>
        </w:drawing>
      </w:r>
      <w:r>
        <w:rPr>
          <w:rFonts w:hint="eastAsia" w:ascii="宋体" w:hAnsi="宋体" w:eastAsia="宋体" w:cs="宋体"/>
          <w:color w:val="auto"/>
          <w:kern w:val="2"/>
          <w:sz w:val="24"/>
          <w:szCs w:val="24"/>
          <w:highlight w:val="none"/>
          <w:lang w:val="en-US" w:eastAsia="zh-CN" w:bidi="ar"/>
        </w:rPr>
        <w:t>），以此类推，最后一名投标人的权重为（</w:t>
      </w:r>
      <w:r>
        <w:rPr>
          <w:rFonts w:hint="eastAsia" w:ascii="宋体" w:hAnsi="宋体" w:eastAsia="宋体" w:cs="宋体"/>
          <w:color w:val="auto"/>
          <w:kern w:val="2"/>
          <w:sz w:val="24"/>
          <w:szCs w:val="24"/>
          <w:highlight w:val="none"/>
          <w:lang w:val="en-US" w:eastAsia="zh-CN" w:bidi="ar"/>
        </w:rPr>
        <w:drawing>
          <wp:inline distT="0" distB="0" distL="114300" distR="114300">
            <wp:extent cx="323850" cy="400050"/>
            <wp:effectExtent l="0" t="0" r="6350" b="571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8"/>
                    <a:stretch>
                      <a:fillRect/>
                    </a:stretch>
                  </pic:blipFill>
                  <pic:spPr>
                    <a:xfrm>
                      <a:off x="0" y="0"/>
                      <a:ext cx="323850" cy="400050"/>
                    </a:xfrm>
                    <a:prstGeom prst="rect">
                      <a:avLst/>
                    </a:prstGeom>
                  </pic:spPr>
                </pic:pic>
              </a:graphicData>
            </a:graphic>
          </wp:inline>
        </w:drawing>
      </w:r>
      <w:r>
        <w:rPr>
          <w:rFonts w:hint="eastAsia" w:ascii="宋体" w:hAnsi="宋体" w:eastAsia="宋体" w:cs="宋体"/>
          <w:color w:val="auto"/>
          <w:kern w:val="2"/>
          <w:sz w:val="24"/>
          <w:szCs w:val="24"/>
          <w:highlight w:val="none"/>
          <w:lang w:val="en-US" w:eastAsia="zh-CN" w:bidi="ar"/>
        </w:rPr>
        <w:t>）。</w:t>
      </w:r>
    </w:p>
    <w:p w14:paraId="7CA9291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
          <w:bCs w:val="0"/>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45.3当标价等于评标参考价时得100分，标价每高于评标参考价1%，扣1.5分，每低于评标参考价1%，扣1分，扣至0分为止，得出经济分，精确到小数点后两位。</w:t>
      </w:r>
    </w:p>
    <w:p w14:paraId="2528B931">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lang w:val="en-US" w:eastAsia="zh-CN" w:bidi="ar"/>
        </w:rPr>
        <w:t>45．经济标评审和得分汇总</w:t>
      </w:r>
    </w:p>
    <w:p w14:paraId="235D0516">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45.1若通过技术标有效性审查的投标人中所有投标报价均大于等于最高投标限价，则本项目招标失败，由招标人依法重新招标。</w:t>
      </w:r>
    </w:p>
    <w:p w14:paraId="6C820CD9">
      <w:pPr>
        <w:pStyle w:val="14"/>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45.2按方法</w:t>
      </w:r>
      <w:r>
        <w:rPr>
          <w:rFonts w:hint="eastAsia" w:ascii="宋体" w:hAnsi="宋体" w:eastAsia="宋体" w:cs="宋体"/>
          <w:color w:val="auto"/>
          <w:kern w:val="0"/>
          <w:sz w:val="24"/>
          <w:szCs w:val="24"/>
          <w:highlight w:val="none"/>
          <w:u w:val="single"/>
          <w:lang w:val="en-US" w:eastAsia="zh-CN" w:bidi="ar"/>
        </w:rPr>
        <w:t xml:space="preserve"> 一 </w:t>
      </w:r>
      <w:r>
        <w:rPr>
          <w:rFonts w:hint="eastAsia" w:ascii="宋体" w:hAnsi="宋体" w:eastAsia="宋体" w:cs="宋体"/>
          <w:color w:val="auto"/>
          <w:kern w:val="0"/>
          <w:sz w:val="24"/>
          <w:szCs w:val="24"/>
          <w:highlight w:val="none"/>
          <w:lang w:val="en-US" w:eastAsia="zh-CN" w:bidi="ar"/>
        </w:rPr>
        <w:t>计算评标参考价：</w:t>
      </w:r>
    </w:p>
    <w:p w14:paraId="3E60D7E9">
      <w:pPr>
        <w:keepNext w:val="0"/>
        <w:keepLines w:val="0"/>
        <w:widowControl/>
        <w:suppressLineNumbers w:val="0"/>
        <w:spacing w:before="0" w:beforeAutospacing="0" w:after="0" w:afterAutospacing="0" w:line="360" w:lineRule="auto"/>
        <w:ind w:left="0" w:right="0" w:firstLine="482" w:firstLineChars="200"/>
        <w:jc w:val="both"/>
        <w:rPr>
          <w:rFonts w:hint="eastAsia" w:ascii="宋体" w:hAnsi="宋体"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方法一：加权平均法</w:t>
      </w:r>
    </w:p>
    <w:p w14:paraId="64504B7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u w:val="single"/>
          <w:lang w:val="en-US" w:eastAsia="zh-CN" w:bidi="ar"/>
        </w:rPr>
        <w:t>技术标得分前5名的经济报价加权平均（若通过技术标有效性审查的投标人小于5家时,N=通过技术标有效性审查实际投标人个数），计算评标参考价</w:t>
      </w:r>
      <w:r>
        <w:rPr>
          <w:rFonts w:hint="eastAsia" w:ascii="宋体" w:hAnsi="宋体" w:eastAsia="宋体" w:cs="宋体"/>
          <w:color w:val="auto"/>
          <w:kern w:val="2"/>
          <w:sz w:val="24"/>
          <w:szCs w:val="24"/>
          <w:highlight w:val="none"/>
          <w:lang w:val="en-US" w:eastAsia="zh-CN" w:bidi="ar"/>
        </w:rPr>
        <w:t>。公式如下：</w:t>
      </w:r>
    </w:p>
    <w:p w14:paraId="447BB09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评标参考价=Σ（投标人的投标报价*报价权重）。</w:t>
      </w:r>
    </w:p>
    <w:p w14:paraId="5845FC0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其中：报价权重的计算方法为：将N名投标人按</w:t>
      </w:r>
      <w:r>
        <w:rPr>
          <w:rFonts w:hint="eastAsia" w:ascii="宋体" w:hAnsi="宋体" w:eastAsia="宋体" w:cs="宋体"/>
          <w:color w:val="auto"/>
          <w:kern w:val="2"/>
          <w:sz w:val="24"/>
          <w:szCs w:val="24"/>
          <w:highlight w:val="none"/>
          <w:u w:val="single"/>
          <w:lang w:val="en-US" w:eastAsia="zh-CN" w:bidi="ar"/>
        </w:rPr>
        <w:t>技术标得分</w:t>
      </w:r>
      <w:r>
        <w:rPr>
          <w:rFonts w:hint="eastAsia" w:ascii="宋体" w:hAnsi="宋体" w:eastAsia="宋体" w:cs="宋体"/>
          <w:color w:val="auto"/>
          <w:kern w:val="2"/>
          <w:sz w:val="24"/>
          <w:szCs w:val="24"/>
          <w:highlight w:val="none"/>
          <w:lang w:val="en-US" w:eastAsia="zh-CN" w:bidi="ar"/>
        </w:rPr>
        <w:t>由高至低进行排序，第一名投标人的权重为（</w:t>
      </w:r>
      <w:r>
        <w:rPr>
          <w:rFonts w:hint="eastAsia" w:ascii="宋体" w:hAnsi="宋体" w:eastAsia="宋体" w:cs="宋体"/>
          <w:color w:val="auto"/>
          <w:kern w:val="2"/>
          <w:sz w:val="24"/>
          <w:szCs w:val="24"/>
          <w:highlight w:val="none"/>
          <w:lang w:val="en-US" w:eastAsia="zh-CN" w:bidi="ar"/>
        </w:rPr>
        <w:drawing>
          <wp:inline distT="0" distB="0" distL="114300" distR="114300">
            <wp:extent cx="393700" cy="450850"/>
            <wp:effectExtent l="0" t="0" r="0" b="635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6"/>
                    <a:stretch>
                      <a:fillRect/>
                    </a:stretch>
                  </pic:blipFill>
                  <pic:spPr>
                    <a:xfrm>
                      <a:off x="0" y="0"/>
                      <a:ext cx="393700" cy="450850"/>
                    </a:xfrm>
                    <a:prstGeom prst="rect">
                      <a:avLst/>
                    </a:prstGeom>
                  </pic:spPr>
                </pic:pic>
              </a:graphicData>
            </a:graphic>
          </wp:inline>
        </w:drawing>
      </w:r>
      <w:r>
        <w:rPr>
          <w:rFonts w:hint="eastAsia" w:ascii="宋体" w:hAnsi="宋体" w:eastAsia="宋体" w:cs="宋体"/>
          <w:color w:val="auto"/>
          <w:kern w:val="2"/>
          <w:sz w:val="24"/>
          <w:szCs w:val="24"/>
          <w:highlight w:val="none"/>
          <w:lang w:val="en-US" w:eastAsia="zh-CN" w:bidi="ar"/>
        </w:rPr>
        <w:t>），第二名投标人的权重为（</w:t>
      </w:r>
      <w:r>
        <w:rPr>
          <w:rFonts w:hint="eastAsia" w:ascii="宋体" w:hAnsi="宋体" w:eastAsia="宋体" w:cs="宋体"/>
          <w:color w:val="auto"/>
          <w:kern w:val="2"/>
          <w:sz w:val="24"/>
          <w:szCs w:val="24"/>
          <w:highlight w:val="none"/>
          <w:lang w:val="en-US" w:eastAsia="zh-CN" w:bidi="ar"/>
        </w:rPr>
        <w:drawing>
          <wp:inline distT="0" distB="0" distL="114300" distR="114300">
            <wp:extent cx="323850" cy="400050"/>
            <wp:effectExtent l="0" t="0" r="6350" b="571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7"/>
                    <a:stretch>
                      <a:fillRect/>
                    </a:stretch>
                  </pic:blipFill>
                  <pic:spPr>
                    <a:xfrm>
                      <a:off x="0" y="0"/>
                      <a:ext cx="323850" cy="400050"/>
                    </a:xfrm>
                    <a:prstGeom prst="rect">
                      <a:avLst/>
                    </a:prstGeom>
                  </pic:spPr>
                </pic:pic>
              </a:graphicData>
            </a:graphic>
          </wp:inline>
        </w:drawing>
      </w:r>
      <w:r>
        <w:rPr>
          <w:rFonts w:hint="eastAsia" w:ascii="宋体" w:hAnsi="宋体" w:eastAsia="宋体" w:cs="宋体"/>
          <w:color w:val="auto"/>
          <w:kern w:val="2"/>
          <w:sz w:val="24"/>
          <w:szCs w:val="24"/>
          <w:highlight w:val="none"/>
          <w:lang w:val="en-US" w:eastAsia="zh-CN" w:bidi="ar"/>
        </w:rPr>
        <w:t>），以此类推，最后一名投标人的权重为（</w:t>
      </w:r>
      <w:r>
        <w:rPr>
          <w:rFonts w:hint="eastAsia" w:ascii="宋体" w:hAnsi="宋体" w:eastAsia="宋体" w:cs="宋体"/>
          <w:color w:val="auto"/>
          <w:kern w:val="2"/>
          <w:sz w:val="24"/>
          <w:szCs w:val="24"/>
          <w:highlight w:val="none"/>
          <w:lang w:val="en-US" w:eastAsia="zh-CN" w:bidi="ar"/>
        </w:rPr>
        <w:drawing>
          <wp:inline distT="0" distB="0" distL="114300" distR="114300">
            <wp:extent cx="323850" cy="400050"/>
            <wp:effectExtent l="0" t="0" r="6350" b="571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8"/>
                    <a:stretch>
                      <a:fillRect/>
                    </a:stretch>
                  </pic:blipFill>
                  <pic:spPr>
                    <a:xfrm>
                      <a:off x="0" y="0"/>
                      <a:ext cx="323850" cy="400050"/>
                    </a:xfrm>
                    <a:prstGeom prst="rect">
                      <a:avLst/>
                    </a:prstGeom>
                  </pic:spPr>
                </pic:pic>
              </a:graphicData>
            </a:graphic>
          </wp:inline>
        </w:drawing>
      </w:r>
      <w:r>
        <w:rPr>
          <w:rFonts w:hint="eastAsia" w:ascii="宋体" w:hAnsi="宋体" w:eastAsia="宋体" w:cs="宋体"/>
          <w:color w:val="auto"/>
          <w:kern w:val="2"/>
          <w:sz w:val="24"/>
          <w:szCs w:val="24"/>
          <w:highlight w:val="none"/>
          <w:lang w:val="en-US" w:eastAsia="zh-CN" w:bidi="ar"/>
        </w:rPr>
        <w:t>）。</w:t>
      </w:r>
    </w:p>
    <w:p w14:paraId="1B5E7766">
      <w:pPr>
        <w:keepNext w:val="0"/>
        <w:keepLines w:val="0"/>
        <w:widowControl w:val="0"/>
        <w:suppressLineNumbers w:val="0"/>
        <w:pBdr>
          <w:top w:val="none" w:color="auto" w:sz="0" w:space="0"/>
          <w:left w:val="none" w:color="auto" w:sz="0" w:space="0"/>
          <w:bottom w:val="single" w:color="auto" w:sz="4" w:space="1"/>
          <w:right w:val="none" w:color="auto" w:sz="0" w:space="0"/>
        </w:pBdr>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u w:val="single"/>
          <w:lang w:val="en-US" w:eastAsia="zh-CN" w:bidi="ar"/>
        </w:rPr>
        <w:t>若投标人技术标得分相同的，则以投标总报价较低的排前；如仍存在相同情况，则对具有相同情况的投标人，按确定评标参考价的投标人数量规定，由评标委员会采用记名投票方式，确定投标人技术标得分名次的排序。记名投票方式确定排序的具体操作步骤为：由评标委员会对出现该情况的投标人进行编号，然后进行记名投票，按得票数从高到低排列先后次序，以得票数高的排前，依次确定技术标得分名次的排序。</w:t>
      </w:r>
    </w:p>
    <w:p w14:paraId="7FEE4CB1">
      <w:pPr>
        <w:keepNext w:val="0"/>
        <w:keepLines w:val="0"/>
        <w:widowControl w:val="0"/>
        <w:suppressLineNumbers w:val="0"/>
        <w:pBdr>
          <w:top w:val="none" w:color="auto" w:sz="0" w:space="0"/>
          <w:left w:val="none" w:color="auto" w:sz="0" w:space="0"/>
          <w:bottom w:val="single" w:color="auto" w:sz="4" w:space="1"/>
          <w:right w:val="none" w:color="auto" w:sz="0" w:space="0"/>
        </w:pBdr>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u w:val="single"/>
          <w:lang w:val="en-US" w:eastAsia="zh-CN" w:bidi="ar"/>
        </w:rPr>
        <w:t>45.3当标价等于评标参考价时得100分，标价每高于评标参考价1%，扣1分，每低于评标参考价1%，扣0.75分，扣至0分为止，得出经济分，精确到小数点后两位。</w:t>
      </w:r>
    </w:p>
    <w:p w14:paraId="3EBFD402">
      <w:pPr>
        <w:keepNext w:val="0"/>
        <w:keepLines w:val="0"/>
        <w:widowControl w:val="0"/>
        <w:suppressLineNumbers w:val="0"/>
        <w:spacing w:before="0" w:beforeAutospacing="0" w:after="0" w:afterAutospacing="0" w:line="360" w:lineRule="auto"/>
        <w:ind w:left="0" w:right="0" w:firstLine="472" w:firstLineChars="224"/>
        <w:jc w:val="both"/>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 xml:space="preserve">条款号： </w:t>
      </w:r>
      <w:r>
        <w:rPr>
          <w:rFonts w:hint="eastAsia" w:ascii="宋体" w:hAnsi="宋体" w:eastAsia="宋体" w:cs="宋体"/>
          <w:color w:val="auto"/>
          <w:kern w:val="2"/>
          <w:sz w:val="24"/>
          <w:szCs w:val="24"/>
          <w:highlight w:val="none"/>
          <w:lang w:val="en-US" w:eastAsia="zh-CN" w:bidi="ar"/>
        </w:rPr>
        <w:t>45.4</w:t>
      </w:r>
      <w:r>
        <w:rPr>
          <w:rFonts w:hint="eastAsia" w:ascii="宋体" w:hAnsi="宋体" w:eastAsia="宋体" w:cs="宋体"/>
          <w:b/>
          <w:bCs w:val="0"/>
          <w:color w:val="auto"/>
          <w:kern w:val="2"/>
          <w:sz w:val="21"/>
          <w:szCs w:val="21"/>
          <w:highlight w:val="none"/>
          <w:lang w:val="en-US" w:eastAsia="zh-CN" w:bidi="ar"/>
        </w:rPr>
        <w:t xml:space="preserve">                修改类型：修改</w:t>
      </w:r>
    </w:p>
    <w:p w14:paraId="78C53E7E">
      <w:pPr>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2"/>
          <w:sz w:val="21"/>
          <w:szCs w:val="21"/>
          <w:highlight w:val="none"/>
          <w:lang w:val="en-US" w:eastAsia="zh-CN" w:bidi="ar"/>
        </w:rPr>
        <w:t>原文：</w:t>
      </w:r>
      <w:r>
        <w:rPr>
          <w:rFonts w:hint="eastAsia" w:ascii="宋体" w:hAnsi="宋体" w:eastAsia="宋体" w:cs="宋体"/>
          <w:color w:val="auto"/>
          <w:kern w:val="2"/>
          <w:sz w:val="24"/>
          <w:szCs w:val="24"/>
          <w:highlight w:val="none"/>
          <w:lang w:val="en-US" w:eastAsia="zh-CN" w:bidi="ar"/>
        </w:rPr>
        <w:t>计算通过技术标有效性审查的投标人总得分。投标人总得分=（技术得分×技术得分权重＋经济得分×经济得分权重）×（1-综合诚信评价分数权重）＋综合诚信评价排名得分×综合诚信评价分数权重）。技术、经济得分权重按投标须知前附表的规定执行。总得分四舍五入保留两位小数。</w:t>
      </w:r>
    </w:p>
    <w:p w14:paraId="6DE36DF6">
      <w:pPr>
        <w:keepNext w:val="0"/>
        <w:keepLines w:val="0"/>
        <w:widowControl w:val="0"/>
        <w:suppressLineNumbers w:val="0"/>
        <w:pBdr>
          <w:top w:val="none" w:color="auto" w:sz="0" w:space="0"/>
          <w:left w:val="none" w:color="auto" w:sz="0" w:space="0"/>
          <w:bottom w:val="single" w:color="000000" w:sz="4" w:space="1"/>
          <w:right w:val="none" w:color="auto" w:sz="0" w:space="0"/>
        </w:pBdr>
        <w:spacing w:before="0" w:beforeAutospacing="0" w:after="0" w:afterAutospacing="0" w:line="360" w:lineRule="auto"/>
        <w:ind w:left="0" w:right="0" w:firstLine="472" w:firstLineChars="224"/>
        <w:jc w:val="both"/>
        <w:rPr>
          <w:rFonts w:hint="eastAsia" w:ascii="宋体" w:hAnsi="宋体" w:eastAsia="宋体" w:cs="宋体"/>
          <w:color w:val="auto"/>
          <w:kern w:val="2"/>
          <w:sz w:val="24"/>
          <w:szCs w:val="24"/>
          <w:highlight w:val="none"/>
          <w:u w:val="single"/>
        </w:rPr>
      </w:pPr>
      <w:r>
        <w:rPr>
          <w:rFonts w:hint="eastAsia" w:ascii="宋体" w:hAnsi="宋体" w:eastAsia="宋体" w:cs="宋体"/>
          <w:b/>
          <w:bCs w:val="0"/>
          <w:color w:val="auto"/>
          <w:kern w:val="2"/>
          <w:sz w:val="21"/>
          <w:szCs w:val="21"/>
          <w:highlight w:val="none"/>
          <w:lang w:val="en-US" w:eastAsia="zh-CN" w:bidi="ar"/>
        </w:rPr>
        <w:t>现文：</w:t>
      </w:r>
      <w:r>
        <w:rPr>
          <w:rFonts w:hint="eastAsia" w:ascii="宋体" w:hAnsi="宋体" w:eastAsia="宋体" w:cs="宋体"/>
          <w:color w:val="auto"/>
          <w:kern w:val="2"/>
          <w:sz w:val="24"/>
          <w:szCs w:val="24"/>
          <w:highlight w:val="none"/>
          <w:lang w:val="en-US" w:eastAsia="zh-CN" w:bidi="ar"/>
        </w:rPr>
        <w:t>计算通过技术标有效性审查的投标人总得分。</w:t>
      </w:r>
      <w:r>
        <w:rPr>
          <w:rFonts w:hint="eastAsia" w:ascii="宋体" w:hAnsi="宋体" w:eastAsia="宋体" w:cs="宋体"/>
          <w:color w:val="auto"/>
          <w:kern w:val="2"/>
          <w:sz w:val="24"/>
          <w:szCs w:val="24"/>
          <w:highlight w:val="none"/>
          <w:u w:val="single"/>
          <w:lang w:val="en-US" w:eastAsia="zh-CN" w:bidi="ar"/>
        </w:rPr>
        <w:t>投标人总得分=技术得分</w:t>
      </w:r>
      <w:r>
        <w:rPr>
          <w:rFonts w:hint="eastAsia" w:ascii="宋体" w:hAnsi="宋体" w:eastAsia="宋体" w:cs="宋体"/>
          <w:b w:val="0"/>
          <w:bCs w:val="0"/>
          <w:color w:val="auto"/>
          <w:kern w:val="2"/>
          <w:sz w:val="24"/>
          <w:szCs w:val="24"/>
          <w:highlight w:val="none"/>
          <w:u w:val="single"/>
          <w:lang w:val="en-US" w:eastAsia="zh-CN" w:bidi="ar"/>
        </w:rPr>
        <w:t>（</w:t>
      </w:r>
      <w:r>
        <w:rPr>
          <w:rFonts w:hint="eastAsia" w:ascii="宋体" w:hAnsi="宋体" w:eastAsia="宋体" w:cs="宋体"/>
          <w:b w:val="0"/>
          <w:bCs w:val="0"/>
          <w:color w:val="auto"/>
          <w:kern w:val="2"/>
          <w:sz w:val="24"/>
          <w:szCs w:val="24"/>
          <w:highlight w:val="none"/>
          <w:u w:val="single"/>
          <w:lang w:eastAsia="zh-CN" w:bidi="ar"/>
        </w:rPr>
        <w:t>满分20分</w:t>
      </w:r>
      <w:r>
        <w:rPr>
          <w:rFonts w:hint="eastAsia" w:ascii="宋体" w:hAnsi="宋体" w:eastAsia="宋体" w:cs="宋体"/>
          <w:b w:val="0"/>
          <w:bCs w:val="0"/>
          <w:color w:val="auto"/>
          <w:kern w:val="2"/>
          <w:sz w:val="24"/>
          <w:szCs w:val="24"/>
          <w:highlight w:val="none"/>
          <w:u w:val="single"/>
          <w:lang w:val="en-US" w:eastAsia="zh-CN" w:bidi="ar"/>
        </w:rPr>
        <w:t>）</w:t>
      </w:r>
      <w:r>
        <w:rPr>
          <w:rFonts w:hint="eastAsia" w:ascii="宋体" w:hAnsi="宋体" w:eastAsia="宋体" w:cs="宋体"/>
          <w:color w:val="auto"/>
          <w:kern w:val="2"/>
          <w:sz w:val="24"/>
          <w:szCs w:val="24"/>
          <w:highlight w:val="none"/>
          <w:u w:val="single"/>
          <w:lang w:val="en-US" w:eastAsia="zh-CN" w:bidi="ar"/>
        </w:rPr>
        <w:t>＋经济得分×经济得分权重（80%）。总得分四舍五入保留两位小数，并按照总得分从高到低排序。总得分相同的投标文件，以报价较低的排前；总得分与报价均相同的投标文件，以技术得分较高的排前；如仍存在相同情况，则由评标委员会采用记名投票方式，确定投标人的排序。</w:t>
      </w:r>
    </w:p>
    <w:p w14:paraId="5F782B21">
      <w:pPr>
        <w:keepNext w:val="0"/>
        <w:keepLines w:val="0"/>
        <w:widowControl w:val="0"/>
        <w:suppressLineNumbers w:val="0"/>
        <w:spacing w:before="0" w:beforeAutospacing="0" w:after="0" w:afterAutospacing="0" w:line="360" w:lineRule="auto"/>
        <w:ind w:left="0" w:right="0" w:firstLine="472" w:firstLineChars="224"/>
        <w:jc w:val="both"/>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条款号：</w:t>
      </w:r>
      <w:r>
        <w:rPr>
          <w:rFonts w:hint="eastAsia" w:ascii="宋体" w:hAnsi="宋体" w:eastAsia="宋体" w:cs="宋体"/>
          <w:color w:val="auto"/>
          <w:kern w:val="2"/>
          <w:sz w:val="24"/>
          <w:szCs w:val="24"/>
          <w:highlight w:val="none"/>
          <w:lang w:val="en-US" w:eastAsia="zh-CN" w:bidi="ar"/>
        </w:rPr>
        <w:t>46.2.8</w:t>
      </w:r>
      <w:r>
        <w:rPr>
          <w:rFonts w:hint="eastAsia" w:ascii="宋体" w:hAnsi="宋体" w:eastAsia="宋体" w:cs="宋体"/>
          <w:b/>
          <w:bCs w:val="0"/>
          <w:color w:val="auto"/>
          <w:kern w:val="2"/>
          <w:sz w:val="21"/>
          <w:szCs w:val="21"/>
          <w:highlight w:val="none"/>
          <w:lang w:val="en-US" w:eastAsia="zh-CN" w:bidi="ar"/>
        </w:rPr>
        <w:t xml:space="preserve">                修改类型：修改</w:t>
      </w:r>
    </w:p>
    <w:p w14:paraId="543E816F">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40" w:firstLineChars="224"/>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0"/>
          <w:sz w:val="24"/>
          <w:szCs w:val="24"/>
          <w:highlight w:val="none"/>
          <w:lang w:val="en-US" w:eastAsia="zh-CN" w:bidi="ar"/>
        </w:rPr>
        <w:t>原文：</w:t>
      </w:r>
      <w:r>
        <w:rPr>
          <w:rFonts w:hint="eastAsia" w:ascii="宋体" w:hAnsi="宋体" w:eastAsia="宋体" w:cs="宋体"/>
          <w:color w:val="auto"/>
          <w:kern w:val="2"/>
          <w:sz w:val="24"/>
          <w:szCs w:val="24"/>
          <w:highlight w:val="none"/>
          <w:lang w:val="en-US" w:eastAsia="zh-CN" w:bidi="ar"/>
        </w:rPr>
        <w:t>46.2.8</w:t>
      </w:r>
      <w:r>
        <w:rPr>
          <w:rFonts w:hint="eastAsia" w:ascii="宋体" w:hAnsi="宋体" w:eastAsia="宋体" w:cs="宋体"/>
          <w:b/>
          <w:bCs w:val="0"/>
          <w:color w:val="auto"/>
          <w:kern w:val="2"/>
          <w:sz w:val="21"/>
          <w:szCs w:val="21"/>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按上述修正错误的原则及方法调整或修正投标文件的投标报价，调整后的投标报价对投标人起约束作用。如果投标人不接受修正后的报价，则取消其投标资格，并且其投标保证金也将不予退还。</w:t>
      </w:r>
    </w:p>
    <w:p w14:paraId="32A0BDD9">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540" w:firstLineChars="224"/>
        <w:jc w:val="both"/>
        <w:rPr>
          <w:rFonts w:hint="eastAsia" w:ascii="宋体" w:hAnsi="宋体" w:eastAsia="宋体" w:cs="宋体"/>
          <w:color w:val="auto"/>
          <w:kern w:val="2"/>
          <w:sz w:val="24"/>
          <w:szCs w:val="24"/>
          <w:highlight w:val="none"/>
        </w:rPr>
      </w:pPr>
      <w:r>
        <w:rPr>
          <w:rFonts w:hint="eastAsia" w:ascii="宋体" w:hAnsi="宋体" w:eastAsia="宋体" w:cs="宋体"/>
          <w:b/>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lang w:val="en-US" w:eastAsia="zh-CN" w:bidi="ar"/>
        </w:rPr>
        <w:t>46.2.8</w:t>
      </w:r>
      <w:r>
        <w:rPr>
          <w:rFonts w:hint="eastAsia" w:ascii="宋体" w:hAnsi="宋体" w:eastAsia="宋体" w:cs="宋体"/>
          <w:b/>
          <w:bCs w:val="0"/>
          <w:color w:val="auto"/>
          <w:kern w:val="2"/>
          <w:sz w:val="21"/>
          <w:szCs w:val="21"/>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按上述修正错误的原则及方法调整或修正投标文件的投标报价，调整后的投标报价对投标人起约束作用。如果投标人不接受修正后的报价，则取消其投标资格。</w:t>
      </w:r>
    </w:p>
    <w:p w14:paraId="63E412D1">
      <w:pPr>
        <w:keepNext w:val="0"/>
        <w:keepLines w:val="0"/>
        <w:widowControl w:val="0"/>
        <w:suppressLineNumbers w:val="0"/>
        <w:spacing w:before="0" w:beforeAutospacing="0" w:after="0" w:afterAutospacing="0" w:line="48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w:t>
      </w:r>
      <w:r>
        <w:rPr>
          <w:rFonts w:hint="default" w:ascii="Times New Roman" w:hAnsi="Times New Roman" w:eastAsia="宋体" w:cs="Times New Roman"/>
          <w:color w:val="auto"/>
          <w:kern w:val="2"/>
          <w:sz w:val="24"/>
          <w:szCs w:val="24"/>
          <w:highlight w:val="none"/>
          <w:lang w:val="en-US" w:eastAsia="zh-CN" w:bidi="ar"/>
        </w:rPr>
        <w:t xml:space="preserve"> 49  </w:t>
      </w:r>
      <w:r>
        <w:rPr>
          <w:rFonts w:hint="default" w:ascii="Times New Roman" w:hAnsi="Times New Roman"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修改类型：修改</w:t>
      </w:r>
    </w:p>
    <w:p w14:paraId="312405C4">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Times New Roman"/>
          <w:color w:val="auto"/>
          <w:kern w:val="2"/>
          <w:sz w:val="24"/>
          <w:szCs w:val="24"/>
          <w:highlight w:val="none"/>
          <w:lang w:val="en-US" w:eastAsia="zh-CN" w:bidi="ar"/>
        </w:rPr>
        <w:t>4</w:t>
      </w:r>
      <w:r>
        <w:rPr>
          <w:rFonts w:hint="eastAsia" w:ascii="宋体" w:hAnsi="宋体" w:eastAsia="宋体" w:cs="宋体"/>
          <w:color w:val="auto"/>
          <w:kern w:val="2"/>
          <w:sz w:val="24"/>
          <w:szCs w:val="24"/>
          <w:highlight w:val="none"/>
          <w:lang w:val="en-US" w:eastAsia="zh-CN" w:bidi="ar"/>
        </w:rPr>
        <w:t>9若通过经济标有效性审查的投标人不足三家，应当依法重新招标。（当N个标段同时招标且不允许兼中时，若有效投标人不足N+2家，应当依法重新招标）</w:t>
      </w:r>
    </w:p>
    <w:p w14:paraId="2400B57E">
      <w:pPr>
        <w:keepNext w:val="0"/>
        <w:keepLines w:val="0"/>
        <w:widowControl w:val="0"/>
        <w:suppressLineNumbers w:val="0"/>
        <w:pBdr>
          <w:top w:val="none" w:color="auto" w:sz="0" w:space="0"/>
          <w:left w:val="none" w:color="auto" w:sz="0" w:space="0"/>
          <w:bottom w:val="single" w:color="auto" w:sz="12" w:space="1"/>
          <w:right w:val="none" w:color="auto" w:sz="0" w:space="0"/>
        </w:pBdr>
        <w:spacing w:before="0" w:beforeAutospacing="0" w:after="0" w:afterAutospacing="0" w:line="360" w:lineRule="auto"/>
        <w:ind w:left="0" w:right="0" w:firstLine="482"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default" w:ascii="Times New Roman" w:hAnsi="Times New Roman" w:eastAsia="宋体" w:cs="Times New Roman"/>
          <w:color w:val="auto"/>
          <w:kern w:val="2"/>
          <w:sz w:val="24"/>
          <w:szCs w:val="24"/>
          <w:highlight w:val="none"/>
          <w:lang w:val="en-US" w:eastAsia="zh-CN" w:bidi="ar"/>
        </w:rPr>
        <w:t>4</w:t>
      </w:r>
      <w:r>
        <w:rPr>
          <w:rFonts w:hint="eastAsia" w:ascii="宋体" w:hAnsi="宋体" w:eastAsia="宋体" w:cs="宋体"/>
          <w:color w:val="auto"/>
          <w:kern w:val="2"/>
          <w:sz w:val="24"/>
          <w:szCs w:val="24"/>
          <w:highlight w:val="none"/>
          <w:lang w:val="en-US" w:eastAsia="zh-CN" w:bidi="ar"/>
        </w:rPr>
        <w:t>9若通过经济标有效性审查的投标人不足三家，应当依法重新招标。</w:t>
      </w:r>
    </w:p>
    <w:p w14:paraId="1F26505D">
      <w:pPr>
        <w:keepNext w:val="0"/>
        <w:keepLines w:val="0"/>
        <w:widowControl w:val="0"/>
        <w:suppressLineNumbers w:val="0"/>
        <w:spacing w:before="0" w:beforeAutospacing="0" w:after="0" w:afterAutospacing="0" w:line="48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条款号：附表一</w:t>
      </w:r>
      <w:r>
        <w:rPr>
          <w:rFonts w:hint="default" w:ascii="Times New Roman" w:hAnsi="Times New Roman"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《资格审查表》</w:t>
      </w:r>
      <w:r>
        <w:rPr>
          <w:rFonts w:hint="default" w:ascii="Times New Roman" w:hAnsi="Times New Roman"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修改类型：修改</w:t>
      </w:r>
    </w:p>
    <w:p w14:paraId="614387E7">
      <w:pPr>
        <w:keepNext w:val="0"/>
        <w:keepLines w:val="0"/>
        <w:widowControl w:val="0"/>
        <w:suppressLineNumbers w:val="0"/>
        <w:spacing w:before="0" w:beforeAutospacing="0" w:after="0" w:afterAutospacing="0" w:line="48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color w:val="auto"/>
          <w:kern w:val="2"/>
          <w:sz w:val="24"/>
          <w:szCs w:val="24"/>
          <w:highlight w:val="none"/>
          <w:lang w:val="en-US" w:eastAsia="zh-CN" w:bidi="ar"/>
        </w:rPr>
        <w:t>见范本</w:t>
      </w:r>
    </w:p>
    <w:p w14:paraId="486320FB">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lang w:val="en-US" w:eastAsia="zh-CN" w:bidi="ar"/>
        </w:rPr>
        <w:t>见后附（现文：附表一《资格审查表》）</w:t>
      </w:r>
    </w:p>
    <w:p w14:paraId="0B0F4AC8">
      <w:pPr>
        <w:keepNext w:val="0"/>
        <w:keepLines w:val="0"/>
        <w:widowControl w:val="0"/>
        <w:suppressLineNumbers w:val="0"/>
        <w:spacing w:before="0" w:beforeAutospacing="0" w:after="0" w:afterAutospacing="0" w:line="48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条款号：附表二</w:t>
      </w:r>
      <w:r>
        <w:rPr>
          <w:rFonts w:hint="eastAsia" w:ascii="Times New Roman" w:hAnsi="Times New Roman"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《技术标有效性审查表》</w:t>
      </w:r>
      <w:r>
        <w:rPr>
          <w:rFonts w:hint="eastAsia" w:ascii="Times New Roman" w:hAnsi="Times New Roman" w:eastAsia="宋体" w:cs="Times New Roman"/>
          <w:b/>
          <w:bCs w:val="0"/>
          <w:color w:val="auto"/>
          <w:kern w:val="2"/>
          <w:sz w:val="24"/>
          <w:szCs w:val="24"/>
          <w:highlight w:val="none"/>
          <w:lang w:val="en-US" w:eastAsia="zh-CN" w:bidi="ar"/>
        </w:rPr>
        <w:t xml:space="preserve"> </w:t>
      </w:r>
      <w:r>
        <w:rPr>
          <w:rFonts w:hint="default" w:ascii="Times New Roman" w:hAnsi="Times New Roman"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修改类型：修改</w:t>
      </w:r>
    </w:p>
    <w:p w14:paraId="624C9D65">
      <w:pPr>
        <w:keepNext w:val="0"/>
        <w:keepLines w:val="0"/>
        <w:widowControl w:val="0"/>
        <w:suppressLineNumbers w:val="0"/>
        <w:spacing w:before="0" w:beforeAutospacing="0" w:after="0" w:afterAutospacing="0" w:line="48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color w:val="auto"/>
          <w:kern w:val="2"/>
          <w:sz w:val="24"/>
          <w:szCs w:val="24"/>
          <w:highlight w:val="none"/>
          <w:lang w:val="en-US" w:eastAsia="zh-CN" w:bidi="ar"/>
        </w:rPr>
        <w:t>见范本</w:t>
      </w:r>
    </w:p>
    <w:p w14:paraId="33ED2A41">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lang w:val="en-US" w:eastAsia="zh-CN" w:bidi="ar"/>
        </w:rPr>
        <w:t>见后附（现文：附表二《技术标有效性审查表》）</w:t>
      </w:r>
    </w:p>
    <w:p w14:paraId="37FA86DC">
      <w:pPr>
        <w:keepNext w:val="0"/>
        <w:keepLines w:val="0"/>
        <w:widowControl w:val="0"/>
        <w:suppressLineNumbers w:val="0"/>
        <w:spacing w:before="0" w:beforeAutospacing="0" w:after="0" w:afterAutospacing="0" w:line="48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条款号：附表四</w:t>
      </w:r>
      <w:r>
        <w:rPr>
          <w:rFonts w:hint="eastAsia" w:ascii="Times New Roman" w:hAnsi="Times New Roman"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《技术标详细审查评分标准》</w:t>
      </w:r>
      <w:r>
        <w:rPr>
          <w:rFonts w:hint="eastAsia" w:ascii="Times New Roman" w:hAnsi="Times New Roman"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修改类型：补充</w:t>
      </w:r>
    </w:p>
    <w:p w14:paraId="0046E5A9">
      <w:pPr>
        <w:keepNext w:val="0"/>
        <w:keepLines w:val="0"/>
        <w:widowControl w:val="0"/>
        <w:suppressLineNumbers w:val="0"/>
        <w:spacing w:before="0" w:beforeAutospacing="0" w:after="0" w:afterAutospacing="0" w:line="48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color w:val="auto"/>
          <w:kern w:val="2"/>
          <w:sz w:val="24"/>
          <w:szCs w:val="24"/>
          <w:highlight w:val="none"/>
          <w:lang w:val="en-US" w:eastAsia="zh-CN" w:bidi="ar"/>
        </w:rPr>
        <w:t>见范本</w:t>
      </w:r>
    </w:p>
    <w:p w14:paraId="58C59339">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lang w:val="en-US" w:eastAsia="zh-CN" w:bidi="ar"/>
        </w:rPr>
        <w:t>见后附（现文：附表四《技术标详细审查评分标准》）</w:t>
      </w:r>
    </w:p>
    <w:p w14:paraId="796C06BB">
      <w:pPr>
        <w:keepNext w:val="0"/>
        <w:keepLines w:val="0"/>
        <w:widowControl w:val="0"/>
        <w:suppressLineNumbers w:val="0"/>
        <w:spacing w:before="0" w:beforeAutospacing="0" w:after="0" w:afterAutospacing="0" w:line="48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条款号：附表五</w:t>
      </w:r>
      <w:r>
        <w:rPr>
          <w:rFonts w:hint="eastAsia" w:ascii="Times New Roman" w:hAnsi="Times New Roman"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《经济标评分表》</w:t>
      </w:r>
      <w:r>
        <w:rPr>
          <w:rFonts w:hint="eastAsia" w:ascii="Times New Roman" w:hAnsi="Times New Roman" w:eastAsia="宋体" w:cs="Times New Roman"/>
          <w:b/>
          <w:bCs w:val="0"/>
          <w:color w:val="auto"/>
          <w:kern w:val="2"/>
          <w:sz w:val="24"/>
          <w:szCs w:val="24"/>
          <w:highlight w:val="non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修改类型：修改</w:t>
      </w:r>
    </w:p>
    <w:p w14:paraId="63519742">
      <w:pPr>
        <w:keepNext w:val="0"/>
        <w:keepLines w:val="0"/>
        <w:widowControl w:val="0"/>
        <w:suppressLineNumbers w:val="0"/>
        <w:spacing w:before="0" w:beforeAutospacing="0" w:after="0" w:afterAutospacing="0" w:line="480" w:lineRule="auto"/>
        <w:ind w:left="0" w:right="0" w:firstLine="540" w:firstLineChars="224"/>
        <w:jc w:val="both"/>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原文：</w:t>
      </w:r>
      <w:r>
        <w:rPr>
          <w:rFonts w:hint="eastAsia" w:ascii="宋体" w:hAnsi="宋体" w:eastAsia="宋体" w:cs="宋体"/>
          <w:color w:val="auto"/>
          <w:kern w:val="2"/>
          <w:sz w:val="24"/>
          <w:szCs w:val="24"/>
          <w:highlight w:val="none"/>
          <w:lang w:val="en-US" w:eastAsia="zh-CN" w:bidi="ar"/>
        </w:rPr>
        <w:t>见范本</w:t>
      </w:r>
    </w:p>
    <w:p w14:paraId="1CCA0131">
      <w:pPr>
        <w:keepNext w:val="0"/>
        <w:keepLines w:val="0"/>
        <w:widowControl w:val="0"/>
        <w:suppressLineNumbers w:val="0"/>
        <w:pBdr>
          <w:top w:val="none" w:color="auto" w:sz="0" w:space="0"/>
          <w:left w:val="none" w:color="auto" w:sz="0" w:space="0"/>
          <w:bottom w:val="single" w:color="auto" w:sz="6" w:space="1"/>
          <w:right w:val="none" w:color="auto" w:sz="0" w:space="0"/>
        </w:pBdr>
        <w:spacing w:before="0" w:beforeAutospacing="0" w:after="0" w:afterAutospacing="0" w:line="360" w:lineRule="auto"/>
        <w:ind w:left="0" w:right="0" w:firstLine="602" w:firstLineChars="25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现文：</w:t>
      </w:r>
      <w:r>
        <w:rPr>
          <w:rFonts w:hint="eastAsia" w:ascii="宋体" w:hAnsi="宋体" w:eastAsia="宋体" w:cs="宋体"/>
          <w:color w:val="auto"/>
          <w:kern w:val="2"/>
          <w:sz w:val="24"/>
          <w:szCs w:val="24"/>
          <w:highlight w:val="none"/>
          <w:lang w:val="en-US" w:eastAsia="zh-CN" w:bidi="ar"/>
        </w:rPr>
        <w:t>见后附（现文：附表五《经济标评分表》）</w:t>
      </w:r>
    </w:p>
    <w:p w14:paraId="03056DAA">
      <w:pPr>
        <w:keepNext w:val="0"/>
        <w:keepLines w:val="0"/>
        <w:widowControl w:val="0"/>
        <w:suppressLineNumbers w:val="0"/>
        <w:spacing w:before="0" w:beforeAutospacing="0" w:after="0" w:afterAutospacing="0" w:line="360" w:lineRule="auto"/>
        <w:ind w:left="0" w:right="0" w:firstLine="211" w:firstLineChars="100"/>
        <w:jc w:val="both"/>
        <w:rPr>
          <w:rFonts w:hint="default" w:ascii="Calibri" w:hAnsi="Calibri" w:eastAsia="宋体" w:cs="Times New Roman"/>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注：以上修改，仅限于本范本中有可供选择条款的情形。</w:t>
      </w:r>
    </w:p>
    <w:p w14:paraId="15F054D5">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Times New Roman"/>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（以下无正文）</w:t>
      </w:r>
    </w:p>
    <w:p w14:paraId="0C849831">
      <w:pPr>
        <w:pStyle w:val="14"/>
        <w:keepNext w:val="0"/>
        <w:keepLines w:val="0"/>
        <w:widowControl w:val="0"/>
        <w:suppressLineNumbers w:val="0"/>
        <w:spacing w:before="0" w:beforeAutospacing="0" w:after="0" w:afterAutospacing="0" w:line="360" w:lineRule="auto"/>
        <w:ind w:left="0" w:right="0" w:firstLine="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br w:type="page"/>
      </w:r>
    </w:p>
    <w:p w14:paraId="062A07B9">
      <w:pPr>
        <w:pStyle w:val="3"/>
        <w:widowControl/>
        <w:ind w:firstLine="525"/>
        <w:rPr>
          <w:rFonts w:hint="default" w:ascii="Arial" w:hAnsi="Arial" w:eastAsia="宋体" w:cs="Times New Roman"/>
          <w:b/>
          <w:bCs w:val="0"/>
          <w:color w:val="auto"/>
          <w:kern w:val="2"/>
          <w:sz w:val="24"/>
          <w:szCs w:val="24"/>
          <w:highlight w:val="none"/>
        </w:rPr>
      </w:pPr>
      <w:bookmarkStart w:id="22" w:name="_Toc2272556"/>
      <w:bookmarkEnd w:id="22"/>
      <w:bookmarkStart w:id="23" w:name="_Toc21525500"/>
      <w:r>
        <w:rPr>
          <w:rFonts w:hint="eastAsia" w:ascii="宋体" w:hAnsi="宋体" w:eastAsia="宋体" w:cs="宋体"/>
          <w:b/>
          <w:bCs w:val="0"/>
          <w:color w:val="auto"/>
          <w:kern w:val="2"/>
          <w:sz w:val="24"/>
          <w:szCs w:val="24"/>
          <w:highlight w:val="none"/>
        </w:rPr>
        <w:t>二、开标、评标及定标办法</w:t>
      </w:r>
      <w:bookmarkEnd w:id="23"/>
      <w:r>
        <w:rPr>
          <w:rFonts w:hint="eastAsia" w:ascii="宋体" w:hAnsi="宋体" w:eastAsia="宋体" w:cs="宋体"/>
          <w:b/>
          <w:bCs w:val="0"/>
          <w:color w:val="auto"/>
          <w:kern w:val="2"/>
          <w:sz w:val="24"/>
          <w:szCs w:val="24"/>
          <w:highlight w:val="none"/>
        </w:rPr>
        <w:t>通用条款</w:t>
      </w:r>
    </w:p>
    <w:p w14:paraId="082F8145">
      <w:pPr>
        <w:pStyle w:val="4"/>
        <w:widowControl/>
        <w:spacing w:before="156" w:beforeAutospacing="0" w:after="156" w:afterAutospacing="0"/>
        <w:ind w:left="0" w:firstLine="542" w:firstLineChars="200"/>
        <w:rPr>
          <w:rFonts w:hint="eastAsia" w:ascii="宋体" w:hAnsi="宋体" w:eastAsia="宋体" w:cs="宋体"/>
          <w:color w:val="auto"/>
          <w:kern w:val="0"/>
          <w:sz w:val="27"/>
          <w:szCs w:val="27"/>
          <w:highlight w:val="none"/>
        </w:rPr>
      </w:pPr>
      <w:bookmarkStart w:id="24" w:name="_Toc2272557"/>
      <w:bookmarkEnd w:id="24"/>
      <w:bookmarkStart w:id="25" w:name="_Toc21525501"/>
      <w:r>
        <w:rPr>
          <w:rFonts w:hint="eastAsia" w:ascii="宋体" w:hAnsi="宋体" w:eastAsia="宋体" w:cs="宋体"/>
          <w:color w:val="auto"/>
          <w:kern w:val="0"/>
          <w:sz w:val="27"/>
          <w:szCs w:val="27"/>
          <w:highlight w:val="none"/>
        </w:rPr>
        <w:t>（一）总则</w:t>
      </w:r>
      <w:bookmarkEnd w:id="25"/>
    </w:p>
    <w:p w14:paraId="4B5270E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
          <w:bCs w:val="0"/>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35 </w:t>
      </w:r>
      <w:r>
        <w:rPr>
          <w:rFonts w:hint="eastAsia" w:ascii="宋体" w:hAnsi="宋体" w:eastAsia="宋体" w:cs="宋体"/>
          <w:color w:val="auto"/>
          <w:kern w:val="2"/>
          <w:sz w:val="24"/>
          <w:szCs w:val="24"/>
          <w:highlight w:val="none"/>
          <w:lang w:val="en-US" w:eastAsia="zh-CN" w:bidi="ar"/>
        </w:rPr>
        <w:t>开标、评标及定标所依据的规则</w:t>
      </w:r>
    </w:p>
    <w:p w14:paraId="5529FCE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35.1</w:t>
      </w:r>
      <w:r>
        <w:rPr>
          <w:rFonts w:hint="eastAsia" w:ascii="宋体" w:hAnsi="宋体" w:eastAsia="宋体" w:cs="宋体"/>
          <w:color w:val="auto"/>
          <w:kern w:val="2"/>
          <w:sz w:val="24"/>
          <w:szCs w:val="24"/>
          <w:highlight w:val="none"/>
          <w:lang w:val="en-US" w:eastAsia="zh-CN" w:bidi="ar"/>
        </w:rPr>
        <w:t>《中华人民共和国招标投标法》；</w:t>
      </w:r>
    </w:p>
    <w:p w14:paraId="044D2F7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35.2</w:t>
      </w:r>
      <w:r>
        <w:rPr>
          <w:rFonts w:hint="eastAsia" w:ascii="宋体" w:hAnsi="宋体" w:eastAsia="宋体" w:cs="宋体"/>
          <w:color w:val="auto"/>
          <w:kern w:val="2"/>
          <w:sz w:val="24"/>
          <w:szCs w:val="24"/>
          <w:highlight w:val="none"/>
          <w:lang w:val="en-US" w:eastAsia="zh-CN" w:bidi="ar"/>
        </w:rPr>
        <w:t>《中华人民共和国招标投标法实施条例》；</w:t>
      </w:r>
    </w:p>
    <w:p w14:paraId="48798FA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35.3</w:t>
      </w:r>
      <w:r>
        <w:rPr>
          <w:rFonts w:hint="eastAsia" w:ascii="宋体" w:hAnsi="宋体" w:eastAsia="宋体" w:cs="宋体"/>
          <w:color w:val="auto"/>
          <w:kern w:val="2"/>
          <w:sz w:val="24"/>
          <w:szCs w:val="24"/>
          <w:highlight w:val="none"/>
          <w:lang w:val="en-US" w:eastAsia="zh-CN" w:bidi="ar"/>
        </w:rPr>
        <w:t>《评标委员会和评标方法暂行规定》（七部委第</w:t>
      </w:r>
      <w:r>
        <w:rPr>
          <w:rFonts w:hint="eastAsia" w:ascii="宋体" w:hAnsi="宋体" w:eastAsia="宋体" w:cs="Times New Roman"/>
          <w:color w:val="auto"/>
          <w:kern w:val="2"/>
          <w:sz w:val="24"/>
          <w:szCs w:val="24"/>
          <w:highlight w:val="none"/>
          <w:lang w:val="en-US" w:eastAsia="zh-CN" w:bidi="ar"/>
        </w:rPr>
        <w:t>12</w:t>
      </w:r>
      <w:r>
        <w:rPr>
          <w:rFonts w:hint="eastAsia" w:ascii="宋体" w:hAnsi="宋体" w:eastAsia="宋体" w:cs="宋体"/>
          <w:color w:val="auto"/>
          <w:kern w:val="2"/>
          <w:sz w:val="24"/>
          <w:szCs w:val="24"/>
          <w:highlight w:val="none"/>
          <w:lang w:val="en-US" w:eastAsia="zh-CN" w:bidi="ar"/>
        </w:rPr>
        <w:t>号令）；</w:t>
      </w:r>
    </w:p>
    <w:p w14:paraId="421D11C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35.4</w:t>
      </w:r>
      <w:r>
        <w:rPr>
          <w:rFonts w:hint="eastAsia" w:ascii="宋体" w:hAnsi="宋体" w:eastAsia="宋体" w:cs="宋体"/>
          <w:color w:val="auto"/>
          <w:kern w:val="2"/>
          <w:sz w:val="24"/>
          <w:szCs w:val="24"/>
          <w:highlight w:val="none"/>
          <w:lang w:val="en-US" w:eastAsia="zh-CN" w:bidi="ar"/>
        </w:rPr>
        <w:t>《工程建设项目施工招标投标办法》（七部委</w:t>
      </w:r>
      <w:r>
        <w:rPr>
          <w:rFonts w:hint="eastAsia" w:ascii="宋体" w:hAnsi="宋体" w:eastAsia="宋体" w:cs="Times New Roman"/>
          <w:color w:val="auto"/>
          <w:kern w:val="2"/>
          <w:sz w:val="24"/>
          <w:szCs w:val="24"/>
          <w:highlight w:val="none"/>
          <w:lang w:val="en-US" w:eastAsia="zh-CN" w:bidi="ar"/>
        </w:rPr>
        <w:t>2003</w:t>
      </w:r>
      <w:r>
        <w:rPr>
          <w:rFonts w:hint="eastAsia" w:ascii="宋体" w:hAnsi="宋体" w:eastAsia="宋体" w:cs="宋体"/>
          <w:color w:val="auto"/>
          <w:kern w:val="2"/>
          <w:sz w:val="24"/>
          <w:szCs w:val="24"/>
          <w:highlight w:val="none"/>
          <w:lang w:val="en-US" w:eastAsia="zh-CN" w:bidi="ar"/>
        </w:rPr>
        <w:t>年第</w:t>
      </w:r>
      <w:r>
        <w:rPr>
          <w:rFonts w:hint="eastAsia" w:ascii="宋体" w:hAnsi="宋体" w:eastAsia="宋体" w:cs="Times New Roman"/>
          <w:color w:val="auto"/>
          <w:kern w:val="2"/>
          <w:sz w:val="24"/>
          <w:szCs w:val="24"/>
          <w:highlight w:val="none"/>
          <w:lang w:val="en-US" w:eastAsia="zh-CN" w:bidi="ar"/>
        </w:rPr>
        <w:t>30</w:t>
      </w:r>
      <w:r>
        <w:rPr>
          <w:rFonts w:hint="eastAsia" w:ascii="宋体" w:hAnsi="宋体" w:eastAsia="宋体" w:cs="宋体"/>
          <w:color w:val="auto"/>
          <w:kern w:val="2"/>
          <w:sz w:val="24"/>
          <w:szCs w:val="24"/>
          <w:highlight w:val="none"/>
          <w:lang w:val="en-US" w:eastAsia="zh-CN" w:bidi="ar"/>
        </w:rPr>
        <w:t>号令）；</w:t>
      </w:r>
    </w:p>
    <w:p w14:paraId="2CA53F8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35.5</w:t>
      </w:r>
      <w:r>
        <w:rPr>
          <w:rFonts w:hint="eastAsia" w:ascii="宋体" w:hAnsi="宋体" w:eastAsia="宋体" w:cs="宋体"/>
          <w:color w:val="auto"/>
          <w:kern w:val="2"/>
          <w:sz w:val="24"/>
          <w:szCs w:val="24"/>
          <w:highlight w:val="none"/>
          <w:lang w:val="en-US" w:eastAsia="zh-CN" w:bidi="ar"/>
        </w:rPr>
        <w:t>《广东省实施〈中华人民共和国招标投标法〉办法》；</w:t>
      </w:r>
    </w:p>
    <w:p w14:paraId="15A9734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35.6</w:t>
      </w:r>
      <w:r>
        <w:rPr>
          <w:rFonts w:hint="eastAsia" w:ascii="宋体" w:hAnsi="宋体" w:eastAsia="宋体" w:cs="宋体"/>
          <w:color w:val="auto"/>
          <w:kern w:val="2"/>
          <w:sz w:val="24"/>
          <w:szCs w:val="24"/>
          <w:highlight w:val="none"/>
          <w:lang w:val="en-US" w:eastAsia="zh-CN" w:bidi="ar"/>
        </w:rPr>
        <w:t>《房屋建筑和市政基础设施工程施工招标投标管理办法》（建设部令第</w:t>
      </w:r>
      <w:r>
        <w:rPr>
          <w:rFonts w:hint="eastAsia" w:ascii="宋体" w:hAnsi="宋体" w:eastAsia="宋体" w:cs="Times New Roman"/>
          <w:color w:val="auto"/>
          <w:kern w:val="2"/>
          <w:sz w:val="24"/>
          <w:szCs w:val="24"/>
          <w:highlight w:val="none"/>
          <w:lang w:val="en-US" w:eastAsia="zh-CN" w:bidi="ar"/>
        </w:rPr>
        <w:t>89</w:t>
      </w:r>
      <w:r>
        <w:rPr>
          <w:rFonts w:hint="eastAsia" w:ascii="宋体" w:hAnsi="宋体" w:eastAsia="宋体" w:cs="宋体"/>
          <w:color w:val="auto"/>
          <w:kern w:val="2"/>
          <w:sz w:val="24"/>
          <w:szCs w:val="24"/>
          <w:highlight w:val="none"/>
          <w:lang w:val="en-US" w:eastAsia="zh-CN" w:bidi="ar"/>
        </w:rPr>
        <w:t>号）；</w:t>
      </w:r>
    </w:p>
    <w:p w14:paraId="5F81B2E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35.7</w:t>
      </w:r>
      <w:r>
        <w:rPr>
          <w:rFonts w:hint="eastAsia" w:ascii="宋体" w:hAnsi="宋体" w:eastAsia="宋体" w:cs="宋体"/>
          <w:color w:val="auto"/>
          <w:kern w:val="2"/>
          <w:sz w:val="24"/>
          <w:szCs w:val="24"/>
          <w:highlight w:val="none"/>
          <w:lang w:val="en-US" w:eastAsia="zh-CN" w:bidi="ar"/>
        </w:rPr>
        <w:t>《广东省加强建设工程招标投标监督管理的若干规定》（粤发〔2004〕4号）；</w:t>
      </w:r>
    </w:p>
    <w:p w14:paraId="0B279B0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35.</w:t>
      </w:r>
      <w:r>
        <w:rPr>
          <w:rFonts w:hint="eastAsia" w:ascii="宋体" w:hAnsi="宋体" w:eastAsia="宋体" w:cs="宋体"/>
          <w:color w:val="auto"/>
          <w:kern w:val="2"/>
          <w:sz w:val="24"/>
          <w:szCs w:val="24"/>
          <w:highlight w:val="none"/>
          <w:lang w:val="en-US" w:eastAsia="zh-CN" w:bidi="ar"/>
        </w:rPr>
        <w:t>8《广州市工程建设项目招标投标管理办法》（穗建规字〔2023〕12号）；</w:t>
      </w:r>
    </w:p>
    <w:p w14:paraId="727B473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35.9本项目招标文件。</w:t>
      </w:r>
    </w:p>
    <w:p w14:paraId="689A2B4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36</w:t>
      </w:r>
      <w:r>
        <w:rPr>
          <w:rFonts w:hint="eastAsia" w:ascii="宋体" w:hAnsi="宋体" w:eastAsia="宋体" w:cs="宋体"/>
          <w:color w:val="auto"/>
          <w:kern w:val="2"/>
          <w:sz w:val="24"/>
          <w:szCs w:val="24"/>
          <w:highlight w:val="none"/>
          <w:lang w:val="en-US" w:eastAsia="zh-CN" w:bidi="ar"/>
        </w:rPr>
        <w:t>．开标</w:t>
      </w:r>
    </w:p>
    <w:p w14:paraId="76C9258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36.1 </w:t>
      </w:r>
      <w:r>
        <w:rPr>
          <w:rFonts w:hint="eastAsia" w:ascii="宋体" w:hAnsi="宋体" w:eastAsia="宋体" w:cs="宋体"/>
          <w:color w:val="auto"/>
          <w:kern w:val="2"/>
          <w:sz w:val="24"/>
          <w:szCs w:val="24"/>
          <w:highlight w:val="none"/>
          <w:lang w:val="en-US" w:eastAsia="zh-CN" w:bidi="ar"/>
        </w:rPr>
        <w:t>招标人按投标须知前附表第18项所规定的时间和地点公开开标，并邀请所有投标人参加。截标后，开标开始时间因故推迟的，相关评标信息仍以原定的开标开始时间的信息为准。</w:t>
      </w:r>
    </w:p>
    <w:p w14:paraId="1EBF5A4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36.2 </w:t>
      </w:r>
      <w:r>
        <w:rPr>
          <w:rFonts w:hint="eastAsia" w:ascii="宋体" w:hAnsi="宋体" w:eastAsia="宋体" w:cs="宋体"/>
          <w:color w:val="auto"/>
          <w:kern w:val="2"/>
          <w:sz w:val="24"/>
          <w:szCs w:val="24"/>
          <w:highlight w:val="none"/>
          <w:lang w:val="en-US" w:eastAsia="zh-CN" w:bidi="ar"/>
        </w:rPr>
        <w:t>招标人在招标文件要求提交投标文件的截止时间前收到的投标文件，开标时都当众予以解密、公布。</w:t>
      </w:r>
    </w:p>
    <w:p w14:paraId="5FC96F3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36.3根据投标须知前附表第19项，如需抽取某一种评标办法供评标时使用的，应在开标前抽取。首先对招标文件中约定的若干种评标方法进行编号，再随机抽取某一编号，该编号所对应的评标办法供评标时使用。</w:t>
      </w:r>
    </w:p>
    <w:p w14:paraId="1183D21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36.4若递交投标文件的投标人不足3家，则重新组织招标。（当</w:t>
      </w:r>
      <w:r>
        <w:rPr>
          <w:rFonts w:hint="eastAsia" w:ascii="宋体" w:hAnsi="宋体" w:eastAsia="宋体" w:cs="Times New Roman"/>
          <w:color w:val="auto"/>
          <w:kern w:val="2"/>
          <w:sz w:val="24"/>
          <w:szCs w:val="24"/>
          <w:highlight w:val="none"/>
          <w:lang w:val="en-US" w:eastAsia="zh-CN" w:bidi="ar"/>
        </w:rPr>
        <w:t>N</w:t>
      </w:r>
      <w:r>
        <w:rPr>
          <w:rFonts w:hint="eastAsia" w:ascii="宋体" w:hAnsi="宋体" w:eastAsia="宋体" w:cs="宋体"/>
          <w:color w:val="auto"/>
          <w:kern w:val="2"/>
          <w:sz w:val="24"/>
          <w:szCs w:val="24"/>
          <w:highlight w:val="none"/>
          <w:lang w:val="en-US" w:eastAsia="zh-CN" w:bidi="ar"/>
        </w:rPr>
        <w:t>个标段同时招标且不允许兼中时，若有效投标人不足</w:t>
      </w:r>
      <w:r>
        <w:rPr>
          <w:rFonts w:hint="eastAsia" w:ascii="宋体" w:hAnsi="宋体" w:eastAsia="宋体" w:cs="Times New Roman"/>
          <w:color w:val="auto"/>
          <w:kern w:val="2"/>
          <w:sz w:val="24"/>
          <w:szCs w:val="24"/>
          <w:highlight w:val="none"/>
          <w:lang w:val="en-US" w:eastAsia="zh-CN" w:bidi="ar"/>
        </w:rPr>
        <w:t>N+</w:t>
      </w:r>
      <w:r>
        <w:rPr>
          <w:rFonts w:hint="eastAsia" w:ascii="宋体" w:hAnsi="宋体" w:eastAsia="宋体" w:cs="宋体"/>
          <w:color w:val="auto"/>
          <w:kern w:val="2"/>
          <w:sz w:val="24"/>
          <w:szCs w:val="24"/>
          <w:highlight w:val="none"/>
          <w:lang w:val="en-US" w:eastAsia="zh-CN" w:bidi="ar"/>
        </w:rPr>
        <w:t>2家，则重新组织招标）</w:t>
      </w:r>
    </w:p>
    <w:p w14:paraId="5189F89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36.5按下列程序进行开标：</w:t>
      </w:r>
    </w:p>
    <w:p w14:paraId="588977C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36.5.1在投标截止时间后半小时内，投标人通过交易平台对已递交的电子投标文件进行解密。投标人完成解密后，再由招标人进行解密。解密完成后，公布招标项目名称、投标人名称、投标保证金的递交情况、投标报价、工期及其他内容；</w:t>
      </w:r>
    </w:p>
    <w:p w14:paraId="2BC8325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36.5.2备用光盘的读取按投标须知前附表第36项的规定执行；</w:t>
      </w:r>
    </w:p>
    <w:p w14:paraId="5B21A06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36.5.3投标人代表、招标人代表、监标人、记录人等有关人员在开标记录上签字确认；若有关人员不签字的，不影响开标程序；</w:t>
      </w:r>
    </w:p>
    <w:p w14:paraId="25BC27A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36.5.4开标结束。</w:t>
      </w:r>
    </w:p>
    <w:p w14:paraId="6EA8C47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36.6投标截止时间前未完成投标文件传输的或因投标人之外的原因造成投标文件未解密且未按要求递交备用光盘的，视为投标人撤回投标文件。因投标人原因造成投标文件未解密或未在规定的时间内解密的，视为撤销其投标文件。</w:t>
      </w:r>
    </w:p>
    <w:p w14:paraId="6115182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36.7开标时，两个（含两个）以上的投标人加密打包投标文件电脑机器特征码一致的，不参与下一程序，并由评标委员会否决其投标。</w:t>
      </w:r>
    </w:p>
    <w:p w14:paraId="03F3D6E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37</w:t>
      </w:r>
      <w:r>
        <w:rPr>
          <w:rFonts w:hint="eastAsia" w:ascii="宋体" w:hAnsi="宋体" w:eastAsia="宋体" w:cs="宋体"/>
          <w:color w:val="auto"/>
          <w:kern w:val="2"/>
          <w:sz w:val="24"/>
          <w:szCs w:val="24"/>
          <w:highlight w:val="none"/>
          <w:lang w:val="en-US" w:eastAsia="zh-CN" w:bidi="ar"/>
        </w:rPr>
        <w:t>．评标</w:t>
      </w:r>
    </w:p>
    <w:p w14:paraId="78E4442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37.1</w:t>
      </w:r>
      <w:r>
        <w:rPr>
          <w:rFonts w:hint="eastAsia" w:ascii="宋体" w:hAnsi="宋体" w:eastAsia="宋体" w:cs="宋体"/>
          <w:color w:val="auto"/>
          <w:kern w:val="2"/>
          <w:sz w:val="24"/>
          <w:szCs w:val="24"/>
          <w:highlight w:val="none"/>
          <w:lang w:val="en-US" w:eastAsia="zh-CN" w:bidi="ar"/>
        </w:rPr>
        <w:t>评标委员会由招标人依法组建。</w:t>
      </w:r>
    </w:p>
    <w:p w14:paraId="1EC3B98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37.2</w:t>
      </w:r>
      <w:r>
        <w:rPr>
          <w:rFonts w:hint="eastAsia" w:ascii="宋体" w:hAnsi="宋体" w:eastAsia="宋体" w:cs="宋体"/>
          <w:color w:val="auto"/>
          <w:kern w:val="2"/>
          <w:sz w:val="24"/>
          <w:szCs w:val="24"/>
          <w:highlight w:val="none"/>
          <w:lang w:val="en-US" w:eastAsia="zh-CN" w:bidi="ar"/>
        </w:rPr>
        <w:t>评标委员会的职责及守则：</w:t>
      </w:r>
    </w:p>
    <w:p w14:paraId="5708EDA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37.2.1</w:t>
      </w:r>
      <w:r>
        <w:rPr>
          <w:rFonts w:hint="eastAsia" w:ascii="宋体" w:hAnsi="宋体" w:eastAsia="宋体" w:cs="宋体"/>
          <w:color w:val="auto"/>
          <w:kern w:val="2"/>
          <w:sz w:val="24"/>
          <w:szCs w:val="24"/>
          <w:highlight w:val="none"/>
          <w:lang w:val="en-US" w:eastAsia="zh-CN" w:bidi="ar"/>
        </w:rPr>
        <w:t>根据评标细则，对投标文件进行认真评审，完成评审报告；</w:t>
      </w:r>
    </w:p>
    <w:p w14:paraId="297364E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37.2.2</w:t>
      </w:r>
      <w:r>
        <w:rPr>
          <w:rFonts w:hint="eastAsia" w:ascii="宋体" w:hAnsi="宋体" w:eastAsia="宋体" w:cs="宋体"/>
          <w:color w:val="auto"/>
          <w:kern w:val="2"/>
          <w:sz w:val="24"/>
          <w:szCs w:val="24"/>
          <w:highlight w:val="none"/>
          <w:lang w:val="en-US" w:eastAsia="zh-CN" w:bidi="ar"/>
        </w:rPr>
        <w:t>向招标人报告评审意见，推荐合格的中标候选人。</w:t>
      </w:r>
    </w:p>
    <w:p w14:paraId="01D0D33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37.2.3</w:t>
      </w:r>
      <w:r>
        <w:rPr>
          <w:rFonts w:hint="eastAsia" w:ascii="宋体" w:hAnsi="宋体" w:eastAsia="宋体" w:cs="Times New Roman"/>
          <w:b/>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所有参加评标人员必须遵守国家、地方政府制定的有关工程招标投标的法则、规定，遵守有关工程招标投标的保密制度；如有违反者，给予行政处分；情节严重，构成犯罪的，由司法机关依法追究其刑事责任。</w:t>
      </w:r>
    </w:p>
    <w:p w14:paraId="2BFC1CC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37.2.4</w:t>
      </w:r>
      <w:r>
        <w:rPr>
          <w:rFonts w:hint="eastAsia" w:ascii="宋体" w:hAnsi="宋体" w:eastAsia="宋体" w:cs="宋体"/>
          <w:color w:val="auto"/>
          <w:kern w:val="2"/>
          <w:sz w:val="24"/>
          <w:szCs w:val="24"/>
          <w:highlight w:val="none"/>
          <w:lang w:val="en-US" w:eastAsia="zh-CN" w:bidi="ar"/>
        </w:rPr>
        <w:t>全体参与评标人员：</w:t>
      </w:r>
    </w:p>
    <w:p w14:paraId="070FD52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37.2.4.1 </w:t>
      </w:r>
      <w:r>
        <w:rPr>
          <w:rFonts w:hint="eastAsia" w:ascii="宋体" w:hAnsi="宋体" w:eastAsia="宋体" w:cs="宋体"/>
          <w:color w:val="auto"/>
          <w:kern w:val="2"/>
          <w:sz w:val="24"/>
          <w:szCs w:val="24"/>
          <w:highlight w:val="none"/>
          <w:lang w:val="en-US" w:eastAsia="zh-CN" w:bidi="ar"/>
        </w:rPr>
        <w:t>必须遵守评标纪律、不得泄密；</w:t>
      </w:r>
    </w:p>
    <w:p w14:paraId="749DB30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37.2.4.2 </w:t>
      </w:r>
      <w:r>
        <w:rPr>
          <w:rFonts w:hint="eastAsia" w:ascii="宋体" w:hAnsi="宋体" w:eastAsia="宋体" w:cs="宋体"/>
          <w:color w:val="auto"/>
          <w:kern w:val="2"/>
          <w:sz w:val="24"/>
          <w:szCs w:val="24"/>
          <w:highlight w:val="none"/>
          <w:lang w:val="en-US" w:eastAsia="zh-CN" w:bidi="ar"/>
        </w:rPr>
        <w:t>必须公正、不得循私；</w:t>
      </w:r>
    </w:p>
    <w:p w14:paraId="5DEB8CD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37.2.4.3 </w:t>
      </w:r>
      <w:r>
        <w:rPr>
          <w:rFonts w:hint="eastAsia" w:ascii="宋体" w:hAnsi="宋体" w:eastAsia="宋体" w:cs="宋体"/>
          <w:color w:val="auto"/>
          <w:kern w:val="2"/>
          <w:sz w:val="24"/>
          <w:szCs w:val="24"/>
          <w:highlight w:val="none"/>
          <w:lang w:val="en-US" w:eastAsia="zh-CN" w:bidi="ar"/>
        </w:rPr>
        <w:t>必须科学、不得草率；</w:t>
      </w:r>
    </w:p>
    <w:p w14:paraId="20D9053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37.2.4.4 </w:t>
      </w:r>
      <w:r>
        <w:rPr>
          <w:rFonts w:hint="eastAsia" w:ascii="宋体" w:hAnsi="宋体" w:eastAsia="宋体" w:cs="宋体"/>
          <w:color w:val="auto"/>
          <w:kern w:val="2"/>
          <w:sz w:val="24"/>
          <w:szCs w:val="24"/>
          <w:highlight w:val="none"/>
          <w:lang w:val="en-US" w:eastAsia="zh-CN" w:bidi="ar"/>
        </w:rPr>
        <w:t>必须客观、不得带有成见；</w:t>
      </w:r>
    </w:p>
    <w:p w14:paraId="44E4413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37.2.4.5 </w:t>
      </w:r>
      <w:r>
        <w:rPr>
          <w:rFonts w:hint="eastAsia" w:ascii="宋体" w:hAnsi="宋体" w:eastAsia="宋体" w:cs="宋体"/>
          <w:color w:val="auto"/>
          <w:kern w:val="2"/>
          <w:sz w:val="24"/>
          <w:szCs w:val="24"/>
          <w:highlight w:val="none"/>
          <w:lang w:val="en-US" w:eastAsia="zh-CN" w:bidi="ar"/>
        </w:rPr>
        <w:t>必须平等、不得强加于人；</w:t>
      </w:r>
    </w:p>
    <w:p w14:paraId="3B1B853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37.2.4.6 </w:t>
      </w:r>
      <w:r>
        <w:rPr>
          <w:rFonts w:hint="eastAsia" w:ascii="宋体" w:hAnsi="宋体" w:eastAsia="宋体" w:cs="宋体"/>
          <w:color w:val="auto"/>
          <w:kern w:val="2"/>
          <w:sz w:val="24"/>
          <w:szCs w:val="24"/>
          <w:highlight w:val="none"/>
          <w:lang w:val="en-US" w:eastAsia="zh-CN" w:bidi="ar"/>
        </w:rPr>
        <w:t>必须严谨、不得随意马虎。</w:t>
      </w:r>
    </w:p>
    <w:p w14:paraId="45C32AA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37.3 </w:t>
      </w:r>
      <w:r>
        <w:rPr>
          <w:rFonts w:hint="eastAsia" w:ascii="宋体" w:hAnsi="宋体" w:eastAsia="宋体" w:cs="宋体"/>
          <w:color w:val="auto"/>
          <w:kern w:val="2"/>
          <w:sz w:val="24"/>
          <w:szCs w:val="24"/>
          <w:highlight w:val="none"/>
          <w:lang w:val="en-US" w:eastAsia="zh-CN" w:bidi="ar"/>
        </w:rPr>
        <w:t>评标工作开始前，招标人应当向评标委员会提供评标所需的信息，包括招标项目的范围、性质、特殊性、需求目标和实施要点，以及招标文件规定的评标方法、评标因素及标准等，但不得明示或者暗示其倾向或者排斥特定投标人。</w:t>
      </w:r>
    </w:p>
    <w:p w14:paraId="0B75E051">
      <w:pPr>
        <w:keepNext w:val="0"/>
        <w:keepLines w:val="0"/>
        <w:widowControl w:val="0"/>
        <w:suppressLineNumbers w:val="0"/>
        <w:spacing w:before="0" w:beforeAutospacing="0" w:after="0" w:afterAutospacing="0"/>
        <w:ind w:left="0" w:right="0" w:firstLine="0" w:firstLineChars="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37.4评标结束后，评标委员会递交评标报告并依法推荐中标候选人。</w:t>
      </w:r>
    </w:p>
    <w:p w14:paraId="7FDE42D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38</w:t>
      </w:r>
      <w:r>
        <w:rPr>
          <w:rFonts w:hint="eastAsia" w:ascii="宋体" w:hAnsi="宋体" w:eastAsia="宋体" w:cs="宋体"/>
          <w:color w:val="auto"/>
          <w:kern w:val="2"/>
          <w:sz w:val="24"/>
          <w:szCs w:val="24"/>
          <w:highlight w:val="none"/>
          <w:lang w:val="en-US" w:eastAsia="zh-CN" w:bidi="ar"/>
        </w:rPr>
        <w:t>．投标文件的澄清</w:t>
      </w:r>
    </w:p>
    <w:p w14:paraId="49D7A78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38.1</w:t>
      </w:r>
      <w:r>
        <w:rPr>
          <w:rFonts w:hint="eastAsia" w:ascii="宋体" w:hAnsi="宋体" w:eastAsia="宋体" w:cs="宋体"/>
          <w:color w:val="auto"/>
          <w:kern w:val="2"/>
          <w:sz w:val="24"/>
          <w:szCs w:val="24"/>
          <w:highlight w:val="none"/>
          <w:lang w:val="en-US" w:eastAsia="zh-CN" w:bidi="ar"/>
        </w:rPr>
        <w:t>为有助于投标文件的审查、评价和比较，评标期间，经评标委员会或评标委员会专业评审组中两人以上（含两人）以书面形式提出动议，评标委员会或评标委员会专业评审组应当书面发出澄清通知，要求投标人对投标文件含义不明确的内容作出澄清。</w:t>
      </w:r>
    </w:p>
    <w:p w14:paraId="265F637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38.2 </w:t>
      </w:r>
      <w:r>
        <w:rPr>
          <w:rFonts w:hint="eastAsia" w:ascii="宋体" w:hAnsi="宋体" w:eastAsia="宋体" w:cs="宋体"/>
          <w:color w:val="auto"/>
          <w:kern w:val="2"/>
          <w:sz w:val="24"/>
          <w:szCs w:val="24"/>
          <w:highlight w:val="none"/>
          <w:lang w:val="en-US" w:eastAsia="zh-CN" w:bidi="ar"/>
        </w:rPr>
        <w:t>投标人应以书面形式进行澄清，澄清中的承诺性意思表示在投标文件有效期内均对投标人有约束力。除评标委员会对评标中发现算术错误进行修正后要求投标人以澄清形式进行的核实和确认外，澄清不得超出投标文件的范围或改变投标文件的实质性内容，超出部分不作为评标委员会评审的依据。</w:t>
      </w:r>
    </w:p>
    <w:p w14:paraId="0BA1F54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38.3 </w:t>
      </w:r>
      <w:r>
        <w:rPr>
          <w:rFonts w:hint="eastAsia" w:ascii="宋体" w:hAnsi="宋体" w:eastAsia="宋体" w:cs="宋体"/>
          <w:color w:val="auto"/>
          <w:kern w:val="2"/>
          <w:sz w:val="24"/>
          <w:szCs w:val="24"/>
          <w:highlight w:val="none"/>
          <w:lang w:val="en-US" w:eastAsia="zh-CN" w:bidi="ar"/>
        </w:rPr>
        <w:t>评标委员会或评标委员会专业评审组成员均应当阅读投标人的澄清，但应独立参考澄清对投标文件进行评审。</w:t>
      </w:r>
    </w:p>
    <w:p w14:paraId="3DB3D3C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38.4</w:t>
      </w:r>
      <w:r>
        <w:rPr>
          <w:rFonts w:hint="eastAsia" w:ascii="宋体" w:hAnsi="宋体" w:eastAsia="宋体" w:cs="宋体"/>
          <w:color w:val="auto"/>
          <w:kern w:val="2"/>
          <w:sz w:val="24"/>
          <w:szCs w:val="24"/>
          <w:highlight w:val="none"/>
          <w:lang w:val="en-US" w:eastAsia="zh-CN" w:bidi="ar"/>
        </w:rPr>
        <w:t>如果投标文件实质上不响应招标文件的各项要求，评标委员会将按照符合性审查标准予以拒绝，不接受投标人通过修改或撤销其不符合要求的差异或保留，使之成为具有响应性的投标。</w:t>
      </w:r>
    </w:p>
    <w:p w14:paraId="00ADAC4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38.5投标人如在本项目中存在串通投标、弄虚作假、行贿情形且在评标过程中未被发现的，该投标不改变本项目评标结果排序，其中标无效。招标人按照《中华人民共和国招标投标法实施条例》第五十五条的规定依次确定中标人或重新招标。</w:t>
      </w:r>
    </w:p>
    <w:p w14:paraId="2FF42C0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39</w:t>
      </w:r>
      <w:r>
        <w:rPr>
          <w:rFonts w:hint="eastAsia" w:ascii="宋体" w:hAnsi="宋体" w:eastAsia="宋体" w:cs="宋体"/>
          <w:color w:val="auto"/>
          <w:kern w:val="2"/>
          <w:sz w:val="24"/>
          <w:szCs w:val="24"/>
          <w:highlight w:val="none"/>
          <w:lang w:val="en-US" w:eastAsia="zh-CN" w:bidi="ar"/>
        </w:rPr>
        <w:t>．定标</w:t>
      </w:r>
    </w:p>
    <w:p w14:paraId="6D6273C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39.1 </w:t>
      </w:r>
      <w:r>
        <w:rPr>
          <w:rFonts w:hint="eastAsia" w:ascii="宋体" w:hAnsi="宋体" w:eastAsia="宋体" w:cs="宋体"/>
          <w:color w:val="auto"/>
          <w:kern w:val="2"/>
          <w:sz w:val="24"/>
          <w:szCs w:val="24"/>
          <w:highlight w:val="none"/>
          <w:lang w:val="en-US" w:eastAsia="zh-CN" w:bidi="ar"/>
        </w:rPr>
        <w:t>招标人根据评标委员会递交的评标报告，最终审定中标人。</w:t>
      </w:r>
    </w:p>
    <w:p w14:paraId="58752B2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39.2 </w:t>
      </w:r>
      <w:r>
        <w:rPr>
          <w:rFonts w:hint="eastAsia" w:ascii="宋体" w:hAnsi="宋体" w:eastAsia="宋体" w:cs="宋体"/>
          <w:color w:val="auto"/>
          <w:kern w:val="2"/>
          <w:sz w:val="24"/>
          <w:szCs w:val="24"/>
          <w:highlight w:val="none"/>
          <w:lang w:val="en-US" w:eastAsia="zh-CN" w:bidi="ar"/>
        </w:rPr>
        <w:t>依法必须进行公开招标的项目，招标人应当确定排名第一的中标候选人为中标人。</w:t>
      </w:r>
    </w:p>
    <w:p w14:paraId="577B28D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39.3</w:t>
      </w:r>
      <w:r>
        <w:rPr>
          <w:rFonts w:hint="eastAsia" w:ascii="宋体" w:hAnsi="宋体" w:eastAsia="宋体" w:cs="宋体"/>
          <w:color w:val="auto"/>
          <w:kern w:val="2"/>
          <w:sz w:val="24"/>
          <w:szCs w:val="24"/>
          <w:highlight w:val="none"/>
          <w:lang w:val="en-US" w:eastAsia="zh-CN" w:bidi="ar"/>
        </w:rPr>
        <w:t>排名第一的中标候选人放弃中标、或因不可抗力提出不能履行合同，或者招标文件规定应当提交履约担保而在规定的期限内未能提交的，招标人可以确定排名第二的中标候选人为中标人。</w:t>
      </w:r>
    </w:p>
    <w:p w14:paraId="024ABDE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39.4</w:t>
      </w:r>
      <w:r>
        <w:rPr>
          <w:rFonts w:hint="eastAsia" w:ascii="宋体" w:hAnsi="宋体" w:eastAsia="宋体" w:cs="宋体"/>
          <w:color w:val="auto"/>
          <w:kern w:val="2"/>
          <w:sz w:val="24"/>
          <w:szCs w:val="24"/>
          <w:highlight w:val="none"/>
          <w:lang w:val="en-US" w:eastAsia="zh-CN" w:bidi="ar"/>
        </w:rPr>
        <w:t>排名第二的中标候选人出现前款所列的情形的，招标人可以确定排名第三的中标候选人为中标人。以此类推，如所有中标候选人均出现前款所列的情形，为招标失败，招标人依法重新招标。</w:t>
      </w:r>
    </w:p>
    <w:p w14:paraId="437CA46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39.5 重新评标的，评标信息（含业绩、奖项等）仍以投标截止时投标人的信息为准。因特殊原因需要延长投标有效期，投标人拒绝延长投标有效期的，仍参与评标，但不被推荐为中标候选人。</w:t>
      </w:r>
    </w:p>
    <w:p w14:paraId="207F744A">
      <w:pPr>
        <w:pStyle w:val="4"/>
        <w:widowControl/>
        <w:spacing w:before="156" w:beforeAutospacing="0" w:after="156" w:afterAutospacing="0"/>
        <w:ind w:left="0" w:firstLine="542" w:firstLineChars="200"/>
        <w:rPr>
          <w:rFonts w:hint="eastAsia" w:ascii="宋体" w:hAnsi="宋体" w:eastAsia="宋体" w:cs="宋体"/>
          <w:color w:val="auto"/>
          <w:kern w:val="0"/>
          <w:sz w:val="27"/>
          <w:szCs w:val="27"/>
          <w:highlight w:val="none"/>
        </w:rPr>
      </w:pPr>
      <w:bookmarkStart w:id="26" w:name="_Toc2272558"/>
      <w:bookmarkEnd w:id="26"/>
      <w:bookmarkStart w:id="27" w:name="_Toc21525502"/>
      <w:r>
        <w:rPr>
          <w:rFonts w:hint="eastAsia" w:ascii="宋体" w:hAnsi="宋体" w:eastAsia="宋体" w:cs="宋体"/>
          <w:color w:val="auto"/>
          <w:kern w:val="0"/>
          <w:sz w:val="27"/>
          <w:szCs w:val="27"/>
          <w:highlight w:val="none"/>
        </w:rPr>
        <w:t>（二）开标评标办法程序和细则</w:t>
      </w:r>
      <w:bookmarkEnd w:id="27"/>
    </w:p>
    <w:p w14:paraId="50FC13C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注：以下八种评标办法所述企业综合诚信评价分数即投标截止当日广州市工程招标代理行业协会网站上公布的企业综合诚信评价</w:t>
      </w:r>
      <w:r>
        <w:rPr>
          <w:rFonts w:hint="eastAsia" w:ascii="宋体" w:hAnsi="宋体" w:eastAsia="宋体" w:cs="Times New Roman"/>
          <w:color w:val="auto"/>
          <w:kern w:val="2"/>
          <w:sz w:val="24"/>
          <w:szCs w:val="24"/>
          <w:highlight w:val="none"/>
          <w:lang w:val="en-US" w:eastAsia="zh-CN" w:bidi="ar"/>
        </w:rPr>
        <w:t>60</w:t>
      </w:r>
      <w:r>
        <w:rPr>
          <w:rFonts w:hint="eastAsia" w:ascii="宋体" w:hAnsi="宋体" w:eastAsia="宋体" w:cs="宋体"/>
          <w:color w:val="auto"/>
          <w:kern w:val="2"/>
          <w:sz w:val="24"/>
          <w:szCs w:val="24"/>
          <w:highlight w:val="none"/>
          <w:lang w:val="en-US" w:eastAsia="zh-CN" w:bidi="ar"/>
        </w:rPr>
        <w:t>日诚信分。</w:t>
      </w:r>
    </w:p>
    <w:p w14:paraId="7C00B429">
      <w:pPr>
        <w:pStyle w:val="4"/>
        <w:widowControl/>
        <w:spacing w:before="156" w:beforeAutospacing="0" w:after="156" w:afterAutospacing="0"/>
        <w:ind w:left="0" w:firstLine="542" w:firstLineChars="200"/>
        <w:rPr>
          <w:rFonts w:hint="eastAsia" w:ascii="宋体" w:hAnsi="宋体" w:eastAsia="宋体" w:cs="宋体"/>
          <w:color w:val="auto"/>
          <w:kern w:val="0"/>
          <w:sz w:val="27"/>
          <w:szCs w:val="27"/>
          <w:highlight w:val="none"/>
        </w:rPr>
      </w:pPr>
      <w:bookmarkStart w:id="28" w:name="_Toc21525509"/>
      <w:bookmarkEnd w:id="28"/>
      <w:bookmarkStart w:id="29" w:name="_Toc2272564"/>
      <w:bookmarkEnd w:id="29"/>
      <w:bookmarkStart w:id="30" w:name="_Toc21525508"/>
      <w:bookmarkEnd w:id="30"/>
      <w:bookmarkStart w:id="31" w:name="_Toc2272563"/>
      <w:r>
        <w:rPr>
          <w:rFonts w:hint="eastAsia" w:ascii="宋体" w:hAnsi="宋体" w:eastAsia="宋体" w:cs="宋体"/>
          <w:b/>
          <w:color w:val="auto"/>
          <w:kern w:val="0"/>
          <w:sz w:val="27"/>
          <w:szCs w:val="27"/>
          <w:highlight w:val="none"/>
        </w:rPr>
        <w:t>可选办法七（适合综合评分法四，技术标与经济标同时开启）</w:t>
      </w:r>
      <w:bookmarkEnd w:id="31"/>
    </w:p>
    <w:p w14:paraId="56AC4F50">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40．开标和评标程序</w:t>
      </w:r>
    </w:p>
    <w:p w14:paraId="75723A37">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40.1技术标（含资格审查文件）与经济标投标文件同时公开开标；</w:t>
      </w:r>
    </w:p>
    <w:p w14:paraId="7F98BCCC">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40.2由评标委员会对所有已公开开标的投标人进行资格审查；</w:t>
      </w:r>
    </w:p>
    <w:p w14:paraId="43CA1509">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40.3技术标投标文件有效性审查；</w:t>
      </w:r>
    </w:p>
    <w:p w14:paraId="722C4F7C">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40.4技术标详细审查评分；</w:t>
      </w:r>
    </w:p>
    <w:p w14:paraId="4D090651">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40.5经济标详细审查评分；</w:t>
      </w:r>
      <w:r>
        <w:rPr>
          <w:rFonts w:hint="eastAsia" w:ascii="宋体" w:hAnsi="Calibri" w:eastAsia="宋体" w:cs="Times New Roman"/>
          <w:color w:val="auto"/>
          <w:kern w:val="2"/>
          <w:sz w:val="24"/>
          <w:szCs w:val="24"/>
          <w:highlight w:val="none"/>
          <w:lang w:val="en-US" w:eastAsia="zh-CN" w:bidi="ar"/>
        </w:rPr>
        <w:t xml:space="preserve"> </w:t>
      </w:r>
    </w:p>
    <w:p w14:paraId="288C8ABD">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40.6评标委员会按照投标人总得分由高至低排序；</w:t>
      </w:r>
    </w:p>
    <w:p w14:paraId="67CCB423">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40.7经济标投标文件有效性审查；</w:t>
      </w:r>
    </w:p>
    <w:p w14:paraId="39D5A0AF">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4"/>
          <w:szCs w:val="24"/>
          <w:highlight w:val="none"/>
          <w:lang w:val="en-US" w:eastAsia="zh-CN" w:bidi="ar"/>
        </w:rPr>
        <w:t>40.8评标委员会按排序向招标人推荐中标候选人名单，并递交资格审查报告及评标报告。</w:t>
      </w:r>
    </w:p>
    <w:p w14:paraId="3EE857F5">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41．开标细则</w:t>
      </w:r>
    </w:p>
    <w:p w14:paraId="2918F603">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41.1开标由招标人主持；</w:t>
      </w:r>
    </w:p>
    <w:p w14:paraId="084953D0">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41.2 细则</w:t>
      </w:r>
    </w:p>
    <w:p w14:paraId="759D60AE">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41.2.1投标截止期前，各投标人递交投标文件（包括技术标投标文件、经济标投标文件）至</w:t>
      </w:r>
      <w:r>
        <w:rPr>
          <w:rFonts w:hint="eastAsia" w:ascii="宋体" w:hAnsi="Calibri"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交易平台。有关投标文件提交的事项详见第一章投标须知。</w:t>
      </w:r>
      <w:r>
        <w:rPr>
          <w:rFonts w:hint="eastAsia" w:ascii="宋体" w:hAnsi="Calibri" w:eastAsia="宋体" w:cs="Times New Roman"/>
          <w:color w:val="auto"/>
          <w:kern w:val="2"/>
          <w:sz w:val="24"/>
          <w:szCs w:val="24"/>
          <w:highlight w:val="none"/>
          <w:lang w:val="en-US" w:eastAsia="zh-CN" w:bidi="ar"/>
        </w:rPr>
        <w:t xml:space="preserve"> </w:t>
      </w:r>
    </w:p>
    <w:p w14:paraId="4C8D34FA">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41.2.2开标前，首先由招标人随机抽取确定该工程计算评标参考价的等分点值X。</w:t>
      </w:r>
    </w:p>
    <w:p w14:paraId="6E23545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41.2.3开标时，投标人代表有权参加现场开标或在线开标，也可以自主决定不参加开标，若投标人代表对开标过程有异议的，参加现场开标的应当在开标现场提出，同时出示本人身份证原件，招标人应当当场作出答复，并制作记录；参加在线开标的，投标人应通过交易平台在线提出，招标人应通过交易平台答复，答复后方可结束开标。</w:t>
      </w:r>
    </w:p>
    <w:p w14:paraId="3873B564">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41.2.4按36.5.1的规定完成解密后，公布下列内容，并予以记录，记录提交评标委员会评审： </w:t>
      </w:r>
    </w:p>
    <w:p w14:paraId="13B9843F">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41.2.4.1开标时，公布：a、投标人名称；b、投标文件密封情况；c、投标报价；d、投标保证金；e、项目经理（负责人）名称；f、法定代表人证明及授权委托等主要内容及开标记录表中的其他必要内容。投标报价以数字和文字两种方式表述的，应公布文字表述的投标报价。</w:t>
      </w:r>
    </w:p>
    <w:p w14:paraId="1CA2C9E5">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41.3招标人对开标过程进行记录，并存档备查，投标人在技术标开标记录上签字。</w:t>
      </w:r>
    </w:p>
    <w:p w14:paraId="74E7A767">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41.4 招标人将上述符合要求的投标文件，送至评标委员会进行评审。</w:t>
      </w:r>
    </w:p>
    <w:p w14:paraId="28FFAF7D">
      <w:pPr>
        <w:pStyle w:val="14"/>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42. 资格审查及评标细则</w:t>
      </w:r>
    </w:p>
    <w:p w14:paraId="64679166">
      <w:pPr>
        <w:pStyle w:val="14"/>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42.1资格审查及评标均由招标人依法组建的评标委员会负责。</w:t>
      </w:r>
    </w:p>
    <w:p w14:paraId="0E5E5CB2">
      <w:pPr>
        <w:pStyle w:val="14"/>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42.2评标委员会的组成：方式</w:t>
      </w:r>
      <w:r>
        <w:rPr>
          <w:rFonts w:hint="eastAsia" w:ascii="宋体"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w:t>
      </w:r>
    </w:p>
    <w:p w14:paraId="42FF1EBE">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方式一：评标委员会为综合评标委员会，负责资格审查及评标工作。</w:t>
      </w:r>
    </w:p>
    <w:p w14:paraId="12A131AF">
      <w:pPr>
        <w:pStyle w:val="14"/>
        <w:keepNext w:val="0"/>
        <w:keepLines w:val="0"/>
        <w:widowControl w:val="0"/>
        <w:suppressLineNumbers w:val="0"/>
        <w:snapToGrid w:val="0"/>
        <w:spacing w:before="0" w:beforeAutospacing="1" w:after="0" w:afterAutospacing="0" w:line="360" w:lineRule="auto"/>
        <w:ind w:left="0" w:right="0" w:firstLine="42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方式二：评标委员会由技术评审组和经济评审组组成。其中：资格审查及技术评审由技术评标组负责，经济评审由经济评审组负责。</w:t>
      </w:r>
    </w:p>
    <w:p w14:paraId="6CF67419">
      <w:pPr>
        <w:pStyle w:val="14"/>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43．投标人资格审查</w:t>
      </w:r>
    </w:p>
    <w:p w14:paraId="3B021E26">
      <w:pPr>
        <w:pStyle w:val="14"/>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43.1资格审查文件中全部符合附表一《资格审查表》中情形的，为资格审查合格；否则为资格审查不合格。如评标委员会成员的评审意见不一致时，以评标委员会过半数成员的意见作为评标委员会对该情形的认定结论。评委发现资格审查文件中含义不明确、对同类问题表述不一致、有明显文字和计算错误的，应当要求投标人作必要的澄清、说明后再判定投标人是否通过资格审查，不得直接认定其不通过资格审查。</w:t>
      </w:r>
    </w:p>
    <w:p w14:paraId="7250876E">
      <w:pPr>
        <w:pStyle w:val="14"/>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43.2汇总资格审查情况，编写资格审查报告。</w:t>
      </w:r>
    </w:p>
    <w:p w14:paraId="30A80A00">
      <w:pPr>
        <w:pStyle w:val="14"/>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43.3资格审查不合格的投标文件不参加下一阶段的评标，不参与评标参考价的计算。</w:t>
      </w:r>
    </w:p>
    <w:p w14:paraId="797DB91A">
      <w:pPr>
        <w:pStyle w:val="14"/>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43.4资格审查时，投标企业名称已经工商变更的，但企业及个人的资质证书未完成企业名称变更，仍然承认其有效。资质证书、安全生产许可证之间登记的信息不一致，应当允许投标人澄清，不得直接否决其投标。</w:t>
      </w:r>
    </w:p>
    <w:p w14:paraId="13A790A9">
      <w:pPr>
        <w:pStyle w:val="14"/>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43.5资审合格后，投标人的资格发生变化而不满足投标人合格条件，在发出中标通知书前，资格问题仍未解决的，招标人将取消其中标资格。</w:t>
      </w:r>
    </w:p>
    <w:p w14:paraId="063D4EC4">
      <w:pPr>
        <w:pStyle w:val="14"/>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43.6资格审查合格的投标人少于3名的（当N个标段同时招标且不允许兼中时，资格审查合格的投标人少于N+2名），则本项目招标失败。</w:t>
      </w:r>
    </w:p>
    <w:p w14:paraId="3406C5D9">
      <w:pPr>
        <w:pStyle w:val="14"/>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44．技术标评审</w:t>
      </w:r>
    </w:p>
    <w:p w14:paraId="27D4342C">
      <w:pPr>
        <w:pStyle w:val="14"/>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44.1技术标的有效性审查：投标文件中没有任一种列于本办法附表二《技术标有效性审查表》中情形的，为有效投标文件。否则其投标文件将被否决。被否决的投标人不参与下一阶段评审，不参与评标参考价的计算。如评标委员会成员的评审意见不一致时，以评标委员会过半数成员的意见作为评标委员会对该情形的认定结论。若通过技术标有效性审查的投标人不足三家，则重新招标。（当N个标段同时招标且不允许兼中时，若通过技术标有效性审查投标人不足N+2家，则重新招标）。评委发现投标文件中含义不明确、对同类问题表述不一致、有明显文字和计算错误的，应当要求投标人作必要的澄清、说明后再判定投标人是否通过有效性审查，不得直接否决投标。</w:t>
      </w:r>
    </w:p>
    <w:p w14:paraId="4B533DB9">
      <w:pPr>
        <w:pStyle w:val="14"/>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44.2技术标详细审查评分：评标委员会按照附表四《技术标详细审查评分表》的标准，对通过技术标有效性审查的投标文件技术标进行详细审查，评出技术分，得分四舍五入精确到小数点后两位。</w:t>
      </w:r>
    </w:p>
    <w:p w14:paraId="4886E113">
      <w:pPr>
        <w:pStyle w:val="14"/>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45．经济标评审和得分汇总</w:t>
      </w:r>
    </w:p>
    <w:p w14:paraId="409FA52A">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45.1若通过技术标有效性审查的投标人中所有投标报价均大于等于最高投标限价，则本项目招标失败，由招标人依法重新招标。</w:t>
      </w:r>
    </w:p>
    <w:p w14:paraId="6B77B414">
      <w:pPr>
        <w:pStyle w:val="14"/>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45.2按方法</w:t>
      </w:r>
      <w:r>
        <w:rPr>
          <w:rFonts w:hint="eastAsia" w:ascii="宋体" w:hAnsi="宋体"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计算评标参考价：</w:t>
      </w:r>
    </w:p>
    <w:p w14:paraId="3E1B0692">
      <w:pPr>
        <w:keepNext w:val="0"/>
        <w:keepLines w:val="0"/>
        <w:widowControl/>
        <w:suppressLineNumbers w:val="0"/>
        <w:spacing w:before="0" w:beforeAutospacing="0" w:after="0" w:afterAutospacing="0" w:line="360" w:lineRule="auto"/>
        <w:ind w:left="0" w:right="0" w:firstLine="482" w:firstLineChars="200"/>
        <w:jc w:val="both"/>
        <w:rPr>
          <w:rFonts w:hint="eastAsia" w:ascii="宋体" w:hAnsi="宋体" w:eastAsia="宋体" w:cs="Times New Roman"/>
          <w:b/>
          <w:color w:val="auto"/>
          <w:kern w:val="0"/>
          <w:sz w:val="24"/>
          <w:szCs w:val="24"/>
          <w:highlight w:val="none"/>
        </w:rPr>
      </w:pPr>
      <w:r>
        <w:rPr>
          <w:rFonts w:hint="eastAsia" w:ascii="宋体" w:hAnsi="宋体" w:eastAsia="宋体" w:cs="宋体"/>
          <w:b/>
          <w:color w:val="auto"/>
          <w:kern w:val="0"/>
          <w:sz w:val="24"/>
          <w:szCs w:val="24"/>
          <w:highlight w:val="none"/>
          <w:lang w:val="en-US" w:eastAsia="zh-CN" w:bidi="ar"/>
        </w:rPr>
        <w:t>方法一：加权平均法</w:t>
      </w:r>
    </w:p>
    <w:p w14:paraId="57A86B8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仿宋"/>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技术标或技术标加诚信得分（具体由招标人自定）前</w:t>
      </w:r>
      <w:r>
        <w:rPr>
          <w:rFonts w:hint="eastAsia" w:ascii="宋体" w:hAnsi="宋体" w:eastAsia="宋体" w:cs="仿宋"/>
          <w:color w:val="auto"/>
          <w:kern w:val="2"/>
          <w:sz w:val="24"/>
          <w:szCs w:val="24"/>
          <w:highlight w:val="none"/>
          <w:lang w:val="en-US" w:eastAsia="zh-CN" w:bidi="ar"/>
        </w:rPr>
        <w:t>N</w:t>
      </w:r>
      <w:r>
        <w:rPr>
          <w:rFonts w:hint="eastAsia" w:ascii="宋体" w:hAnsi="宋体" w:eastAsia="宋体" w:cs="宋体"/>
          <w:color w:val="auto"/>
          <w:kern w:val="2"/>
          <w:sz w:val="24"/>
          <w:szCs w:val="24"/>
          <w:highlight w:val="none"/>
          <w:lang w:val="en-US" w:eastAsia="zh-CN" w:bidi="ar"/>
        </w:rPr>
        <w:t>名（N≥5，具体由招标人自定）的经济报价加权平均，计算评标参考价。公式如下：</w:t>
      </w:r>
    </w:p>
    <w:p w14:paraId="6CB2980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仿宋"/>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评标参考价</w:t>
      </w:r>
      <w:r>
        <w:rPr>
          <w:rFonts w:hint="eastAsia" w:ascii="宋体" w:hAnsi="宋体" w:eastAsia="宋体" w:cs="仿宋"/>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Σ（投标人的投标报价</w:t>
      </w:r>
      <w:r>
        <w:rPr>
          <w:rFonts w:hint="eastAsia" w:ascii="宋体" w:hAnsi="宋体" w:eastAsia="宋体" w:cs="仿宋"/>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报价权重）。</w:t>
      </w:r>
    </w:p>
    <w:p w14:paraId="4E291C6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仿宋"/>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其中：报价权重的计算方法为：将</w:t>
      </w:r>
      <w:r>
        <w:rPr>
          <w:rFonts w:hint="eastAsia" w:ascii="宋体" w:hAnsi="宋体" w:eastAsia="宋体" w:cs="仿宋"/>
          <w:color w:val="auto"/>
          <w:kern w:val="2"/>
          <w:sz w:val="24"/>
          <w:szCs w:val="24"/>
          <w:highlight w:val="none"/>
          <w:lang w:val="en-US" w:eastAsia="zh-CN" w:bidi="ar"/>
        </w:rPr>
        <w:t>N</w:t>
      </w:r>
      <w:r>
        <w:rPr>
          <w:rFonts w:hint="eastAsia" w:ascii="宋体" w:hAnsi="宋体" w:eastAsia="宋体" w:cs="宋体"/>
          <w:color w:val="auto"/>
          <w:kern w:val="2"/>
          <w:sz w:val="24"/>
          <w:szCs w:val="24"/>
          <w:highlight w:val="none"/>
          <w:lang w:val="en-US" w:eastAsia="zh-CN" w:bidi="ar"/>
        </w:rPr>
        <w:t>名投标人按技术分由高至低进行排序，第一名投标人的权重为（</w:t>
      </w:r>
      <w:r>
        <w:rPr>
          <w:rFonts w:hint="default" w:ascii="Calibri" w:hAnsi="Calibri" w:eastAsia="宋体" w:cs="Times New Roman"/>
          <w:color w:val="auto"/>
          <w:kern w:val="2"/>
          <w:sz w:val="21"/>
          <w:szCs w:val="21"/>
          <w:highlight w:val="none"/>
          <w:lang w:val="en-US" w:eastAsia="zh-CN" w:bidi="ar"/>
        </w:rPr>
        <w:drawing>
          <wp:inline distT="0" distB="0" distL="114300" distR="114300">
            <wp:extent cx="381000" cy="450850"/>
            <wp:effectExtent l="0" t="0" r="0" b="635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9"/>
                    <a:stretch>
                      <a:fillRect/>
                    </a:stretch>
                  </pic:blipFill>
                  <pic:spPr>
                    <a:xfrm>
                      <a:off x="0" y="0"/>
                      <a:ext cx="381000" cy="450850"/>
                    </a:xfrm>
                    <a:prstGeom prst="rect">
                      <a:avLst/>
                    </a:prstGeom>
                  </pic:spPr>
                </pic:pic>
              </a:graphicData>
            </a:graphic>
          </wp:inline>
        </w:drawing>
      </w:r>
      <w:r>
        <w:rPr>
          <w:rFonts w:hint="eastAsia" w:ascii="宋体" w:hAnsi="宋体" w:eastAsia="宋体" w:cs="宋体"/>
          <w:color w:val="auto"/>
          <w:kern w:val="2"/>
          <w:sz w:val="24"/>
          <w:szCs w:val="24"/>
          <w:highlight w:val="none"/>
          <w:lang w:val="en-US" w:eastAsia="zh-CN" w:bidi="ar"/>
        </w:rPr>
        <w:t>），第二名投标人的权重为（</w:t>
      </w:r>
      <w:r>
        <w:rPr>
          <w:rFonts w:hint="eastAsia" w:ascii="宋体" w:hAnsi="宋体" w:eastAsia="宋体" w:cs="宋体"/>
          <w:color w:val="auto"/>
          <w:kern w:val="2"/>
          <w:sz w:val="24"/>
          <w:szCs w:val="24"/>
          <w:highlight w:val="none"/>
          <w:lang w:val="en-US" w:eastAsia="zh-CN" w:bidi="ar"/>
        </w:rPr>
        <w:drawing>
          <wp:inline distT="0" distB="0" distL="114300" distR="114300">
            <wp:extent cx="323850" cy="400050"/>
            <wp:effectExtent l="0" t="0" r="6350" b="571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7"/>
                    <a:stretch>
                      <a:fillRect/>
                    </a:stretch>
                  </pic:blipFill>
                  <pic:spPr>
                    <a:xfrm>
                      <a:off x="0" y="0"/>
                      <a:ext cx="323850" cy="400050"/>
                    </a:xfrm>
                    <a:prstGeom prst="rect">
                      <a:avLst/>
                    </a:prstGeom>
                  </pic:spPr>
                </pic:pic>
              </a:graphicData>
            </a:graphic>
          </wp:inline>
        </w:drawing>
      </w:r>
      <w:r>
        <w:rPr>
          <w:rFonts w:hint="eastAsia" w:ascii="宋体" w:hAnsi="宋体" w:eastAsia="宋体" w:cs="宋体"/>
          <w:color w:val="auto"/>
          <w:kern w:val="2"/>
          <w:sz w:val="24"/>
          <w:szCs w:val="24"/>
          <w:highlight w:val="none"/>
          <w:lang w:val="en-US" w:eastAsia="zh-CN" w:bidi="ar"/>
        </w:rPr>
        <w:t>），以此类推，最后一名投标人的权重为（</w:t>
      </w:r>
      <w:r>
        <w:rPr>
          <w:rFonts w:hint="eastAsia" w:ascii="宋体" w:hAnsi="宋体" w:eastAsia="宋体" w:cs="宋体"/>
          <w:color w:val="auto"/>
          <w:kern w:val="2"/>
          <w:sz w:val="24"/>
          <w:szCs w:val="24"/>
          <w:highlight w:val="none"/>
          <w:lang w:val="en-US" w:eastAsia="zh-CN" w:bidi="ar"/>
        </w:rPr>
        <w:drawing>
          <wp:inline distT="0" distB="0" distL="114300" distR="114300">
            <wp:extent cx="323850" cy="400050"/>
            <wp:effectExtent l="0" t="0" r="6350" b="571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8"/>
                    <a:stretch>
                      <a:fillRect/>
                    </a:stretch>
                  </pic:blipFill>
                  <pic:spPr>
                    <a:xfrm>
                      <a:off x="0" y="0"/>
                      <a:ext cx="323850" cy="400050"/>
                    </a:xfrm>
                    <a:prstGeom prst="rect">
                      <a:avLst/>
                    </a:prstGeom>
                  </pic:spPr>
                </pic:pic>
              </a:graphicData>
            </a:graphic>
          </wp:inline>
        </w:drawing>
      </w:r>
      <w:r>
        <w:rPr>
          <w:rFonts w:hint="eastAsia" w:ascii="宋体" w:hAnsi="宋体" w:eastAsia="宋体" w:cs="宋体"/>
          <w:color w:val="auto"/>
          <w:kern w:val="2"/>
          <w:sz w:val="24"/>
          <w:szCs w:val="24"/>
          <w:highlight w:val="none"/>
          <w:lang w:val="en-US" w:eastAsia="zh-CN" w:bidi="ar"/>
        </w:rPr>
        <w:t>）。</w:t>
      </w:r>
    </w:p>
    <w:p w14:paraId="0EC16230">
      <w:pPr>
        <w:keepNext w:val="0"/>
        <w:keepLines w:val="0"/>
        <w:widowControl/>
        <w:suppressLineNumbers w:val="0"/>
        <w:spacing w:before="0" w:beforeAutospacing="0" w:after="0" w:afterAutospacing="0" w:line="360" w:lineRule="auto"/>
        <w:ind w:left="0" w:right="0" w:firstLine="482" w:firstLineChars="200"/>
        <w:jc w:val="both"/>
        <w:rPr>
          <w:rFonts w:hint="eastAsia" w:ascii="宋体" w:hAnsi="宋体" w:eastAsia="宋体" w:cs="Times New Roman"/>
          <w:b/>
          <w:color w:val="auto"/>
          <w:kern w:val="0"/>
          <w:sz w:val="24"/>
          <w:szCs w:val="24"/>
          <w:highlight w:val="none"/>
        </w:rPr>
      </w:pPr>
      <w:r>
        <w:rPr>
          <w:rFonts w:hint="eastAsia" w:ascii="宋体" w:hAnsi="宋体" w:eastAsia="宋体" w:cs="宋体"/>
          <w:b/>
          <w:color w:val="auto"/>
          <w:kern w:val="0"/>
          <w:sz w:val="24"/>
          <w:szCs w:val="24"/>
          <w:highlight w:val="none"/>
          <w:lang w:val="en-US" w:eastAsia="zh-CN" w:bidi="ar"/>
        </w:rPr>
        <w:t>方法二：区间抽取法</w:t>
      </w:r>
    </w:p>
    <w:p w14:paraId="3BA37AB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设立入围合格分数线（技术标或技术标加诚信得分或第一阶段入围得分，具体数值由招标人在招标文件中确定），达到或超过及格线的投标人的报价方能参与评标参考价的计算。将达到或超过技术标及格分数线的投标报价由低至高进行排列，按以下公式计算评标参考价，计算公式如下：</w:t>
      </w:r>
    </w:p>
    <w:p w14:paraId="0C90717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评标参考价=（Q高-Q低）/100*Ｘ+Q低</w:t>
      </w:r>
    </w:p>
    <w:p w14:paraId="1738AA4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Q低：为达到或超过技术标及格分数线的投标人最低报价与工程成本警示价两者中的较高值；</w:t>
      </w:r>
    </w:p>
    <w:p w14:paraId="061675E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Q高：为最高投标限价</w:t>
      </w:r>
    </w:p>
    <w:p w14:paraId="0A675CA4">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0"/>
          <w:sz w:val="24"/>
          <w:szCs w:val="24"/>
          <w:highlight w:val="none"/>
          <w:lang w:val="en-US" w:eastAsia="zh-CN" w:bidi="ar"/>
        </w:rPr>
        <w:t xml:space="preserve">    X:为等分点值，在开标前从[0,100]整数中随机抽取</w:t>
      </w:r>
    </w:p>
    <w:p w14:paraId="701D7F0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45.3</w:t>
      </w:r>
      <w:r>
        <w:rPr>
          <w:rFonts w:hint="eastAsia" w:ascii="宋体" w:hAnsi="宋体" w:eastAsia="宋体" w:cs="宋体"/>
          <w:color w:val="auto"/>
          <w:kern w:val="2"/>
          <w:sz w:val="24"/>
          <w:szCs w:val="24"/>
          <w:highlight w:val="none"/>
          <w:lang w:val="en-US" w:eastAsia="zh-CN" w:bidi="ar"/>
        </w:rPr>
        <w:t>当标价等于评标参考价时得</w:t>
      </w:r>
      <w:r>
        <w:rPr>
          <w:rFonts w:hint="eastAsia" w:ascii="宋体" w:hAnsi="宋体" w:eastAsia="宋体" w:cs="Times New Roman"/>
          <w:color w:val="auto"/>
          <w:kern w:val="2"/>
          <w:sz w:val="24"/>
          <w:szCs w:val="24"/>
          <w:highlight w:val="none"/>
          <w:lang w:val="en-US" w:eastAsia="zh-CN" w:bidi="ar"/>
        </w:rPr>
        <w:t>100</w:t>
      </w:r>
      <w:r>
        <w:rPr>
          <w:rFonts w:hint="eastAsia" w:ascii="宋体" w:hAnsi="宋体" w:eastAsia="宋体" w:cs="宋体"/>
          <w:color w:val="auto"/>
          <w:kern w:val="2"/>
          <w:sz w:val="24"/>
          <w:szCs w:val="24"/>
          <w:highlight w:val="none"/>
          <w:lang w:val="en-US" w:eastAsia="zh-CN" w:bidi="ar"/>
        </w:rPr>
        <w:t>分，标价每高于评标参考价</w:t>
      </w:r>
      <w:r>
        <w:rPr>
          <w:rFonts w:hint="eastAsia" w:ascii="宋体" w:hAnsi="宋体" w:eastAsia="宋体" w:cs="Times New Roman"/>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，扣</w:t>
      </w:r>
      <w:r>
        <w:rPr>
          <w:rFonts w:hint="eastAsia" w:ascii="宋体" w:hAnsi="宋体" w:eastAsia="宋体" w:cs="Times New Roman"/>
          <w:color w:val="auto"/>
          <w:kern w:val="2"/>
          <w:sz w:val="24"/>
          <w:szCs w:val="24"/>
          <w:highlight w:val="none"/>
          <w:lang w:val="en-US" w:eastAsia="zh-CN" w:bidi="ar"/>
        </w:rPr>
        <w:t>1.5</w:t>
      </w:r>
      <w:r>
        <w:rPr>
          <w:rFonts w:hint="eastAsia" w:ascii="宋体" w:hAnsi="宋体" w:eastAsia="宋体" w:cs="宋体"/>
          <w:color w:val="auto"/>
          <w:kern w:val="2"/>
          <w:sz w:val="24"/>
          <w:szCs w:val="24"/>
          <w:highlight w:val="none"/>
          <w:lang w:val="en-US" w:eastAsia="zh-CN" w:bidi="ar"/>
        </w:rPr>
        <w:t>分，每低于评标参考价</w:t>
      </w:r>
      <w:r>
        <w:rPr>
          <w:rFonts w:hint="eastAsia" w:ascii="宋体" w:hAnsi="宋体" w:eastAsia="宋体" w:cs="Times New Roman"/>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，扣</w:t>
      </w:r>
      <w:r>
        <w:rPr>
          <w:rFonts w:hint="eastAsia" w:ascii="宋体" w:hAnsi="宋体" w:eastAsia="宋体" w:cs="Times New Roman"/>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分，扣至</w:t>
      </w:r>
      <w:r>
        <w:rPr>
          <w:rFonts w:hint="eastAsia" w:ascii="宋体" w:hAnsi="宋体" w:eastAsia="宋体" w:cs="Times New Roman"/>
          <w:color w:val="auto"/>
          <w:kern w:val="2"/>
          <w:sz w:val="24"/>
          <w:szCs w:val="24"/>
          <w:highlight w:val="none"/>
          <w:lang w:val="en-US" w:eastAsia="zh-CN" w:bidi="ar"/>
        </w:rPr>
        <w:t>0</w:t>
      </w:r>
      <w:r>
        <w:rPr>
          <w:rFonts w:hint="eastAsia" w:ascii="宋体" w:hAnsi="宋体" w:eastAsia="宋体" w:cs="宋体"/>
          <w:color w:val="auto"/>
          <w:kern w:val="2"/>
          <w:sz w:val="24"/>
          <w:szCs w:val="24"/>
          <w:highlight w:val="none"/>
          <w:lang w:val="en-US" w:eastAsia="zh-CN" w:bidi="ar"/>
        </w:rPr>
        <w:t>分为止，得出经济分，精确到小数点后两位。</w:t>
      </w:r>
    </w:p>
    <w:p w14:paraId="0B83E705">
      <w:pPr>
        <w:pStyle w:val="14"/>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45.4计算通过技术标有效性审查的投标人总得分。投标人总得分=（技术得分×技术得分权重＋经济得分×经济得分权重）×（1-综合诚信评价分数权重）＋综合诚信评价排名得分×综合诚信评价分数权重）。技术、经济得分权重按投标须知前附表的规定执行。总得分四舍五入保留两位小数。</w:t>
      </w:r>
    </w:p>
    <w:p w14:paraId="7CB1CB22">
      <w:pPr>
        <w:pStyle w:val="14"/>
        <w:keepNext w:val="0"/>
        <w:keepLines w:val="0"/>
        <w:widowControl w:val="0"/>
        <w:suppressLineNumbers w:val="0"/>
        <w:snapToGrid w:val="0"/>
        <w:spacing w:before="0" w:beforeAutospacing="1"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46.经济标的有效性审查</w:t>
      </w:r>
    </w:p>
    <w:p w14:paraId="3F69AAE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46.1经济标的有效性审查：按照投标人总得分排序，依次对投标文件进行经济标有效性审查，投标文件中没有任一种列于本办法附表三《经济标有效性审查表》中情形的，为有效投标文件，否则其投标文件将被否决。如评标委员会成员的评审意见不一致时，以评标委员会过半数成员的意见作为评标委员会对该情形的认定结论。评委发现投标文件中含义不明确、对同类问题表述不一致、有明显文字和计算错误、投标报价可能低于成本影响履约的，应当要求投标人作必要的澄清、说明后再判定投标人是否通过有效性审查，不得直接否决投标。</w:t>
      </w:r>
    </w:p>
    <w:p w14:paraId="3B76404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4</w:t>
      </w:r>
      <w:r>
        <w:rPr>
          <w:rFonts w:hint="eastAsia" w:ascii="宋体" w:hAnsi="宋体" w:eastAsia="宋体" w:cs="宋体"/>
          <w:color w:val="auto"/>
          <w:kern w:val="2"/>
          <w:sz w:val="24"/>
          <w:szCs w:val="24"/>
          <w:highlight w:val="none"/>
          <w:lang w:val="en-US" w:eastAsia="zh-CN" w:bidi="ar"/>
        </w:rPr>
        <w:t>6.2经济标的算术校核。评标委员会对进行经济标有效性审查的投标文件投标报价按照就低不就高的原则进行算术校核，具体标准如下：</w:t>
      </w:r>
    </w:p>
    <w:p w14:paraId="1D4D25A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4</w:t>
      </w:r>
      <w:r>
        <w:rPr>
          <w:rFonts w:hint="eastAsia" w:ascii="宋体" w:hAnsi="宋体" w:eastAsia="宋体" w:cs="宋体"/>
          <w:color w:val="auto"/>
          <w:kern w:val="2"/>
          <w:sz w:val="24"/>
          <w:szCs w:val="24"/>
          <w:highlight w:val="none"/>
          <w:lang w:val="en-US" w:eastAsia="zh-CN" w:bidi="ar"/>
        </w:rPr>
        <w:t>6.2.1如果数字表示的金额和用文字表示的金额不一致时，应以文字表示的金额为准；</w:t>
      </w:r>
    </w:p>
    <w:p w14:paraId="52A6344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4</w:t>
      </w:r>
      <w:r>
        <w:rPr>
          <w:rFonts w:hint="eastAsia" w:ascii="宋体" w:hAnsi="宋体" w:eastAsia="宋体" w:cs="宋体"/>
          <w:color w:val="auto"/>
          <w:kern w:val="2"/>
          <w:sz w:val="24"/>
          <w:szCs w:val="24"/>
          <w:highlight w:val="none"/>
          <w:lang w:val="en-US" w:eastAsia="zh-CN" w:bidi="ar"/>
        </w:rPr>
        <w:t>6.2.2经算术复核的投标人报价与其投标报价不一致时，按就低不就高原则确定其最终报价；</w:t>
      </w:r>
    </w:p>
    <w:p w14:paraId="409D6BD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4</w:t>
      </w:r>
      <w:r>
        <w:rPr>
          <w:rFonts w:hint="eastAsia" w:ascii="宋体" w:hAnsi="宋体" w:eastAsia="宋体" w:cs="宋体"/>
          <w:color w:val="auto"/>
          <w:kern w:val="2"/>
          <w:sz w:val="24"/>
          <w:szCs w:val="24"/>
          <w:highlight w:val="none"/>
          <w:lang w:val="en-US" w:eastAsia="zh-CN" w:bidi="ar"/>
        </w:rPr>
        <w:t>6.2.3当单价与数量均符合招标文件要求时，若单价与数量的乘积与合价不一致时，按就低不就高原则确定修改单价或是合价。当单价与数量的乘积小于合价，以单价为准，修改合价，除非评标委员会认为单价有明显的小数点错误，此时应以标出的合价为准，并修改单价；当单价与数量的乘积大于合价，以合价为准，修改单价；</w:t>
      </w:r>
    </w:p>
    <w:p w14:paraId="0521342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4</w:t>
      </w:r>
      <w:r>
        <w:rPr>
          <w:rFonts w:hint="eastAsia" w:ascii="宋体" w:hAnsi="宋体" w:eastAsia="宋体" w:cs="宋体"/>
          <w:color w:val="auto"/>
          <w:kern w:val="2"/>
          <w:sz w:val="24"/>
          <w:szCs w:val="24"/>
          <w:highlight w:val="none"/>
          <w:lang w:val="en-US" w:eastAsia="zh-CN" w:bidi="ar"/>
        </w:rPr>
        <w:t>6.2.</w:t>
      </w:r>
      <w:r>
        <w:rPr>
          <w:rFonts w:hint="eastAsia" w:ascii="宋体" w:hAnsi="宋体" w:eastAsia="宋体" w:cs="Times New Roman"/>
          <w:color w:val="auto"/>
          <w:kern w:val="2"/>
          <w:sz w:val="24"/>
          <w:szCs w:val="24"/>
          <w:highlight w:val="none"/>
          <w:lang w:val="en-US" w:eastAsia="zh-CN" w:bidi="ar"/>
        </w:rPr>
        <w:t>4</w:t>
      </w:r>
      <w:r>
        <w:rPr>
          <w:rFonts w:hint="eastAsia" w:ascii="宋体" w:hAnsi="宋体" w:eastAsia="宋体" w:cs="宋体"/>
          <w:color w:val="auto"/>
          <w:kern w:val="2"/>
          <w:sz w:val="24"/>
          <w:szCs w:val="24"/>
          <w:highlight w:val="none"/>
          <w:lang w:val="en-US" w:eastAsia="zh-CN" w:bidi="ar"/>
        </w:rPr>
        <w:t>当合价、金额累加错误时，按就低不就高原则，如果累加修正值小于原累加值，则按累加修正值；如果累加修正值大于原累加值，则按原累加值；</w:t>
      </w:r>
    </w:p>
    <w:p w14:paraId="21A8661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4</w:t>
      </w:r>
      <w:r>
        <w:rPr>
          <w:rFonts w:hint="eastAsia" w:ascii="宋体" w:hAnsi="宋体" w:eastAsia="宋体" w:cs="宋体"/>
          <w:color w:val="auto"/>
          <w:kern w:val="2"/>
          <w:sz w:val="24"/>
          <w:szCs w:val="24"/>
          <w:highlight w:val="none"/>
          <w:lang w:val="en-US" w:eastAsia="zh-CN" w:bidi="ar"/>
        </w:rPr>
        <w:t>6.2.</w:t>
      </w:r>
      <w:r>
        <w:rPr>
          <w:rFonts w:hint="eastAsia" w:ascii="宋体" w:hAnsi="宋体" w:eastAsia="宋体" w:cs="Times New Roman"/>
          <w:color w:val="auto"/>
          <w:kern w:val="2"/>
          <w:sz w:val="24"/>
          <w:szCs w:val="24"/>
          <w:highlight w:val="none"/>
          <w:lang w:val="en-US" w:eastAsia="zh-CN" w:bidi="ar"/>
        </w:rPr>
        <w:t>5</w:t>
      </w:r>
      <w:r>
        <w:rPr>
          <w:rFonts w:hint="eastAsia" w:ascii="宋体" w:hAnsi="宋体" w:eastAsia="宋体" w:cs="宋体"/>
          <w:color w:val="auto"/>
          <w:kern w:val="2"/>
          <w:sz w:val="24"/>
          <w:szCs w:val="24"/>
          <w:highlight w:val="none"/>
          <w:lang w:val="en-US" w:eastAsia="zh-CN" w:bidi="ar"/>
        </w:rPr>
        <w:t>如果投标人的有关规费、暂列金额、暂估价、绿色施工安全防护措施费等未按招标文件规定的金额填写的，由评标委员会按照招标文件规定的金额进行修正；</w:t>
      </w:r>
    </w:p>
    <w:p w14:paraId="34B391C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4</w:t>
      </w:r>
      <w:r>
        <w:rPr>
          <w:rFonts w:hint="eastAsia" w:ascii="宋体" w:hAnsi="宋体" w:eastAsia="宋体" w:cs="宋体"/>
          <w:color w:val="auto"/>
          <w:kern w:val="2"/>
          <w:sz w:val="24"/>
          <w:szCs w:val="24"/>
          <w:highlight w:val="none"/>
          <w:lang w:val="en-US" w:eastAsia="zh-CN" w:bidi="ar"/>
        </w:rPr>
        <w:t>6.2.</w:t>
      </w:r>
      <w:r>
        <w:rPr>
          <w:rFonts w:hint="eastAsia" w:ascii="宋体" w:hAnsi="宋体" w:eastAsia="宋体" w:cs="Times New Roman"/>
          <w:color w:val="auto"/>
          <w:kern w:val="2"/>
          <w:sz w:val="24"/>
          <w:szCs w:val="24"/>
          <w:highlight w:val="none"/>
          <w:lang w:val="en-US" w:eastAsia="zh-CN" w:bidi="ar"/>
        </w:rPr>
        <w:t>6</w:t>
      </w:r>
      <w:r>
        <w:rPr>
          <w:rFonts w:hint="eastAsia" w:ascii="宋体" w:hAnsi="宋体" w:eastAsia="宋体" w:cs="宋体"/>
          <w:color w:val="auto"/>
          <w:kern w:val="2"/>
          <w:sz w:val="24"/>
          <w:szCs w:val="24"/>
          <w:highlight w:val="none"/>
          <w:lang w:val="en-US" w:eastAsia="zh-CN" w:bidi="ar"/>
        </w:rPr>
        <w:t>①分部分项工程量比招标文件少、单位比招标文件小或错误时，以招标文件的工程量或单位为准，合价不变，修改综合单价。分部分项工程量比招标文件多或单位比招标文件大时，工程量、单位、综合单价及合价均不作修改；②分部分项项目对比招标文件（招标工程量清单）漏项的，则该漏项费用视为已分配在其他项目中，不再修改；③分部分项工程量清单中的综合单价与综合单价分析表中的综合单价不一致时，以价低者为准；④分部分项工程量计价表中的项目编码或项目名称或计量单位或工程数量缺省或不填时，由评委以招标文件中招标人工程量清单为准进行修正；若同时缺省或不填项目编码和项目名称，则该项按增项处理；⑤分部分项项目增项的，不予修改；⑥其它招标文件规定需要修改的，均以就低不就高原则进行修改；</w:t>
      </w:r>
    </w:p>
    <w:p w14:paraId="424ED7D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4</w:t>
      </w:r>
      <w:r>
        <w:rPr>
          <w:rFonts w:hint="eastAsia" w:ascii="宋体" w:hAnsi="宋体" w:eastAsia="宋体" w:cs="宋体"/>
          <w:color w:val="auto"/>
          <w:kern w:val="2"/>
          <w:sz w:val="24"/>
          <w:szCs w:val="24"/>
          <w:highlight w:val="none"/>
          <w:lang w:val="en-US" w:eastAsia="zh-CN" w:bidi="ar"/>
        </w:rPr>
        <w:t>6.2.</w:t>
      </w:r>
      <w:r>
        <w:rPr>
          <w:rFonts w:hint="eastAsia" w:ascii="宋体" w:hAnsi="宋体" w:eastAsia="宋体" w:cs="Times New Roman"/>
          <w:color w:val="auto"/>
          <w:kern w:val="2"/>
          <w:sz w:val="24"/>
          <w:szCs w:val="24"/>
          <w:highlight w:val="none"/>
          <w:lang w:val="en-US" w:eastAsia="zh-CN" w:bidi="ar"/>
        </w:rPr>
        <w:t>7</w:t>
      </w:r>
      <w:r>
        <w:rPr>
          <w:rFonts w:hint="eastAsia" w:ascii="宋体" w:hAnsi="宋体" w:eastAsia="宋体" w:cs="宋体"/>
          <w:color w:val="auto"/>
          <w:kern w:val="2"/>
          <w:sz w:val="24"/>
          <w:szCs w:val="24"/>
          <w:highlight w:val="none"/>
          <w:lang w:val="en-US" w:eastAsia="zh-CN" w:bidi="ar"/>
        </w:rPr>
        <w:t>按就低不就高原则，当修正后报价小于原报价，总价按修正后报价；当修正后报价大于原报价，总价按原报价，并在签订合同时载明在结算价中扣除修正报价与原报价的差额。</w:t>
      </w:r>
    </w:p>
    <w:p w14:paraId="60F74F7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4</w:t>
      </w:r>
      <w:r>
        <w:rPr>
          <w:rFonts w:hint="eastAsia" w:ascii="宋体" w:hAnsi="宋体" w:eastAsia="宋体" w:cs="宋体"/>
          <w:color w:val="auto"/>
          <w:kern w:val="2"/>
          <w:sz w:val="24"/>
          <w:szCs w:val="24"/>
          <w:highlight w:val="none"/>
          <w:lang w:val="en-US" w:eastAsia="zh-CN" w:bidi="ar"/>
        </w:rPr>
        <w:t>6.2.</w:t>
      </w:r>
      <w:r>
        <w:rPr>
          <w:rFonts w:hint="eastAsia" w:ascii="宋体" w:hAnsi="宋体" w:eastAsia="宋体" w:cs="Times New Roman"/>
          <w:color w:val="auto"/>
          <w:kern w:val="2"/>
          <w:sz w:val="24"/>
          <w:szCs w:val="24"/>
          <w:highlight w:val="none"/>
          <w:lang w:val="en-US" w:eastAsia="zh-CN" w:bidi="ar"/>
        </w:rPr>
        <w:t>8</w:t>
      </w:r>
      <w:r>
        <w:rPr>
          <w:rFonts w:hint="eastAsia" w:ascii="宋体" w:hAnsi="宋体" w:eastAsia="宋体" w:cs="宋体"/>
          <w:color w:val="auto"/>
          <w:kern w:val="2"/>
          <w:sz w:val="24"/>
          <w:szCs w:val="24"/>
          <w:highlight w:val="none"/>
          <w:lang w:val="en-US" w:eastAsia="zh-CN" w:bidi="ar"/>
        </w:rPr>
        <w:t>按上述修正错误的原则及方法调整或修正投标文件的投标报价，调整后的投标报价对投标人起约束作用。如果投标人不接受修正后的报价，则取消其投标资格，并且其投标保证金也将不予退还。</w:t>
      </w:r>
    </w:p>
    <w:p w14:paraId="58C5224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4</w:t>
      </w:r>
      <w:r>
        <w:rPr>
          <w:rFonts w:hint="eastAsia" w:ascii="宋体" w:hAnsi="宋体" w:eastAsia="宋体" w:cs="宋体"/>
          <w:color w:val="auto"/>
          <w:kern w:val="2"/>
          <w:sz w:val="24"/>
          <w:szCs w:val="24"/>
          <w:highlight w:val="none"/>
          <w:lang w:val="en-US" w:eastAsia="zh-CN" w:bidi="ar"/>
        </w:rPr>
        <w:t>7.评标委员会按只有通过有效性审查的投标人的投标文件方可进入下一阶段评审的评审原则，根据有效性审查结果，取消被否决投标的投标人的排序，其余通过有效性审查的投标人的排序依次上升替补确定，以此类推。直至评审出3名投标人通过经济标有效性审查，经济标有效性审查结束。</w:t>
      </w:r>
    </w:p>
    <w:p w14:paraId="3014652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4</w:t>
      </w:r>
      <w:r>
        <w:rPr>
          <w:rFonts w:hint="eastAsia" w:ascii="宋体" w:hAnsi="宋体" w:eastAsia="宋体" w:cs="宋体"/>
          <w:color w:val="auto"/>
          <w:kern w:val="2"/>
          <w:sz w:val="24"/>
          <w:szCs w:val="24"/>
          <w:highlight w:val="none"/>
          <w:lang w:val="en-US" w:eastAsia="zh-CN" w:bidi="ar"/>
        </w:rPr>
        <w:t>8.评标委员会应在通过投标文件经济标有效性审查的投标人中，按步骤45.4确定的投标人第二阶段排序，推荐前</w:t>
      </w:r>
      <w:r>
        <w:rPr>
          <w:rFonts w:hint="eastAsia" w:ascii="宋体" w:hAnsi="宋体" w:eastAsia="宋体" w:cs="Times New Roman"/>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名依次为第一中标候选人至第三中标候选人</w:t>
      </w:r>
      <w:r>
        <w:rPr>
          <w:rFonts w:hint="eastAsia" w:ascii="宋体" w:hAnsi="宋体"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并编制评标报告。</w:t>
      </w:r>
    </w:p>
    <w:p w14:paraId="016C7FE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4</w:t>
      </w:r>
      <w:r>
        <w:rPr>
          <w:rFonts w:hint="eastAsia" w:ascii="宋体" w:hAnsi="宋体" w:eastAsia="宋体" w:cs="宋体"/>
          <w:color w:val="auto"/>
          <w:kern w:val="2"/>
          <w:sz w:val="24"/>
          <w:szCs w:val="24"/>
          <w:highlight w:val="none"/>
          <w:lang w:val="en-US" w:eastAsia="zh-CN" w:bidi="ar"/>
        </w:rPr>
        <w:t>9.若通过经济标有效性审查的投标人不足三家，应当依法重新招标。（当</w:t>
      </w:r>
      <w:r>
        <w:rPr>
          <w:rFonts w:hint="eastAsia" w:ascii="宋体" w:hAnsi="宋体" w:eastAsia="宋体" w:cs="Times New Roman"/>
          <w:color w:val="auto"/>
          <w:kern w:val="2"/>
          <w:sz w:val="24"/>
          <w:szCs w:val="24"/>
          <w:highlight w:val="none"/>
          <w:lang w:val="en-US" w:eastAsia="zh-CN" w:bidi="ar"/>
        </w:rPr>
        <w:t>N</w:t>
      </w:r>
      <w:r>
        <w:rPr>
          <w:rFonts w:hint="eastAsia" w:ascii="宋体" w:hAnsi="宋体" w:eastAsia="宋体" w:cs="宋体"/>
          <w:color w:val="auto"/>
          <w:kern w:val="2"/>
          <w:sz w:val="24"/>
          <w:szCs w:val="24"/>
          <w:highlight w:val="none"/>
          <w:lang w:val="en-US" w:eastAsia="zh-CN" w:bidi="ar"/>
        </w:rPr>
        <w:t>个标段同时招标且不允许兼中时，若有效投标人不足</w:t>
      </w:r>
      <w:r>
        <w:rPr>
          <w:rFonts w:hint="eastAsia" w:ascii="宋体" w:hAnsi="宋体" w:eastAsia="宋体" w:cs="Times New Roman"/>
          <w:color w:val="auto"/>
          <w:kern w:val="2"/>
          <w:sz w:val="24"/>
          <w:szCs w:val="24"/>
          <w:highlight w:val="none"/>
          <w:lang w:val="en-US" w:eastAsia="zh-CN" w:bidi="ar"/>
        </w:rPr>
        <w:t>N+2</w:t>
      </w:r>
      <w:r>
        <w:rPr>
          <w:rFonts w:hint="eastAsia" w:ascii="宋体" w:hAnsi="宋体" w:eastAsia="宋体" w:cs="宋体"/>
          <w:color w:val="auto"/>
          <w:kern w:val="2"/>
          <w:sz w:val="24"/>
          <w:szCs w:val="24"/>
          <w:highlight w:val="none"/>
          <w:lang w:val="en-US" w:eastAsia="zh-CN" w:bidi="ar"/>
        </w:rPr>
        <w:t>家，应当依法重新招标）</w:t>
      </w:r>
    </w:p>
    <w:p w14:paraId="0F8E5FDF">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14:paraId="77806940">
      <w:pPr>
        <w:pStyle w:val="14"/>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14:paraId="212ED475">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14:paraId="1734EE6C">
      <w:pPr>
        <w:pStyle w:val="14"/>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14:paraId="7185649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14:paraId="099C3EB9">
      <w:pPr>
        <w:pStyle w:val="14"/>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14:paraId="61247FB2">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14:paraId="52383B5F">
      <w:pPr>
        <w:pStyle w:val="14"/>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14:paraId="7FACF1A2">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14:paraId="357100F3">
      <w:pPr>
        <w:pStyle w:val="14"/>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4"/>
          <w:szCs w:val="24"/>
          <w:highlight w:val="none"/>
        </w:rPr>
      </w:pPr>
    </w:p>
    <w:p w14:paraId="5C8EC313">
      <w:pPr>
        <w:pStyle w:val="14"/>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14:paraId="2AC4603A">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eastAsia" w:ascii="宋体" w:hAnsi="宋体" w:eastAsia="宋体" w:cs="Times New Roman"/>
          <w:color w:val="auto"/>
          <w:kern w:val="2"/>
          <w:sz w:val="24"/>
          <w:szCs w:val="24"/>
          <w:highlight w:val="none"/>
          <w:lang w:val="en-US" w:eastAsia="zh-CN" w:bidi="ar"/>
        </w:rPr>
        <w:t xml:space="preserve"> </w:t>
      </w:r>
    </w:p>
    <w:p w14:paraId="5396B6DA">
      <w:pPr>
        <w:keepNext w:val="0"/>
        <w:keepLines w:val="0"/>
        <w:widowControl/>
        <w:suppressLineNumbers w:val="0"/>
        <w:snapToGrid w:val="0"/>
        <w:spacing w:before="0" w:beforeAutospacing="0" w:after="0" w:afterAutospacing="0" w:line="360" w:lineRule="auto"/>
        <w:ind w:left="0" w:right="102"/>
        <w:jc w:val="left"/>
        <w:outlineLvl w:val="2"/>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附表一：</w:t>
      </w:r>
    </w:p>
    <w:p w14:paraId="72053E46">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val="0"/>
          <w:color w:val="auto"/>
          <w:kern w:val="2"/>
          <w:sz w:val="32"/>
          <w:szCs w:val="32"/>
          <w:highlight w:val="none"/>
        </w:rPr>
      </w:pPr>
      <w:r>
        <w:rPr>
          <w:rFonts w:hint="eastAsia" w:ascii="宋体" w:hAnsi="宋体" w:eastAsia="宋体" w:cs="宋体"/>
          <w:b/>
          <w:bCs w:val="0"/>
          <w:color w:val="auto"/>
          <w:kern w:val="2"/>
          <w:sz w:val="32"/>
          <w:szCs w:val="32"/>
          <w:highlight w:val="none"/>
          <w:lang w:val="en-US" w:eastAsia="zh-CN" w:bidi="ar"/>
        </w:rPr>
        <w:t>资格审查表</w:t>
      </w:r>
    </w:p>
    <w:p w14:paraId="29914FA2">
      <w:pPr>
        <w:keepNext w:val="0"/>
        <w:keepLines w:val="0"/>
        <w:widowControl w:val="0"/>
        <w:suppressLineNumbers w:val="0"/>
        <w:spacing w:before="0" w:beforeAutospacing="0" w:after="0" w:afterAutospacing="0" w:line="480" w:lineRule="auto"/>
        <w:ind w:left="0" w:right="0"/>
        <w:jc w:val="both"/>
        <w:rPr>
          <w:rFonts w:hint="default" w:ascii="Calibri"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工程名称：</w:t>
      </w:r>
      <w:r>
        <w:rPr>
          <w:rFonts w:hint="eastAsia" w:ascii="宋体" w:hAnsi="宋体" w:eastAsia="宋体" w:cs="宋体"/>
          <w:color w:val="auto"/>
          <w:kern w:val="2"/>
          <w:sz w:val="24"/>
          <w:szCs w:val="24"/>
          <w:highlight w:val="none"/>
          <w:lang w:eastAsia="zh-CN" w:bidi="ar"/>
        </w:rPr>
        <w:t>广州天河体育中心整体景观提升（开幕式）建筑工程、广州天河体育中心篮球城维修改造项目、广州市羽毛球运动管理中心训练馆改造项目、广州天河体育中心田径副场改造项目施工总承包</w:t>
      </w:r>
      <w:r>
        <w:rPr>
          <w:rFonts w:hint="eastAsia" w:ascii="宋体" w:hAnsi="宋体" w:eastAsia="宋体" w:cs="宋体"/>
          <w:color w:val="auto"/>
          <w:kern w:val="2"/>
          <w:sz w:val="24"/>
          <w:szCs w:val="24"/>
          <w:highlight w:val="none"/>
          <w:lang w:val="en-US" w:eastAsia="zh-CN" w:bidi="ar"/>
        </w:rPr>
        <w:t>投标人名称：</w:t>
      </w:r>
    </w:p>
    <w:tbl>
      <w:tblPr>
        <w:tblStyle w:val="17"/>
        <w:tblW w:w="8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68"/>
        <w:gridCol w:w="3780"/>
        <w:gridCol w:w="3420"/>
        <w:gridCol w:w="720"/>
      </w:tblGrid>
      <w:tr w14:paraId="0ABD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14:paraId="6747F3B9">
            <w:pPr>
              <w:keepNext w:val="0"/>
              <w:keepLines w:val="0"/>
              <w:widowControl w:val="0"/>
              <w:suppressLineNumbers w:val="0"/>
              <w:spacing w:before="120" w:beforeAutospacing="0" w:after="60" w:afterAutospacing="0"/>
              <w:ind w:left="0" w:right="0"/>
              <w:jc w:val="center"/>
              <w:rPr>
                <w:rFonts w:hint="eastAsia" w:ascii="宋体" w:hAnsi="宋体" w:eastAsia="宋体" w:cs="Times New Roman"/>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序号</w:t>
            </w:r>
          </w:p>
        </w:tc>
        <w:tc>
          <w:tcPr>
            <w:tcW w:w="3780" w:type="dxa"/>
            <w:tcBorders>
              <w:top w:val="single" w:color="auto" w:sz="4" w:space="0"/>
              <w:left w:val="nil"/>
              <w:bottom w:val="single" w:color="auto" w:sz="4" w:space="0"/>
              <w:right w:val="single" w:color="auto" w:sz="4" w:space="0"/>
            </w:tcBorders>
            <w:shd w:val="clear" w:color="auto" w:fill="auto"/>
            <w:vAlign w:val="center"/>
          </w:tcPr>
          <w:p w14:paraId="55574E2D">
            <w:pPr>
              <w:keepNext w:val="0"/>
              <w:keepLines w:val="0"/>
              <w:widowControl w:val="0"/>
              <w:suppressLineNumbers w:val="0"/>
              <w:spacing w:before="120" w:beforeAutospacing="0" w:after="60" w:afterAutospacing="0"/>
              <w:ind w:left="0" w:right="0"/>
              <w:jc w:val="center"/>
              <w:rPr>
                <w:rFonts w:hint="eastAsia" w:ascii="宋体" w:hAnsi="宋体" w:eastAsia="宋体" w:cs="Times New Roman"/>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审查项目</w:t>
            </w:r>
          </w:p>
        </w:tc>
        <w:tc>
          <w:tcPr>
            <w:tcW w:w="3420" w:type="dxa"/>
            <w:tcBorders>
              <w:top w:val="single" w:color="auto" w:sz="4" w:space="0"/>
              <w:left w:val="nil"/>
              <w:bottom w:val="single" w:color="auto" w:sz="4" w:space="0"/>
              <w:right w:val="single" w:color="auto" w:sz="4" w:space="0"/>
            </w:tcBorders>
            <w:shd w:val="clear" w:color="auto" w:fill="auto"/>
            <w:vAlign w:val="center"/>
          </w:tcPr>
          <w:p w14:paraId="0F1F314E">
            <w:pPr>
              <w:keepNext w:val="0"/>
              <w:keepLines w:val="0"/>
              <w:widowControl w:val="0"/>
              <w:suppressLineNumbers w:val="0"/>
              <w:spacing w:before="120" w:beforeAutospacing="0" w:after="60" w:afterAutospacing="0"/>
              <w:ind w:left="0" w:right="0"/>
              <w:jc w:val="center"/>
              <w:rPr>
                <w:rFonts w:hint="eastAsia" w:ascii="宋体" w:hAnsi="宋体" w:eastAsia="宋体" w:cs="Times New Roman"/>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须审查的资料</w:t>
            </w:r>
          </w:p>
        </w:tc>
        <w:tc>
          <w:tcPr>
            <w:tcW w:w="720" w:type="dxa"/>
            <w:tcBorders>
              <w:top w:val="single" w:color="auto" w:sz="4" w:space="0"/>
              <w:left w:val="nil"/>
              <w:bottom w:val="single" w:color="auto" w:sz="4" w:space="0"/>
              <w:right w:val="single" w:color="auto" w:sz="4" w:space="0"/>
            </w:tcBorders>
            <w:shd w:val="clear" w:color="auto" w:fill="auto"/>
            <w:vAlign w:val="center"/>
          </w:tcPr>
          <w:p w14:paraId="5CC77E33">
            <w:pPr>
              <w:keepNext w:val="0"/>
              <w:keepLines w:val="0"/>
              <w:widowControl w:val="0"/>
              <w:suppressLineNumbers w:val="0"/>
              <w:spacing w:before="120" w:beforeAutospacing="0" w:after="60" w:afterAutospacing="0"/>
              <w:ind w:left="0" w:right="0"/>
              <w:jc w:val="center"/>
              <w:rPr>
                <w:rFonts w:hint="eastAsia" w:ascii="宋体" w:hAnsi="宋体" w:eastAsia="宋体" w:cs="Times New Roman"/>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审查结果</w:t>
            </w:r>
          </w:p>
        </w:tc>
      </w:tr>
      <w:tr w14:paraId="63D0E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14:paraId="7704216E">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p>
        </w:tc>
        <w:tc>
          <w:tcPr>
            <w:tcW w:w="3780" w:type="dxa"/>
            <w:tcBorders>
              <w:top w:val="single" w:color="auto" w:sz="4" w:space="0"/>
              <w:left w:val="nil"/>
              <w:bottom w:val="single" w:color="auto" w:sz="4" w:space="0"/>
              <w:right w:val="single" w:color="auto" w:sz="4" w:space="0"/>
            </w:tcBorders>
            <w:shd w:val="clear" w:color="auto" w:fill="auto"/>
            <w:vAlign w:val="center"/>
          </w:tcPr>
          <w:p w14:paraId="3F8EC218">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投标人参加投标的意思表达清楚，投标人代表被授权有效。</w:t>
            </w:r>
          </w:p>
        </w:tc>
        <w:tc>
          <w:tcPr>
            <w:tcW w:w="3420" w:type="dxa"/>
            <w:tcBorders>
              <w:top w:val="single" w:color="auto" w:sz="4" w:space="0"/>
              <w:left w:val="nil"/>
              <w:bottom w:val="single" w:color="auto" w:sz="4" w:space="0"/>
              <w:right w:val="single" w:color="auto" w:sz="4" w:space="0"/>
            </w:tcBorders>
            <w:shd w:val="clear" w:color="auto" w:fill="auto"/>
            <w:vAlign w:val="center"/>
          </w:tcPr>
          <w:p w14:paraId="42F8F795">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投标人声明、法定代表人证明书；委托投标的还应提供法人授权委托证明书。</w:t>
            </w:r>
          </w:p>
        </w:tc>
        <w:tc>
          <w:tcPr>
            <w:tcW w:w="720" w:type="dxa"/>
            <w:tcBorders>
              <w:top w:val="single" w:color="auto" w:sz="4" w:space="0"/>
              <w:left w:val="nil"/>
              <w:bottom w:val="single" w:color="auto" w:sz="4" w:space="0"/>
              <w:right w:val="single" w:color="auto" w:sz="4" w:space="0"/>
            </w:tcBorders>
            <w:shd w:val="clear" w:color="auto" w:fill="auto"/>
            <w:vAlign w:val="center"/>
          </w:tcPr>
          <w:p w14:paraId="4E630062">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p>
        </w:tc>
      </w:tr>
      <w:tr w14:paraId="15FB7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14:paraId="260100C9">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w:t>
            </w:r>
          </w:p>
        </w:tc>
        <w:tc>
          <w:tcPr>
            <w:tcW w:w="3780" w:type="dxa"/>
            <w:tcBorders>
              <w:top w:val="single" w:color="auto" w:sz="4" w:space="0"/>
              <w:left w:val="nil"/>
              <w:bottom w:val="single" w:color="auto" w:sz="4" w:space="0"/>
              <w:right w:val="single" w:color="auto" w:sz="4" w:space="0"/>
            </w:tcBorders>
            <w:shd w:val="clear" w:color="auto" w:fill="auto"/>
            <w:vAlign w:val="center"/>
          </w:tcPr>
          <w:p w14:paraId="027CFF16">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投标人具有独立法人资格，按国家法律经营。</w:t>
            </w:r>
          </w:p>
        </w:tc>
        <w:tc>
          <w:tcPr>
            <w:tcW w:w="3420" w:type="dxa"/>
            <w:tcBorders>
              <w:top w:val="single" w:color="auto" w:sz="4" w:space="0"/>
              <w:left w:val="nil"/>
              <w:bottom w:val="single" w:color="auto" w:sz="4" w:space="0"/>
              <w:right w:val="single" w:color="auto" w:sz="4" w:space="0"/>
            </w:tcBorders>
            <w:shd w:val="clear" w:color="auto" w:fill="auto"/>
            <w:vAlign w:val="center"/>
          </w:tcPr>
          <w:p w14:paraId="422D454D">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营业执照在广州市住建行业信用管理平台内上传件。</w:t>
            </w:r>
          </w:p>
        </w:tc>
        <w:tc>
          <w:tcPr>
            <w:tcW w:w="720" w:type="dxa"/>
            <w:tcBorders>
              <w:top w:val="single" w:color="auto" w:sz="4" w:space="0"/>
              <w:left w:val="nil"/>
              <w:bottom w:val="single" w:color="auto" w:sz="4" w:space="0"/>
              <w:right w:val="single" w:color="auto" w:sz="4" w:space="0"/>
            </w:tcBorders>
            <w:shd w:val="clear" w:color="auto" w:fill="auto"/>
            <w:vAlign w:val="center"/>
          </w:tcPr>
          <w:p w14:paraId="1F423C65">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p>
        </w:tc>
      </w:tr>
      <w:tr w14:paraId="6AC8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14:paraId="56E7AA43">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w:t>
            </w:r>
          </w:p>
        </w:tc>
        <w:tc>
          <w:tcPr>
            <w:tcW w:w="3780" w:type="dxa"/>
            <w:tcBorders>
              <w:top w:val="single" w:color="auto" w:sz="4" w:space="0"/>
              <w:left w:val="nil"/>
              <w:bottom w:val="single" w:color="auto" w:sz="4" w:space="0"/>
              <w:right w:val="single" w:color="auto" w:sz="4" w:space="0"/>
            </w:tcBorders>
            <w:shd w:val="clear" w:color="auto" w:fill="auto"/>
            <w:vAlign w:val="center"/>
          </w:tcPr>
          <w:p w14:paraId="6DD18229">
            <w:pPr>
              <w:keepNext w:val="0"/>
              <w:keepLines w:val="0"/>
              <w:widowControl/>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bCs w:val="0"/>
                <w:color w:val="auto"/>
                <w:kern w:val="2"/>
                <w:sz w:val="21"/>
                <w:szCs w:val="21"/>
                <w:highlight w:val="none"/>
                <w:lang w:val="en-US" w:eastAsia="zh-CN" w:bidi="ar"/>
              </w:rPr>
              <w:t>投标人持有建设行政主管部门颁发的</w:t>
            </w:r>
            <w:r>
              <w:rPr>
                <w:rFonts w:hint="eastAsia" w:ascii="宋体" w:hAnsi="宋体" w:eastAsia="宋体" w:cs="宋体"/>
                <w:b w:val="0"/>
                <w:color w:val="auto"/>
                <w:kern w:val="2"/>
                <w:sz w:val="21"/>
                <w:szCs w:val="21"/>
                <w:highlight w:val="none"/>
                <w:lang w:val="en-US" w:eastAsia="zh-CN" w:bidi="ar"/>
              </w:rPr>
              <w:t>有效期内的</w:t>
            </w:r>
            <w:r>
              <w:rPr>
                <w:rFonts w:hint="eastAsia" w:ascii="宋体" w:hAnsi="宋体" w:eastAsia="宋体" w:cs="宋体"/>
                <w:bCs w:val="0"/>
                <w:color w:val="auto"/>
                <w:kern w:val="2"/>
                <w:sz w:val="21"/>
                <w:szCs w:val="21"/>
                <w:highlight w:val="none"/>
                <w:lang w:val="en-US" w:eastAsia="zh-CN" w:bidi="ar"/>
              </w:rPr>
              <w:t>企业资质证书及安全生产许可证</w:t>
            </w:r>
            <w:r>
              <w:rPr>
                <w:rFonts w:hint="eastAsia" w:ascii="宋体" w:hAnsi="宋体" w:eastAsia="宋体" w:cs="宋体"/>
                <w:color w:val="auto"/>
                <w:kern w:val="2"/>
                <w:sz w:val="21"/>
                <w:szCs w:val="21"/>
                <w:highlight w:val="none"/>
                <w:lang w:val="en-US" w:eastAsia="zh-CN" w:bidi="ar"/>
              </w:rPr>
              <w:t>；投标人资质符合公告要求。</w:t>
            </w:r>
          </w:p>
        </w:tc>
        <w:tc>
          <w:tcPr>
            <w:tcW w:w="3420" w:type="dxa"/>
            <w:tcBorders>
              <w:top w:val="single" w:color="auto" w:sz="4" w:space="0"/>
              <w:left w:val="nil"/>
              <w:bottom w:val="single" w:color="auto" w:sz="4" w:space="0"/>
              <w:right w:val="single" w:color="auto" w:sz="4" w:space="0"/>
            </w:tcBorders>
            <w:shd w:val="clear" w:color="auto" w:fill="auto"/>
            <w:vAlign w:val="center"/>
          </w:tcPr>
          <w:p w14:paraId="002D0FD0">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资质证书及安全生产许可证在广州市住建行业信用管理平台内上传件。</w:t>
            </w:r>
          </w:p>
        </w:tc>
        <w:tc>
          <w:tcPr>
            <w:tcW w:w="720" w:type="dxa"/>
            <w:tcBorders>
              <w:top w:val="single" w:color="auto" w:sz="4" w:space="0"/>
              <w:left w:val="nil"/>
              <w:bottom w:val="single" w:color="auto" w:sz="4" w:space="0"/>
              <w:right w:val="single" w:color="auto" w:sz="4" w:space="0"/>
            </w:tcBorders>
            <w:shd w:val="clear" w:color="auto" w:fill="auto"/>
            <w:vAlign w:val="center"/>
          </w:tcPr>
          <w:p w14:paraId="0FF6557B">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p>
        </w:tc>
      </w:tr>
      <w:tr w14:paraId="67D1F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14:paraId="07EA1891">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w:t>
            </w:r>
          </w:p>
        </w:tc>
        <w:tc>
          <w:tcPr>
            <w:tcW w:w="3780" w:type="dxa"/>
            <w:tcBorders>
              <w:top w:val="single" w:color="auto" w:sz="4" w:space="0"/>
              <w:left w:val="nil"/>
              <w:bottom w:val="single" w:color="auto" w:sz="4" w:space="0"/>
              <w:right w:val="single" w:color="auto" w:sz="4" w:space="0"/>
            </w:tcBorders>
            <w:shd w:val="clear" w:color="auto" w:fill="auto"/>
            <w:vAlign w:val="center"/>
          </w:tcPr>
          <w:p w14:paraId="20289016">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投标人拟担任本工程项目负责人符合公告要求。</w:t>
            </w:r>
          </w:p>
        </w:tc>
        <w:tc>
          <w:tcPr>
            <w:tcW w:w="3420" w:type="dxa"/>
            <w:tcBorders>
              <w:top w:val="single" w:color="auto" w:sz="4" w:space="0"/>
              <w:left w:val="nil"/>
              <w:bottom w:val="single" w:color="auto" w:sz="4" w:space="0"/>
              <w:right w:val="single" w:color="auto" w:sz="4" w:space="0"/>
            </w:tcBorders>
            <w:shd w:val="clear" w:color="auto" w:fill="auto"/>
            <w:vAlign w:val="center"/>
          </w:tcPr>
          <w:p w14:paraId="2AADBD56">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有效期内的注册建造师注册证书在广州市住建行业信用平台内上传件。</w:t>
            </w:r>
          </w:p>
          <w:p w14:paraId="64B456F1">
            <w:pPr>
              <w:keepNext w:val="0"/>
              <w:keepLines w:val="0"/>
              <w:widowControl w:val="0"/>
              <w:suppressLineNumbers w:val="0"/>
              <w:spacing w:before="120" w:beforeAutospacing="0" w:after="60" w:afterAutospacing="0"/>
              <w:ind w:left="0" w:right="0"/>
              <w:jc w:val="left"/>
              <w:rPr>
                <w:rFonts w:hint="eastAsia" w:ascii="宋体" w:hAnsi="宋体" w:eastAsia="宋体" w:cs="Times New Roman"/>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（注：打印建造师电子证书后，在个人签名处手写本人签名再上传广州市住建行业信用平台。）</w:t>
            </w:r>
          </w:p>
        </w:tc>
        <w:tc>
          <w:tcPr>
            <w:tcW w:w="720" w:type="dxa"/>
            <w:tcBorders>
              <w:top w:val="single" w:color="auto" w:sz="4" w:space="0"/>
              <w:left w:val="nil"/>
              <w:bottom w:val="single" w:color="auto" w:sz="4" w:space="0"/>
              <w:right w:val="single" w:color="auto" w:sz="4" w:space="0"/>
            </w:tcBorders>
            <w:shd w:val="clear" w:color="auto" w:fill="auto"/>
            <w:vAlign w:val="center"/>
          </w:tcPr>
          <w:p w14:paraId="342DCBCA">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p>
        </w:tc>
      </w:tr>
      <w:tr w14:paraId="49443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14:paraId="58D7B576">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w:t>
            </w:r>
          </w:p>
        </w:tc>
        <w:tc>
          <w:tcPr>
            <w:tcW w:w="3780" w:type="dxa"/>
            <w:tcBorders>
              <w:top w:val="single" w:color="auto" w:sz="4" w:space="0"/>
              <w:left w:val="nil"/>
              <w:bottom w:val="single" w:color="auto" w:sz="4" w:space="0"/>
              <w:right w:val="single" w:color="auto" w:sz="4" w:space="0"/>
            </w:tcBorders>
            <w:shd w:val="clear" w:color="auto" w:fill="auto"/>
            <w:vAlign w:val="center"/>
          </w:tcPr>
          <w:p w14:paraId="1423FD59">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持有项目负责人安全生产考核合格证（B类）或建筑施工企业项目负责人安全生产考核合格证。</w:t>
            </w:r>
          </w:p>
        </w:tc>
        <w:tc>
          <w:tcPr>
            <w:tcW w:w="3420" w:type="dxa"/>
            <w:tcBorders>
              <w:top w:val="single" w:color="auto" w:sz="4" w:space="0"/>
              <w:left w:val="nil"/>
              <w:bottom w:val="single" w:color="auto" w:sz="4" w:space="0"/>
              <w:right w:val="single" w:color="auto" w:sz="4" w:space="0"/>
            </w:tcBorders>
            <w:shd w:val="clear" w:color="auto" w:fill="auto"/>
            <w:vAlign w:val="center"/>
          </w:tcPr>
          <w:p w14:paraId="595D44A6">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项目负责人安全生产考核合格证（B类）或建筑施工企业项目负责人安全生产考核合格证在广州市住建行业信用管理平台内上传件。</w:t>
            </w:r>
          </w:p>
        </w:tc>
        <w:tc>
          <w:tcPr>
            <w:tcW w:w="720" w:type="dxa"/>
            <w:tcBorders>
              <w:top w:val="single" w:color="auto" w:sz="4" w:space="0"/>
              <w:left w:val="nil"/>
              <w:bottom w:val="single" w:color="auto" w:sz="4" w:space="0"/>
              <w:right w:val="single" w:color="auto" w:sz="4" w:space="0"/>
            </w:tcBorders>
            <w:shd w:val="clear" w:color="auto" w:fill="auto"/>
            <w:vAlign w:val="center"/>
          </w:tcPr>
          <w:p w14:paraId="4A80322B">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p>
        </w:tc>
      </w:tr>
      <w:tr w14:paraId="516B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14:paraId="05AEC733">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w:t>
            </w:r>
          </w:p>
        </w:tc>
        <w:tc>
          <w:tcPr>
            <w:tcW w:w="3780" w:type="dxa"/>
            <w:tcBorders>
              <w:top w:val="single" w:color="auto" w:sz="4" w:space="0"/>
              <w:left w:val="nil"/>
              <w:bottom w:val="single" w:color="auto" w:sz="4" w:space="0"/>
              <w:right w:val="single" w:color="auto" w:sz="4" w:space="0"/>
            </w:tcBorders>
            <w:shd w:val="clear" w:color="auto" w:fill="auto"/>
            <w:vAlign w:val="center"/>
          </w:tcPr>
          <w:p w14:paraId="534BA3D9">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投标人拟担任本工程技术负责人符合公告要求。</w:t>
            </w:r>
          </w:p>
        </w:tc>
        <w:tc>
          <w:tcPr>
            <w:tcW w:w="3420" w:type="dxa"/>
            <w:tcBorders>
              <w:top w:val="single" w:color="auto" w:sz="4" w:space="0"/>
              <w:left w:val="nil"/>
              <w:bottom w:val="single" w:color="auto" w:sz="4" w:space="0"/>
              <w:right w:val="single" w:color="auto" w:sz="4" w:space="0"/>
            </w:tcBorders>
            <w:shd w:val="clear" w:color="auto" w:fill="auto"/>
            <w:vAlign w:val="center"/>
          </w:tcPr>
          <w:p w14:paraId="5FFE6739">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拟委托技术负责人的相关证书、资料扫描件。</w:t>
            </w:r>
          </w:p>
        </w:tc>
        <w:tc>
          <w:tcPr>
            <w:tcW w:w="720" w:type="dxa"/>
            <w:tcBorders>
              <w:top w:val="single" w:color="auto" w:sz="4" w:space="0"/>
              <w:left w:val="nil"/>
              <w:bottom w:val="single" w:color="auto" w:sz="4" w:space="0"/>
              <w:right w:val="single" w:color="auto" w:sz="4" w:space="0"/>
            </w:tcBorders>
            <w:shd w:val="clear" w:color="auto" w:fill="auto"/>
            <w:vAlign w:val="center"/>
          </w:tcPr>
          <w:p w14:paraId="6A7AB88A">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p>
        </w:tc>
      </w:tr>
      <w:tr w14:paraId="39016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14:paraId="753110C8">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7</w:t>
            </w:r>
          </w:p>
        </w:tc>
        <w:tc>
          <w:tcPr>
            <w:tcW w:w="3780" w:type="dxa"/>
            <w:tcBorders>
              <w:top w:val="single" w:color="auto" w:sz="4" w:space="0"/>
              <w:left w:val="nil"/>
              <w:bottom w:val="single" w:color="auto" w:sz="4" w:space="0"/>
              <w:right w:val="single" w:color="auto" w:sz="4" w:space="0"/>
            </w:tcBorders>
            <w:shd w:val="clear" w:color="auto" w:fill="auto"/>
            <w:vAlign w:val="center"/>
          </w:tcPr>
          <w:p w14:paraId="33410B07">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专职安全员须具有安全生产考核合格证（C类）</w:t>
            </w:r>
            <w:r>
              <w:rPr>
                <w:rFonts w:hint="eastAsia" w:ascii="宋体" w:hAnsi="宋体" w:eastAsia="宋体" w:cs="宋体"/>
                <w:color w:val="auto"/>
                <w:kern w:val="2"/>
                <w:sz w:val="21"/>
                <w:szCs w:val="21"/>
                <w:highlight w:val="none"/>
                <w:u w:val="single"/>
                <w:lang w:val="en-US" w:eastAsia="zh-CN" w:bidi="ar"/>
              </w:rPr>
              <w:t>或建筑施工企业专职安全生产管理人员安全生产考核合格证书（C3），</w:t>
            </w:r>
            <w:r>
              <w:rPr>
                <w:rFonts w:hint="eastAsia" w:ascii="宋体" w:hAnsi="宋体" w:eastAsia="宋体" w:cs="宋体"/>
                <w:b/>
                <w:bCs w:val="0"/>
                <w:color w:val="auto"/>
                <w:kern w:val="2"/>
                <w:sz w:val="21"/>
                <w:szCs w:val="21"/>
                <w:highlight w:val="none"/>
                <w:u w:val="single"/>
                <w:lang w:val="en-US" w:eastAsia="zh-CN" w:bidi="ar"/>
              </w:rPr>
              <w:t>项目负责人和专职安全员不为同一人</w:t>
            </w:r>
            <w:r>
              <w:rPr>
                <w:rFonts w:hint="eastAsia" w:ascii="宋体" w:hAnsi="宋体" w:eastAsia="宋体" w:cs="宋体"/>
                <w:color w:val="auto"/>
                <w:kern w:val="2"/>
                <w:sz w:val="21"/>
                <w:szCs w:val="21"/>
                <w:highlight w:val="none"/>
                <w:lang w:val="en-US" w:eastAsia="zh-CN" w:bidi="ar"/>
              </w:rPr>
              <w:t>。</w:t>
            </w:r>
          </w:p>
        </w:tc>
        <w:tc>
          <w:tcPr>
            <w:tcW w:w="3420" w:type="dxa"/>
            <w:tcBorders>
              <w:top w:val="single" w:color="auto" w:sz="4" w:space="0"/>
              <w:left w:val="nil"/>
              <w:bottom w:val="single" w:color="auto" w:sz="4" w:space="0"/>
              <w:right w:val="single" w:color="auto" w:sz="4" w:space="0"/>
            </w:tcBorders>
            <w:shd w:val="clear" w:color="auto" w:fill="auto"/>
            <w:vAlign w:val="center"/>
          </w:tcPr>
          <w:p w14:paraId="2B7753AB">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专职安全员的安全生产考核合格证（C类）</w:t>
            </w:r>
            <w:r>
              <w:rPr>
                <w:rFonts w:hint="eastAsia" w:ascii="宋体" w:hAnsi="宋体" w:eastAsia="宋体" w:cs="宋体"/>
                <w:color w:val="auto"/>
                <w:kern w:val="2"/>
                <w:sz w:val="21"/>
                <w:szCs w:val="21"/>
                <w:highlight w:val="none"/>
                <w:u w:val="single"/>
                <w:lang w:val="en-US" w:eastAsia="zh-CN" w:bidi="ar"/>
              </w:rPr>
              <w:t>或建筑施工企业专职安全生产管理人员安全生产考核合格证书（C3）</w:t>
            </w:r>
            <w:r>
              <w:rPr>
                <w:rFonts w:hint="eastAsia" w:ascii="宋体" w:hAnsi="宋体" w:eastAsia="宋体" w:cs="宋体"/>
                <w:color w:val="auto"/>
                <w:kern w:val="2"/>
                <w:sz w:val="21"/>
                <w:szCs w:val="21"/>
                <w:highlight w:val="none"/>
                <w:lang w:val="en-US" w:eastAsia="zh-CN" w:bidi="ar"/>
              </w:rPr>
              <w:t>在广州市住建行业信用管理平台内上传件，</w:t>
            </w:r>
            <w:r>
              <w:rPr>
                <w:rFonts w:hint="eastAsia" w:ascii="宋体" w:hAnsi="宋体" w:eastAsia="宋体" w:cs="宋体"/>
                <w:b/>
                <w:bCs w:val="0"/>
                <w:color w:val="auto"/>
                <w:kern w:val="2"/>
                <w:sz w:val="21"/>
                <w:szCs w:val="21"/>
                <w:highlight w:val="none"/>
                <w:u w:val="single"/>
                <w:lang w:val="en-US" w:eastAsia="zh-CN" w:bidi="ar"/>
              </w:rPr>
              <w:t>项目负责人和专职安全员不为同一人</w:t>
            </w:r>
            <w:r>
              <w:rPr>
                <w:rFonts w:hint="eastAsia" w:ascii="宋体" w:hAnsi="宋体" w:eastAsia="宋体" w:cs="宋体"/>
                <w:color w:val="auto"/>
                <w:kern w:val="2"/>
                <w:sz w:val="21"/>
                <w:szCs w:val="21"/>
                <w:highlight w:val="none"/>
                <w:lang w:val="en-US" w:eastAsia="zh-CN" w:bidi="ar"/>
              </w:rPr>
              <w:t>。</w:t>
            </w:r>
          </w:p>
        </w:tc>
        <w:tc>
          <w:tcPr>
            <w:tcW w:w="720" w:type="dxa"/>
            <w:tcBorders>
              <w:top w:val="single" w:color="auto" w:sz="4" w:space="0"/>
              <w:left w:val="nil"/>
              <w:bottom w:val="single" w:color="auto" w:sz="4" w:space="0"/>
              <w:right w:val="single" w:color="auto" w:sz="4" w:space="0"/>
            </w:tcBorders>
            <w:shd w:val="clear" w:color="auto" w:fill="auto"/>
            <w:vAlign w:val="center"/>
          </w:tcPr>
          <w:p w14:paraId="43423B13">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p>
        </w:tc>
      </w:tr>
      <w:tr w14:paraId="63344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14:paraId="63F8A6E1">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8</w:t>
            </w:r>
          </w:p>
        </w:tc>
        <w:tc>
          <w:tcPr>
            <w:tcW w:w="3780" w:type="dxa"/>
            <w:tcBorders>
              <w:top w:val="single" w:color="auto" w:sz="4" w:space="0"/>
              <w:left w:val="nil"/>
              <w:bottom w:val="single" w:color="auto" w:sz="4" w:space="0"/>
              <w:right w:val="single" w:color="auto" w:sz="4" w:space="0"/>
            </w:tcBorders>
            <w:shd w:val="clear" w:color="auto" w:fill="auto"/>
            <w:vAlign w:val="center"/>
          </w:tcPr>
          <w:p w14:paraId="051522C6">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投标人完成过的类似工程业绩符合公告要求。</w:t>
            </w:r>
          </w:p>
        </w:tc>
        <w:tc>
          <w:tcPr>
            <w:tcW w:w="3420" w:type="dxa"/>
            <w:tcBorders>
              <w:top w:val="single" w:color="auto" w:sz="4" w:space="0"/>
              <w:left w:val="nil"/>
              <w:bottom w:val="single" w:color="auto" w:sz="4" w:space="0"/>
              <w:right w:val="single" w:color="auto" w:sz="4" w:space="0"/>
            </w:tcBorders>
            <w:shd w:val="clear" w:color="auto" w:fill="auto"/>
            <w:vAlign w:val="center"/>
          </w:tcPr>
          <w:p w14:paraId="7BC03ADE">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业绩在广州市住建行业信用管理平台内的相关上传件。</w:t>
            </w:r>
          </w:p>
        </w:tc>
        <w:tc>
          <w:tcPr>
            <w:tcW w:w="720" w:type="dxa"/>
            <w:tcBorders>
              <w:top w:val="single" w:color="auto" w:sz="4" w:space="0"/>
              <w:left w:val="nil"/>
              <w:bottom w:val="single" w:color="auto" w:sz="4" w:space="0"/>
              <w:right w:val="single" w:color="auto" w:sz="4" w:space="0"/>
            </w:tcBorders>
            <w:shd w:val="clear" w:color="auto" w:fill="auto"/>
            <w:vAlign w:val="center"/>
          </w:tcPr>
          <w:p w14:paraId="098494BC">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p>
        </w:tc>
      </w:tr>
      <w:tr w14:paraId="38520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14:paraId="51AD276D">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9</w:t>
            </w:r>
          </w:p>
        </w:tc>
        <w:tc>
          <w:tcPr>
            <w:tcW w:w="3780" w:type="dxa"/>
            <w:tcBorders>
              <w:top w:val="single" w:color="auto" w:sz="4" w:space="0"/>
              <w:left w:val="nil"/>
              <w:bottom w:val="single" w:color="auto" w:sz="4" w:space="0"/>
              <w:right w:val="single" w:color="auto" w:sz="4" w:space="0"/>
            </w:tcBorders>
            <w:shd w:val="clear" w:color="auto" w:fill="auto"/>
            <w:vAlign w:val="center"/>
          </w:tcPr>
          <w:p w14:paraId="1AEAE2B8">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投标人提供的投标人声明符合公告要求。</w:t>
            </w:r>
          </w:p>
        </w:tc>
        <w:tc>
          <w:tcPr>
            <w:tcW w:w="3420" w:type="dxa"/>
            <w:tcBorders>
              <w:top w:val="single" w:color="auto" w:sz="4" w:space="0"/>
              <w:left w:val="nil"/>
              <w:bottom w:val="single" w:color="auto" w:sz="4" w:space="0"/>
              <w:right w:val="single" w:color="auto" w:sz="4" w:space="0"/>
            </w:tcBorders>
            <w:shd w:val="clear" w:color="auto" w:fill="auto"/>
            <w:vAlign w:val="center"/>
          </w:tcPr>
          <w:p w14:paraId="6E26B45A">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投标人声明。</w:t>
            </w:r>
          </w:p>
        </w:tc>
        <w:tc>
          <w:tcPr>
            <w:tcW w:w="720" w:type="dxa"/>
            <w:tcBorders>
              <w:top w:val="single" w:color="auto" w:sz="4" w:space="0"/>
              <w:left w:val="nil"/>
              <w:bottom w:val="single" w:color="auto" w:sz="4" w:space="0"/>
              <w:right w:val="single" w:color="auto" w:sz="4" w:space="0"/>
            </w:tcBorders>
            <w:shd w:val="clear" w:color="auto" w:fill="auto"/>
            <w:vAlign w:val="center"/>
          </w:tcPr>
          <w:p w14:paraId="105CA9A2">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p>
        </w:tc>
      </w:tr>
      <w:tr w14:paraId="2C9B1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14:paraId="4C3386D5">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10</w:t>
            </w:r>
          </w:p>
        </w:tc>
        <w:tc>
          <w:tcPr>
            <w:tcW w:w="3780" w:type="dxa"/>
            <w:tcBorders>
              <w:top w:val="single" w:color="auto" w:sz="4" w:space="0"/>
              <w:left w:val="nil"/>
              <w:bottom w:val="single" w:color="auto" w:sz="4" w:space="0"/>
              <w:right w:val="single" w:color="auto" w:sz="4" w:space="0"/>
            </w:tcBorders>
            <w:shd w:val="clear" w:color="auto" w:fill="auto"/>
            <w:vAlign w:val="center"/>
          </w:tcPr>
          <w:p w14:paraId="1032E23F">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投标人声明中签字的项目负责人和技术负责人与本项目拟派的项目负责人和技术负责人一致。</w:t>
            </w:r>
          </w:p>
        </w:tc>
        <w:tc>
          <w:tcPr>
            <w:tcW w:w="3420" w:type="dxa"/>
            <w:tcBorders>
              <w:top w:val="single" w:color="auto" w:sz="4" w:space="0"/>
              <w:left w:val="nil"/>
              <w:bottom w:val="single" w:color="auto" w:sz="4" w:space="0"/>
              <w:right w:val="single" w:color="auto" w:sz="4" w:space="0"/>
            </w:tcBorders>
            <w:shd w:val="clear" w:color="auto" w:fill="auto"/>
            <w:vAlign w:val="center"/>
          </w:tcPr>
          <w:p w14:paraId="447F39BA">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网上投标时选择拟投标的项目负责人、资格审查文件中拟委派的技术负责人及投标人声明。</w:t>
            </w:r>
          </w:p>
        </w:tc>
        <w:tc>
          <w:tcPr>
            <w:tcW w:w="720" w:type="dxa"/>
            <w:tcBorders>
              <w:top w:val="single" w:color="auto" w:sz="4" w:space="0"/>
              <w:left w:val="nil"/>
              <w:bottom w:val="single" w:color="auto" w:sz="4" w:space="0"/>
              <w:right w:val="single" w:color="auto" w:sz="4" w:space="0"/>
            </w:tcBorders>
            <w:shd w:val="clear" w:color="auto" w:fill="auto"/>
            <w:vAlign w:val="center"/>
          </w:tcPr>
          <w:p w14:paraId="043DA434">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p>
        </w:tc>
      </w:tr>
      <w:tr w14:paraId="1E693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14:paraId="160A19E6">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11</w:t>
            </w:r>
          </w:p>
        </w:tc>
        <w:tc>
          <w:tcPr>
            <w:tcW w:w="3780" w:type="dxa"/>
            <w:tcBorders>
              <w:top w:val="single" w:color="auto" w:sz="4" w:space="0"/>
              <w:left w:val="nil"/>
              <w:bottom w:val="single" w:color="auto" w:sz="4" w:space="0"/>
              <w:right w:val="single" w:color="auto" w:sz="4" w:space="0"/>
            </w:tcBorders>
            <w:shd w:val="clear" w:color="auto" w:fill="auto"/>
            <w:vAlign w:val="center"/>
          </w:tcPr>
          <w:p w14:paraId="337E985C">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u w:val="single"/>
                <w:lang w:val="en-US" w:eastAsia="zh-CN" w:bidi="ar"/>
              </w:rPr>
              <w:t>关于联合体投标：本项目不接受联合体投标。</w:t>
            </w:r>
          </w:p>
        </w:tc>
        <w:tc>
          <w:tcPr>
            <w:tcW w:w="3420" w:type="dxa"/>
            <w:tcBorders>
              <w:top w:val="single" w:color="auto" w:sz="4" w:space="0"/>
              <w:left w:val="nil"/>
              <w:bottom w:val="single" w:color="auto" w:sz="4" w:space="0"/>
              <w:right w:val="single" w:color="auto" w:sz="4" w:space="0"/>
            </w:tcBorders>
            <w:shd w:val="clear" w:color="auto" w:fill="auto"/>
            <w:vAlign w:val="center"/>
          </w:tcPr>
          <w:p w14:paraId="405DC4DF">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u w:val="single"/>
                <w:lang w:val="en-US" w:eastAsia="zh-CN" w:bidi="ar"/>
              </w:rPr>
              <w:t>未以联合体进行投标。</w:t>
            </w:r>
          </w:p>
        </w:tc>
        <w:tc>
          <w:tcPr>
            <w:tcW w:w="720" w:type="dxa"/>
            <w:tcBorders>
              <w:top w:val="single" w:color="auto" w:sz="4" w:space="0"/>
              <w:left w:val="nil"/>
              <w:bottom w:val="single" w:color="auto" w:sz="4" w:space="0"/>
              <w:right w:val="single" w:color="auto" w:sz="4" w:space="0"/>
            </w:tcBorders>
            <w:shd w:val="clear" w:color="auto" w:fill="auto"/>
            <w:vAlign w:val="center"/>
          </w:tcPr>
          <w:p w14:paraId="4FD0E02C">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p>
        </w:tc>
      </w:tr>
      <w:tr w14:paraId="5790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14:paraId="3F096C35">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12</w:t>
            </w:r>
          </w:p>
        </w:tc>
        <w:tc>
          <w:tcPr>
            <w:tcW w:w="3780" w:type="dxa"/>
            <w:tcBorders>
              <w:top w:val="single" w:color="auto" w:sz="4" w:space="0"/>
              <w:left w:val="nil"/>
              <w:bottom w:val="single" w:color="auto" w:sz="4" w:space="0"/>
              <w:right w:val="single" w:color="auto" w:sz="4" w:space="0"/>
            </w:tcBorders>
            <w:shd w:val="clear" w:color="auto" w:fill="auto"/>
            <w:vAlign w:val="center"/>
          </w:tcPr>
          <w:p w14:paraId="3F85DAE0">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资格审查前，投标人须在广州市住房和城乡建设局建立企业信用档案及拟担任本工程项目负责人、专职安全员须是本企业中的在册人员。</w:t>
            </w:r>
          </w:p>
        </w:tc>
        <w:tc>
          <w:tcPr>
            <w:tcW w:w="3420" w:type="dxa"/>
            <w:tcBorders>
              <w:top w:val="single" w:color="auto" w:sz="4" w:space="0"/>
              <w:left w:val="nil"/>
              <w:bottom w:val="single" w:color="auto" w:sz="4" w:space="0"/>
              <w:right w:val="single" w:color="auto" w:sz="4" w:space="0"/>
            </w:tcBorders>
            <w:shd w:val="clear" w:color="auto" w:fill="auto"/>
            <w:vAlign w:val="center"/>
          </w:tcPr>
          <w:p w14:paraId="20E8CE39">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投标人在广州市住建行业信用管理平台内企业信用档案的企业和人员信息。</w:t>
            </w:r>
          </w:p>
        </w:tc>
        <w:tc>
          <w:tcPr>
            <w:tcW w:w="720" w:type="dxa"/>
            <w:tcBorders>
              <w:top w:val="single" w:color="auto" w:sz="4" w:space="0"/>
              <w:left w:val="nil"/>
              <w:bottom w:val="single" w:color="auto" w:sz="4" w:space="0"/>
              <w:right w:val="single" w:color="auto" w:sz="4" w:space="0"/>
            </w:tcBorders>
            <w:shd w:val="clear" w:color="auto" w:fill="auto"/>
            <w:vAlign w:val="center"/>
          </w:tcPr>
          <w:p w14:paraId="7CC1706C">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p>
        </w:tc>
      </w:tr>
      <w:tr w14:paraId="08241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14:paraId="0CC34F60">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13</w:t>
            </w:r>
          </w:p>
        </w:tc>
        <w:tc>
          <w:tcPr>
            <w:tcW w:w="3780" w:type="dxa"/>
            <w:tcBorders>
              <w:top w:val="single" w:color="auto" w:sz="4" w:space="0"/>
              <w:left w:val="nil"/>
              <w:bottom w:val="single" w:color="auto" w:sz="4" w:space="0"/>
              <w:right w:val="single" w:color="auto" w:sz="4" w:space="0"/>
            </w:tcBorders>
            <w:shd w:val="clear" w:color="auto" w:fill="auto"/>
            <w:vAlign w:val="center"/>
          </w:tcPr>
          <w:p w14:paraId="6982018D">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未在以往工程中因不充分履约行为被本项目招标人书面拒绝投标的（如有）。</w:t>
            </w:r>
          </w:p>
        </w:tc>
        <w:tc>
          <w:tcPr>
            <w:tcW w:w="3420" w:type="dxa"/>
            <w:tcBorders>
              <w:top w:val="single" w:color="auto" w:sz="4" w:space="0"/>
              <w:left w:val="nil"/>
              <w:bottom w:val="single" w:color="auto" w:sz="4" w:space="0"/>
              <w:right w:val="single" w:color="auto" w:sz="4" w:space="0"/>
            </w:tcBorders>
            <w:shd w:val="clear" w:color="auto" w:fill="auto"/>
            <w:vAlign w:val="center"/>
          </w:tcPr>
          <w:p w14:paraId="079AA328">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u w:val="single"/>
                <w:lang w:val="en-US" w:eastAsia="zh-CN" w:bidi="ar"/>
              </w:rPr>
              <w:t>详见招标公告附件三《被招标人拒绝投标的企业名单》。</w:t>
            </w:r>
          </w:p>
        </w:tc>
        <w:tc>
          <w:tcPr>
            <w:tcW w:w="720" w:type="dxa"/>
            <w:tcBorders>
              <w:top w:val="single" w:color="auto" w:sz="4" w:space="0"/>
              <w:left w:val="nil"/>
              <w:bottom w:val="single" w:color="auto" w:sz="4" w:space="0"/>
              <w:right w:val="single" w:color="auto" w:sz="4" w:space="0"/>
            </w:tcBorders>
            <w:shd w:val="clear" w:color="auto" w:fill="auto"/>
            <w:vAlign w:val="center"/>
          </w:tcPr>
          <w:p w14:paraId="49670012">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p>
        </w:tc>
      </w:tr>
      <w:tr w14:paraId="78C8D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14:paraId="1625EABA">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14</w:t>
            </w:r>
          </w:p>
        </w:tc>
        <w:tc>
          <w:tcPr>
            <w:tcW w:w="3780" w:type="dxa"/>
            <w:tcBorders>
              <w:top w:val="single" w:color="auto" w:sz="4" w:space="0"/>
              <w:left w:val="nil"/>
              <w:bottom w:val="single" w:color="auto" w:sz="4" w:space="0"/>
              <w:right w:val="single" w:color="auto" w:sz="4" w:space="0"/>
            </w:tcBorders>
            <w:shd w:val="clear" w:color="auto" w:fill="auto"/>
            <w:vAlign w:val="center"/>
          </w:tcPr>
          <w:p w14:paraId="52A716C2">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投标人未出现以下情形：与其它投标人的单位负责人为同一人或者存在控股、管理关系的（按投标人提供的《投标人声明》第八条内容进行评审）。</w:t>
            </w:r>
          </w:p>
        </w:tc>
        <w:tc>
          <w:tcPr>
            <w:tcW w:w="3420" w:type="dxa"/>
            <w:tcBorders>
              <w:top w:val="single" w:color="auto" w:sz="4" w:space="0"/>
              <w:left w:val="nil"/>
              <w:bottom w:val="single" w:color="auto" w:sz="4" w:space="0"/>
              <w:right w:val="single" w:color="auto" w:sz="4" w:space="0"/>
            </w:tcBorders>
            <w:shd w:val="clear" w:color="auto" w:fill="auto"/>
            <w:vAlign w:val="center"/>
          </w:tcPr>
          <w:p w14:paraId="1851C29F">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投标人声明。</w:t>
            </w:r>
          </w:p>
        </w:tc>
        <w:tc>
          <w:tcPr>
            <w:tcW w:w="720" w:type="dxa"/>
            <w:tcBorders>
              <w:top w:val="single" w:color="auto" w:sz="4" w:space="0"/>
              <w:left w:val="nil"/>
              <w:bottom w:val="single" w:color="auto" w:sz="4" w:space="0"/>
              <w:right w:val="single" w:color="auto" w:sz="4" w:space="0"/>
            </w:tcBorders>
            <w:shd w:val="clear" w:color="auto" w:fill="auto"/>
            <w:vAlign w:val="center"/>
          </w:tcPr>
          <w:p w14:paraId="32618955">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p>
        </w:tc>
      </w:tr>
      <w:tr w14:paraId="0FC50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14:paraId="20FE8C9C">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15</w:t>
            </w:r>
          </w:p>
        </w:tc>
        <w:tc>
          <w:tcPr>
            <w:tcW w:w="3780" w:type="dxa"/>
            <w:tcBorders>
              <w:top w:val="single" w:color="auto" w:sz="4" w:space="0"/>
              <w:left w:val="nil"/>
              <w:bottom w:val="single" w:color="auto" w:sz="4" w:space="0"/>
              <w:right w:val="single" w:color="auto" w:sz="4" w:space="0"/>
            </w:tcBorders>
            <w:shd w:val="clear" w:color="auto" w:fill="auto"/>
            <w:vAlign w:val="center"/>
          </w:tcPr>
          <w:p w14:paraId="56499A24">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未被列入拖欠农民工工资失信联合惩戒对象名单。</w:t>
            </w:r>
          </w:p>
        </w:tc>
        <w:tc>
          <w:tcPr>
            <w:tcW w:w="3420" w:type="dxa"/>
            <w:tcBorders>
              <w:top w:val="single" w:color="auto" w:sz="4" w:space="0"/>
              <w:left w:val="nil"/>
              <w:bottom w:val="single" w:color="auto" w:sz="4" w:space="0"/>
              <w:right w:val="single" w:color="auto" w:sz="4" w:space="0"/>
            </w:tcBorders>
            <w:shd w:val="clear" w:color="auto" w:fill="auto"/>
            <w:vAlign w:val="center"/>
          </w:tcPr>
          <w:p w14:paraId="107DC817">
            <w:pPr>
              <w:keepNext w:val="0"/>
              <w:keepLines w:val="0"/>
              <w:widowControl w:val="0"/>
              <w:suppressLineNumbers w:val="0"/>
              <w:spacing w:before="120" w:beforeAutospacing="0" w:after="6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投标人无需提供资料，按交易系统比对的结果进行评审。</w:t>
            </w:r>
          </w:p>
        </w:tc>
        <w:tc>
          <w:tcPr>
            <w:tcW w:w="720" w:type="dxa"/>
            <w:tcBorders>
              <w:top w:val="single" w:color="auto" w:sz="4" w:space="0"/>
              <w:left w:val="nil"/>
              <w:bottom w:val="single" w:color="auto" w:sz="4" w:space="0"/>
              <w:right w:val="single" w:color="auto" w:sz="4" w:space="0"/>
            </w:tcBorders>
            <w:shd w:val="clear" w:color="auto" w:fill="auto"/>
            <w:vAlign w:val="center"/>
          </w:tcPr>
          <w:p w14:paraId="3E8D8650">
            <w:pPr>
              <w:keepNext w:val="0"/>
              <w:keepLines w:val="0"/>
              <w:widowControl w:val="0"/>
              <w:suppressLineNumbers w:val="0"/>
              <w:spacing w:before="120" w:beforeAutospacing="0" w:after="60" w:afterAutospacing="0"/>
              <w:ind w:left="0" w:right="0"/>
              <w:jc w:val="center"/>
              <w:rPr>
                <w:rFonts w:hint="eastAsia" w:ascii="宋体" w:hAnsi="宋体" w:eastAsia="宋体" w:cs="Times New Roman"/>
                <w:color w:val="auto"/>
                <w:kern w:val="2"/>
                <w:sz w:val="21"/>
                <w:szCs w:val="21"/>
                <w:highlight w:val="none"/>
              </w:rPr>
            </w:pPr>
          </w:p>
        </w:tc>
      </w:tr>
    </w:tbl>
    <w:p w14:paraId="5AA7BF92">
      <w:pPr>
        <w:keepNext w:val="0"/>
        <w:keepLines w:val="0"/>
        <w:widowControl w:val="0"/>
        <w:suppressLineNumbers w:val="0"/>
        <w:spacing w:before="0" w:beforeAutospacing="0" w:after="0" w:afterAutospacing="0" w:line="480" w:lineRule="auto"/>
        <w:ind w:left="0" w:right="0" w:firstLine="470" w:firstLineChars="224"/>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备注：</w:t>
      </w:r>
    </w:p>
    <w:p w14:paraId="7B01E58A">
      <w:pPr>
        <w:keepNext w:val="0"/>
        <w:keepLines w:val="0"/>
        <w:widowControl w:val="0"/>
        <w:suppressLineNumbers w:val="0"/>
        <w:spacing w:before="0" w:beforeAutospacing="0" w:after="0" w:afterAutospacing="0" w:line="360" w:lineRule="auto"/>
        <w:ind w:left="0" w:right="0" w:firstLine="470" w:firstLineChars="224"/>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1、每一项目符合的打“○”，不符合的打“×”； </w:t>
      </w:r>
    </w:p>
    <w:p w14:paraId="44E71096">
      <w:pPr>
        <w:keepNext w:val="0"/>
        <w:keepLines w:val="0"/>
        <w:widowControl w:val="0"/>
        <w:suppressLineNumbers w:val="0"/>
        <w:spacing w:before="0" w:beforeAutospacing="0" w:after="0" w:afterAutospacing="0" w:line="360" w:lineRule="auto"/>
        <w:ind w:left="0" w:right="0" w:firstLine="470" w:firstLineChars="224"/>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2、若评委意见不一致时，则按少数服从多数的原则，作出评审结论。汇总后，出现一个“×”的结论为“不通过”。</w:t>
      </w:r>
    </w:p>
    <w:p w14:paraId="7B97891C">
      <w:pPr>
        <w:keepNext w:val="0"/>
        <w:keepLines w:val="0"/>
        <w:widowControl w:val="0"/>
        <w:suppressLineNumbers w:val="0"/>
        <w:spacing w:before="0" w:beforeAutospacing="0" w:after="0" w:afterAutospacing="0" w:line="360" w:lineRule="auto"/>
        <w:ind w:left="0" w:right="0" w:firstLine="470" w:firstLineChars="224"/>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不得将文件顺序、明显的文字错误等列为否决投标的情形。评委发现资格审查文件中含义不明确、对同类问题表述不一致、有明显文字和计算错误的，应当要求投标人作必要的澄清、说明后再判定投标人是否通过资格审查，不得直接认定其不通过资格审查。</w:t>
      </w:r>
    </w:p>
    <w:p w14:paraId="3F0084ED">
      <w:pPr>
        <w:rPr>
          <w:rFonts w:hint="default" w:ascii="Calibri" w:hAnsi="Calibri" w:eastAsia="宋体" w:cs="Times New Roman"/>
          <w:color w:val="auto"/>
          <w:kern w:val="2"/>
          <w:sz w:val="21"/>
          <w:szCs w:val="21"/>
          <w:highlight w:val="none"/>
        </w:rPr>
        <w:sectPr>
          <w:pgSz w:w="11906" w:h="16838"/>
          <w:pgMar w:top="1134" w:right="1418" w:bottom="1247" w:left="1418" w:header="851" w:footer="907" w:gutter="0"/>
          <w:pgNumType w:fmt="decimal"/>
          <w:cols w:space="425" w:num="1"/>
          <w:docGrid w:type="lines" w:linePitch="312" w:charSpace="0"/>
        </w:sectPr>
      </w:pPr>
    </w:p>
    <w:p w14:paraId="336B5E49">
      <w:pPr>
        <w:keepNext w:val="0"/>
        <w:keepLines w:val="0"/>
        <w:widowControl w:val="0"/>
        <w:suppressLineNumbers w:val="0"/>
        <w:spacing w:before="0" w:beforeAutospacing="0" w:after="0" w:afterAutospacing="0"/>
        <w:ind w:left="0" w:right="0"/>
        <w:jc w:val="both"/>
        <w:outlineLvl w:val="2"/>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附表二</w:t>
      </w:r>
    </w:p>
    <w:p w14:paraId="477D096B">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val="0"/>
          <w:color w:val="auto"/>
          <w:kern w:val="2"/>
          <w:sz w:val="36"/>
          <w:szCs w:val="36"/>
          <w:highlight w:val="none"/>
        </w:rPr>
      </w:pPr>
      <w:r>
        <w:rPr>
          <w:rFonts w:hint="eastAsia" w:ascii="宋体" w:hAnsi="宋体" w:eastAsia="宋体" w:cs="宋体"/>
          <w:b/>
          <w:bCs w:val="0"/>
          <w:color w:val="auto"/>
          <w:kern w:val="2"/>
          <w:sz w:val="36"/>
          <w:szCs w:val="36"/>
          <w:highlight w:val="none"/>
          <w:lang w:val="en-US" w:eastAsia="zh-CN" w:bidi="ar"/>
        </w:rPr>
        <w:t>技术标有效性审查表</w:t>
      </w:r>
    </w:p>
    <w:p w14:paraId="5215B4A9">
      <w:pPr>
        <w:keepNext w:val="0"/>
        <w:keepLines w:val="0"/>
        <w:widowControl w:val="0"/>
        <w:suppressLineNumbers w:val="0"/>
        <w:spacing w:before="0" w:beforeAutospacing="0" w:after="0" w:afterAutospacing="0"/>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工程名称：</w:t>
      </w:r>
    </w:p>
    <w:tbl>
      <w:tblPr>
        <w:tblStyle w:val="17"/>
        <w:tblW w:w="144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31"/>
        <w:gridCol w:w="6665"/>
        <w:gridCol w:w="1208"/>
        <w:gridCol w:w="1209"/>
        <w:gridCol w:w="1208"/>
        <w:gridCol w:w="1209"/>
        <w:gridCol w:w="1208"/>
        <w:gridCol w:w="1209"/>
      </w:tblGrid>
      <w:tr w14:paraId="3D7CD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14:paraId="52EB2339">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序号</w:t>
            </w:r>
          </w:p>
        </w:tc>
        <w:tc>
          <w:tcPr>
            <w:tcW w:w="6665" w:type="dxa"/>
            <w:tcBorders>
              <w:top w:val="single" w:color="auto" w:sz="4" w:space="0"/>
              <w:left w:val="nil"/>
              <w:bottom w:val="single" w:color="auto" w:sz="4" w:space="0"/>
              <w:right w:val="single" w:color="auto" w:sz="4" w:space="0"/>
            </w:tcBorders>
            <w:shd w:val="clear" w:color="auto" w:fill="auto"/>
            <w:vAlign w:val="top"/>
          </w:tcPr>
          <w:p w14:paraId="54E25908">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投标人</w:t>
            </w:r>
          </w:p>
          <w:p w14:paraId="11068E77">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p w14:paraId="04175814">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评审内容</w:t>
            </w:r>
          </w:p>
        </w:tc>
        <w:tc>
          <w:tcPr>
            <w:tcW w:w="1208" w:type="dxa"/>
            <w:tcBorders>
              <w:top w:val="single" w:color="auto" w:sz="4" w:space="0"/>
              <w:left w:val="nil"/>
              <w:bottom w:val="single" w:color="auto" w:sz="4" w:space="0"/>
              <w:right w:val="single" w:color="auto" w:sz="4" w:space="0"/>
            </w:tcBorders>
            <w:shd w:val="clear" w:color="auto" w:fill="auto"/>
            <w:vAlign w:val="top"/>
          </w:tcPr>
          <w:p w14:paraId="43905D07">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6CFA1CA1">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14:paraId="4F6AC090">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4DCC8E52">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14:paraId="2B450FF1">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1433B270">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14:paraId="13CD9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14:paraId="2A234E67">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p>
        </w:tc>
        <w:tc>
          <w:tcPr>
            <w:tcW w:w="6665" w:type="dxa"/>
            <w:tcBorders>
              <w:top w:val="single" w:color="auto" w:sz="4" w:space="0"/>
              <w:left w:val="nil"/>
              <w:bottom w:val="single" w:color="auto" w:sz="4" w:space="0"/>
              <w:right w:val="single" w:color="auto" w:sz="4" w:space="0"/>
            </w:tcBorders>
            <w:shd w:val="clear" w:color="auto" w:fill="auto"/>
            <w:vAlign w:val="center"/>
          </w:tcPr>
          <w:p w14:paraId="21111DF8">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u w:val="single"/>
                <w:lang w:val="en-US" w:eastAsia="zh-CN" w:bidi="ar"/>
              </w:rPr>
              <w:t>《广州建设工程施工招标投标书》中工期</w:t>
            </w:r>
            <w:r>
              <w:rPr>
                <w:rFonts w:hint="eastAsia" w:ascii="宋体" w:hAnsi="宋体" w:eastAsia="宋体" w:cs="宋体"/>
                <w:color w:val="auto"/>
                <w:kern w:val="2"/>
                <w:sz w:val="21"/>
                <w:szCs w:val="21"/>
                <w:highlight w:val="none"/>
                <w:lang w:val="en-US" w:eastAsia="zh-CN" w:bidi="ar"/>
              </w:rPr>
              <w:t>不能满足完成投标项目工期的；</w:t>
            </w:r>
          </w:p>
        </w:tc>
        <w:tc>
          <w:tcPr>
            <w:tcW w:w="1208" w:type="dxa"/>
            <w:tcBorders>
              <w:top w:val="single" w:color="auto" w:sz="4" w:space="0"/>
              <w:left w:val="nil"/>
              <w:bottom w:val="single" w:color="auto" w:sz="4" w:space="0"/>
              <w:right w:val="single" w:color="auto" w:sz="4" w:space="0"/>
            </w:tcBorders>
            <w:shd w:val="clear" w:color="auto" w:fill="auto"/>
            <w:vAlign w:val="top"/>
          </w:tcPr>
          <w:p w14:paraId="11FD45CB">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15AA2DDF">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14:paraId="4418AB9D">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7331AE91">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14:paraId="3F58E0C7">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7BF501CD">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14:paraId="2488B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14:paraId="4170130C">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w:t>
            </w:r>
          </w:p>
        </w:tc>
        <w:tc>
          <w:tcPr>
            <w:tcW w:w="6665" w:type="dxa"/>
            <w:tcBorders>
              <w:top w:val="single" w:color="auto" w:sz="4" w:space="0"/>
              <w:left w:val="nil"/>
              <w:bottom w:val="single" w:color="auto" w:sz="4" w:space="0"/>
              <w:right w:val="single" w:color="auto" w:sz="4" w:space="0"/>
            </w:tcBorders>
            <w:shd w:val="clear" w:color="auto" w:fill="auto"/>
            <w:vAlign w:val="center"/>
          </w:tcPr>
          <w:p w14:paraId="16179121">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u w:val="single"/>
                <w:lang w:val="en-US" w:eastAsia="zh-CN" w:bidi="ar"/>
              </w:rPr>
              <w:t>《广州建设工程施工招标投标书》中质量标准</w:t>
            </w:r>
            <w:r>
              <w:rPr>
                <w:rFonts w:hint="eastAsia" w:ascii="宋体" w:hAnsi="宋体" w:eastAsia="宋体" w:cs="宋体"/>
                <w:color w:val="auto"/>
                <w:kern w:val="2"/>
                <w:sz w:val="21"/>
                <w:szCs w:val="21"/>
                <w:highlight w:val="none"/>
                <w:lang w:val="en-US" w:eastAsia="zh-CN" w:bidi="ar"/>
              </w:rPr>
              <w:t>不符合招标文件</w:t>
            </w:r>
            <w:r>
              <w:rPr>
                <w:rFonts w:hint="eastAsia" w:ascii="宋体" w:hAnsi="宋体" w:eastAsia="宋体" w:cs="宋体"/>
                <w:color w:val="auto"/>
                <w:kern w:val="2"/>
                <w:sz w:val="21"/>
                <w:szCs w:val="21"/>
                <w:highlight w:val="none"/>
                <w:u w:val="single"/>
                <w:lang w:val="en-US" w:eastAsia="zh-CN" w:bidi="ar"/>
              </w:rPr>
              <w:t>要求</w:t>
            </w:r>
            <w:r>
              <w:rPr>
                <w:rFonts w:hint="eastAsia" w:ascii="宋体" w:hAnsi="宋体" w:eastAsia="宋体" w:cs="宋体"/>
                <w:color w:val="auto"/>
                <w:kern w:val="2"/>
                <w:sz w:val="21"/>
                <w:szCs w:val="21"/>
                <w:highlight w:val="none"/>
                <w:lang w:val="en-US" w:eastAsia="zh-CN" w:bidi="ar"/>
              </w:rPr>
              <w:t>的；</w:t>
            </w:r>
          </w:p>
        </w:tc>
        <w:tc>
          <w:tcPr>
            <w:tcW w:w="1208" w:type="dxa"/>
            <w:tcBorders>
              <w:top w:val="single" w:color="auto" w:sz="4" w:space="0"/>
              <w:left w:val="nil"/>
              <w:bottom w:val="single" w:color="auto" w:sz="4" w:space="0"/>
              <w:right w:val="single" w:color="auto" w:sz="4" w:space="0"/>
            </w:tcBorders>
            <w:shd w:val="clear" w:color="auto" w:fill="auto"/>
            <w:vAlign w:val="top"/>
          </w:tcPr>
          <w:p w14:paraId="31716061">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10153B98">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14:paraId="5D3C9196">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20A32064">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14:paraId="3B5DF257">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3899635F">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14:paraId="1D61E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14:paraId="268734CD">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w:t>
            </w:r>
          </w:p>
        </w:tc>
        <w:tc>
          <w:tcPr>
            <w:tcW w:w="6665" w:type="dxa"/>
            <w:tcBorders>
              <w:top w:val="single" w:color="auto" w:sz="4" w:space="0"/>
              <w:left w:val="nil"/>
              <w:bottom w:val="single" w:color="auto" w:sz="4" w:space="0"/>
              <w:right w:val="single" w:color="auto" w:sz="4" w:space="0"/>
            </w:tcBorders>
            <w:shd w:val="clear" w:color="auto" w:fill="auto"/>
            <w:vAlign w:val="center"/>
          </w:tcPr>
          <w:p w14:paraId="0F733C9E">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投标文件中没有有效的法定代表人证明书，或由委托代理人签署或盖章的投标文件中没有法定代表人授权书；</w:t>
            </w:r>
          </w:p>
        </w:tc>
        <w:tc>
          <w:tcPr>
            <w:tcW w:w="1208" w:type="dxa"/>
            <w:tcBorders>
              <w:top w:val="single" w:color="auto" w:sz="4" w:space="0"/>
              <w:left w:val="nil"/>
              <w:bottom w:val="single" w:color="auto" w:sz="4" w:space="0"/>
              <w:right w:val="single" w:color="auto" w:sz="4" w:space="0"/>
            </w:tcBorders>
            <w:shd w:val="clear" w:color="auto" w:fill="auto"/>
            <w:vAlign w:val="top"/>
          </w:tcPr>
          <w:p w14:paraId="1574D815">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5415BA41">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14:paraId="29C5923B">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1B87C6ED">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14:paraId="5C29C77A">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622B9E46">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14:paraId="6D6E6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14:paraId="4E8B007C">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w:t>
            </w:r>
          </w:p>
        </w:tc>
        <w:tc>
          <w:tcPr>
            <w:tcW w:w="6665" w:type="dxa"/>
            <w:tcBorders>
              <w:top w:val="single" w:color="auto" w:sz="4" w:space="0"/>
              <w:left w:val="nil"/>
              <w:bottom w:val="single" w:color="auto" w:sz="4" w:space="0"/>
              <w:right w:val="single" w:color="auto" w:sz="4" w:space="0"/>
            </w:tcBorders>
            <w:shd w:val="clear" w:color="auto" w:fill="auto"/>
            <w:vAlign w:val="center"/>
          </w:tcPr>
          <w:p w14:paraId="7632C385">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投标文件未按规定的格式</w:t>
            </w:r>
            <w:r>
              <w:rPr>
                <w:rFonts w:hint="eastAsia" w:ascii="宋体" w:hAnsi="宋体" w:eastAsia="宋体" w:cs="宋体"/>
                <w:color w:val="auto"/>
                <w:kern w:val="2"/>
                <w:sz w:val="21"/>
                <w:szCs w:val="21"/>
                <w:highlight w:val="none"/>
                <w:u w:val="single"/>
                <w:lang w:val="en-US" w:eastAsia="zh-CN" w:bidi="ar"/>
              </w:rPr>
              <w:t>（指技术标格式二、格式三、格式十一、格式十二、格式十三、格式十四、格式十五）</w:t>
            </w:r>
            <w:r>
              <w:rPr>
                <w:rFonts w:hint="eastAsia" w:ascii="宋体" w:hAnsi="宋体" w:eastAsia="宋体" w:cs="宋体"/>
                <w:color w:val="auto"/>
                <w:kern w:val="2"/>
                <w:sz w:val="21"/>
                <w:szCs w:val="21"/>
                <w:highlight w:val="none"/>
                <w:lang w:val="en-US" w:eastAsia="zh-CN" w:bidi="ar"/>
              </w:rPr>
              <w:t>填写，或关键字迹模糊、无法辨认的；</w:t>
            </w:r>
          </w:p>
        </w:tc>
        <w:tc>
          <w:tcPr>
            <w:tcW w:w="1208" w:type="dxa"/>
            <w:tcBorders>
              <w:top w:val="single" w:color="auto" w:sz="4" w:space="0"/>
              <w:left w:val="nil"/>
              <w:bottom w:val="single" w:color="auto" w:sz="4" w:space="0"/>
              <w:right w:val="single" w:color="auto" w:sz="4" w:space="0"/>
            </w:tcBorders>
            <w:shd w:val="clear" w:color="auto" w:fill="auto"/>
            <w:vAlign w:val="top"/>
          </w:tcPr>
          <w:p w14:paraId="758BF95E">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132043C9">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14:paraId="58E392F3">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08CA8775">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14:paraId="770E1B88">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4AAFF081">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14:paraId="4AE50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14:paraId="40F564EB">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w:t>
            </w:r>
          </w:p>
        </w:tc>
        <w:tc>
          <w:tcPr>
            <w:tcW w:w="6665" w:type="dxa"/>
            <w:tcBorders>
              <w:top w:val="single" w:color="auto" w:sz="4" w:space="0"/>
              <w:left w:val="nil"/>
              <w:bottom w:val="single" w:color="auto" w:sz="4" w:space="0"/>
              <w:right w:val="single" w:color="auto" w:sz="4" w:space="0"/>
            </w:tcBorders>
            <w:shd w:val="clear" w:color="auto" w:fill="auto"/>
            <w:vAlign w:val="center"/>
          </w:tcPr>
          <w:p w14:paraId="5897209A">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投标人之间存在《广东省实施&lt;中华人民共和国招标投标法&gt;》第十六条所禁止的情形的；</w:t>
            </w:r>
          </w:p>
        </w:tc>
        <w:tc>
          <w:tcPr>
            <w:tcW w:w="1208" w:type="dxa"/>
            <w:tcBorders>
              <w:top w:val="single" w:color="auto" w:sz="4" w:space="0"/>
              <w:left w:val="nil"/>
              <w:bottom w:val="single" w:color="auto" w:sz="4" w:space="0"/>
              <w:right w:val="single" w:color="auto" w:sz="4" w:space="0"/>
            </w:tcBorders>
            <w:shd w:val="clear" w:color="auto" w:fill="auto"/>
            <w:vAlign w:val="top"/>
          </w:tcPr>
          <w:p w14:paraId="08EF0B5C">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shd w:val="clear" w:fill="7F7F7F"/>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02AA7B91">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shd w:val="clear" w:fill="7F7F7F"/>
              </w:rPr>
            </w:pPr>
          </w:p>
        </w:tc>
        <w:tc>
          <w:tcPr>
            <w:tcW w:w="1208" w:type="dxa"/>
            <w:tcBorders>
              <w:top w:val="single" w:color="auto" w:sz="4" w:space="0"/>
              <w:left w:val="nil"/>
              <w:bottom w:val="single" w:color="auto" w:sz="4" w:space="0"/>
              <w:right w:val="single" w:color="auto" w:sz="4" w:space="0"/>
            </w:tcBorders>
            <w:shd w:val="clear" w:color="auto" w:fill="auto"/>
            <w:vAlign w:val="top"/>
          </w:tcPr>
          <w:p w14:paraId="1F1C6673">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shd w:val="clear" w:fill="7F7F7F"/>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20A4B74C">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shd w:val="clear" w:fill="7F7F7F"/>
              </w:rPr>
            </w:pPr>
          </w:p>
        </w:tc>
        <w:tc>
          <w:tcPr>
            <w:tcW w:w="1208" w:type="dxa"/>
            <w:tcBorders>
              <w:top w:val="single" w:color="auto" w:sz="4" w:space="0"/>
              <w:left w:val="nil"/>
              <w:bottom w:val="single" w:color="auto" w:sz="4" w:space="0"/>
              <w:right w:val="single" w:color="auto" w:sz="4" w:space="0"/>
            </w:tcBorders>
            <w:shd w:val="clear" w:color="auto" w:fill="auto"/>
            <w:vAlign w:val="top"/>
          </w:tcPr>
          <w:p w14:paraId="38A50472">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shd w:val="clear" w:fill="7F7F7F"/>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32ECACCC">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shd w:val="clear" w:fill="7F7F7F"/>
              </w:rPr>
            </w:pPr>
          </w:p>
        </w:tc>
      </w:tr>
      <w:tr w14:paraId="4281F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14:paraId="67752323">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w:t>
            </w:r>
          </w:p>
        </w:tc>
        <w:tc>
          <w:tcPr>
            <w:tcW w:w="6665" w:type="dxa"/>
            <w:tcBorders>
              <w:top w:val="single" w:color="auto" w:sz="4" w:space="0"/>
              <w:left w:val="nil"/>
              <w:bottom w:val="single" w:color="auto" w:sz="4" w:space="0"/>
              <w:right w:val="single" w:color="auto" w:sz="4" w:space="0"/>
            </w:tcBorders>
            <w:shd w:val="clear" w:color="auto" w:fill="auto"/>
            <w:vAlign w:val="center"/>
          </w:tcPr>
          <w:p w14:paraId="35B4D420">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无《参与编制技术标投标文件人员名单》的</w:t>
            </w:r>
          </w:p>
        </w:tc>
        <w:tc>
          <w:tcPr>
            <w:tcW w:w="1208" w:type="dxa"/>
            <w:tcBorders>
              <w:top w:val="single" w:color="auto" w:sz="4" w:space="0"/>
              <w:left w:val="nil"/>
              <w:bottom w:val="single" w:color="auto" w:sz="4" w:space="0"/>
              <w:right w:val="single" w:color="auto" w:sz="4" w:space="0"/>
            </w:tcBorders>
            <w:shd w:val="clear" w:color="auto" w:fill="auto"/>
            <w:vAlign w:val="top"/>
          </w:tcPr>
          <w:p w14:paraId="0749F4F4">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5772ABD8">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14:paraId="27A55B28">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53CE20CF">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14:paraId="3C86A4B5">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5BE2FD29">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14:paraId="13D63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14:paraId="2117F79F">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7</w:t>
            </w:r>
          </w:p>
        </w:tc>
        <w:tc>
          <w:tcPr>
            <w:tcW w:w="6665" w:type="dxa"/>
            <w:tcBorders>
              <w:top w:val="single" w:color="auto" w:sz="4" w:space="0"/>
              <w:left w:val="nil"/>
              <w:bottom w:val="single" w:color="auto" w:sz="4" w:space="0"/>
              <w:right w:val="single" w:color="auto" w:sz="4" w:space="0"/>
            </w:tcBorders>
            <w:shd w:val="clear" w:color="auto" w:fill="auto"/>
            <w:vAlign w:val="center"/>
          </w:tcPr>
          <w:p w14:paraId="5B0E0442">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投标人与</w:t>
            </w:r>
            <w:r>
              <w:rPr>
                <w:rFonts w:hint="eastAsia" w:ascii="宋体" w:hAnsi="宋体" w:eastAsia="宋体" w:cs="宋体"/>
                <w:b/>
                <w:color w:val="auto"/>
                <w:kern w:val="0"/>
                <w:sz w:val="21"/>
                <w:szCs w:val="21"/>
                <w:highlight w:val="none"/>
                <w:lang w:val="en-US" w:eastAsia="zh-CN" w:bidi="ar"/>
              </w:rPr>
              <w:t>本项目</w:t>
            </w:r>
            <w:r>
              <w:rPr>
                <w:rFonts w:hint="eastAsia" w:ascii="宋体" w:hAnsi="宋体" w:eastAsia="宋体" w:cs="宋体"/>
                <w:color w:val="auto"/>
                <w:kern w:val="0"/>
                <w:sz w:val="21"/>
                <w:szCs w:val="21"/>
                <w:highlight w:val="none"/>
                <w:lang w:val="en-US" w:eastAsia="zh-CN" w:bidi="ar"/>
              </w:rPr>
              <w:t>其他投标人加密打包投标文件电脑机器特征码一致的(以</w:t>
            </w:r>
            <w:r>
              <w:rPr>
                <w:rFonts w:hint="eastAsia" w:ascii="宋体" w:hAnsi="宋体" w:eastAsia="宋体" w:cs="宋体"/>
                <w:color w:val="auto"/>
                <w:kern w:val="2"/>
                <w:sz w:val="21"/>
                <w:szCs w:val="21"/>
                <w:highlight w:val="none"/>
                <w:u w:val="single"/>
                <w:lang w:val="en-US" w:eastAsia="zh-CN" w:bidi="ar"/>
              </w:rPr>
              <w:t>广州公共资源交易中心</w:t>
            </w:r>
            <w:r>
              <w:rPr>
                <w:rFonts w:hint="eastAsia" w:ascii="宋体" w:hAnsi="宋体" w:eastAsia="宋体" w:cs="宋体"/>
                <w:color w:val="auto"/>
                <w:kern w:val="0"/>
                <w:sz w:val="21"/>
                <w:szCs w:val="21"/>
                <w:highlight w:val="none"/>
                <w:lang w:val="en-US" w:eastAsia="zh-CN" w:bidi="ar"/>
              </w:rPr>
              <w:t>交易平台评标系统的检索信息为准)</w:t>
            </w:r>
          </w:p>
        </w:tc>
        <w:tc>
          <w:tcPr>
            <w:tcW w:w="1208" w:type="dxa"/>
            <w:tcBorders>
              <w:top w:val="single" w:color="auto" w:sz="4" w:space="0"/>
              <w:left w:val="nil"/>
              <w:bottom w:val="single" w:color="auto" w:sz="4" w:space="0"/>
              <w:right w:val="single" w:color="auto" w:sz="4" w:space="0"/>
            </w:tcBorders>
            <w:shd w:val="clear" w:color="auto" w:fill="auto"/>
            <w:vAlign w:val="top"/>
          </w:tcPr>
          <w:p w14:paraId="1B71F2C0">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7DDA5C4F">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14:paraId="6216CB90">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1992504F">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14:paraId="404F4E9A">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6B209A14">
            <w:pPr>
              <w:keepNext w:val="0"/>
              <w:keepLines w:val="0"/>
              <w:widowControl w:val="0"/>
              <w:suppressLineNumbers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bl>
    <w:p w14:paraId="61519E31">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注：1.本表使用GZZB2018-3招标文件范本，与范本内容不同之处均以下划线标明。技术标评审中，响应性、承诺性内容不应作为评分因素，可在该表中对上述内容进行符合性审查。审查标准须具备可操作性。</w:t>
      </w:r>
    </w:p>
    <w:p w14:paraId="6044B60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不得将文件顺序、明显的文字错误等列为否决投标的情形。评委发现投标文件中含义不明确、对同类问题表述不一致、有明显文字和计算错误的，应当要求投标人作必要的澄清、说明后再判定投标人是否通过有效性审查，不得直接否决投标，若出现评标委员会否决投标的，应在评标报告中载明否决投标的具体情形、原因；</w:t>
      </w:r>
    </w:p>
    <w:p w14:paraId="56429047">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3.凡出现以上任何一项情形，结论均为无效，否则就为有效。</w:t>
      </w:r>
    </w:p>
    <w:p w14:paraId="42586E16">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4.如对本表中某种情形的评审意见不一致时，以评标委员会过半数成员的意见作为评标委员会对该情形的认定结论。</w:t>
      </w:r>
      <w:r>
        <w:rPr>
          <w:rFonts w:hint="default" w:ascii="Calibri" w:hAnsi="Calibri" w:eastAsia="宋体" w:cs="Times New Roman"/>
          <w:color w:val="auto"/>
          <w:kern w:val="2"/>
          <w:sz w:val="21"/>
          <w:szCs w:val="21"/>
          <w:highlight w:val="none"/>
          <w:lang w:val="en-US" w:eastAsia="zh-CN" w:bidi="ar"/>
        </w:rPr>
        <w:br w:type="page"/>
      </w:r>
    </w:p>
    <w:p w14:paraId="045ABD53">
      <w:pPr>
        <w:keepNext w:val="0"/>
        <w:keepLines w:val="0"/>
        <w:widowControl w:val="0"/>
        <w:suppressLineNumbers w:val="0"/>
        <w:spacing w:before="0" w:beforeAutospacing="0" w:after="0" w:afterAutospacing="0"/>
        <w:ind w:left="0" w:right="0"/>
        <w:jc w:val="both"/>
        <w:outlineLvl w:val="2"/>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附表三</w:t>
      </w:r>
    </w:p>
    <w:p w14:paraId="04A880A1">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val="0"/>
          <w:color w:val="auto"/>
          <w:kern w:val="2"/>
          <w:sz w:val="36"/>
          <w:szCs w:val="36"/>
          <w:highlight w:val="none"/>
        </w:rPr>
      </w:pPr>
      <w:r>
        <w:rPr>
          <w:rFonts w:hint="eastAsia" w:ascii="宋体" w:hAnsi="宋体" w:eastAsia="宋体" w:cs="宋体"/>
          <w:b/>
          <w:bCs w:val="0"/>
          <w:color w:val="auto"/>
          <w:kern w:val="2"/>
          <w:sz w:val="36"/>
          <w:szCs w:val="36"/>
          <w:highlight w:val="none"/>
          <w:lang w:val="en-US" w:eastAsia="zh-CN" w:bidi="ar"/>
        </w:rPr>
        <w:t>经济标有效性审查表</w:t>
      </w:r>
    </w:p>
    <w:p w14:paraId="22974839">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工程名称：</w:t>
      </w:r>
    </w:p>
    <w:tbl>
      <w:tblPr>
        <w:tblStyle w:val="17"/>
        <w:tblW w:w="15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32"/>
        <w:gridCol w:w="7231"/>
        <w:gridCol w:w="1208"/>
        <w:gridCol w:w="1209"/>
        <w:gridCol w:w="1209"/>
        <w:gridCol w:w="1208"/>
        <w:gridCol w:w="1209"/>
        <w:gridCol w:w="1209"/>
      </w:tblGrid>
      <w:tr w14:paraId="628C3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5" w:hRule="atLeast"/>
        </w:trPr>
        <w:tc>
          <w:tcPr>
            <w:tcW w:w="532" w:type="dxa"/>
            <w:tcBorders>
              <w:top w:val="single" w:color="auto" w:sz="4" w:space="0"/>
              <w:left w:val="single" w:color="auto" w:sz="4" w:space="0"/>
              <w:bottom w:val="single" w:color="auto" w:sz="4" w:space="0"/>
              <w:right w:val="single" w:color="auto" w:sz="4" w:space="0"/>
            </w:tcBorders>
            <w:shd w:val="clear" w:color="auto" w:fill="auto"/>
            <w:vAlign w:val="center"/>
          </w:tcPr>
          <w:p w14:paraId="07BB05D1">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序号</w:t>
            </w:r>
          </w:p>
        </w:tc>
        <w:tc>
          <w:tcPr>
            <w:tcW w:w="7231" w:type="dxa"/>
            <w:tcBorders>
              <w:top w:val="single" w:color="auto" w:sz="4" w:space="0"/>
              <w:left w:val="nil"/>
              <w:bottom w:val="single" w:color="auto" w:sz="4" w:space="0"/>
              <w:right w:val="single" w:color="auto" w:sz="4" w:space="0"/>
            </w:tcBorders>
            <w:shd w:val="clear" w:color="auto" w:fill="auto"/>
            <w:vAlign w:val="top"/>
          </w:tcPr>
          <w:p w14:paraId="3A6BD73C">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投标人</w:t>
            </w:r>
          </w:p>
          <w:p w14:paraId="17774E4A">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p w14:paraId="15128123">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评审内容</w:t>
            </w:r>
          </w:p>
        </w:tc>
        <w:tc>
          <w:tcPr>
            <w:tcW w:w="1208" w:type="dxa"/>
            <w:tcBorders>
              <w:top w:val="single" w:color="auto" w:sz="4" w:space="0"/>
              <w:left w:val="nil"/>
              <w:bottom w:val="single" w:color="auto" w:sz="4" w:space="0"/>
              <w:right w:val="single" w:color="auto" w:sz="4" w:space="0"/>
            </w:tcBorders>
            <w:shd w:val="clear" w:color="auto" w:fill="auto"/>
            <w:vAlign w:val="top"/>
          </w:tcPr>
          <w:p w14:paraId="0D3CEF38">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6F1ED192">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4E4D76A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14:paraId="6F409600">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0B2DBAE9">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09166C32">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14:paraId="371F2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shd w:val="clear" w:color="auto" w:fill="auto"/>
            <w:vAlign w:val="center"/>
          </w:tcPr>
          <w:p w14:paraId="6CE8AFB3">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p>
        </w:tc>
        <w:tc>
          <w:tcPr>
            <w:tcW w:w="7231" w:type="dxa"/>
            <w:tcBorders>
              <w:top w:val="single" w:color="auto" w:sz="4" w:space="0"/>
              <w:left w:val="nil"/>
              <w:bottom w:val="single" w:color="auto" w:sz="4" w:space="0"/>
              <w:right w:val="single" w:color="auto" w:sz="4" w:space="0"/>
            </w:tcBorders>
            <w:shd w:val="clear" w:color="auto" w:fill="auto"/>
            <w:vAlign w:val="center"/>
          </w:tcPr>
          <w:p w14:paraId="30FFAC4C">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对同一招标项目出现两个或以上的投标报价，且没有申明哪个有效；</w:t>
            </w:r>
          </w:p>
        </w:tc>
        <w:tc>
          <w:tcPr>
            <w:tcW w:w="1208" w:type="dxa"/>
            <w:tcBorders>
              <w:top w:val="single" w:color="auto" w:sz="4" w:space="0"/>
              <w:left w:val="nil"/>
              <w:bottom w:val="single" w:color="auto" w:sz="4" w:space="0"/>
              <w:right w:val="single" w:color="auto" w:sz="4" w:space="0"/>
            </w:tcBorders>
            <w:shd w:val="clear" w:color="auto" w:fill="auto"/>
            <w:vAlign w:val="top"/>
          </w:tcPr>
          <w:p w14:paraId="2684B2C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43B465B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17F68255">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14:paraId="5B454048">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3EF84C81">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49B7364A">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14:paraId="39937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shd w:val="clear" w:color="auto" w:fill="auto"/>
            <w:vAlign w:val="center"/>
          </w:tcPr>
          <w:p w14:paraId="5D48DB70">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w:t>
            </w:r>
          </w:p>
        </w:tc>
        <w:tc>
          <w:tcPr>
            <w:tcW w:w="7231" w:type="dxa"/>
            <w:tcBorders>
              <w:top w:val="single" w:color="auto" w:sz="4" w:space="0"/>
              <w:left w:val="nil"/>
              <w:bottom w:val="single" w:color="auto" w:sz="4" w:space="0"/>
              <w:right w:val="single" w:color="auto" w:sz="4" w:space="0"/>
            </w:tcBorders>
            <w:shd w:val="clear" w:color="auto" w:fill="auto"/>
            <w:vAlign w:val="center"/>
          </w:tcPr>
          <w:p w14:paraId="73973E45">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投标报价高于最高投标限价的</w:t>
            </w:r>
            <w:r>
              <w:rPr>
                <w:rFonts w:hint="eastAsia" w:ascii="宋体" w:hAnsi="宋体" w:eastAsia="宋体" w:cs="宋体"/>
                <w:color w:val="auto"/>
                <w:kern w:val="2"/>
                <w:sz w:val="21"/>
                <w:szCs w:val="21"/>
                <w:highlight w:val="none"/>
                <w:u w:val="single"/>
                <w:lang w:val="en-US" w:eastAsia="zh-CN" w:bidi="ar"/>
              </w:rPr>
              <w:t>（以最高投标限价公布函公布的各项控制数据为准）</w:t>
            </w:r>
            <w:r>
              <w:rPr>
                <w:rFonts w:hint="eastAsia" w:ascii="宋体" w:hAnsi="宋体" w:eastAsia="宋体" w:cs="宋体"/>
                <w:color w:val="auto"/>
                <w:kern w:val="2"/>
                <w:sz w:val="21"/>
                <w:szCs w:val="21"/>
                <w:highlight w:val="none"/>
                <w:lang w:val="en-US" w:eastAsia="zh-CN" w:bidi="ar"/>
              </w:rPr>
              <w:t>；</w:t>
            </w:r>
          </w:p>
        </w:tc>
        <w:tc>
          <w:tcPr>
            <w:tcW w:w="1208" w:type="dxa"/>
            <w:tcBorders>
              <w:top w:val="single" w:color="auto" w:sz="4" w:space="0"/>
              <w:left w:val="nil"/>
              <w:bottom w:val="single" w:color="auto" w:sz="4" w:space="0"/>
              <w:right w:val="single" w:color="auto" w:sz="4" w:space="0"/>
            </w:tcBorders>
            <w:shd w:val="clear" w:color="auto" w:fill="auto"/>
            <w:vAlign w:val="top"/>
          </w:tcPr>
          <w:p w14:paraId="0E4A51CF">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16F5306D">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1010EB7C">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14:paraId="29BCCB79">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3518E7B1">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53A193A2">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14:paraId="78CE9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shd w:val="clear" w:color="auto" w:fill="auto"/>
            <w:vAlign w:val="center"/>
          </w:tcPr>
          <w:p w14:paraId="7C29EDA8">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w:t>
            </w:r>
          </w:p>
        </w:tc>
        <w:tc>
          <w:tcPr>
            <w:tcW w:w="7231" w:type="dxa"/>
            <w:tcBorders>
              <w:top w:val="single" w:color="auto" w:sz="4" w:space="0"/>
              <w:left w:val="nil"/>
              <w:bottom w:val="single" w:color="auto" w:sz="4" w:space="0"/>
              <w:right w:val="single" w:color="auto" w:sz="4" w:space="0"/>
            </w:tcBorders>
            <w:shd w:val="clear" w:color="auto" w:fill="auto"/>
            <w:vAlign w:val="center"/>
          </w:tcPr>
          <w:p w14:paraId="26118A05">
            <w:pPr>
              <w:keepNext w:val="0"/>
              <w:keepLines w:val="0"/>
              <w:widowControl w:val="0"/>
              <w:suppressLineNumbers w:val="0"/>
              <w:autoSpaceDE w:val="0"/>
              <w:autoSpaceDN w:val="0"/>
              <w:adjustRightInd w:val="0"/>
              <w:spacing w:before="0" w:beforeAutospacing="0" w:after="0" w:afterAutospacing="0"/>
              <w:ind w:left="-2" w:leftChars="-1"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投标报价低于成本的；</w:t>
            </w:r>
          </w:p>
        </w:tc>
        <w:tc>
          <w:tcPr>
            <w:tcW w:w="1208" w:type="dxa"/>
            <w:tcBorders>
              <w:top w:val="single" w:color="auto" w:sz="4" w:space="0"/>
              <w:left w:val="nil"/>
              <w:bottom w:val="single" w:color="auto" w:sz="4" w:space="0"/>
              <w:right w:val="single" w:color="auto" w:sz="4" w:space="0"/>
            </w:tcBorders>
            <w:shd w:val="clear" w:color="auto" w:fill="auto"/>
            <w:vAlign w:val="top"/>
          </w:tcPr>
          <w:p w14:paraId="740F44BC">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77DCA4A2">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6B4A5727">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14:paraId="1962957E">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6124967B">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308925CA">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14:paraId="68F09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shd w:val="clear" w:color="auto" w:fill="auto"/>
            <w:vAlign w:val="center"/>
          </w:tcPr>
          <w:p w14:paraId="617EB56E">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w:t>
            </w:r>
          </w:p>
        </w:tc>
        <w:tc>
          <w:tcPr>
            <w:tcW w:w="7231" w:type="dxa"/>
            <w:tcBorders>
              <w:top w:val="single" w:color="auto" w:sz="4" w:space="0"/>
              <w:left w:val="nil"/>
              <w:bottom w:val="single" w:color="auto" w:sz="4" w:space="0"/>
              <w:right w:val="single" w:color="auto" w:sz="4" w:space="0"/>
            </w:tcBorders>
            <w:shd w:val="clear" w:color="auto" w:fill="auto"/>
            <w:vAlign w:val="center"/>
          </w:tcPr>
          <w:p w14:paraId="4DDD4CBC">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算术复核后的投标报价与原投标报价相比存在1%或以上误差的；</w:t>
            </w:r>
          </w:p>
        </w:tc>
        <w:tc>
          <w:tcPr>
            <w:tcW w:w="1208" w:type="dxa"/>
            <w:tcBorders>
              <w:top w:val="single" w:color="auto" w:sz="4" w:space="0"/>
              <w:left w:val="nil"/>
              <w:bottom w:val="single" w:color="auto" w:sz="4" w:space="0"/>
              <w:right w:val="single" w:color="auto" w:sz="4" w:space="0"/>
            </w:tcBorders>
            <w:shd w:val="clear" w:color="auto" w:fill="auto"/>
            <w:vAlign w:val="top"/>
          </w:tcPr>
          <w:p w14:paraId="292442E2">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74EA7F5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0F81EFFA">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14:paraId="55F657A7">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1BF6A1EA">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63866190">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14:paraId="45E42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shd w:val="clear" w:color="auto" w:fill="auto"/>
            <w:vAlign w:val="center"/>
          </w:tcPr>
          <w:p w14:paraId="02DC2742">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w:t>
            </w:r>
          </w:p>
        </w:tc>
        <w:tc>
          <w:tcPr>
            <w:tcW w:w="7231" w:type="dxa"/>
            <w:tcBorders>
              <w:top w:val="single" w:color="auto" w:sz="4" w:space="0"/>
              <w:left w:val="nil"/>
              <w:bottom w:val="single" w:color="auto" w:sz="4" w:space="0"/>
              <w:right w:val="single" w:color="auto" w:sz="4" w:space="0"/>
            </w:tcBorders>
            <w:shd w:val="clear" w:color="auto" w:fill="auto"/>
            <w:vAlign w:val="center"/>
          </w:tcPr>
          <w:p w14:paraId="60DDEAC6">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投标文件未按规定的格式</w:t>
            </w:r>
            <w:r>
              <w:rPr>
                <w:rFonts w:hint="eastAsia" w:ascii="宋体" w:hAnsi="宋体" w:eastAsia="宋体" w:cs="宋体"/>
                <w:color w:val="auto"/>
                <w:kern w:val="2"/>
                <w:sz w:val="21"/>
                <w:szCs w:val="21"/>
                <w:highlight w:val="none"/>
                <w:u w:val="single"/>
                <w:lang w:val="en-US" w:eastAsia="zh-CN" w:bidi="ar"/>
              </w:rPr>
              <w:t>（指经济标部分格式二、格式三、格式四）</w:t>
            </w:r>
            <w:r>
              <w:rPr>
                <w:rFonts w:hint="eastAsia" w:ascii="宋体" w:hAnsi="宋体" w:eastAsia="宋体" w:cs="宋体"/>
                <w:color w:val="auto"/>
                <w:kern w:val="2"/>
                <w:sz w:val="21"/>
                <w:szCs w:val="21"/>
                <w:highlight w:val="none"/>
                <w:lang w:val="en-US" w:eastAsia="zh-CN" w:bidi="ar"/>
              </w:rPr>
              <w:t>填写，或关键字迹模糊、无法辨认的；</w:t>
            </w:r>
          </w:p>
        </w:tc>
        <w:tc>
          <w:tcPr>
            <w:tcW w:w="1208" w:type="dxa"/>
            <w:tcBorders>
              <w:top w:val="single" w:color="auto" w:sz="4" w:space="0"/>
              <w:left w:val="nil"/>
              <w:bottom w:val="single" w:color="auto" w:sz="4" w:space="0"/>
              <w:right w:val="single" w:color="auto" w:sz="4" w:space="0"/>
            </w:tcBorders>
            <w:shd w:val="clear" w:color="auto" w:fill="auto"/>
            <w:vAlign w:val="top"/>
          </w:tcPr>
          <w:p w14:paraId="3915A92F">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55880E21">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7EA64B5E">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14:paraId="5C40EF2D">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31691B63">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432CD9FC">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14:paraId="5AC22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shd w:val="clear" w:color="auto" w:fill="auto"/>
            <w:vAlign w:val="center"/>
          </w:tcPr>
          <w:p w14:paraId="6A2A1B83">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w:t>
            </w:r>
          </w:p>
        </w:tc>
        <w:tc>
          <w:tcPr>
            <w:tcW w:w="7231" w:type="dxa"/>
            <w:tcBorders>
              <w:top w:val="single" w:color="auto" w:sz="4" w:space="0"/>
              <w:left w:val="nil"/>
              <w:bottom w:val="single" w:color="auto" w:sz="4" w:space="0"/>
              <w:right w:val="single" w:color="auto" w:sz="4" w:space="0"/>
            </w:tcBorders>
            <w:shd w:val="clear" w:color="auto" w:fill="auto"/>
            <w:vAlign w:val="center"/>
          </w:tcPr>
          <w:p w14:paraId="75BA735E">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不同投标人的投标报价中分部分项工程量清单综合单价相似度达到80%及以上的(以</w:t>
            </w:r>
            <w:r>
              <w:rPr>
                <w:rFonts w:hint="eastAsia" w:ascii="宋体" w:hAnsi="宋体" w:eastAsia="宋体" w:cs="宋体"/>
                <w:color w:val="auto"/>
                <w:kern w:val="2"/>
                <w:sz w:val="21"/>
                <w:szCs w:val="21"/>
                <w:highlight w:val="none"/>
                <w:u w:val="single"/>
                <w:lang w:val="en-US" w:eastAsia="zh-CN" w:bidi="ar"/>
              </w:rPr>
              <w:t>广州公共资源交易中心</w:t>
            </w:r>
            <w:r>
              <w:rPr>
                <w:rFonts w:hint="eastAsia" w:ascii="宋体" w:hAnsi="宋体" w:eastAsia="宋体" w:cs="宋体"/>
                <w:color w:val="auto"/>
                <w:kern w:val="2"/>
                <w:sz w:val="21"/>
                <w:szCs w:val="21"/>
                <w:highlight w:val="none"/>
                <w:lang w:val="en-US" w:eastAsia="zh-CN" w:bidi="ar"/>
              </w:rPr>
              <w:t>交易平台评标系统的检索信息为准)</w:t>
            </w:r>
          </w:p>
        </w:tc>
        <w:tc>
          <w:tcPr>
            <w:tcW w:w="1208" w:type="dxa"/>
            <w:tcBorders>
              <w:top w:val="single" w:color="auto" w:sz="4" w:space="0"/>
              <w:left w:val="nil"/>
              <w:bottom w:val="single" w:color="auto" w:sz="4" w:space="0"/>
              <w:right w:val="single" w:color="auto" w:sz="4" w:space="0"/>
            </w:tcBorders>
            <w:shd w:val="clear" w:color="auto" w:fill="auto"/>
            <w:vAlign w:val="top"/>
          </w:tcPr>
          <w:p w14:paraId="7F004916">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7530F2EF">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22C0B620">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14:paraId="531EA3DB">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0CFD34A1">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3528C14F">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14:paraId="2B83E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shd w:val="clear" w:color="auto" w:fill="auto"/>
            <w:vAlign w:val="center"/>
          </w:tcPr>
          <w:p w14:paraId="300DE395">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7</w:t>
            </w:r>
          </w:p>
        </w:tc>
        <w:tc>
          <w:tcPr>
            <w:tcW w:w="7231" w:type="dxa"/>
            <w:tcBorders>
              <w:top w:val="single" w:color="auto" w:sz="4" w:space="0"/>
              <w:left w:val="nil"/>
              <w:bottom w:val="single" w:color="auto" w:sz="4" w:space="0"/>
              <w:right w:val="single" w:color="auto" w:sz="4" w:space="0"/>
            </w:tcBorders>
            <w:shd w:val="clear" w:color="auto" w:fill="auto"/>
            <w:vAlign w:val="center"/>
          </w:tcPr>
          <w:p w14:paraId="29E9FD41">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投标人之间存在《广东省实施&lt;中华人民共和国招标投标法&gt;》第十六条所禁止的情形的；</w:t>
            </w:r>
          </w:p>
        </w:tc>
        <w:tc>
          <w:tcPr>
            <w:tcW w:w="1208" w:type="dxa"/>
            <w:tcBorders>
              <w:top w:val="single" w:color="auto" w:sz="4" w:space="0"/>
              <w:left w:val="nil"/>
              <w:bottom w:val="single" w:color="auto" w:sz="4" w:space="0"/>
              <w:right w:val="single" w:color="auto" w:sz="4" w:space="0"/>
            </w:tcBorders>
            <w:shd w:val="clear" w:color="auto" w:fill="auto"/>
            <w:vAlign w:val="top"/>
          </w:tcPr>
          <w:p w14:paraId="3FE13479">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66E1059E">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172B2D53">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14:paraId="167CDAC2">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131A0A01">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31F9B127">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14:paraId="4BE41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shd w:val="clear" w:color="auto" w:fill="auto"/>
            <w:vAlign w:val="center"/>
          </w:tcPr>
          <w:p w14:paraId="0D59326F">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8</w:t>
            </w:r>
          </w:p>
        </w:tc>
        <w:tc>
          <w:tcPr>
            <w:tcW w:w="7231" w:type="dxa"/>
            <w:tcBorders>
              <w:top w:val="single" w:color="auto" w:sz="4" w:space="0"/>
              <w:left w:val="nil"/>
              <w:bottom w:val="single" w:color="auto" w:sz="4" w:space="0"/>
              <w:right w:val="single" w:color="auto" w:sz="4" w:space="0"/>
            </w:tcBorders>
            <w:shd w:val="clear" w:color="auto" w:fill="auto"/>
            <w:vAlign w:val="center"/>
          </w:tcPr>
          <w:p w14:paraId="7E27BAF3">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无《参与编制经济标投标文件人员名单》的；</w:t>
            </w:r>
          </w:p>
        </w:tc>
        <w:tc>
          <w:tcPr>
            <w:tcW w:w="1208" w:type="dxa"/>
            <w:tcBorders>
              <w:top w:val="single" w:color="auto" w:sz="4" w:space="0"/>
              <w:left w:val="nil"/>
              <w:bottom w:val="single" w:color="auto" w:sz="4" w:space="0"/>
              <w:right w:val="single" w:color="auto" w:sz="4" w:space="0"/>
            </w:tcBorders>
            <w:shd w:val="clear" w:color="auto" w:fill="auto"/>
            <w:vAlign w:val="top"/>
          </w:tcPr>
          <w:p w14:paraId="75A1DEAC">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734C4441">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67B7ACFE">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14:paraId="376E63CF">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526F2915">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737DA00C">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14:paraId="5197E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shd w:val="clear" w:color="auto" w:fill="auto"/>
            <w:vAlign w:val="center"/>
          </w:tcPr>
          <w:p w14:paraId="2E590386">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9</w:t>
            </w:r>
          </w:p>
        </w:tc>
        <w:tc>
          <w:tcPr>
            <w:tcW w:w="7231" w:type="dxa"/>
            <w:tcBorders>
              <w:top w:val="single" w:color="auto" w:sz="4" w:space="0"/>
              <w:left w:val="nil"/>
              <w:bottom w:val="single" w:color="auto" w:sz="4" w:space="0"/>
              <w:right w:val="single" w:color="auto" w:sz="4" w:space="0"/>
            </w:tcBorders>
            <w:shd w:val="clear" w:color="auto" w:fill="auto"/>
            <w:vAlign w:val="center"/>
          </w:tcPr>
          <w:p w14:paraId="04C82D4A">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无《对投标文件编制的承诺》</w:t>
            </w:r>
          </w:p>
        </w:tc>
        <w:tc>
          <w:tcPr>
            <w:tcW w:w="1208" w:type="dxa"/>
            <w:tcBorders>
              <w:top w:val="single" w:color="auto" w:sz="4" w:space="0"/>
              <w:left w:val="nil"/>
              <w:bottom w:val="single" w:color="auto" w:sz="4" w:space="0"/>
              <w:right w:val="single" w:color="auto" w:sz="4" w:space="0"/>
            </w:tcBorders>
            <w:shd w:val="clear" w:color="auto" w:fill="auto"/>
            <w:vAlign w:val="top"/>
          </w:tcPr>
          <w:p w14:paraId="0225459E">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0AE14ACF">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2AB6B373">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14:paraId="240DA5A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6F38E21D">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4366CADF">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14:paraId="7AB3F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shd w:val="clear" w:color="auto" w:fill="auto"/>
            <w:vAlign w:val="center"/>
          </w:tcPr>
          <w:p w14:paraId="17C3874C">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10</w:t>
            </w:r>
          </w:p>
        </w:tc>
        <w:tc>
          <w:tcPr>
            <w:tcW w:w="7231" w:type="dxa"/>
            <w:tcBorders>
              <w:top w:val="single" w:color="auto" w:sz="4" w:space="0"/>
              <w:left w:val="nil"/>
              <w:bottom w:val="single" w:color="auto" w:sz="4" w:space="0"/>
              <w:right w:val="single" w:color="auto" w:sz="4" w:space="0"/>
            </w:tcBorders>
            <w:shd w:val="clear" w:color="auto" w:fill="auto"/>
            <w:vAlign w:val="center"/>
          </w:tcPr>
          <w:p w14:paraId="010ED3DF">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投标人与本项目其他投标人的投标文件工程量清单编制机器硬件信息一致的（以</w:t>
            </w:r>
            <w:r>
              <w:rPr>
                <w:rFonts w:hint="eastAsia" w:ascii="宋体" w:hAnsi="宋体" w:eastAsia="宋体" w:cs="宋体"/>
                <w:color w:val="auto"/>
                <w:kern w:val="2"/>
                <w:sz w:val="21"/>
                <w:szCs w:val="21"/>
                <w:highlight w:val="none"/>
                <w:u w:val="single"/>
                <w:lang w:val="en-US" w:eastAsia="zh-CN" w:bidi="ar"/>
              </w:rPr>
              <w:t>广州公共资源交易中心</w:t>
            </w:r>
            <w:r>
              <w:rPr>
                <w:rFonts w:hint="eastAsia" w:ascii="宋体" w:hAnsi="宋体" w:eastAsia="宋体" w:cs="宋体"/>
                <w:color w:val="auto"/>
                <w:kern w:val="2"/>
                <w:sz w:val="21"/>
                <w:szCs w:val="21"/>
                <w:highlight w:val="none"/>
                <w:lang w:val="en-US" w:eastAsia="zh-CN" w:bidi="ar"/>
              </w:rPr>
              <w:t>交易平台评标系统的检索信息为准）</w:t>
            </w:r>
          </w:p>
        </w:tc>
        <w:tc>
          <w:tcPr>
            <w:tcW w:w="1208" w:type="dxa"/>
            <w:tcBorders>
              <w:top w:val="single" w:color="auto" w:sz="4" w:space="0"/>
              <w:left w:val="nil"/>
              <w:bottom w:val="single" w:color="auto" w:sz="4" w:space="0"/>
              <w:right w:val="single" w:color="auto" w:sz="4" w:space="0"/>
            </w:tcBorders>
            <w:shd w:val="clear" w:color="auto" w:fill="auto"/>
            <w:vAlign w:val="top"/>
          </w:tcPr>
          <w:p w14:paraId="0CD0AA2B">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6328643E">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7DEDE37B">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8" w:type="dxa"/>
            <w:tcBorders>
              <w:top w:val="single" w:color="auto" w:sz="4" w:space="0"/>
              <w:left w:val="nil"/>
              <w:bottom w:val="single" w:color="auto" w:sz="4" w:space="0"/>
              <w:right w:val="single" w:color="auto" w:sz="4" w:space="0"/>
            </w:tcBorders>
            <w:shd w:val="clear" w:color="auto" w:fill="auto"/>
            <w:vAlign w:val="top"/>
          </w:tcPr>
          <w:p w14:paraId="0DBEEBB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7E4584AE">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209" w:type="dxa"/>
            <w:tcBorders>
              <w:top w:val="single" w:color="auto" w:sz="4" w:space="0"/>
              <w:left w:val="nil"/>
              <w:bottom w:val="single" w:color="auto" w:sz="4" w:space="0"/>
              <w:right w:val="single" w:color="auto" w:sz="4" w:space="0"/>
            </w:tcBorders>
            <w:shd w:val="clear" w:color="auto" w:fill="auto"/>
            <w:vAlign w:val="top"/>
          </w:tcPr>
          <w:p w14:paraId="76F395F6">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bl>
    <w:p w14:paraId="42A17FC9">
      <w:pPr>
        <w:keepNext w:val="0"/>
        <w:keepLines w:val="0"/>
        <w:widowControl w:val="0"/>
        <w:suppressLineNumbers w:val="0"/>
        <w:spacing w:before="0" w:beforeAutospacing="0" w:after="0" w:afterAutospacing="0"/>
        <w:ind w:left="0" w:right="0" w:firstLine="458"/>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注：1.本表使用GZZB2018-3招标文件范本，与范本内容不同之处均以下划线标明。</w:t>
      </w:r>
    </w:p>
    <w:p w14:paraId="5D1FEBCA">
      <w:pPr>
        <w:keepNext w:val="0"/>
        <w:keepLines w:val="0"/>
        <w:widowControl w:val="0"/>
        <w:suppressLineNumbers w:val="0"/>
        <w:spacing w:before="0" w:beforeAutospacing="0" w:after="0" w:afterAutospacing="0"/>
        <w:ind w:left="0" w:right="0" w:firstLine="458"/>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2.凡出现以上任何一项情形，结论均为无效，否则就为有效。</w:t>
      </w:r>
    </w:p>
    <w:p w14:paraId="0EE86841">
      <w:pPr>
        <w:keepNext w:val="0"/>
        <w:keepLines w:val="0"/>
        <w:widowControl w:val="0"/>
        <w:suppressLineNumbers w:val="0"/>
        <w:spacing w:before="0" w:beforeAutospacing="0" w:after="0" w:afterAutospacing="0"/>
        <w:ind w:left="0" w:right="0" w:firstLine="458"/>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3.如对本表中某种情形的评审意见不一致时，以评标委员会过半数成员的意见作为评标委员会对该情形的认定结论。</w:t>
      </w:r>
    </w:p>
    <w:p w14:paraId="56897C4A">
      <w:pPr>
        <w:keepNext w:val="0"/>
        <w:keepLines w:val="0"/>
        <w:widowControl w:val="0"/>
        <w:suppressLineNumbers w:val="0"/>
        <w:spacing w:before="0" w:beforeAutospacing="0" w:after="0" w:afterAutospacing="0"/>
        <w:ind w:left="0" w:right="0" w:firstLine="458"/>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4.不得将文件顺序、明显的文字错误等列为否决投标的情形。评委发现投标文件中含义不明确、对同类问题表述不一致、有明显文字和计算错误、投标报价可能低于成本影响履约的，应当要求投标人作必要的澄清、说明后再判定投标人是否通过有效性审查，不得直接否决投标。</w:t>
      </w:r>
    </w:p>
    <w:p w14:paraId="7DF253F4">
      <w:pPr>
        <w:keepNext w:val="0"/>
        <w:keepLines w:val="0"/>
        <w:widowControl w:val="0"/>
        <w:suppressLineNumbers w:val="0"/>
        <w:spacing w:before="0" w:beforeAutospacing="0" w:after="0" w:afterAutospacing="0"/>
        <w:ind w:left="0" w:right="0" w:firstLine="458"/>
        <w:jc w:val="both"/>
        <w:rPr>
          <w:color w:val="auto"/>
          <w:highlight w:val="none"/>
        </w:rPr>
      </w:pPr>
      <w:r>
        <w:rPr>
          <w:rFonts w:hint="eastAsia" w:ascii="宋体" w:hAnsi="宋体" w:eastAsia="宋体" w:cs="宋体"/>
          <w:color w:val="auto"/>
          <w:kern w:val="2"/>
          <w:sz w:val="21"/>
          <w:szCs w:val="21"/>
          <w:highlight w:val="none"/>
          <w:lang w:val="en-US" w:eastAsia="zh-CN" w:bidi="ar"/>
        </w:rPr>
        <w:t>评委签名：</w:t>
      </w:r>
    </w:p>
    <w:p w14:paraId="6CA125CB">
      <w:pPr>
        <w:rPr>
          <w:rFonts w:hint="eastAsia" w:ascii="宋体" w:hAnsi="宋体" w:eastAsia="宋体" w:cs="Times New Roman"/>
          <w:color w:val="auto"/>
          <w:kern w:val="2"/>
          <w:sz w:val="21"/>
          <w:szCs w:val="21"/>
          <w:highlight w:val="none"/>
        </w:rPr>
        <w:sectPr>
          <w:pgSz w:w="16838" w:h="11906" w:orient="landscape"/>
          <w:pgMar w:top="1418" w:right="1247" w:bottom="1418" w:left="1134" w:header="851" w:footer="907" w:gutter="0"/>
          <w:pgNumType w:fmt="decimal"/>
          <w:cols w:space="425" w:num="1"/>
          <w:titlePg/>
          <w:docGrid w:type="lines" w:linePitch="312" w:charSpace="0"/>
        </w:sectPr>
      </w:pPr>
    </w:p>
    <w:p w14:paraId="605F1400">
      <w:pPr>
        <w:keepNext w:val="0"/>
        <w:keepLines w:val="0"/>
        <w:widowControl w:val="0"/>
        <w:suppressLineNumbers w:val="0"/>
        <w:spacing w:before="0" w:beforeAutospacing="0" w:after="0" w:afterAutospacing="0"/>
        <w:ind w:left="0" w:right="0"/>
        <w:jc w:val="both"/>
        <w:outlineLvl w:val="2"/>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附表四</w:t>
      </w:r>
    </w:p>
    <w:p w14:paraId="2D37B556">
      <w:pPr>
        <w:keepNext w:val="0"/>
        <w:keepLines w:val="0"/>
        <w:widowControl w:val="0"/>
        <w:suppressLineNumbers w:val="0"/>
        <w:spacing w:before="0" w:beforeAutospacing="0" w:after="0" w:afterAutospacing="0"/>
        <w:ind w:left="0" w:right="0"/>
        <w:jc w:val="center"/>
        <w:rPr>
          <w:rFonts w:hint="eastAsia" w:ascii="宋体" w:hAnsi="Calibri" w:eastAsia="宋体" w:cs="宋体"/>
          <w:b/>
          <w:bCs w:val="0"/>
          <w:color w:val="auto"/>
          <w:kern w:val="2"/>
          <w:sz w:val="36"/>
          <w:szCs w:val="36"/>
          <w:highlight w:val="none"/>
          <w:u w:val="single"/>
        </w:rPr>
      </w:pPr>
      <w:r>
        <w:rPr>
          <w:rFonts w:hint="eastAsia" w:ascii="宋体" w:hAnsi="宋体" w:eastAsia="宋体" w:cs="宋体"/>
          <w:b/>
          <w:bCs w:val="0"/>
          <w:color w:val="auto"/>
          <w:kern w:val="2"/>
          <w:sz w:val="36"/>
          <w:szCs w:val="36"/>
          <w:highlight w:val="none"/>
          <w:lang w:val="en-US" w:eastAsia="zh-CN" w:bidi="ar"/>
        </w:rPr>
        <w:t>技术标详细审查评分表</w:t>
      </w:r>
    </w:p>
    <w:p w14:paraId="619DD617">
      <w:pPr>
        <w:keepNext w:val="0"/>
        <w:keepLines w:val="0"/>
        <w:widowControl/>
        <w:suppressLineNumbers w:val="0"/>
        <w:shd w:val="clear" w:fill="FFFFFF"/>
        <w:spacing w:before="0" w:beforeAutospacing="0" w:after="0" w:afterAutospacing="0"/>
        <w:ind w:left="0" w:right="0"/>
        <w:jc w:val="both"/>
        <w:rPr>
          <w:rFonts w:hint="default" w:ascii="微软雅黑" w:hAnsi="微软雅黑" w:eastAsia="微软雅黑" w:cs="宋体"/>
          <w:color w:val="auto"/>
          <w:kern w:val="0"/>
          <w:sz w:val="24"/>
          <w:szCs w:val="24"/>
          <w:highlight w:val="none"/>
          <w:shd w:val="clear" w:fill="FFFFFF"/>
        </w:rPr>
      </w:pPr>
      <w:r>
        <w:rPr>
          <w:rFonts w:hint="eastAsia" w:ascii="宋体" w:hAnsi="宋体" w:eastAsia="宋体" w:cs="宋体"/>
          <w:color w:val="auto"/>
          <w:kern w:val="2"/>
          <w:sz w:val="21"/>
          <w:szCs w:val="21"/>
          <w:highlight w:val="none"/>
          <w:shd w:val="clear" w:fill="FFFFFF"/>
          <w:lang w:val="en-US" w:eastAsia="zh-CN" w:bidi="ar"/>
        </w:rPr>
        <w:t>工程名称：</w:t>
      </w:r>
    </w:p>
    <w:tbl>
      <w:tblPr>
        <w:tblStyle w:val="17"/>
        <w:tblW w:w="145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127"/>
        <w:gridCol w:w="1546"/>
        <w:gridCol w:w="574"/>
        <w:gridCol w:w="11317"/>
      </w:tblGrid>
      <w:tr w14:paraId="14AF4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27" w:hRule="atLeast"/>
          <w:jc w:val="center"/>
        </w:trPr>
        <w:tc>
          <w:tcPr>
            <w:tcW w:w="1127" w:type="dxa"/>
            <w:tcBorders>
              <w:top w:val="single" w:color="auto" w:sz="4" w:space="0"/>
              <w:left w:val="single" w:color="auto" w:sz="4" w:space="0"/>
              <w:bottom w:val="single" w:color="auto" w:sz="4" w:space="0"/>
              <w:right w:val="single" w:color="auto" w:sz="4" w:space="0"/>
            </w:tcBorders>
            <w:shd w:val="clear" w:color="auto" w:fill="FFFFFF"/>
            <w:tcMar>
              <w:left w:w="10" w:type="dxa"/>
              <w:right w:w="10" w:type="dxa"/>
            </w:tcMar>
            <w:vAlign w:val="center"/>
          </w:tcPr>
          <w:p w14:paraId="47878E46">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b/>
                <w:color w:val="auto"/>
                <w:kern w:val="0"/>
                <w:sz w:val="21"/>
                <w:szCs w:val="21"/>
                <w:highlight w:val="none"/>
                <w:lang w:val="en-US" w:eastAsia="zh-CN" w:bidi="ar"/>
              </w:rPr>
              <w:t>评分项目</w:t>
            </w:r>
          </w:p>
        </w:tc>
        <w:tc>
          <w:tcPr>
            <w:tcW w:w="1546" w:type="dxa"/>
            <w:tcBorders>
              <w:top w:val="single" w:color="auto" w:sz="4" w:space="0"/>
              <w:left w:val="single" w:color="auto" w:sz="4" w:space="0"/>
              <w:bottom w:val="single" w:color="auto" w:sz="4" w:space="0"/>
              <w:right w:val="single" w:color="auto" w:sz="4" w:space="0"/>
            </w:tcBorders>
            <w:shd w:val="clear" w:color="auto" w:fill="FFFFFF"/>
            <w:tcMar>
              <w:left w:w="10" w:type="dxa"/>
              <w:right w:w="10" w:type="dxa"/>
            </w:tcMar>
            <w:vAlign w:val="center"/>
          </w:tcPr>
          <w:p w14:paraId="351F852C">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b/>
                <w:color w:val="auto"/>
                <w:kern w:val="0"/>
                <w:sz w:val="21"/>
                <w:szCs w:val="21"/>
                <w:highlight w:val="none"/>
                <w:lang w:val="en-US" w:eastAsia="zh-CN" w:bidi="ar"/>
              </w:rPr>
              <w:t>评分内容</w:t>
            </w:r>
          </w:p>
        </w:tc>
        <w:tc>
          <w:tcPr>
            <w:tcW w:w="574" w:type="dxa"/>
            <w:tcBorders>
              <w:top w:val="single" w:color="auto" w:sz="4" w:space="0"/>
              <w:left w:val="single" w:color="auto" w:sz="4" w:space="0"/>
              <w:bottom w:val="single" w:color="auto" w:sz="4" w:space="0"/>
              <w:right w:val="single" w:color="auto" w:sz="4" w:space="0"/>
            </w:tcBorders>
            <w:shd w:val="clear" w:color="auto" w:fill="FFFFFF"/>
            <w:tcMar>
              <w:left w:w="10" w:type="dxa"/>
              <w:right w:w="10" w:type="dxa"/>
            </w:tcMar>
            <w:vAlign w:val="center"/>
          </w:tcPr>
          <w:p w14:paraId="40226321">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b/>
                <w:color w:val="auto"/>
                <w:kern w:val="0"/>
                <w:sz w:val="21"/>
                <w:szCs w:val="21"/>
                <w:highlight w:val="none"/>
                <w:lang w:val="en-US" w:eastAsia="zh-CN" w:bidi="ar"/>
              </w:rPr>
              <w:t>分值</w:t>
            </w:r>
          </w:p>
        </w:tc>
        <w:tc>
          <w:tcPr>
            <w:tcW w:w="11317" w:type="dxa"/>
            <w:tcBorders>
              <w:top w:val="single" w:color="auto" w:sz="4" w:space="0"/>
              <w:left w:val="single" w:color="auto" w:sz="4" w:space="0"/>
              <w:bottom w:val="single" w:color="auto" w:sz="4" w:space="0"/>
              <w:right w:val="single" w:color="auto" w:sz="4" w:space="0"/>
            </w:tcBorders>
            <w:shd w:val="clear" w:color="auto" w:fill="FFFFFF"/>
            <w:tcMar>
              <w:left w:w="10" w:type="dxa"/>
              <w:right w:w="10" w:type="dxa"/>
            </w:tcMar>
            <w:vAlign w:val="center"/>
          </w:tcPr>
          <w:p w14:paraId="2ACF8BC6">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b/>
                <w:color w:val="auto"/>
                <w:kern w:val="0"/>
                <w:sz w:val="21"/>
                <w:szCs w:val="21"/>
                <w:highlight w:val="none"/>
                <w:lang w:val="en-US" w:eastAsia="zh-CN" w:bidi="ar"/>
              </w:rPr>
              <w:t>评审标准</w:t>
            </w:r>
          </w:p>
        </w:tc>
      </w:tr>
      <w:tr w14:paraId="7D420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60" w:hRule="atLeast"/>
          <w:jc w:val="center"/>
        </w:trPr>
        <w:tc>
          <w:tcPr>
            <w:tcW w:w="1127" w:type="dxa"/>
            <w:vMerge w:val="restart"/>
            <w:tcBorders>
              <w:top w:val="nil"/>
              <w:left w:val="single" w:color="auto" w:sz="4" w:space="0"/>
              <w:bottom w:val="single" w:color="auto" w:sz="4" w:space="0"/>
              <w:right w:val="single" w:color="auto" w:sz="4" w:space="0"/>
            </w:tcBorders>
            <w:shd w:val="clear" w:color="auto" w:fill="FFFFFF"/>
            <w:tcMar>
              <w:left w:w="10" w:type="dxa"/>
              <w:right w:w="10" w:type="dxa"/>
            </w:tcMar>
            <w:vAlign w:val="center"/>
          </w:tcPr>
          <w:p w14:paraId="086A1F3E">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企业资信</w:t>
            </w:r>
          </w:p>
          <w:p w14:paraId="0B92DFC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(20分)</w:t>
            </w:r>
          </w:p>
        </w:tc>
        <w:tc>
          <w:tcPr>
            <w:tcW w:w="1546" w:type="dxa"/>
            <w:tcBorders>
              <w:top w:val="single" w:color="auto" w:sz="4" w:space="0"/>
              <w:left w:val="single" w:color="auto" w:sz="4" w:space="0"/>
              <w:bottom w:val="single" w:color="auto" w:sz="4" w:space="0"/>
              <w:right w:val="single" w:color="auto" w:sz="4" w:space="0"/>
            </w:tcBorders>
            <w:shd w:val="clear" w:color="auto" w:fill="FFFFFF"/>
            <w:tcMar>
              <w:left w:w="10" w:type="dxa"/>
              <w:right w:w="10" w:type="dxa"/>
            </w:tcMar>
            <w:vAlign w:val="center"/>
          </w:tcPr>
          <w:p w14:paraId="17C683ED">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b/>
                <w:color w:val="auto"/>
                <w:kern w:val="0"/>
                <w:sz w:val="21"/>
                <w:szCs w:val="21"/>
                <w:highlight w:val="none"/>
                <w:lang w:val="en-US" w:eastAsia="zh-CN" w:bidi="ar"/>
              </w:rPr>
              <w:t>类似工程业绩</w:t>
            </w:r>
          </w:p>
        </w:tc>
        <w:tc>
          <w:tcPr>
            <w:tcW w:w="574" w:type="dxa"/>
            <w:tcBorders>
              <w:top w:val="single" w:color="auto" w:sz="4" w:space="0"/>
              <w:left w:val="single" w:color="auto" w:sz="4" w:space="0"/>
              <w:bottom w:val="single" w:color="auto" w:sz="4" w:space="0"/>
              <w:right w:val="single" w:color="auto" w:sz="4" w:space="0"/>
            </w:tcBorders>
            <w:shd w:val="clear" w:color="auto" w:fill="FFFFFF"/>
            <w:tcMar>
              <w:left w:w="10" w:type="dxa"/>
              <w:right w:w="10" w:type="dxa"/>
            </w:tcMar>
            <w:vAlign w:val="center"/>
          </w:tcPr>
          <w:p w14:paraId="6AB44449">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5</w:t>
            </w:r>
          </w:p>
        </w:tc>
        <w:tc>
          <w:tcPr>
            <w:tcW w:w="11317" w:type="dxa"/>
            <w:tcBorders>
              <w:top w:val="single" w:color="auto" w:sz="4" w:space="0"/>
              <w:left w:val="single" w:color="auto" w:sz="4" w:space="0"/>
              <w:bottom w:val="single" w:color="auto" w:sz="4" w:space="0"/>
              <w:right w:val="single" w:color="auto" w:sz="4" w:space="0"/>
            </w:tcBorders>
            <w:shd w:val="clear" w:color="auto" w:fill="FFFFFF"/>
            <w:tcMar>
              <w:left w:w="10" w:type="dxa"/>
              <w:right w:w="10" w:type="dxa"/>
            </w:tcMar>
            <w:vAlign w:val="center"/>
          </w:tcPr>
          <w:p w14:paraId="2B97FAF5">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投标人自2021年1月1日至投标截止时间止，完成过质量合格的类似工程业绩：</w:t>
            </w:r>
          </w:p>
          <w:p w14:paraId="738F7AD0">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1、完成业绩的数量为25项以上（不含25项）的，得5分；</w:t>
            </w:r>
          </w:p>
          <w:p w14:paraId="4F6842E6">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2、完成业绩的数量为16～25项的，得2分；</w:t>
            </w:r>
          </w:p>
          <w:p w14:paraId="74C379C6">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3、完成业绩的数量为6～15项的，得1分；</w:t>
            </w:r>
          </w:p>
          <w:p w14:paraId="6A57C48A">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4、完成业绩的数量为1～5项的，得0.5分；</w:t>
            </w:r>
          </w:p>
          <w:p w14:paraId="6AEB2BD6">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不符合上述条件的不得分，本项最高得5分。</w:t>
            </w:r>
          </w:p>
        </w:tc>
      </w:tr>
      <w:tr w14:paraId="1758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8" w:hRule="atLeast"/>
          <w:jc w:val="center"/>
        </w:trPr>
        <w:tc>
          <w:tcPr>
            <w:tcW w:w="1127" w:type="dxa"/>
            <w:vMerge w:val="continue"/>
            <w:tcBorders>
              <w:top w:val="nil"/>
              <w:left w:val="single" w:color="auto" w:sz="4" w:space="0"/>
              <w:bottom w:val="single" w:color="auto" w:sz="4" w:space="0"/>
              <w:right w:val="single" w:color="auto" w:sz="4" w:space="0"/>
            </w:tcBorders>
            <w:shd w:val="clear" w:color="auto" w:fill="FFFFFF"/>
            <w:tcMar>
              <w:left w:w="10" w:type="dxa"/>
              <w:right w:w="10" w:type="dxa"/>
            </w:tcMar>
            <w:vAlign w:val="center"/>
          </w:tcPr>
          <w:p w14:paraId="4E03912C">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546" w:type="dxa"/>
            <w:tcBorders>
              <w:top w:val="single" w:color="auto" w:sz="4" w:space="0"/>
              <w:left w:val="single" w:color="auto" w:sz="4" w:space="0"/>
              <w:bottom w:val="single" w:color="auto" w:sz="4" w:space="0"/>
              <w:right w:val="single" w:color="auto" w:sz="4" w:space="0"/>
            </w:tcBorders>
            <w:shd w:val="clear" w:color="auto" w:fill="FFFFFF"/>
            <w:tcMar>
              <w:left w:w="10" w:type="dxa"/>
              <w:right w:w="10" w:type="dxa"/>
            </w:tcMar>
            <w:vAlign w:val="center"/>
          </w:tcPr>
          <w:p w14:paraId="4ED42A60">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b/>
                <w:color w:val="auto"/>
                <w:kern w:val="0"/>
                <w:sz w:val="21"/>
                <w:szCs w:val="21"/>
                <w:highlight w:val="none"/>
                <w:lang w:val="en-US" w:eastAsia="zh-CN" w:bidi="ar"/>
              </w:rPr>
              <w:t>工程获奖</w:t>
            </w:r>
          </w:p>
        </w:tc>
        <w:tc>
          <w:tcPr>
            <w:tcW w:w="574" w:type="dxa"/>
            <w:tcBorders>
              <w:top w:val="single" w:color="auto" w:sz="4" w:space="0"/>
              <w:left w:val="single" w:color="auto" w:sz="4" w:space="0"/>
              <w:bottom w:val="single" w:color="auto" w:sz="4" w:space="0"/>
              <w:right w:val="single" w:color="auto" w:sz="4" w:space="0"/>
            </w:tcBorders>
            <w:shd w:val="clear" w:color="auto" w:fill="FFFFFF"/>
            <w:tcMar>
              <w:left w:w="10" w:type="dxa"/>
              <w:right w:w="10" w:type="dxa"/>
            </w:tcMar>
            <w:vAlign w:val="center"/>
          </w:tcPr>
          <w:p w14:paraId="39C3A33D">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5</w:t>
            </w:r>
          </w:p>
        </w:tc>
        <w:tc>
          <w:tcPr>
            <w:tcW w:w="11317" w:type="dxa"/>
            <w:tcBorders>
              <w:top w:val="single" w:color="auto" w:sz="4" w:space="0"/>
              <w:left w:val="single" w:color="auto" w:sz="4" w:space="0"/>
              <w:bottom w:val="single" w:color="auto" w:sz="4" w:space="0"/>
              <w:right w:val="single" w:color="auto" w:sz="4" w:space="0"/>
            </w:tcBorders>
            <w:shd w:val="clear" w:color="auto" w:fill="FFFFFF"/>
            <w:tcMar>
              <w:left w:w="10" w:type="dxa"/>
              <w:right w:w="10" w:type="dxa"/>
            </w:tcMar>
            <w:vAlign w:val="center"/>
          </w:tcPr>
          <w:p w14:paraId="11B2624F">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投标人自2021年1月1日至投标截止时间止，获得过市级或以上的房建类</w:t>
            </w:r>
            <w:r>
              <w:rPr>
                <w:rFonts w:hint="eastAsia" w:ascii="宋体" w:hAnsi="宋体" w:eastAsia="宋体" w:cs="宋体"/>
                <w:bCs/>
                <w:color w:val="auto"/>
                <w:kern w:val="0"/>
                <w:sz w:val="21"/>
                <w:szCs w:val="21"/>
                <w:highlight w:val="none"/>
                <w:lang w:val="en-US" w:eastAsia="zh-CN" w:bidi="ar"/>
              </w:rPr>
              <w:t>工程质量奖项</w:t>
            </w:r>
            <w:r>
              <w:rPr>
                <w:rFonts w:hint="eastAsia" w:ascii="宋体" w:hAnsi="宋体" w:eastAsia="宋体" w:cs="宋体"/>
                <w:color w:val="auto"/>
                <w:kern w:val="0"/>
                <w:sz w:val="21"/>
                <w:szCs w:val="21"/>
                <w:highlight w:val="none"/>
                <w:lang w:val="en-US" w:eastAsia="zh-CN" w:bidi="ar"/>
              </w:rPr>
              <w:t>：</w:t>
            </w:r>
          </w:p>
          <w:p w14:paraId="56C55DE2">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1、获得过10项以上（不含10项）的，得5分；</w:t>
            </w:r>
          </w:p>
          <w:p w14:paraId="66C2FD56">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2、获得过6至10项的，得2分；</w:t>
            </w:r>
          </w:p>
          <w:p w14:paraId="27DAC2E8">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3、获得过1至5项的，得1分。</w:t>
            </w:r>
          </w:p>
          <w:p w14:paraId="1D79289B">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不符合上述条件的不得分，本项最高得5分。</w:t>
            </w:r>
          </w:p>
        </w:tc>
      </w:tr>
      <w:tr w14:paraId="134F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1127" w:type="dxa"/>
            <w:vMerge w:val="continue"/>
            <w:tcBorders>
              <w:top w:val="nil"/>
              <w:left w:val="single" w:color="auto" w:sz="4" w:space="0"/>
              <w:bottom w:val="single" w:color="auto" w:sz="4" w:space="0"/>
              <w:right w:val="single" w:color="auto" w:sz="4" w:space="0"/>
            </w:tcBorders>
            <w:shd w:val="clear" w:color="auto" w:fill="FFFFFF"/>
            <w:tcMar>
              <w:left w:w="10" w:type="dxa"/>
              <w:right w:w="10" w:type="dxa"/>
            </w:tcMar>
            <w:vAlign w:val="center"/>
          </w:tcPr>
          <w:p w14:paraId="01472B8F">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546" w:type="dxa"/>
            <w:tcBorders>
              <w:top w:val="nil"/>
              <w:left w:val="single" w:color="auto" w:sz="4" w:space="0"/>
              <w:bottom w:val="single" w:color="auto" w:sz="4" w:space="0"/>
              <w:right w:val="single" w:color="auto" w:sz="4" w:space="0"/>
            </w:tcBorders>
            <w:shd w:val="clear" w:color="auto" w:fill="FFFFFF"/>
            <w:tcMar>
              <w:left w:w="10" w:type="dxa"/>
              <w:right w:w="10" w:type="dxa"/>
            </w:tcMar>
            <w:vAlign w:val="center"/>
          </w:tcPr>
          <w:p w14:paraId="3FBC8FC7">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b/>
                <w:color w:val="auto"/>
                <w:kern w:val="0"/>
                <w:sz w:val="21"/>
                <w:szCs w:val="21"/>
                <w:highlight w:val="none"/>
                <w:lang w:val="en-US" w:eastAsia="zh-CN" w:bidi="ar"/>
              </w:rPr>
              <w:t>工程研发能力</w:t>
            </w:r>
          </w:p>
        </w:tc>
        <w:tc>
          <w:tcPr>
            <w:tcW w:w="574" w:type="dxa"/>
            <w:tcBorders>
              <w:top w:val="nil"/>
              <w:left w:val="single" w:color="auto" w:sz="4" w:space="0"/>
              <w:bottom w:val="single" w:color="auto" w:sz="4" w:space="0"/>
              <w:right w:val="single" w:color="auto" w:sz="4" w:space="0"/>
            </w:tcBorders>
            <w:shd w:val="clear" w:color="auto" w:fill="FFFFFF"/>
            <w:tcMar>
              <w:left w:w="10" w:type="dxa"/>
              <w:right w:w="10" w:type="dxa"/>
            </w:tcMar>
            <w:vAlign w:val="center"/>
          </w:tcPr>
          <w:p w14:paraId="6623E173">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6</w:t>
            </w:r>
          </w:p>
        </w:tc>
        <w:tc>
          <w:tcPr>
            <w:tcW w:w="11317" w:type="dxa"/>
            <w:tcBorders>
              <w:top w:val="single" w:color="auto" w:sz="4" w:space="0"/>
              <w:left w:val="single" w:color="auto" w:sz="4" w:space="0"/>
              <w:bottom w:val="single" w:color="auto" w:sz="4" w:space="0"/>
              <w:right w:val="single" w:color="auto" w:sz="4" w:space="0"/>
            </w:tcBorders>
            <w:shd w:val="clear" w:color="auto" w:fill="FFFFFF"/>
            <w:tcMar>
              <w:left w:w="10" w:type="dxa"/>
              <w:right w:w="10" w:type="dxa"/>
            </w:tcMar>
            <w:vAlign w:val="center"/>
          </w:tcPr>
          <w:p w14:paraId="3AFF52AB">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投标人自2021年1月1日至投标截止时间止，获得过省级（或以上）建筑工程类科学技术进步奖或科学技术奖的：</w:t>
            </w:r>
          </w:p>
          <w:p w14:paraId="614FE88D">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1、获得过15个以上（不含15个）的，得6分；</w:t>
            </w:r>
          </w:p>
          <w:p w14:paraId="6A270CCD">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2、获得过6～15个的，得3分；</w:t>
            </w:r>
          </w:p>
          <w:p w14:paraId="40D740B1">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3、获得过1～5个的，得1分。</w:t>
            </w:r>
          </w:p>
          <w:p w14:paraId="507219AA">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不符合上述条件的不得分，本项累计最高得6分。</w:t>
            </w:r>
          </w:p>
        </w:tc>
      </w:tr>
      <w:tr w14:paraId="5302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1127" w:type="dxa"/>
            <w:vMerge w:val="continue"/>
            <w:tcBorders>
              <w:top w:val="nil"/>
              <w:left w:val="single" w:color="auto" w:sz="4" w:space="0"/>
              <w:bottom w:val="single" w:color="auto" w:sz="4" w:space="0"/>
              <w:right w:val="single" w:color="auto" w:sz="4" w:space="0"/>
            </w:tcBorders>
            <w:shd w:val="clear" w:color="auto" w:fill="FFFFFF"/>
            <w:tcMar>
              <w:left w:w="10" w:type="dxa"/>
              <w:right w:w="10" w:type="dxa"/>
            </w:tcMar>
            <w:vAlign w:val="center"/>
          </w:tcPr>
          <w:p w14:paraId="259B635F">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546" w:type="dxa"/>
            <w:vMerge w:val="restart"/>
            <w:tcBorders>
              <w:top w:val="nil"/>
              <w:left w:val="single" w:color="auto" w:sz="4" w:space="0"/>
              <w:bottom w:val="single" w:color="auto" w:sz="4" w:space="0"/>
              <w:right w:val="single" w:color="auto" w:sz="4" w:space="0"/>
            </w:tcBorders>
            <w:shd w:val="clear" w:color="auto" w:fill="FFFFFF"/>
            <w:tcMar>
              <w:left w:w="10" w:type="dxa"/>
              <w:right w:w="10" w:type="dxa"/>
            </w:tcMar>
            <w:vAlign w:val="center"/>
          </w:tcPr>
          <w:p w14:paraId="6FE7E2E4">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b/>
                <w:color w:val="auto"/>
                <w:kern w:val="0"/>
                <w:sz w:val="21"/>
                <w:szCs w:val="21"/>
                <w:highlight w:val="none"/>
                <w:lang w:val="en-US" w:eastAsia="zh-CN" w:bidi="ar"/>
              </w:rPr>
              <w:t>第三方评价</w:t>
            </w:r>
          </w:p>
        </w:tc>
        <w:tc>
          <w:tcPr>
            <w:tcW w:w="574" w:type="dxa"/>
            <w:vMerge w:val="restart"/>
            <w:tcBorders>
              <w:top w:val="nil"/>
              <w:left w:val="single" w:color="auto" w:sz="4" w:space="0"/>
              <w:bottom w:val="single" w:color="auto" w:sz="4" w:space="0"/>
              <w:right w:val="single" w:color="auto" w:sz="4" w:space="0"/>
            </w:tcBorders>
            <w:shd w:val="clear" w:color="auto" w:fill="FFFFFF"/>
            <w:tcMar>
              <w:left w:w="10" w:type="dxa"/>
              <w:right w:w="10" w:type="dxa"/>
            </w:tcMar>
            <w:vAlign w:val="center"/>
          </w:tcPr>
          <w:p w14:paraId="1209CB3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w:t>
            </w:r>
          </w:p>
        </w:tc>
        <w:tc>
          <w:tcPr>
            <w:tcW w:w="11317" w:type="dxa"/>
            <w:tcBorders>
              <w:top w:val="single" w:color="auto" w:sz="4" w:space="0"/>
              <w:left w:val="single" w:color="auto" w:sz="4" w:space="0"/>
              <w:bottom w:val="single" w:color="auto" w:sz="4" w:space="0"/>
              <w:right w:val="single" w:color="auto" w:sz="4" w:space="0"/>
            </w:tcBorders>
            <w:shd w:val="clear" w:color="auto" w:fill="FFFFFF"/>
            <w:tcMar>
              <w:left w:w="10" w:type="dxa"/>
              <w:right w:w="10" w:type="dxa"/>
            </w:tcMar>
            <w:vAlign w:val="center"/>
          </w:tcPr>
          <w:p w14:paraId="63763B60">
            <w:pPr>
              <w:pStyle w:val="14"/>
              <w:keepNext w:val="0"/>
              <w:keepLines w:val="0"/>
              <w:widowControl w:val="0"/>
              <w:suppressLineNumbers w:val="0"/>
              <w:spacing w:before="0" w:beforeAutospacing="0" w:after="0" w:afterAutospacing="0"/>
              <w:ind w:left="0" w:right="0" w:firstLine="0"/>
              <w:jc w:val="both"/>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具有有效期内施工管理类体系认证的情况：同时具有质量管理体系认证证书、环境管理体系认证证书、职业健康安全管理体系认证证书、工程绿色施工企业评价体系认证证书、工程施工安全标准化体系认证证书的，得</w:t>
            </w:r>
            <w:r>
              <w:rPr>
                <w:rFonts w:hint="default" w:ascii="Times New Roman" w:hAnsi="Times New Roman" w:eastAsia="宋体" w:cs="Times New Roman"/>
                <w:color w:val="auto"/>
                <w:kern w:val="2"/>
                <w:sz w:val="21"/>
                <w:szCs w:val="21"/>
                <w:highlight w:val="none"/>
                <w:lang w:val="en-US" w:eastAsia="zh-CN" w:bidi="ar"/>
              </w:rPr>
              <w:t>2</w:t>
            </w:r>
            <w:r>
              <w:rPr>
                <w:rFonts w:hint="eastAsia" w:ascii="宋体" w:hAnsi="宋体" w:eastAsia="宋体" w:cs="宋体"/>
                <w:color w:val="auto"/>
                <w:kern w:val="2"/>
                <w:sz w:val="21"/>
                <w:szCs w:val="21"/>
                <w:highlight w:val="none"/>
                <w:lang w:val="en-US" w:eastAsia="zh-CN" w:bidi="ar"/>
              </w:rPr>
              <w:t>分；同时具有以上任意四项认证证书的，得</w:t>
            </w:r>
            <w:r>
              <w:rPr>
                <w:rFonts w:hint="default" w:ascii="Times New Roman" w:hAnsi="Times New Roman" w:eastAsia="宋体" w:cs="Times New Roman"/>
                <w:color w:val="auto"/>
                <w:kern w:val="2"/>
                <w:sz w:val="21"/>
                <w:szCs w:val="21"/>
                <w:highlight w:val="none"/>
                <w:lang w:val="en-US" w:eastAsia="zh-CN" w:bidi="ar"/>
              </w:rPr>
              <w:t>1</w:t>
            </w:r>
            <w:r>
              <w:rPr>
                <w:rFonts w:hint="eastAsia" w:ascii="宋体" w:hAnsi="宋体" w:eastAsia="宋体" w:cs="宋体"/>
                <w:color w:val="auto"/>
                <w:kern w:val="2"/>
                <w:sz w:val="21"/>
                <w:szCs w:val="21"/>
                <w:highlight w:val="none"/>
                <w:lang w:val="en-US" w:eastAsia="zh-CN" w:bidi="ar"/>
              </w:rPr>
              <w:t>分；同时具有以上任意三项认证证书的，得</w:t>
            </w:r>
            <w:r>
              <w:rPr>
                <w:rFonts w:hint="default" w:ascii="Times New Roman" w:hAnsi="Times New Roman" w:eastAsia="宋体" w:cs="Times New Roman"/>
                <w:color w:val="auto"/>
                <w:kern w:val="2"/>
                <w:sz w:val="21"/>
                <w:szCs w:val="21"/>
                <w:highlight w:val="none"/>
                <w:lang w:val="en-US" w:eastAsia="zh-CN" w:bidi="ar"/>
              </w:rPr>
              <w:t>0.5</w:t>
            </w:r>
            <w:r>
              <w:rPr>
                <w:rFonts w:hint="eastAsia" w:ascii="宋体" w:hAnsi="宋体" w:eastAsia="宋体" w:cs="宋体"/>
                <w:color w:val="auto"/>
                <w:kern w:val="2"/>
                <w:sz w:val="21"/>
                <w:szCs w:val="21"/>
                <w:highlight w:val="none"/>
                <w:lang w:val="en-US" w:eastAsia="zh-CN" w:bidi="ar"/>
              </w:rPr>
              <w:t>分。不符合上述条件的不得分，本小项最高得2分。</w:t>
            </w:r>
          </w:p>
        </w:tc>
      </w:tr>
      <w:tr w14:paraId="6F672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1127" w:type="dxa"/>
            <w:vMerge w:val="continue"/>
            <w:tcBorders>
              <w:top w:val="nil"/>
              <w:left w:val="single" w:color="auto" w:sz="4" w:space="0"/>
              <w:bottom w:val="single" w:color="auto" w:sz="4" w:space="0"/>
              <w:right w:val="single" w:color="auto" w:sz="4" w:space="0"/>
            </w:tcBorders>
            <w:shd w:val="clear" w:color="auto" w:fill="FFFFFF"/>
            <w:tcMar>
              <w:left w:w="10" w:type="dxa"/>
              <w:right w:w="10" w:type="dxa"/>
            </w:tcMar>
            <w:vAlign w:val="center"/>
          </w:tcPr>
          <w:p w14:paraId="3742C103">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546" w:type="dxa"/>
            <w:vMerge w:val="continue"/>
            <w:tcBorders>
              <w:top w:val="nil"/>
              <w:left w:val="single" w:color="auto" w:sz="4" w:space="0"/>
              <w:bottom w:val="single" w:color="auto" w:sz="4" w:space="0"/>
              <w:right w:val="single" w:color="auto" w:sz="4" w:space="0"/>
            </w:tcBorders>
            <w:shd w:val="clear" w:color="auto" w:fill="FFFFFF"/>
            <w:tcMar>
              <w:left w:w="10" w:type="dxa"/>
              <w:right w:w="10" w:type="dxa"/>
            </w:tcMar>
            <w:vAlign w:val="center"/>
          </w:tcPr>
          <w:p w14:paraId="3FA04825">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574" w:type="dxa"/>
            <w:vMerge w:val="continue"/>
            <w:tcBorders>
              <w:top w:val="nil"/>
              <w:left w:val="single" w:color="auto" w:sz="4" w:space="0"/>
              <w:bottom w:val="single" w:color="auto" w:sz="4" w:space="0"/>
              <w:right w:val="single" w:color="auto" w:sz="4" w:space="0"/>
            </w:tcBorders>
            <w:shd w:val="clear" w:color="auto" w:fill="FFFFFF"/>
            <w:tcMar>
              <w:left w:w="10" w:type="dxa"/>
              <w:right w:w="10" w:type="dxa"/>
            </w:tcMar>
            <w:vAlign w:val="center"/>
          </w:tcPr>
          <w:p w14:paraId="7489DD96">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317" w:type="dxa"/>
            <w:tcBorders>
              <w:top w:val="single" w:color="auto" w:sz="4" w:space="0"/>
              <w:left w:val="single" w:color="auto" w:sz="4" w:space="0"/>
              <w:bottom w:val="single" w:color="auto" w:sz="4" w:space="0"/>
              <w:right w:val="single" w:color="auto" w:sz="4" w:space="0"/>
            </w:tcBorders>
            <w:shd w:val="clear" w:color="auto" w:fill="FFFFFF"/>
            <w:tcMar>
              <w:left w:w="10" w:type="dxa"/>
              <w:right w:w="10" w:type="dxa"/>
            </w:tcMar>
            <w:vAlign w:val="center"/>
          </w:tcPr>
          <w:p w14:paraId="407BC9FA">
            <w:pPr>
              <w:pStyle w:val="14"/>
              <w:keepNext w:val="0"/>
              <w:keepLines w:val="0"/>
              <w:widowControl w:val="0"/>
              <w:suppressLineNumbers w:val="0"/>
              <w:spacing w:before="0" w:beforeAutospacing="0" w:after="0" w:afterAutospacing="0"/>
              <w:ind w:left="0" w:right="0" w:firstLine="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投标人自2021年1月1日至投标截止时间，曾获得过省级或以上建筑工程类科技创新企业类证书的，得2分，不符合上述条件的不得分，本项最高得2分。</w:t>
            </w:r>
          </w:p>
        </w:tc>
      </w:tr>
      <w:tr w14:paraId="214CE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73" w:hRule="atLeast"/>
          <w:jc w:val="center"/>
        </w:trPr>
        <w:tc>
          <w:tcPr>
            <w:tcW w:w="2673" w:type="dxa"/>
            <w:gridSpan w:val="2"/>
            <w:tcBorders>
              <w:top w:val="single" w:color="auto" w:sz="4" w:space="0"/>
              <w:left w:val="single" w:color="auto" w:sz="4" w:space="0"/>
              <w:bottom w:val="single" w:color="auto" w:sz="4" w:space="0"/>
              <w:right w:val="single" w:color="auto" w:sz="4" w:space="0"/>
            </w:tcBorders>
            <w:shd w:val="clear" w:color="auto" w:fill="FFFFFF"/>
            <w:tcMar>
              <w:left w:w="10" w:type="dxa"/>
              <w:right w:w="10" w:type="dxa"/>
            </w:tcMar>
            <w:vAlign w:val="center"/>
          </w:tcPr>
          <w:p w14:paraId="522C2213">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合计</w:t>
            </w:r>
          </w:p>
        </w:tc>
        <w:tc>
          <w:tcPr>
            <w:tcW w:w="574" w:type="dxa"/>
            <w:tcBorders>
              <w:top w:val="single" w:color="auto" w:sz="4" w:space="0"/>
              <w:left w:val="single" w:color="auto" w:sz="4" w:space="0"/>
              <w:bottom w:val="single" w:color="auto" w:sz="4" w:space="0"/>
              <w:right w:val="single" w:color="auto" w:sz="4" w:space="0"/>
            </w:tcBorders>
            <w:shd w:val="clear" w:color="auto" w:fill="FFFFFF"/>
            <w:tcMar>
              <w:left w:w="10" w:type="dxa"/>
              <w:right w:w="10" w:type="dxa"/>
            </w:tcMar>
            <w:vAlign w:val="center"/>
          </w:tcPr>
          <w:p w14:paraId="4A248AE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20</w:t>
            </w:r>
          </w:p>
        </w:tc>
        <w:tc>
          <w:tcPr>
            <w:tcW w:w="11317" w:type="dxa"/>
            <w:tcBorders>
              <w:top w:val="single" w:color="auto" w:sz="4" w:space="0"/>
              <w:left w:val="single" w:color="auto" w:sz="4" w:space="0"/>
              <w:bottom w:val="single" w:color="auto" w:sz="4" w:space="0"/>
              <w:right w:val="single" w:color="auto" w:sz="4" w:space="0"/>
            </w:tcBorders>
            <w:shd w:val="clear" w:color="auto" w:fill="FFFFFF"/>
            <w:tcMar>
              <w:left w:w="10" w:type="dxa"/>
              <w:right w:w="10" w:type="dxa"/>
            </w:tcMar>
            <w:vAlign w:val="center"/>
          </w:tcPr>
          <w:p w14:paraId="3346096C">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1"/>
                <w:szCs w:val="21"/>
                <w:highlight w:val="none"/>
              </w:rPr>
            </w:pPr>
            <w:r>
              <w:rPr>
                <w:rFonts w:hint="eastAsia" w:ascii="宋体" w:hAnsi="Calibri" w:eastAsia="宋体" w:cs="宋体"/>
                <w:color w:val="auto"/>
                <w:kern w:val="0"/>
                <w:sz w:val="21"/>
                <w:szCs w:val="21"/>
                <w:highlight w:val="none"/>
                <w:lang w:val="en-US" w:eastAsia="zh-CN" w:bidi="ar"/>
              </w:rPr>
              <w:t> </w:t>
            </w:r>
          </w:p>
        </w:tc>
      </w:tr>
    </w:tbl>
    <w:p w14:paraId="1C65F7C4">
      <w:pPr>
        <w:keepNext w:val="0"/>
        <w:keepLines w:val="0"/>
        <w:widowControl/>
        <w:suppressLineNumbers w:val="0"/>
        <w:shd w:val="clear" w:fill="FFFFFF"/>
        <w:spacing w:before="0" w:beforeAutospacing="0" w:after="0" w:afterAutospacing="0"/>
        <w:ind w:left="0" w:right="0"/>
        <w:jc w:val="both"/>
        <w:rPr>
          <w:rFonts w:hint="default" w:ascii="微软雅黑" w:hAnsi="微软雅黑" w:eastAsia="微软雅黑" w:cs="宋体"/>
          <w:color w:val="auto"/>
          <w:kern w:val="0"/>
          <w:sz w:val="21"/>
          <w:szCs w:val="21"/>
          <w:highlight w:val="none"/>
          <w:shd w:val="clear" w:fill="FFFFFF"/>
        </w:rPr>
      </w:pPr>
      <w:r>
        <w:rPr>
          <w:rFonts w:hint="eastAsia" w:ascii="宋体" w:hAnsi="宋体" w:eastAsia="宋体" w:cs="宋体"/>
          <w:color w:val="auto"/>
          <w:kern w:val="0"/>
          <w:sz w:val="21"/>
          <w:szCs w:val="21"/>
          <w:highlight w:val="none"/>
          <w:shd w:val="clear" w:fill="FFFFFF"/>
          <w:lang w:val="en-US" w:eastAsia="zh-CN" w:bidi="ar"/>
        </w:rPr>
        <w:t>备注：</w:t>
      </w:r>
    </w:p>
    <w:p w14:paraId="48E0A973">
      <w:pPr>
        <w:keepNext w:val="0"/>
        <w:keepLines w:val="0"/>
        <w:widowControl/>
        <w:numPr>
          <w:ilvl w:val="0"/>
          <w:numId w:val="1"/>
        </w:numPr>
        <w:suppressLineNumbers w:val="0"/>
        <w:shd w:val="clear" w:fill="FFFFFF"/>
        <w:spacing w:before="0" w:beforeAutospacing="0" w:after="0" w:afterAutospacing="0"/>
        <w:ind w:left="0" w:right="0" w:firstLine="0"/>
        <w:jc w:val="both"/>
        <w:rPr>
          <w:rFonts w:hint="eastAsia" w:ascii="宋体" w:hAnsi="宋体" w:eastAsia="宋体" w:cs="宋体"/>
          <w:color w:val="auto"/>
          <w:kern w:val="0"/>
          <w:sz w:val="21"/>
          <w:szCs w:val="21"/>
          <w:highlight w:val="none"/>
          <w:shd w:val="clear" w:fill="FFFFFF"/>
        </w:rPr>
      </w:pPr>
      <w:r>
        <w:rPr>
          <w:rFonts w:hint="eastAsia" w:ascii="宋体" w:hAnsi="宋体" w:eastAsia="宋体" w:cs="宋体"/>
          <w:color w:val="auto"/>
          <w:kern w:val="0"/>
          <w:sz w:val="21"/>
          <w:szCs w:val="21"/>
          <w:highlight w:val="none"/>
          <w:shd w:val="clear" w:fill="FFFFFF"/>
          <w:lang w:val="en-US" w:eastAsia="zh-CN" w:bidi="ar"/>
        </w:rPr>
        <w:t>【</w:t>
      </w:r>
      <w:r>
        <w:rPr>
          <w:rFonts w:hint="eastAsia" w:ascii="宋体" w:hAnsi="宋体" w:eastAsia="宋体" w:cs="宋体"/>
          <w:b/>
          <w:bCs w:val="0"/>
          <w:color w:val="auto"/>
          <w:kern w:val="0"/>
          <w:sz w:val="21"/>
          <w:szCs w:val="21"/>
          <w:highlight w:val="none"/>
          <w:shd w:val="clear" w:fill="FFFFFF"/>
          <w:lang w:val="en-US" w:eastAsia="zh-CN" w:bidi="ar"/>
        </w:rPr>
        <w:t>类似工程业绩】</w:t>
      </w:r>
      <w:r>
        <w:rPr>
          <w:rFonts w:hint="eastAsia" w:ascii="宋体" w:hAnsi="宋体" w:eastAsia="宋体" w:cs="宋体"/>
          <w:color w:val="auto"/>
          <w:kern w:val="0"/>
          <w:sz w:val="21"/>
          <w:szCs w:val="21"/>
          <w:highlight w:val="none"/>
          <w:shd w:val="clear" w:fill="FFFFFF"/>
          <w:lang w:val="en-US" w:eastAsia="zh-CN" w:bidi="ar"/>
        </w:rPr>
        <w:t>：</w:t>
      </w:r>
    </w:p>
    <w:p w14:paraId="5298C9C9">
      <w:pPr>
        <w:keepNext w:val="0"/>
        <w:keepLines w:val="0"/>
        <w:widowControl/>
        <w:suppressLineNumbers w:val="0"/>
        <w:shd w:val="clear" w:fill="FFFFFF"/>
        <w:spacing w:before="0" w:beforeAutospacing="0" w:after="0" w:afterAutospacing="0"/>
        <w:ind w:left="0" w:right="0"/>
        <w:jc w:val="both"/>
        <w:rPr>
          <w:rFonts w:hint="default" w:ascii="微软雅黑" w:hAnsi="微软雅黑" w:eastAsia="微软雅黑" w:cs="宋体"/>
          <w:color w:val="auto"/>
          <w:kern w:val="0"/>
          <w:sz w:val="21"/>
          <w:szCs w:val="21"/>
          <w:highlight w:val="none"/>
          <w:shd w:val="clear" w:fill="FFFFFF"/>
        </w:rPr>
      </w:pPr>
      <w:r>
        <w:rPr>
          <w:rFonts w:hint="eastAsia" w:ascii="宋体" w:hAnsi="宋体" w:eastAsia="宋体" w:cs="宋体"/>
          <w:color w:val="auto"/>
          <w:kern w:val="0"/>
          <w:sz w:val="21"/>
          <w:szCs w:val="21"/>
          <w:highlight w:val="none"/>
          <w:shd w:val="clear" w:fill="FFFFFF"/>
          <w:lang w:val="en-US" w:eastAsia="zh-CN" w:bidi="ar"/>
        </w:rPr>
        <w:t>类似工程业绩指单项工程造价为4</w:t>
      </w:r>
      <w:r>
        <w:rPr>
          <w:rFonts w:hint="eastAsia" w:ascii="宋体" w:hAnsi="Calibri" w:eastAsia="宋体" w:cs="宋体"/>
          <w:color w:val="auto"/>
          <w:kern w:val="0"/>
          <w:sz w:val="21"/>
          <w:szCs w:val="21"/>
          <w:highlight w:val="none"/>
          <w:shd w:val="clear" w:fill="FFFFFF"/>
          <w:lang w:val="en-US" w:eastAsia="zh-CN" w:bidi="ar"/>
        </w:rPr>
        <w:t>000</w:t>
      </w:r>
      <w:r>
        <w:rPr>
          <w:rFonts w:hint="eastAsia" w:ascii="宋体" w:hAnsi="宋体" w:eastAsia="宋体" w:cs="宋体"/>
          <w:color w:val="auto"/>
          <w:kern w:val="0"/>
          <w:sz w:val="21"/>
          <w:szCs w:val="21"/>
          <w:highlight w:val="none"/>
          <w:shd w:val="clear" w:fill="FFFFFF"/>
          <w:lang w:val="en-US" w:eastAsia="zh-CN" w:bidi="ar"/>
        </w:rPr>
        <w:t>万元或以上的建筑工程施工总承包项目。</w:t>
      </w:r>
    </w:p>
    <w:p w14:paraId="2B1DE9A4">
      <w:pPr>
        <w:keepNext w:val="0"/>
        <w:keepLines w:val="0"/>
        <w:widowControl/>
        <w:suppressLineNumbers w:val="0"/>
        <w:shd w:val="clear" w:fill="FFFFFF"/>
        <w:spacing w:before="0" w:beforeAutospacing="0" w:after="0" w:afterAutospacing="0"/>
        <w:ind w:left="0" w:right="0"/>
        <w:jc w:val="both"/>
        <w:rPr>
          <w:rFonts w:hint="default" w:ascii="微软雅黑" w:hAnsi="微软雅黑" w:eastAsia="微软雅黑" w:cs="宋体"/>
          <w:color w:val="auto"/>
          <w:kern w:val="0"/>
          <w:sz w:val="21"/>
          <w:szCs w:val="21"/>
          <w:highlight w:val="none"/>
          <w:shd w:val="clear" w:fill="FFFFFF"/>
        </w:rPr>
      </w:pPr>
      <w:r>
        <w:rPr>
          <w:rFonts w:hint="eastAsia" w:ascii="宋体" w:hAnsi="宋体" w:eastAsia="宋体" w:cs="宋体"/>
          <w:color w:val="auto"/>
          <w:kern w:val="0"/>
          <w:sz w:val="21"/>
          <w:szCs w:val="21"/>
          <w:highlight w:val="none"/>
          <w:shd w:val="clear" w:fill="FFFFFF"/>
          <w:lang w:val="en-US" w:eastAsia="zh-CN" w:bidi="ar"/>
        </w:rPr>
        <w:t>业绩取自广州市住建行业信用管理平台。投标人须提供项目名称、广州市住建行业信用管理平台内的项目业绩编号及业绩在广州市住建行业信用管理平台的网页信息截图（网页信息截图须能清晰显示带有“住建行业信用管理平台”名称，并至少包含“项目基本信息”等信息的页面）以供核对（业绩相关附件的上传件取广州市住建行业信用管理平台，投标阶段可不重复提交）。不提供项目名称、项目编号及网页信息截图的业绩不予评审。若投标人提供的项目名称与项目编号不一致：①项目名称和项目编号在平台内分别对应不同业绩的，以项目名称对应的业绩为准；②项目名称存在对应业绩的，项目编号在平台内不存在对应业绩，以项目名称对应的业绩为准；③项目名称在平台内不存在对应业绩，项目编号存在对应业绩的，以项目编号对应的业绩为准。评标委员会对业绩的评审以投标截止时间在平台内业绩上传件为依据。</w:t>
      </w:r>
    </w:p>
    <w:p w14:paraId="2A5456FB">
      <w:pPr>
        <w:keepNext w:val="0"/>
        <w:keepLines w:val="0"/>
        <w:widowControl/>
        <w:suppressLineNumbers w:val="0"/>
        <w:shd w:val="clear" w:fill="FFFFFF"/>
        <w:spacing w:before="0" w:beforeAutospacing="0" w:after="0" w:afterAutospacing="0"/>
        <w:ind w:left="0" w:right="0"/>
        <w:jc w:val="both"/>
        <w:rPr>
          <w:rFonts w:hint="eastAsia" w:ascii="宋体" w:hAnsi="宋体" w:eastAsia="宋体" w:cs="宋体"/>
          <w:strike/>
          <w:dstrike w:val="0"/>
          <w:color w:val="auto"/>
          <w:kern w:val="0"/>
          <w:sz w:val="21"/>
          <w:szCs w:val="21"/>
          <w:highlight w:val="none"/>
          <w:shd w:val="clear" w:fill="FFFFFF"/>
        </w:rPr>
      </w:pPr>
      <w:r>
        <w:rPr>
          <w:rFonts w:hint="eastAsia" w:ascii="宋体" w:hAnsi="宋体" w:eastAsia="宋体" w:cs="宋体"/>
          <w:color w:val="auto"/>
          <w:kern w:val="0"/>
          <w:sz w:val="21"/>
          <w:szCs w:val="21"/>
          <w:highlight w:val="none"/>
          <w:shd w:val="clear" w:fill="FFFFFF"/>
          <w:lang w:val="en-US" w:eastAsia="zh-CN" w:bidi="ar"/>
        </w:rPr>
        <w:t>（1）金额以中标通知书为准，中标通知书上没有金额或免招标的，以施工合同（不含补充合同）为准。</w:t>
      </w:r>
    </w:p>
    <w:p w14:paraId="65D1B110">
      <w:pPr>
        <w:keepNext w:val="0"/>
        <w:keepLines w:val="0"/>
        <w:widowControl/>
        <w:suppressLineNumbers w:val="0"/>
        <w:shd w:val="clear" w:fill="FFFFFF"/>
        <w:spacing w:before="0" w:beforeAutospacing="0" w:after="0" w:afterAutospacing="0"/>
        <w:ind w:left="0" w:right="0"/>
        <w:jc w:val="both"/>
        <w:rPr>
          <w:rFonts w:hint="eastAsia" w:ascii="宋体" w:hAnsi="宋体" w:eastAsia="宋体" w:cs="宋体"/>
          <w:color w:val="auto"/>
          <w:kern w:val="0"/>
          <w:sz w:val="21"/>
          <w:szCs w:val="21"/>
          <w:highlight w:val="none"/>
          <w:shd w:val="clear" w:fill="FFFFFF"/>
        </w:rPr>
      </w:pPr>
      <w:r>
        <w:rPr>
          <w:rFonts w:hint="eastAsia" w:ascii="宋体" w:hAnsi="宋体" w:eastAsia="宋体" w:cs="宋体"/>
          <w:color w:val="auto"/>
          <w:kern w:val="0"/>
          <w:sz w:val="21"/>
          <w:szCs w:val="21"/>
          <w:highlight w:val="none"/>
          <w:shd w:val="clear" w:fill="FFFFFF"/>
          <w:lang w:val="en-US" w:eastAsia="zh-CN" w:bidi="ar"/>
        </w:rPr>
        <w:t>（2）完成时间以竣工验收文件为准。验收文件至少具有建设单位、设计、施工和监理单位盖章。</w:t>
      </w:r>
    </w:p>
    <w:p w14:paraId="1FDAD6CA">
      <w:pPr>
        <w:keepNext w:val="0"/>
        <w:keepLines w:val="0"/>
        <w:widowControl/>
        <w:suppressLineNumbers w:val="0"/>
        <w:shd w:val="clear" w:fill="FFFFFF"/>
        <w:spacing w:before="0" w:beforeAutospacing="0" w:after="0" w:afterAutospacing="0"/>
        <w:ind w:left="0" w:right="0"/>
        <w:jc w:val="both"/>
        <w:rPr>
          <w:rFonts w:hint="eastAsia" w:ascii="宋体" w:hAnsi="宋体" w:eastAsia="宋体" w:cs="宋体"/>
          <w:color w:val="auto"/>
          <w:kern w:val="0"/>
          <w:sz w:val="21"/>
          <w:szCs w:val="21"/>
          <w:highlight w:val="none"/>
          <w:shd w:val="clear" w:fill="FFFFFF"/>
        </w:rPr>
      </w:pPr>
      <w:r>
        <w:rPr>
          <w:rFonts w:hint="eastAsia" w:ascii="宋体" w:hAnsi="宋体" w:eastAsia="宋体" w:cs="宋体"/>
          <w:color w:val="auto"/>
          <w:kern w:val="0"/>
          <w:sz w:val="21"/>
          <w:szCs w:val="21"/>
          <w:highlight w:val="none"/>
          <w:shd w:val="clear" w:fill="FFFFFF"/>
          <w:lang w:val="en-US" w:eastAsia="zh-CN" w:bidi="ar"/>
        </w:rPr>
        <w:t>（3）平台内业绩上传件不符合上述要求的或登记的工程资质内容与施工合同等业绩证明资料不相符的，该项业绩不予认定。</w:t>
      </w:r>
    </w:p>
    <w:p w14:paraId="7577BCEB">
      <w:pPr>
        <w:pStyle w:val="14"/>
        <w:keepNext w:val="0"/>
        <w:keepLines w:val="0"/>
        <w:widowControl w:val="0"/>
        <w:suppressLineNumbers w:val="0"/>
        <w:spacing w:before="0" w:beforeAutospacing="0" w:after="0" w:afterAutospacing="0"/>
        <w:ind w:left="0" w:right="0" w:firstLine="420" w:firstLineChars="200"/>
        <w:jc w:val="both"/>
        <w:rPr>
          <w:rFonts w:hint="eastAsia"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lang w:val="en-US" w:eastAsia="zh-CN" w:bidi="ar"/>
        </w:rPr>
        <w:t xml:space="preserve"> </w:t>
      </w:r>
    </w:p>
    <w:p w14:paraId="32DA0781">
      <w:pPr>
        <w:keepNext w:val="0"/>
        <w:keepLines w:val="0"/>
        <w:widowControl/>
        <w:suppressLineNumbers w:val="0"/>
        <w:shd w:val="clear" w:fill="FFFFFF"/>
        <w:spacing w:before="0" w:beforeAutospacing="0" w:after="0" w:afterAutospacing="0"/>
        <w:ind w:left="0" w:right="0"/>
        <w:jc w:val="both"/>
        <w:rPr>
          <w:rFonts w:hint="default" w:ascii="微软雅黑" w:hAnsi="微软雅黑" w:eastAsia="微软雅黑" w:cs="宋体"/>
          <w:color w:val="auto"/>
          <w:kern w:val="0"/>
          <w:sz w:val="21"/>
          <w:szCs w:val="21"/>
          <w:highlight w:val="none"/>
          <w:shd w:val="clear" w:fill="FFFFFF"/>
        </w:rPr>
      </w:pPr>
      <w:r>
        <w:rPr>
          <w:rFonts w:hint="eastAsia" w:ascii="宋体" w:hAnsi="宋体" w:eastAsia="宋体" w:cs="宋体"/>
          <w:color w:val="auto"/>
          <w:kern w:val="0"/>
          <w:sz w:val="21"/>
          <w:szCs w:val="21"/>
          <w:highlight w:val="none"/>
          <w:shd w:val="clear" w:fill="FFFFFF"/>
          <w:lang w:val="en-US" w:eastAsia="zh-CN" w:bidi="ar"/>
        </w:rPr>
        <w:t>2、【</w:t>
      </w:r>
      <w:r>
        <w:rPr>
          <w:rFonts w:hint="eastAsia" w:ascii="宋体" w:hAnsi="宋体" w:eastAsia="宋体" w:cs="宋体"/>
          <w:b/>
          <w:bCs w:val="0"/>
          <w:color w:val="auto"/>
          <w:kern w:val="0"/>
          <w:sz w:val="21"/>
          <w:szCs w:val="21"/>
          <w:highlight w:val="none"/>
          <w:shd w:val="clear" w:fill="FFFFFF"/>
          <w:lang w:val="en-US" w:eastAsia="zh-CN" w:bidi="ar"/>
        </w:rPr>
        <w:t>工程获奖</w:t>
      </w:r>
      <w:r>
        <w:rPr>
          <w:rFonts w:hint="eastAsia" w:ascii="宋体" w:hAnsi="宋体" w:eastAsia="宋体" w:cs="宋体"/>
          <w:color w:val="auto"/>
          <w:kern w:val="0"/>
          <w:sz w:val="21"/>
          <w:szCs w:val="21"/>
          <w:highlight w:val="none"/>
          <w:shd w:val="clear" w:fill="FFFFFF"/>
          <w:lang w:val="en-US" w:eastAsia="zh-CN" w:bidi="ar"/>
        </w:rPr>
        <w:t>】：</w:t>
      </w:r>
      <w:r>
        <w:rPr>
          <w:rFonts w:hint="default" w:ascii="微软雅黑" w:hAnsi="微软雅黑" w:eastAsia="微软雅黑" w:cs="宋体"/>
          <w:color w:val="auto"/>
          <w:kern w:val="0"/>
          <w:sz w:val="21"/>
          <w:szCs w:val="21"/>
          <w:highlight w:val="none"/>
          <w:shd w:val="clear" w:fill="FFFFFF"/>
          <w:lang w:val="en-US" w:eastAsia="zh-CN" w:bidi="ar"/>
        </w:rPr>
        <w:t xml:space="preserve"> </w:t>
      </w:r>
    </w:p>
    <w:p w14:paraId="49E3AAB6">
      <w:pPr>
        <w:keepNext w:val="0"/>
        <w:keepLines w:val="0"/>
        <w:widowControl/>
        <w:suppressLineNumbers w:val="0"/>
        <w:shd w:val="clear" w:fill="FFFFFF"/>
        <w:spacing w:before="0" w:beforeAutospacing="0" w:after="0" w:afterAutospacing="0"/>
        <w:ind w:left="0" w:right="0" w:firstLine="420" w:firstLineChars="200"/>
        <w:jc w:val="both"/>
        <w:rPr>
          <w:rFonts w:hint="eastAsia" w:ascii="宋体" w:hAnsi="宋体" w:eastAsia="宋体" w:cs="宋体"/>
          <w:color w:val="auto"/>
          <w:kern w:val="0"/>
          <w:sz w:val="21"/>
          <w:szCs w:val="21"/>
          <w:highlight w:val="none"/>
          <w:shd w:val="clear" w:fill="FFFFFF"/>
        </w:rPr>
      </w:pPr>
      <w:r>
        <w:rPr>
          <w:rFonts w:hint="eastAsia" w:ascii="宋体" w:hAnsi="宋体" w:eastAsia="宋体" w:cs="宋体"/>
          <w:color w:val="auto"/>
          <w:kern w:val="0"/>
          <w:sz w:val="21"/>
          <w:szCs w:val="21"/>
          <w:highlight w:val="none"/>
          <w:shd w:val="clear" w:fill="FFFFFF"/>
          <w:lang w:val="en-US" w:eastAsia="zh-CN" w:bidi="ar"/>
        </w:rPr>
        <w:t>（1）工程获奖可取自广州市住建行业信用管理平台或提供获奖证书扫描件。①国家级工程质量奖项指的是中国建设工程鲁班奖、国家优质工程金奖、国家优质工程奖、中国土木工程詹天佑奖；省或市级奖项包括：由省、市级建设行政主管部门或行业协会（行业协会须在民政部门取得成立登记批准）颁发的质量类工程奖项，其它如安全文明、绿色施工、技术创新、QC成果、装修、钢结构、机电安装、科技进步及技术应用类奖项不参与计分；②只计算房建类工程质量奖项，其他非房建项目，如：路桥、铁路、水利、电力、化工、冶金、市政等获奖不参与计分。同一项目获得多个奖项的，该项目获奖只按其中一个奖项所在最高级别计算一次分数，不得重复计算。</w:t>
      </w:r>
    </w:p>
    <w:p w14:paraId="45BD8FE2">
      <w:pPr>
        <w:keepNext w:val="0"/>
        <w:keepLines w:val="0"/>
        <w:widowControl/>
        <w:suppressLineNumbers w:val="0"/>
        <w:shd w:val="clear" w:fill="FFFFFF"/>
        <w:spacing w:before="0" w:beforeAutospacing="0" w:after="0" w:afterAutospacing="0"/>
        <w:ind w:left="0" w:right="0" w:firstLine="420" w:firstLineChars="200"/>
        <w:jc w:val="both"/>
        <w:rPr>
          <w:rFonts w:hint="eastAsia" w:ascii="宋体" w:hAnsi="宋体" w:eastAsia="宋体" w:cs="宋体"/>
          <w:color w:val="auto"/>
          <w:kern w:val="0"/>
          <w:sz w:val="21"/>
          <w:szCs w:val="21"/>
          <w:highlight w:val="none"/>
          <w:shd w:val="clear" w:fill="FFFFFF"/>
        </w:rPr>
      </w:pPr>
      <w:r>
        <w:rPr>
          <w:rFonts w:hint="eastAsia" w:ascii="宋体" w:hAnsi="宋体" w:eastAsia="宋体" w:cs="宋体"/>
          <w:color w:val="auto"/>
          <w:kern w:val="0"/>
          <w:sz w:val="21"/>
          <w:szCs w:val="21"/>
          <w:highlight w:val="none"/>
          <w:shd w:val="clear" w:fill="FFFFFF"/>
          <w:lang w:val="en-US" w:eastAsia="zh-CN" w:bidi="ar"/>
        </w:rPr>
        <w:t>（2）投标人须提交获奖证书扫描件或广州市住建行业信用管理平台的网页信息截图（网页信息截图须能清晰显示带有“住建行业信用管理平台”名称，并至少包含“项目基本信息”、“奖项信息”等信息），时间以获奖证书颁发时间为准，并加盖投标人电子印章，不符合上述条件不予评审。</w:t>
      </w:r>
    </w:p>
    <w:p w14:paraId="317214B5">
      <w:pPr>
        <w:keepNext w:val="0"/>
        <w:keepLines w:val="0"/>
        <w:widowControl/>
        <w:suppressLineNumbers w:val="0"/>
        <w:shd w:val="clear" w:fill="FFFFFF"/>
        <w:spacing w:before="0" w:beforeAutospacing="0" w:after="0" w:afterAutospacing="0"/>
        <w:ind w:left="0" w:right="0" w:firstLine="420" w:firstLineChars="200"/>
        <w:jc w:val="both"/>
        <w:rPr>
          <w:rFonts w:hint="eastAsia" w:ascii="宋体" w:hAnsi="宋体" w:eastAsia="宋体" w:cs="宋体"/>
          <w:color w:val="auto"/>
          <w:kern w:val="0"/>
          <w:sz w:val="21"/>
          <w:szCs w:val="21"/>
          <w:highlight w:val="none"/>
          <w:shd w:val="clear" w:fill="FFFFFF"/>
        </w:rPr>
      </w:pPr>
      <w:r>
        <w:rPr>
          <w:rFonts w:hint="eastAsia" w:ascii="宋体" w:hAnsi="宋体" w:eastAsia="宋体" w:cs="宋体"/>
          <w:color w:val="auto"/>
          <w:kern w:val="0"/>
          <w:sz w:val="21"/>
          <w:szCs w:val="21"/>
          <w:highlight w:val="none"/>
          <w:shd w:val="clear" w:fill="FFFFFF"/>
          <w:lang w:val="en-US" w:eastAsia="zh-CN" w:bidi="ar"/>
        </w:rPr>
        <w:t>（3）投标人须为该获奖项目的施工总承包单位，须提供相关证明材料（如施工合同、业主证明、评审申请材料、批复文件、竣工验收文件等）体现其为施工总承包单位身份，否则不予计分。</w:t>
      </w:r>
    </w:p>
    <w:p w14:paraId="440CAA51">
      <w:pPr>
        <w:keepNext w:val="0"/>
        <w:keepLines w:val="0"/>
        <w:widowControl/>
        <w:suppressLineNumbers w:val="0"/>
        <w:shd w:val="clear" w:fill="FFFFFF"/>
        <w:spacing w:before="0" w:beforeAutospacing="0" w:after="0" w:afterAutospacing="0"/>
        <w:ind w:left="0" w:right="0" w:firstLine="420" w:firstLineChars="200"/>
        <w:jc w:val="both"/>
        <w:rPr>
          <w:rFonts w:hint="eastAsia" w:ascii="宋体" w:hAnsi="宋体" w:eastAsia="宋体" w:cs="宋体"/>
          <w:color w:val="auto"/>
          <w:kern w:val="0"/>
          <w:sz w:val="21"/>
          <w:szCs w:val="21"/>
          <w:highlight w:val="none"/>
          <w:shd w:val="clear" w:fill="FFFFFF"/>
        </w:rPr>
      </w:pPr>
      <w:r>
        <w:rPr>
          <w:rFonts w:hint="eastAsia" w:ascii="宋体" w:hAnsi="宋体" w:eastAsia="宋体" w:cs="宋体"/>
          <w:color w:val="auto"/>
          <w:kern w:val="0"/>
          <w:sz w:val="21"/>
          <w:szCs w:val="21"/>
          <w:highlight w:val="none"/>
          <w:shd w:val="clear" w:fill="FFFFFF"/>
          <w:lang w:val="en-US" w:eastAsia="zh-CN" w:bidi="ar"/>
        </w:rPr>
        <w:t>不符合上述要求的不计分。</w:t>
      </w:r>
    </w:p>
    <w:p w14:paraId="4F4063B7">
      <w:pPr>
        <w:keepNext w:val="0"/>
        <w:keepLines w:val="0"/>
        <w:widowControl/>
        <w:suppressLineNumbers w:val="0"/>
        <w:shd w:val="clear" w:fill="FFFFFF"/>
        <w:spacing w:before="0" w:beforeAutospacing="0" w:after="0" w:afterAutospacing="0"/>
        <w:ind w:left="0" w:right="0"/>
        <w:jc w:val="both"/>
        <w:rPr>
          <w:rFonts w:hint="default" w:ascii="微软雅黑" w:hAnsi="微软雅黑" w:eastAsia="微软雅黑" w:cs="宋体"/>
          <w:color w:val="auto"/>
          <w:kern w:val="0"/>
          <w:sz w:val="21"/>
          <w:szCs w:val="21"/>
          <w:highlight w:val="none"/>
          <w:shd w:val="clear" w:fill="FFFFFF"/>
        </w:rPr>
      </w:pPr>
      <w:r>
        <w:rPr>
          <w:rFonts w:hint="eastAsia" w:ascii="宋体" w:hAnsi="宋体" w:eastAsia="宋体" w:cs="宋体"/>
          <w:color w:val="auto"/>
          <w:kern w:val="0"/>
          <w:sz w:val="21"/>
          <w:szCs w:val="21"/>
          <w:highlight w:val="none"/>
          <w:shd w:val="clear" w:fill="FFFFFF"/>
          <w:lang w:val="en-US" w:eastAsia="zh-CN" w:bidi="ar"/>
        </w:rPr>
        <w:t>3、【</w:t>
      </w:r>
      <w:r>
        <w:rPr>
          <w:rFonts w:hint="eastAsia" w:ascii="宋体" w:hAnsi="宋体" w:eastAsia="宋体" w:cs="宋体"/>
          <w:b/>
          <w:bCs w:val="0"/>
          <w:color w:val="auto"/>
          <w:kern w:val="0"/>
          <w:sz w:val="21"/>
          <w:szCs w:val="21"/>
          <w:highlight w:val="none"/>
          <w:shd w:val="clear" w:fill="FFFFFF"/>
          <w:lang w:val="en-US" w:eastAsia="zh-CN" w:bidi="ar"/>
        </w:rPr>
        <w:t>工程研发能力</w:t>
      </w:r>
      <w:r>
        <w:rPr>
          <w:rFonts w:hint="eastAsia" w:ascii="宋体" w:hAnsi="宋体" w:eastAsia="宋体" w:cs="宋体"/>
          <w:color w:val="auto"/>
          <w:kern w:val="0"/>
          <w:sz w:val="21"/>
          <w:szCs w:val="21"/>
          <w:highlight w:val="none"/>
          <w:shd w:val="clear" w:fill="FFFFFF"/>
          <w:lang w:val="en-US" w:eastAsia="zh-CN" w:bidi="ar"/>
        </w:rPr>
        <w:t>】：</w:t>
      </w:r>
    </w:p>
    <w:p w14:paraId="02895BA1">
      <w:pPr>
        <w:keepNext w:val="0"/>
        <w:keepLines w:val="0"/>
        <w:widowControl/>
        <w:suppressLineNumbers w:val="0"/>
        <w:shd w:val="clear" w:fill="FFFFFF"/>
        <w:spacing w:before="0" w:beforeAutospacing="0" w:after="0" w:afterAutospacing="0"/>
        <w:ind w:left="0" w:right="0" w:firstLine="420" w:firstLineChars="200"/>
        <w:jc w:val="both"/>
        <w:rPr>
          <w:rFonts w:hint="eastAsia" w:ascii="宋体" w:hAnsi="宋体" w:eastAsia="宋体" w:cs="宋体"/>
          <w:color w:val="auto"/>
          <w:kern w:val="0"/>
          <w:sz w:val="21"/>
          <w:szCs w:val="21"/>
          <w:highlight w:val="none"/>
          <w:shd w:val="clear" w:fill="FFFFFF"/>
        </w:rPr>
      </w:pPr>
      <w:r>
        <w:rPr>
          <w:rFonts w:hint="eastAsia" w:ascii="宋体" w:hAnsi="宋体" w:eastAsia="宋体" w:cs="宋体"/>
          <w:color w:val="auto"/>
          <w:kern w:val="0"/>
          <w:sz w:val="21"/>
          <w:szCs w:val="21"/>
          <w:highlight w:val="none"/>
          <w:shd w:val="clear" w:fill="FFFFFF"/>
          <w:lang w:val="en-US" w:eastAsia="zh-CN" w:bidi="ar"/>
        </w:rPr>
        <w:t>科学技术进步奖或科学技术奖：需提供省级（或以上）人民政府或建设行政主管部门或协会或学会颁发的省级或以上科学技术进步奖或科学技术奖扫描件，时间以获奖证书时间为准。若颁发单位是行业协会或学会，须同时提供该颁发单位在“中国社会组织公共服务平台”网站(https://chinanpo.mca.gov.cn)登记的查询结果截图，否则该获奖证书不予认定。以上要求提供的扫描件缺一不可，否则不予计分。</w:t>
      </w:r>
    </w:p>
    <w:p w14:paraId="16CA4731">
      <w:pPr>
        <w:keepNext w:val="0"/>
        <w:keepLines w:val="0"/>
        <w:widowControl/>
        <w:suppressLineNumbers w:val="0"/>
        <w:shd w:val="clear" w:fill="FFFFFF"/>
        <w:spacing w:before="0" w:beforeAutospacing="0" w:after="0" w:afterAutospacing="0"/>
        <w:ind w:left="0" w:right="0" w:firstLine="420" w:firstLineChars="200"/>
        <w:jc w:val="both"/>
        <w:rPr>
          <w:rFonts w:hint="eastAsia" w:ascii="宋体" w:hAnsi="宋体" w:eastAsia="宋体" w:cs="宋体"/>
          <w:color w:val="auto"/>
          <w:kern w:val="0"/>
          <w:sz w:val="21"/>
          <w:szCs w:val="21"/>
          <w:highlight w:val="none"/>
          <w:shd w:val="clear" w:fill="FFFFFF"/>
        </w:rPr>
      </w:pPr>
      <w:r>
        <w:rPr>
          <w:rFonts w:hint="eastAsia" w:ascii="宋体" w:hAnsi="宋体" w:eastAsia="宋体" w:cs="宋体"/>
          <w:color w:val="auto"/>
          <w:kern w:val="0"/>
          <w:sz w:val="21"/>
          <w:szCs w:val="21"/>
          <w:highlight w:val="none"/>
          <w:shd w:val="clear" w:fill="FFFFFF"/>
          <w:lang w:val="en-US" w:eastAsia="zh-CN" w:bidi="ar"/>
        </w:rPr>
        <w:t xml:space="preserve"> </w:t>
      </w:r>
    </w:p>
    <w:p w14:paraId="7D40A39F">
      <w:pPr>
        <w:keepNext w:val="0"/>
        <w:keepLines w:val="0"/>
        <w:widowControl/>
        <w:suppressLineNumbers w:val="0"/>
        <w:shd w:val="clear" w:fill="FFFFFF"/>
        <w:spacing w:before="0" w:beforeAutospacing="0" w:after="0" w:afterAutospacing="0"/>
        <w:ind w:left="0" w:right="0"/>
        <w:jc w:val="both"/>
        <w:rPr>
          <w:rFonts w:hint="default" w:ascii="微软雅黑" w:hAnsi="微软雅黑" w:eastAsia="微软雅黑" w:cs="宋体"/>
          <w:color w:val="auto"/>
          <w:kern w:val="0"/>
          <w:sz w:val="21"/>
          <w:szCs w:val="21"/>
          <w:highlight w:val="none"/>
          <w:shd w:val="clear" w:fill="FFFFFF"/>
        </w:rPr>
      </w:pPr>
      <w:r>
        <w:rPr>
          <w:rFonts w:hint="eastAsia" w:ascii="宋体" w:hAnsi="宋体" w:eastAsia="宋体" w:cs="宋体"/>
          <w:color w:val="auto"/>
          <w:kern w:val="0"/>
          <w:sz w:val="21"/>
          <w:szCs w:val="21"/>
          <w:highlight w:val="none"/>
          <w:shd w:val="clear" w:fill="FFFFFF"/>
          <w:lang w:val="en-US" w:eastAsia="zh-CN" w:bidi="ar"/>
        </w:rPr>
        <w:t>4、【</w:t>
      </w:r>
      <w:r>
        <w:rPr>
          <w:rFonts w:hint="eastAsia" w:ascii="宋体" w:hAnsi="宋体" w:eastAsia="宋体" w:cs="宋体"/>
          <w:b/>
          <w:bCs w:val="0"/>
          <w:color w:val="auto"/>
          <w:kern w:val="0"/>
          <w:sz w:val="21"/>
          <w:szCs w:val="21"/>
          <w:highlight w:val="none"/>
          <w:shd w:val="clear" w:fill="FFFFFF"/>
          <w:lang w:val="en-US" w:eastAsia="zh-CN" w:bidi="ar"/>
        </w:rPr>
        <w:t>第三方评价</w:t>
      </w:r>
      <w:r>
        <w:rPr>
          <w:rFonts w:hint="eastAsia" w:ascii="宋体" w:hAnsi="宋体" w:eastAsia="宋体" w:cs="宋体"/>
          <w:color w:val="auto"/>
          <w:kern w:val="0"/>
          <w:sz w:val="21"/>
          <w:szCs w:val="21"/>
          <w:highlight w:val="none"/>
          <w:shd w:val="clear" w:fill="FFFFFF"/>
          <w:lang w:val="en-US" w:eastAsia="zh-CN" w:bidi="ar"/>
        </w:rPr>
        <w:t>】：</w:t>
      </w:r>
    </w:p>
    <w:p w14:paraId="4B5D0F2B">
      <w:pPr>
        <w:keepNext w:val="0"/>
        <w:keepLines w:val="0"/>
        <w:widowControl/>
        <w:suppressLineNumbers w:val="0"/>
        <w:shd w:val="clear" w:fill="FFFFFF"/>
        <w:spacing w:before="0" w:beforeAutospacing="0" w:after="0" w:afterAutospacing="0"/>
        <w:ind w:left="0" w:right="0" w:firstLine="420" w:firstLineChars="200"/>
        <w:jc w:val="both"/>
        <w:rPr>
          <w:rFonts w:hint="eastAsia" w:ascii="宋体" w:hAnsi="宋体" w:eastAsia="宋体" w:cs="宋体"/>
          <w:color w:val="auto"/>
          <w:kern w:val="0"/>
          <w:sz w:val="21"/>
          <w:szCs w:val="21"/>
          <w:highlight w:val="none"/>
          <w:shd w:val="clear" w:fill="FFFFFF"/>
        </w:rPr>
      </w:pPr>
      <w:r>
        <w:rPr>
          <w:rFonts w:hint="eastAsia" w:ascii="宋体" w:hAnsi="宋体" w:eastAsia="宋体" w:cs="宋体"/>
          <w:color w:val="auto"/>
          <w:kern w:val="0"/>
          <w:sz w:val="21"/>
          <w:szCs w:val="21"/>
          <w:highlight w:val="none"/>
          <w:shd w:val="clear" w:fill="FFFFFF"/>
          <w:lang w:val="en-US" w:eastAsia="zh-CN" w:bidi="ar"/>
        </w:rPr>
        <w:t>（1）体系认证：只计算投标人自身（不含投标人的子、分公司或区域公司）。需同时提供体系证书原件扫描件及在国家认证认可监督管理委员会（网址：http://www.cnca.gov.cn/）网站查询结果截图并加盖投标单位电子印章，并提供证书相关的网页截图，查询结果页面须显示证书的状态为“有效”，否则不得分。</w:t>
      </w:r>
    </w:p>
    <w:p w14:paraId="219E7184">
      <w:pPr>
        <w:keepNext w:val="0"/>
        <w:keepLines w:val="0"/>
        <w:widowControl/>
        <w:suppressLineNumbers w:val="0"/>
        <w:shd w:val="clear" w:fill="FFFFFF"/>
        <w:spacing w:before="0" w:beforeAutospacing="0" w:after="0" w:afterAutospacing="0"/>
        <w:ind w:left="0" w:right="0" w:firstLine="420" w:firstLineChars="200"/>
        <w:jc w:val="both"/>
        <w:rPr>
          <w:rFonts w:hint="eastAsia" w:ascii="宋体" w:hAnsi="宋体" w:eastAsia="宋体" w:cs="宋体"/>
          <w:color w:val="auto"/>
          <w:kern w:val="0"/>
          <w:sz w:val="21"/>
          <w:szCs w:val="21"/>
          <w:highlight w:val="none"/>
          <w:shd w:val="clear" w:fill="FFFFFF"/>
        </w:rPr>
      </w:pPr>
      <w:r>
        <w:rPr>
          <w:rFonts w:hint="eastAsia" w:ascii="宋体" w:hAnsi="宋体" w:eastAsia="宋体" w:cs="宋体"/>
          <w:bCs/>
          <w:color w:val="auto"/>
          <w:kern w:val="2"/>
          <w:sz w:val="21"/>
          <w:szCs w:val="21"/>
          <w:highlight w:val="none"/>
          <w:shd w:val="clear" w:fill="FFFFFF"/>
          <w:lang w:val="en-US" w:eastAsia="zh-CN" w:bidi="ar"/>
        </w:rPr>
        <w:t>（2）科技创新企业类证书须提供网上查询获奖名单公示或公布截图（须由建设行政主管部门或行业协会或学会颁发）以及获奖证书的扫描件（证书获奖单位必须与投标单位名称一致，不包含上级公司、子分公司及区域公司），时间以网上查询结果截图或证书载明的年度为准。若颁发单位是行业协会或学会，须同时提供该颁发单位在“中国社会组织公共服务平台”网站(https://chinanpo.mca.gov.cn)登记的查询结果截图，否则该获奖证书不予认定。不满足上述要求的或未提供相关证明材料的不计分。</w:t>
      </w:r>
    </w:p>
    <w:p w14:paraId="7A34B655">
      <w:pPr>
        <w:keepNext w:val="0"/>
        <w:keepLines w:val="0"/>
        <w:widowControl w:val="0"/>
        <w:suppressLineNumbers w:val="0"/>
        <w:spacing w:before="0" w:beforeAutospacing="0" w:after="0" w:afterAutospacing="0"/>
        <w:ind w:left="0" w:right="0"/>
        <w:jc w:val="both"/>
        <w:rPr>
          <w:color w:val="auto"/>
          <w:highlight w:val="none"/>
        </w:rPr>
      </w:pPr>
      <w:r>
        <w:rPr>
          <w:rFonts w:hint="eastAsia" w:ascii="宋体" w:hAnsi="宋体" w:eastAsia="宋体" w:cs="宋体"/>
          <w:color w:val="auto"/>
          <w:kern w:val="0"/>
          <w:sz w:val="21"/>
          <w:szCs w:val="21"/>
          <w:highlight w:val="none"/>
          <w:shd w:val="clear" w:fill="FFFFFF"/>
          <w:lang w:val="en-US" w:eastAsia="zh-CN" w:bidi="ar"/>
        </w:rPr>
        <w:t>5、所有评委的评分分数的算术平均值为投标人的最终得分，分数出现小数点，保留小数点后二位小数，第三位小数四舍五入。</w:t>
      </w:r>
    </w:p>
    <w:p w14:paraId="4B94DC67">
      <w:pPr>
        <w:keepNext w:val="0"/>
        <w:keepLines w:val="0"/>
        <w:widowControl/>
        <w:suppressLineNumbers w:val="0"/>
        <w:shd w:val="clear" w:fill="auto"/>
        <w:spacing w:before="0" w:beforeAutospacing="0" w:after="0" w:afterAutospacing="0"/>
        <w:ind w:left="0" w:right="0" w:firstLine="0"/>
        <w:jc w:val="center"/>
        <w:rPr>
          <w:rFonts w:hint="default" w:ascii="微软雅黑" w:hAnsi="微软雅黑" w:eastAsia="微软雅黑" w:cs="宋体"/>
          <w:color w:val="auto"/>
          <w:kern w:val="0"/>
          <w:sz w:val="21"/>
          <w:szCs w:val="21"/>
          <w:highlight w:val="none"/>
          <w:shd w:val="clear" w:fill="FFFFFF"/>
        </w:rPr>
      </w:pPr>
    </w:p>
    <w:p w14:paraId="74F439EE">
      <w:pPr>
        <w:keepNext w:val="0"/>
        <w:keepLines w:val="0"/>
        <w:widowControl/>
        <w:suppressLineNumbers w:val="0"/>
        <w:shd w:val="clear" w:fill="FFFFFF"/>
        <w:spacing w:before="0" w:beforeAutospacing="0" w:after="0" w:afterAutospacing="0"/>
        <w:ind w:left="0" w:right="0"/>
        <w:jc w:val="both"/>
        <w:rPr>
          <w:rFonts w:hint="eastAsia" w:ascii="宋体" w:hAnsi="Calibri" w:eastAsia="宋体" w:cs="宋体"/>
          <w:color w:val="auto"/>
          <w:kern w:val="2"/>
          <w:sz w:val="21"/>
          <w:szCs w:val="21"/>
          <w:highlight w:val="none"/>
          <w:shd w:val="clear" w:fill="FFFFFF"/>
        </w:rPr>
      </w:pPr>
      <w:r>
        <w:rPr>
          <w:rFonts w:hint="eastAsia" w:ascii="宋体" w:hAnsi="宋体" w:eastAsia="宋体" w:cs="宋体"/>
          <w:color w:val="auto"/>
          <w:kern w:val="0"/>
          <w:sz w:val="21"/>
          <w:szCs w:val="21"/>
          <w:highlight w:val="none"/>
          <w:shd w:val="clear" w:fill="FFFFFF"/>
          <w:lang w:val="en-US" w:eastAsia="zh-CN" w:bidi="ar"/>
        </w:rPr>
        <w:t>评委签名：</w:t>
      </w:r>
      <w:r>
        <w:rPr>
          <w:rFonts w:hint="eastAsia" w:ascii="宋体" w:hAnsi="Calibri" w:eastAsia="宋体" w:cs="宋体"/>
          <w:color w:val="auto"/>
          <w:kern w:val="0"/>
          <w:sz w:val="21"/>
          <w:szCs w:val="21"/>
          <w:highlight w:val="none"/>
          <w:shd w:val="clear" w:fill="FFFFFF"/>
          <w:lang w:val="en-US" w:eastAsia="zh-CN" w:bidi="ar"/>
        </w:rPr>
        <w:t xml:space="preserve">                     </w:t>
      </w:r>
      <w:r>
        <w:rPr>
          <w:rFonts w:hint="eastAsia" w:ascii="宋体" w:hAnsi="宋体" w:eastAsia="宋体" w:cs="宋体"/>
          <w:color w:val="auto"/>
          <w:kern w:val="0"/>
          <w:sz w:val="21"/>
          <w:szCs w:val="21"/>
          <w:highlight w:val="none"/>
          <w:shd w:val="clear" w:fill="FFFFFF"/>
          <w:lang w:val="en-US" w:eastAsia="zh-CN" w:bidi="ar"/>
        </w:rPr>
        <w:t>日期：</w:t>
      </w:r>
    </w:p>
    <w:p w14:paraId="7A5317AB">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14:paraId="3E85B729">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br w:type="page"/>
      </w:r>
    </w:p>
    <w:p w14:paraId="0B991275">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附表五（适用于加权平均法）</w:t>
      </w:r>
    </w:p>
    <w:p w14:paraId="1E3DAD7C">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val="0"/>
          <w:color w:val="auto"/>
          <w:kern w:val="2"/>
          <w:sz w:val="36"/>
          <w:szCs w:val="36"/>
          <w:highlight w:val="none"/>
        </w:rPr>
      </w:pPr>
      <w:r>
        <w:rPr>
          <w:rFonts w:hint="eastAsia" w:ascii="宋体" w:hAnsi="宋体" w:eastAsia="宋体" w:cs="宋体"/>
          <w:b/>
          <w:bCs w:val="0"/>
          <w:color w:val="auto"/>
          <w:kern w:val="2"/>
          <w:sz w:val="36"/>
          <w:szCs w:val="36"/>
          <w:highlight w:val="none"/>
          <w:lang w:val="en-US" w:eastAsia="zh-CN" w:bidi="ar"/>
        </w:rPr>
        <w:t>经济标评分表</w:t>
      </w:r>
    </w:p>
    <w:p w14:paraId="407AC31B">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工程名称：</w:t>
      </w:r>
    </w:p>
    <w:tbl>
      <w:tblPr>
        <w:tblStyle w:val="17"/>
        <w:tblW w:w="144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063"/>
        <w:gridCol w:w="1009"/>
        <w:gridCol w:w="12"/>
        <w:gridCol w:w="1034"/>
        <w:gridCol w:w="1033"/>
        <w:gridCol w:w="1033"/>
        <w:gridCol w:w="1033"/>
        <w:gridCol w:w="1033"/>
        <w:gridCol w:w="1033"/>
        <w:gridCol w:w="1033"/>
        <w:gridCol w:w="1033"/>
        <w:gridCol w:w="1033"/>
        <w:gridCol w:w="1033"/>
        <w:gridCol w:w="1032"/>
      </w:tblGrid>
      <w:tr w14:paraId="390E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9" w:hRule="atLeast"/>
        </w:trPr>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14:paraId="54F4C9EB">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投标人名称</w:t>
            </w:r>
          </w:p>
        </w:tc>
        <w:tc>
          <w:tcPr>
            <w:tcW w:w="1021" w:type="dxa"/>
            <w:gridSpan w:val="2"/>
            <w:tcBorders>
              <w:top w:val="single" w:color="auto" w:sz="4" w:space="0"/>
              <w:left w:val="nil"/>
              <w:bottom w:val="single" w:color="auto" w:sz="4" w:space="0"/>
              <w:right w:val="single" w:color="auto" w:sz="4" w:space="0"/>
            </w:tcBorders>
            <w:shd w:val="clear" w:color="auto" w:fill="auto"/>
            <w:vAlign w:val="center"/>
          </w:tcPr>
          <w:p w14:paraId="4C5735A1">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4" w:type="dxa"/>
            <w:tcBorders>
              <w:top w:val="single" w:color="auto" w:sz="4" w:space="0"/>
              <w:left w:val="nil"/>
              <w:bottom w:val="single" w:color="auto" w:sz="4" w:space="0"/>
              <w:right w:val="single" w:color="auto" w:sz="4" w:space="0"/>
            </w:tcBorders>
            <w:shd w:val="clear" w:color="auto" w:fill="auto"/>
            <w:vAlign w:val="center"/>
          </w:tcPr>
          <w:p w14:paraId="0012F94B">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78B9241F">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7105E27F">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6A03FD1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2F0EAE4C">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4211639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4215DF65">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5B8933D6">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7AB22B7E">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4A7DB362">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2" w:type="dxa"/>
            <w:tcBorders>
              <w:top w:val="single" w:color="auto" w:sz="4" w:space="0"/>
              <w:left w:val="nil"/>
              <w:bottom w:val="single" w:color="auto" w:sz="4" w:space="0"/>
              <w:right w:val="single" w:color="auto" w:sz="4" w:space="0"/>
            </w:tcBorders>
            <w:shd w:val="clear" w:color="auto" w:fill="auto"/>
            <w:vAlign w:val="center"/>
          </w:tcPr>
          <w:p w14:paraId="4D501A73">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14:paraId="1ED5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9" w:hRule="atLeast"/>
        </w:trPr>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14:paraId="2299E1F0">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投标报价PT（元）</w:t>
            </w:r>
          </w:p>
        </w:tc>
        <w:tc>
          <w:tcPr>
            <w:tcW w:w="1021" w:type="dxa"/>
            <w:gridSpan w:val="2"/>
            <w:tcBorders>
              <w:top w:val="single" w:color="auto" w:sz="4" w:space="0"/>
              <w:left w:val="nil"/>
              <w:bottom w:val="single" w:color="auto" w:sz="4" w:space="0"/>
              <w:right w:val="single" w:color="auto" w:sz="4" w:space="0"/>
            </w:tcBorders>
            <w:shd w:val="clear" w:color="auto" w:fill="auto"/>
            <w:vAlign w:val="center"/>
          </w:tcPr>
          <w:p w14:paraId="39141F0C">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4" w:type="dxa"/>
            <w:tcBorders>
              <w:top w:val="single" w:color="auto" w:sz="4" w:space="0"/>
              <w:left w:val="nil"/>
              <w:bottom w:val="single" w:color="auto" w:sz="4" w:space="0"/>
              <w:right w:val="single" w:color="auto" w:sz="4" w:space="0"/>
            </w:tcBorders>
            <w:shd w:val="clear" w:color="auto" w:fill="auto"/>
            <w:vAlign w:val="center"/>
          </w:tcPr>
          <w:p w14:paraId="38496E6E">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56C5E226">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3E4E694A">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1752194D">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2E5F5E7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6B36FBC5">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39BEF00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4531B44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4061B352">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615CDE9A">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2" w:type="dxa"/>
            <w:tcBorders>
              <w:top w:val="single" w:color="auto" w:sz="4" w:space="0"/>
              <w:left w:val="nil"/>
              <w:bottom w:val="single" w:color="auto" w:sz="4" w:space="0"/>
              <w:right w:val="single" w:color="auto" w:sz="4" w:space="0"/>
            </w:tcBorders>
            <w:shd w:val="clear" w:color="auto" w:fill="auto"/>
            <w:vAlign w:val="center"/>
          </w:tcPr>
          <w:p w14:paraId="5E1FEDEC">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14:paraId="71F7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14:paraId="756D528E">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报价权重</w:t>
            </w:r>
          </w:p>
        </w:tc>
        <w:tc>
          <w:tcPr>
            <w:tcW w:w="1009" w:type="dxa"/>
            <w:tcBorders>
              <w:top w:val="single" w:color="auto" w:sz="4" w:space="0"/>
              <w:left w:val="nil"/>
              <w:bottom w:val="single" w:color="auto" w:sz="4" w:space="0"/>
              <w:right w:val="single" w:color="auto" w:sz="4" w:space="0"/>
            </w:tcBorders>
            <w:shd w:val="clear" w:color="auto" w:fill="auto"/>
            <w:vAlign w:val="center"/>
          </w:tcPr>
          <w:p w14:paraId="72F70E28">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46" w:type="dxa"/>
            <w:gridSpan w:val="2"/>
            <w:tcBorders>
              <w:top w:val="single" w:color="auto" w:sz="4" w:space="0"/>
              <w:left w:val="nil"/>
              <w:bottom w:val="single" w:color="auto" w:sz="4" w:space="0"/>
              <w:right w:val="single" w:color="auto" w:sz="4" w:space="0"/>
            </w:tcBorders>
            <w:shd w:val="clear" w:color="auto" w:fill="auto"/>
            <w:vAlign w:val="center"/>
          </w:tcPr>
          <w:p w14:paraId="1A5A2F33">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23EE98E9">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3A12B9DD">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5760E4B1">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53B8DF3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44CAB22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0E55FE15">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3AC1EDA8">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3DEFC29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5A3BB172">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2" w:type="dxa"/>
            <w:tcBorders>
              <w:top w:val="single" w:color="auto" w:sz="4" w:space="0"/>
              <w:left w:val="nil"/>
              <w:bottom w:val="single" w:color="auto" w:sz="4" w:space="0"/>
              <w:right w:val="single" w:color="auto" w:sz="4" w:space="0"/>
            </w:tcBorders>
            <w:shd w:val="clear" w:color="auto" w:fill="auto"/>
            <w:vAlign w:val="center"/>
          </w:tcPr>
          <w:p w14:paraId="5B9BAA2D">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14:paraId="03FA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14:paraId="4A831301">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评标参考价PC（元）</w:t>
            </w:r>
          </w:p>
        </w:tc>
        <w:tc>
          <w:tcPr>
            <w:tcW w:w="12384" w:type="dxa"/>
            <w:gridSpan w:val="13"/>
            <w:tcBorders>
              <w:top w:val="single" w:color="auto" w:sz="4" w:space="0"/>
              <w:left w:val="nil"/>
              <w:bottom w:val="single" w:color="auto" w:sz="4" w:space="0"/>
              <w:right w:val="single" w:color="auto" w:sz="4" w:space="0"/>
            </w:tcBorders>
            <w:shd w:val="clear" w:color="auto" w:fill="auto"/>
            <w:vAlign w:val="center"/>
          </w:tcPr>
          <w:p w14:paraId="483D1121">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14:paraId="2C7B7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14:paraId="4F6CE729">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偏差（（PT-PC）/PC）（%）</w:t>
            </w:r>
          </w:p>
        </w:tc>
        <w:tc>
          <w:tcPr>
            <w:tcW w:w="1021" w:type="dxa"/>
            <w:gridSpan w:val="2"/>
            <w:tcBorders>
              <w:top w:val="single" w:color="auto" w:sz="4" w:space="0"/>
              <w:left w:val="nil"/>
              <w:bottom w:val="single" w:color="auto" w:sz="4" w:space="0"/>
              <w:right w:val="single" w:color="auto" w:sz="4" w:space="0"/>
            </w:tcBorders>
            <w:shd w:val="clear" w:color="auto" w:fill="auto"/>
            <w:vAlign w:val="center"/>
          </w:tcPr>
          <w:p w14:paraId="552DD37E">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4" w:type="dxa"/>
            <w:tcBorders>
              <w:top w:val="single" w:color="auto" w:sz="4" w:space="0"/>
              <w:left w:val="nil"/>
              <w:bottom w:val="single" w:color="auto" w:sz="4" w:space="0"/>
              <w:right w:val="single" w:color="auto" w:sz="4" w:space="0"/>
            </w:tcBorders>
            <w:shd w:val="clear" w:color="auto" w:fill="auto"/>
            <w:vAlign w:val="center"/>
          </w:tcPr>
          <w:p w14:paraId="50D7B773">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429AEA0D">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1F4AF1F6">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44EF2AE9">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25BE2AFE">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5DCA450F">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43ECD0DF">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5C9047F5">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1B2184C6">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59734B49">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2" w:type="dxa"/>
            <w:tcBorders>
              <w:top w:val="single" w:color="auto" w:sz="4" w:space="0"/>
              <w:left w:val="nil"/>
              <w:bottom w:val="single" w:color="auto" w:sz="4" w:space="0"/>
              <w:right w:val="single" w:color="auto" w:sz="4" w:space="0"/>
            </w:tcBorders>
            <w:shd w:val="clear" w:color="auto" w:fill="auto"/>
            <w:vAlign w:val="center"/>
          </w:tcPr>
          <w:p w14:paraId="70B6A8EC">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14:paraId="67079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9" w:hRule="atLeast"/>
        </w:trPr>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14:paraId="45054B4E">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减分（A）</w:t>
            </w:r>
          </w:p>
        </w:tc>
        <w:tc>
          <w:tcPr>
            <w:tcW w:w="1021" w:type="dxa"/>
            <w:gridSpan w:val="2"/>
            <w:tcBorders>
              <w:top w:val="single" w:color="auto" w:sz="4" w:space="0"/>
              <w:left w:val="nil"/>
              <w:bottom w:val="single" w:color="auto" w:sz="4" w:space="0"/>
              <w:right w:val="single" w:color="auto" w:sz="4" w:space="0"/>
            </w:tcBorders>
            <w:shd w:val="clear" w:color="auto" w:fill="auto"/>
            <w:vAlign w:val="center"/>
          </w:tcPr>
          <w:p w14:paraId="7AAB9715">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4" w:type="dxa"/>
            <w:tcBorders>
              <w:top w:val="single" w:color="auto" w:sz="4" w:space="0"/>
              <w:left w:val="nil"/>
              <w:bottom w:val="single" w:color="auto" w:sz="4" w:space="0"/>
              <w:right w:val="single" w:color="auto" w:sz="4" w:space="0"/>
            </w:tcBorders>
            <w:shd w:val="clear" w:color="auto" w:fill="auto"/>
            <w:vAlign w:val="center"/>
          </w:tcPr>
          <w:p w14:paraId="0FB432F0">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5179B678">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04CD0880">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2ADCEC63">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5220C60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07E1A6AA">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1332CDE6">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11B7FCAA">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28262368">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0918DD3F">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2" w:type="dxa"/>
            <w:tcBorders>
              <w:top w:val="single" w:color="auto" w:sz="4" w:space="0"/>
              <w:left w:val="nil"/>
              <w:bottom w:val="single" w:color="auto" w:sz="4" w:space="0"/>
              <w:right w:val="single" w:color="auto" w:sz="4" w:space="0"/>
            </w:tcBorders>
            <w:shd w:val="clear" w:color="auto" w:fill="auto"/>
            <w:vAlign w:val="center"/>
          </w:tcPr>
          <w:p w14:paraId="0EAFE4D1">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14:paraId="46A9F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14:paraId="546C9C5F">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得分(I=100-A)</w:t>
            </w:r>
          </w:p>
        </w:tc>
        <w:tc>
          <w:tcPr>
            <w:tcW w:w="1021" w:type="dxa"/>
            <w:gridSpan w:val="2"/>
            <w:tcBorders>
              <w:top w:val="single" w:color="auto" w:sz="4" w:space="0"/>
              <w:left w:val="nil"/>
              <w:bottom w:val="single" w:color="auto" w:sz="4" w:space="0"/>
              <w:right w:val="single" w:color="auto" w:sz="4" w:space="0"/>
            </w:tcBorders>
            <w:shd w:val="clear" w:color="auto" w:fill="auto"/>
            <w:vAlign w:val="center"/>
          </w:tcPr>
          <w:p w14:paraId="4B7B4DBC">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4" w:type="dxa"/>
            <w:tcBorders>
              <w:top w:val="single" w:color="auto" w:sz="4" w:space="0"/>
              <w:left w:val="nil"/>
              <w:bottom w:val="single" w:color="auto" w:sz="4" w:space="0"/>
              <w:right w:val="single" w:color="auto" w:sz="4" w:space="0"/>
            </w:tcBorders>
            <w:shd w:val="clear" w:color="auto" w:fill="auto"/>
            <w:vAlign w:val="center"/>
          </w:tcPr>
          <w:p w14:paraId="608029DC">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56CBC579">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73A155CD">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058025A2">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0F8AAAB3">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74F63EB6">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3BDEC881">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32FF5CBE">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4832DBF7">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69BE7599">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2" w:type="dxa"/>
            <w:tcBorders>
              <w:top w:val="single" w:color="auto" w:sz="4" w:space="0"/>
              <w:left w:val="nil"/>
              <w:bottom w:val="single" w:color="auto" w:sz="4" w:space="0"/>
              <w:right w:val="single" w:color="auto" w:sz="4" w:space="0"/>
            </w:tcBorders>
            <w:shd w:val="clear" w:color="auto" w:fill="auto"/>
            <w:vAlign w:val="center"/>
          </w:tcPr>
          <w:p w14:paraId="430DA41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r w14:paraId="5CCB1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14:paraId="21E509F1">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得分排名次序</w:t>
            </w:r>
          </w:p>
        </w:tc>
        <w:tc>
          <w:tcPr>
            <w:tcW w:w="1021" w:type="dxa"/>
            <w:gridSpan w:val="2"/>
            <w:tcBorders>
              <w:top w:val="single" w:color="auto" w:sz="4" w:space="0"/>
              <w:left w:val="nil"/>
              <w:bottom w:val="single" w:color="auto" w:sz="4" w:space="0"/>
              <w:right w:val="single" w:color="auto" w:sz="4" w:space="0"/>
            </w:tcBorders>
            <w:shd w:val="clear" w:color="auto" w:fill="auto"/>
            <w:vAlign w:val="center"/>
          </w:tcPr>
          <w:p w14:paraId="6F13FF00">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4" w:type="dxa"/>
            <w:tcBorders>
              <w:top w:val="single" w:color="auto" w:sz="4" w:space="0"/>
              <w:left w:val="nil"/>
              <w:bottom w:val="single" w:color="auto" w:sz="4" w:space="0"/>
              <w:right w:val="single" w:color="auto" w:sz="4" w:space="0"/>
            </w:tcBorders>
            <w:shd w:val="clear" w:color="auto" w:fill="auto"/>
            <w:vAlign w:val="center"/>
          </w:tcPr>
          <w:p w14:paraId="01A617B8">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0DDABE0D">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76ED01C6">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3751A3E8">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5CE4084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3330CCA3">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1C6197BB">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14955848">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727259D6">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280A6E8A">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c>
          <w:tcPr>
            <w:tcW w:w="1032" w:type="dxa"/>
            <w:tcBorders>
              <w:top w:val="single" w:color="auto" w:sz="4" w:space="0"/>
              <w:left w:val="nil"/>
              <w:bottom w:val="single" w:color="auto" w:sz="4" w:space="0"/>
              <w:right w:val="single" w:color="auto" w:sz="4" w:space="0"/>
            </w:tcBorders>
            <w:shd w:val="clear" w:color="auto" w:fill="auto"/>
            <w:vAlign w:val="center"/>
          </w:tcPr>
          <w:p w14:paraId="14299FA2">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2"/>
                <w:sz w:val="21"/>
                <w:szCs w:val="21"/>
                <w:highlight w:val="none"/>
              </w:rPr>
            </w:pPr>
          </w:p>
        </w:tc>
      </w:tr>
    </w:tbl>
    <w:p w14:paraId="09C31361">
      <w:pPr>
        <w:keepNext w:val="0"/>
        <w:keepLines w:val="0"/>
        <w:widowControl w:val="0"/>
        <w:suppressLineNumbers w:val="0"/>
        <w:spacing w:before="0" w:beforeAutospacing="0" w:after="0" w:afterAutospacing="0"/>
        <w:ind w:left="0" w:right="0"/>
        <w:jc w:val="both"/>
        <w:rPr>
          <w:rFonts w:hint="default" w:ascii="Calibri" w:hAnsi="Calibri" w:eastAsia="宋体" w:cs="Times New Roman"/>
          <w:b/>
          <w:bCs w:val="0"/>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评委签名：</w:t>
      </w:r>
      <w:r>
        <w:rPr>
          <w:rFonts w:hint="default" w:ascii="Calibri" w:hAnsi="Calibri" w:eastAsia="宋体" w:cs="Times New Roman"/>
          <w:b/>
          <w:bCs w:val="0"/>
          <w:color w:val="auto"/>
          <w:kern w:val="2"/>
          <w:sz w:val="36"/>
          <w:szCs w:val="36"/>
          <w:highlight w:val="none"/>
          <w:lang w:val="en-US" w:eastAsia="zh-CN" w:bidi="ar"/>
        </w:rPr>
        <w:br w:type="page"/>
      </w:r>
      <w:r>
        <w:rPr>
          <w:rFonts w:hint="eastAsia" w:ascii="宋体" w:hAnsi="宋体" w:eastAsia="宋体" w:cs="宋体"/>
          <w:color w:val="auto"/>
          <w:kern w:val="2"/>
          <w:sz w:val="21"/>
          <w:szCs w:val="21"/>
          <w:highlight w:val="none"/>
          <w:lang w:val="en-US" w:eastAsia="zh-CN" w:bidi="ar"/>
        </w:rPr>
        <w:t>附表六</w:t>
      </w:r>
    </w:p>
    <w:p w14:paraId="29BD3BFB">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val="0"/>
          <w:color w:val="auto"/>
          <w:kern w:val="2"/>
          <w:sz w:val="36"/>
          <w:szCs w:val="36"/>
          <w:highlight w:val="none"/>
        </w:rPr>
      </w:pPr>
      <w:r>
        <w:rPr>
          <w:rFonts w:hint="eastAsia" w:ascii="宋体" w:hAnsi="宋体" w:eastAsia="宋体" w:cs="宋体"/>
          <w:b/>
          <w:bCs w:val="0"/>
          <w:color w:val="auto"/>
          <w:kern w:val="2"/>
          <w:sz w:val="36"/>
          <w:szCs w:val="36"/>
          <w:highlight w:val="none"/>
          <w:lang w:val="en-US" w:eastAsia="zh-CN" w:bidi="ar"/>
        </w:rPr>
        <w:t>算术复核表</w:t>
      </w:r>
    </w:p>
    <w:p w14:paraId="543B5EF8">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工程名称：</w:t>
      </w:r>
      <w:r>
        <w:rPr>
          <w:rFonts w:hint="default" w:ascii="Calibri" w:hAnsi="Calibri" w:eastAsia="宋体" w:cs="Times New Roman"/>
          <w:color w:val="auto"/>
          <w:kern w:val="0"/>
          <w:sz w:val="21"/>
          <w:szCs w:val="21"/>
          <w:highlight w:val="none"/>
          <w:lang w:val="en-US" w:eastAsia="zh-CN" w:bidi="ar"/>
        </w:rPr>
        <w:t xml:space="preserve">                                          </w:t>
      </w:r>
      <w:r>
        <w:rPr>
          <w:rFonts w:hint="eastAsia" w:ascii="宋体" w:hAnsi="宋体"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投标人</w:t>
      </w:r>
      <w:r>
        <w:rPr>
          <w:rFonts w:hint="eastAsia" w:ascii="宋体" w:hAnsi="宋体"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单位：元</w:t>
      </w:r>
    </w:p>
    <w:tbl>
      <w:tblPr>
        <w:tblStyle w:val="17"/>
        <w:tblW w:w="148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5"/>
        <w:gridCol w:w="4488"/>
        <w:gridCol w:w="1602"/>
        <w:gridCol w:w="1575"/>
        <w:gridCol w:w="1575"/>
        <w:gridCol w:w="1470"/>
        <w:gridCol w:w="3465"/>
      </w:tblGrid>
      <w:tr w14:paraId="26B34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1556D2D">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编号</w:t>
            </w:r>
          </w:p>
        </w:tc>
        <w:tc>
          <w:tcPr>
            <w:tcW w:w="4488" w:type="dxa"/>
            <w:tcBorders>
              <w:top w:val="single" w:color="auto" w:sz="4" w:space="0"/>
              <w:left w:val="nil"/>
              <w:bottom w:val="single" w:color="auto" w:sz="4" w:space="0"/>
              <w:right w:val="single" w:color="auto" w:sz="4" w:space="0"/>
            </w:tcBorders>
            <w:shd w:val="clear" w:color="auto" w:fill="auto"/>
            <w:vAlign w:val="center"/>
          </w:tcPr>
          <w:p w14:paraId="64BC050D">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算术校核项目</w:t>
            </w:r>
          </w:p>
        </w:tc>
        <w:tc>
          <w:tcPr>
            <w:tcW w:w="1602" w:type="dxa"/>
            <w:tcBorders>
              <w:top w:val="single" w:color="auto" w:sz="4" w:space="0"/>
              <w:left w:val="nil"/>
              <w:bottom w:val="single" w:color="auto" w:sz="4" w:space="0"/>
              <w:right w:val="single" w:color="auto" w:sz="4" w:space="0"/>
            </w:tcBorders>
            <w:shd w:val="clear" w:color="auto" w:fill="auto"/>
            <w:vAlign w:val="center"/>
          </w:tcPr>
          <w:p w14:paraId="78F5E2DF">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修正前投标</w:t>
            </w:r>
          </w:p>
          <w:p w14:paraId="637992D2">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报价A</w:t>
            </w:r>
          </w:p>
        </w:tc>
        <w:tc>
          <w:tcPr>
            <w:tcW w:w="1575" w:type="dxa"/>
            <w:tcBorders>
              <w:top w:val="single" w:color="auto" w:sz="4" w:space="0"/>
              <w:left w:val="nil"/>
              <w:bottom w:val="single" w:color="auto" w:sz="4" w:space="0"/>
              <w:right w:val="single" w:color="auto" w:sz="4" w:space="0"/>
            </w:tcBorders>
            <w:shd w:val="clear" w:color="auto" w:fill="auto"/>
            <w:vAlign w:val="center"/>
          </w:tcPr>
          <w:p w14:paraId="190AAC89">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修正后投标</w:t>
            </w:r>
          </w:p>
          <w:p w14:paraId="38DB78ED">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报价B</w:t>
            </w:r>
          </w:p>
        </w:tc>
        <w:tc>
          <w:tcPr>
            <w:tcW w:w="1575" w:type="dxa"/>
            <w:tcBorders>
              <w:top w:val="single" w:color="auto" w:sz="4" w:space="0"/>
              <w:left w:val="nil"/>
              <w:bottom w:val="single" w:color="auto" w:sz="4" w:space="0"/>
              <w:right w:val="single" w:color="auto" w:sz="4" w:space="0"/>
            </w:tcBorders>
            <w:shd w:val="clear" w:color="auto" w:fill="auto"/>
            <w:vAlign w:val="center"/>
          </w:tcPr>
          <w:p w14:paraId="3D696D9F">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修正率</w:t>
            </w:r>
            <w:r>
              <w:rPr>
                <w:rFonts w:hint="eastAsia" w:ascii="宋体" w:hAnsi="宋体" w:eastAsia="宋体" w:cs="Times New Roman"/>
                <w:color w:val="auto"/>
                <w:kern w:val="0"/>
                <w:sz w:val="21"/>
                <w:szCs w:val="21"/>
                <w:highlight w:val="none"/>
                <w:lang w:val="en-US" w:eastAsia="zh-CN" w:bidi="ar"/>
              </w:rPr>
              <w:br w:type="textWrapping"/>
            </w:r>
            <w:r>
              <w:rPr>
                <w:rFonts w:hint="eastAsia" w:ascii="宋体" w:hAnsi="宋体" w:eastAsia="宋体" w:cs="宋体"/>
                <w:color w:val="auto"/>
                <w:kern w:val="0"/>
                <w:sz w:val="21"/>
                <w:szCs w:val="21"/>
                <w:highlight w:val="none"/>
                <w:lang w:val="en-US" w:eastAsia="zh-CN" w:bidi="ar"/>
              </w:rPr>
              <w:t>r=|A-B|/A*100%</w:t>
            </w:r>
          </w:p>
        </w:tc>
        <w:tc>
          <w:tcPr>
            <w:tcW w:w="1470" w:type="dxa"/>
            <w:tcBorders>
              <w:top w:val="single" w:color="auto" w:sz="4" w:space="0"/>
              <w:left w:val="nil"/>
              <w:bottom w:val="single" w:color="auto" w:sz="4" w:space="0"/>
              <w:right w:val="single" w:color="auto" w:sz="4" w:space="0"/>
            </w:tcBorders>
            <w:shd w:val="clear" w:color="auto" w:fill="auto"/>
            <w:vAlign w:val="center"/>
          </w:tcPr>
          <w:p w14:paraId="5EAAEB3B">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经评审的最终投标报价</w:t>
            </w:r>
          </w:p>
        </w:tc>
        <w:tc>
          <w:tcPr>
            <w:tcW w:w="3465" w:type="dxa"/>
            <w:tcBorders>
              <w:top w:val="single" w:color="auto" w:sz="4" w:space="0"/>
              <w:left w:val="nil"/>
              <w:bottom w:val="single" w:color="auto" w:sz="4" w:space="0"/>
              <w:right w:val="single" w:color="auto" w:sz="4" w:space="0"/>
            </w:tcBorders>
            <w:shd w:val="clear" w:color="auto" w:fill="auto"/>
            <w:vAlign w:val="center"/>
          </w:tcPr>
          <w:p w14:paraId="7285AA2A">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当B&gt;A时，修正后报价与原报价的差额；当B≤A时,R=0</w:t>
            </w:r>
          </w:p>
        </w:tc>
      </w:tr>
      <w:tr w14:paraId="55A7F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shd w:val="clear" w:color="auto" w:fill="auto"/>
            <w:vAlign w:val="center"/>
          </w:tcPr>
          <w:p w14:paraId="485AFC09">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w:t>
            </w:r>
          </w:p>
        </w:tc>
        <w:tc>
          <w:tcPr>
            <w:tcW w:w="4488" w:type="dxa"/>
            <w:tcBorders>
              <w:top w:val="nil"/>
              <w:left w:val="nil"/>
              <w:bottom w:val="single" w:color="auto" w:sz="4" w:space="0"/>
              <w:right w:val="single" w:color="auto" w:sz="4" w:space="0"/>
            </w:tcBorders>
            <w:shd w:val="clear" w:color="auto" w:fill="auto"/>
            <w:vAlign w:val="center"/>
          </w:tcPr>
          <w:p w14:paraId="04381F0B">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[单位工程1]</w:t>
            </w:r>
          </w:p>
        </w:tc>
        <w:tc>
          <w:tcPr>
            <w:tcW w:w="1602" w:type="dxa"/>
            <w:tcBorders>
              <w:top w:val="nil"/>
              <w:left w:val="nil"/>
              <w:bottom w:val="single" w:color="auto" w:sz="4" w:space="0"/>
              <w:right w:val="single" w:color="auto" w:sz="4" w:space="0"/>
            </w:tcBorders>
            <w:shd w:val="clear" w:color="auto" w:fill="auto"/>
            <w:vAlign w:val="center"/>
          </w:tcPr>
          <w:p w14:paraId="6A3C5E3E">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575" w:type="dxa"/>
            <w:tcBorders>
              <w:top w:val="nil"/>
              <w:left w:val="nil"/>
              <w:bottom w:val="single" w:color="auto" w:sz="4" w:space="0"/>
              <w:right w:val="single" w:color="auto" w:sz="4" w:space="0"/>
            </w:tcBorders>
            <w:shd w:val="clear" w:color="auto" w:fill="auto"/>
            <w:vAlign w:val="center"/>
          </w:tcPr>
          <w:p w14:paraId="46B29C9E">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575" w:type="dxa"/>
            <w:tcBorders>
              <w:top w:val="nil"/>
              <w:left w:val="nil"/>
              <w:bottom w:val="single" w:color="auto" w:sz="4" w:space="0"/>
              <w:right w:val="single" w:color="auto" w:sz="4" w:space="0"/>
            </w:tcBorders>
            <w:shd w:val="clear" w:color="auto" w:fill="auto"/>
            <w:vAlign w:val="center"/>
          </w:tcPr>
          <w:p w14:paraId="2E2D55CC">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470" w:type="dxa"/>
            <w:tcBorders>
              <w:top w:val="nil"/>
              <w:left w:val="nil"/>
              <w:bottom w:val="single" w:color="auto" w:sz="4" w:space="0"/>
              <w:right w:val="single" w:color="auto" w:sz="4" w:space="0"/>
            </w:tcBorders>
            <w:shd w:val="clear" w:color="auto" w:fill="auto"/>
            <w:vAlign w:val="center"/>
          </w:tcPr>
          <w:p w14:paraId="3D9F1180">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3465" w:type="dxa"/>
            <w:tcBorders>
              <w:top w:val="single" w:color="auto" w:sz="4" w:space="0"/>
              <w:left w:val="nil"/>
              <w:bottom w:val="single" w:color="auto" w:sz="4" w:space="0"/>
              <w:right w:val="single" w:color="auto" w:sz="4" w:space="0"/>
            </w:tcBorders>
            <w:shd w:val="clear" w:color="auto" w:fill="auto"/>
            <w:vAlign w:val="center"/>
          </w:tcPr>
          <w:p w14:paraId="1EBBB18A">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p>
        </w:tc>
      </w:tr>
      <w:tr w14:paraId="2FD07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shd w:val="clear" w:color="auto" w:fill="auto"/>
            <w:vAlign w:val="center"/>
          </w:tcPr>
          <w:p w14:paraId="65285298">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w:t>
            </w:r>
          </w:p>
        </w:tc>
        <w:tc>
          <w:tcPr>
            <w:tcW w:w="4488" w:type="dxa"/>
            <w:tcBorders>
              <w:top w:val="nil"/>
              <w:left w:val="nil"/>
              <w:bottom w:val="single" w:color="auto" w:sz="4" w:space="0"/>
              <w:right w:val="single" w:color="auto" w:sz="4" w:space="0"/>
            </w:tcBorders>
            <w:shd w:val="clear" w:color="auto" w:fill="auto"/>
            <w:vAlign w:val="center"/>
          </w:tcPr>
          <w:p w14:paraId="4563427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[单位工程2]</w:t>
            </w:r>
          </w:p>
        </w:tc>
        <w:tc>
          <w:tcPr>
            <w:tcW w:w="1602" w:type="dxa"/>
            <w:tcBorders>
              <w:top w:val="nil"/>
              <w:left w:val="nil"/>
              <w:bottom w:val="single" w:color="auto" w:sz="4" w:space="0"/>
              <w:right w:val="single" w:color="auto" w:sz="4" w:space="0"/>
            </w:tcBorders>
            <w:shd w:val="clear" w:color="auto" w:fill="auto"/>
            <w:vAlign w:val="center"/>
          </w:tcPr>
          <w:p w14:paraId="6A0C2F2F">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575" w:type="dxa"/>
            <w:tcBorders>
              <w:top w:val="nil"/>
              <w:left w:val="nil"/>
              <w:bottom w:val="single" w:color="auto" w:sz="4" w:space="0"/>
              <w:right w:val="single" w:color="auto" w:sz="4" w:space="0"/>
            </w:tcBorders>
            <w:shd w:val="clear" w:color="auto" w:fill="auto"/>
            <w:vAlign w:val="center"/>
          </w:tcPr>
          <w:p w14:paraId="0ED03EB3">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575" w:type="dxa"/>
            <w:tcBorders>
              <w:top w:val="nil"/>
              <w:left w:val="nil"/>
              <w:bottom w:val="single" w:color="auto" w:sz="4" w:space="0"/>
              <w:right w:val="single" w:color="auto" w:sz="4" w:space="0"/>
            </w:tcBorders>
            <w:shd w:val="clear" w:color="auto" w:fill="auto"/>
            <w:vAlign w:val="center"/>
          </w:tcPr>
          <w:p w14:paraId="5BEA1DF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470" w:type="dxa"/>
            <w:tcBorders>
              <w:top w:val="nil"/>
              <w:left w:val="nil"/>
              <w:bottom w:val="single" w:color="auto" w:sz="4" w:space="0"/>
              <w:right w:val="single" w:color="auto" w:sz="4" w:space="0"/>
            </w:tcBorders>
            <w:shd w:val="clear" w:color="auto" w:fill="auto"/>
            <w:vAlign w:val="center"/>
          </w:tcPr>
          <w:p w14:paraId="342E631E">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3465" w:type="dxa"/>
            <w:tcBorders>
              <w:top w:val="single" w:color="auto" w:sz="4" w:space="0"/>
              <w:left w:val="nil"/>
              <w:bottom w:val="single" w:color="auto" w:sz="4" w:space="0"/>
              <w:right w:val="single" w:color="auto" w:sz="4" w:space="0"/>
            </w:tcBorders>
            <w:shd w:val="clear" w:color="auto" w:fill="auto"/>
            <w:vAlign w:val="center"/>
          </w:tcPr>
          <w:p w14:paraId="48FC6795">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p>
        </w:tc>
      </w:tr>
      <w:tr w14:paraId="10EFA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shd w:val="clear" w:color="auto" w:fill="auto"/>
            <w:vAlign w:val="center"/>
          </w:tcPr>
          <w:p w14:paraId="737D9F3E">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p>
        </w:tc>
        <w:tc>
          <w:tcPr>
            <w:tcW w:w="4488" w:type="dxa"/>
            <w:tcBorders>
              <w:top w:val="nil"/>
              <w:left w:val="nil"/>
              <w:bottom w:val="single" w:color="auto" w:sz="4" w:space="0"/>
              <w:right w:val="single" w:color="auto" w:sz="4" w:space="0"/>
            </w:tcBorders>
            <w:shd w:val="clear" w:color="auto" w:fill="auto"/>
            <w:vAlign w:val="center"/>
          </w:tcPr>
          <w:p w14:paraId="1DEE3A56">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p>
        </w:tc>
        <w:tc>
          <w:tcPr>
            <w:tcW w:w="1602" w:type="dxa"/>
            <w:tcBorders>
              <w:top w:val="nil"/>
              <w:left w:val="nil"/>
              <w:bottom w:val="single" w:color="auto" w:sz="4" w:space="0"/>
              <w:right w:val="single" w:color="auto" w:sz="4" w:space="0"/>
            </w:tcBorders>
            <w:shd w:val="clear" w:color="auto" w:fill="auto"/>
            <w:vAlign w:val="center"/>
          </w:tcPr>
          <w:p w14:paraId="7D171B11">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575" w:type="dxa"/>
            <w:tcBorders>
              <w:top w:val="nil"/>
              <w:left w:val="nil"/>
              <w:bottom w:val="single" w:color="auto" w:sz="4" w:space="0"/>
              <w:right w:val="single" w:color="auto" w:sz="4" w:space="0"/>
            </w:tcBorders>
            <w:shd w:val="clear" w:color="auto" w:fill="auto"/>
            <w:vAlign w:val="center"/>
          </w:tcPr>
          <w:p w14:paraId="479B42C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575" w:type="dxa"/>
            <w:tcBorders>
              <w:top w:val="nil"/>
              <w:left w:val="nil"/>
              <w:bottom w:val="single" w:color="auto" w:sz="4" w:space="0"/>
              <w:right w:val="single" w:color="auto" w:sz="4" w:space="0"/>
            </w:tcBorders>
            <w:shd w:val="clear" w:color="auto" w:fill="auto"/>
            <w:vAlign w:val="center"/>
          </w:tcPr>
          <w:p w14:paraId="50DD6DB3">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470" w:type="dxa"/>
            <w:tcBorders>
              <w:top w:val="nil"/>
              <w:left w:val="nil"/>
              <w:bottom w:val="single" w:color="auto" w:sz="4" w:space="0"/>
              <w:right w:val="single" w:color="auto" w:sz="4" w:space="0"/>
            </w:tcBorders>
            <w:shd w:val="clear" w:color="auto" w:fill="auto"/>
            <w:vAlign w:val="center"/>
          </w:tcPr>
          <w:p w14:paraId="7726685F">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3465" w:type="dxa"/>
            <w:tcBorders>
              <w:top w:val="single" w:color="auto" w:sz="4" w:space="0"/>
              <w:left w:val="nil"/>
              <w:bottom w:val="single" w:color="auto" w:sz="4" w:space="0"/>
              <w:right w:val="single" w:color="auto" w:sz="4" w:space="0"/>
            </w:tcBorders>
            <w:shd w:val="clear" w:color="auto" w:fill="auto"/>
            <w:vAlign w:val="center"/>
          </w:tcPr>
          <w:p w14:paraId="1FD3270F">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p>
        </w:tc>
      </w:tr>
      <w:tr w14:paraId="0285C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shd w:val="clear" w:color="auto" w:fill="auto"/>
            <w:vAlign w:val="center"/>
          </w:tcPr>
          <w:p w14:paraId="46156D9D">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p>
        </w:tc>
        <w:tc>
          <w:tcPr>
            <w:tcW w:w="4488" w:type="dxa"/>
            <w:tcBorders>
              <w:top w:val="nil"/>
              <w:left w:val="nil"/>
              <w:bottom w:val="single" w:color="auto" w:sz="4" w:space="0"/>
              <w:right w:val="single" w:color="auto" w:sz="4" w:space="0"/>
            </w:tcBorders>
            <w:shd w:val="clear" w:color="auto" w:fill="auto"/>
            <w:vAlign w:val="center"/>
          </w:tcPr>
          <w:p w14:paraId="100FCA5E">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p>
        </w:tc>
        <w:tc>
          <w:tcPr>
            <w:tcW w:w="1602" w:type="dxa"/>
            <w:tcBorders>
              <w:top w:val="nil"/>
              <w:left w:val="nil"/>
              <w:bottom w:val="single" w:color="auto" w:sz="4" w:space="0"/>
              <w:right w:val="single" w:color="auto" w:sz="4" w:space="0"/>
            </w:tcBorders>
            <w:shd w:val="clear" w:color="auto" w:fill="auto"/>
            <w:vAlign w:val="center"/>
          </w:tcPr>
          <w:p w14:paraId="6A8A9A71">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575" w:type="dxa"/>
            <w:tcBorders>
              <w:top w:val="nil"/>
              <w:left w:val="nil"/>
              <w:bottom w:val="single" w:color="auto" w:sz="4" w:space="0"/>
              <w:right w:val="single" w:color="auto" w:sz="4" w:space="0"/>
            </w:tcBorders>
            <w:shd w:val="clear" w:color="auto" w:fill="auto"/>
            <w:vAlign w:val="center"/>
          </w:tcPr>
          <w:p w14:paraId="69289E00">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575" w:type="dxa"/>
            <w:tcBorders>
              <w:top w:val="nil"/>
              <w:left w:val="nil"/>
              <w:bottom w:val="single" w:color="auto" w:sz="4" w:space="0"/>
              <w:right w:val="single" w:color="auto" w:sz="4" w:space="0"/>
            </w:tcBorders>
            <w:shd w:val="clear" w:color="auto" w:fill="auto"/>
            <w:vAlign w:val="center"/>
          </w:tcPr>
          <w:p w14:paraId="49D81866">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470" w:type="dxa"/>
            <w:tcBorders>
              <w:top w:val="nil"/>
              <w:left w:val="nil"/>
              <w:bottom w:val="single" w:color="auto" w:sz="4" w:space="0"/>
              <w:right w:val="single" w:color="auto" w:sz="4" w:space="0"/>
            </w:tcBorders>
            <w:shd w:val="clear" w:color="auto" w:fill="auto"/>
            <w:vAlign w:val="center"/>
          </w:tcPr>
          <w:p w14:paraId="1918453E">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3465" w:type="dxa"/>
            <w:tcBorders>
              <w:top w:val="single" w:color="auto" w:sz="4" w:space="0"/>
              <w:left w:val="nil"/>
              <w:bottom w:val="single" w:color="auto" w:sz="4" w:space="0"/>
              <w:right w:val="single" w:color="auto" w:sz="4" w:space="0"/>
            </w:tcBorders>
            <w:shd w:val="clear" w:color="auto" w:fill="auto"/>
            <w:vAlign w:val="center"/>
          </w:tcPr>
          <w:p w14:paraId="458FCCF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p>
        </w:tc>
      </w:tr>
      <w:tr w14:paraId="14D27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shd w:val="clear" w:color="auto" w:fill="auto"/>
            <w:vAlign w:val="center"/>
          </w:tcPr>
          <w:p w14:paraId="4B6FC2BB">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p>
        </w:tc>
        <w:tc>
          <w:tcPr>
            <w:tcW w:w="4488" w:type="dxa"/>
            <w:tcBorders>
              <w:top w:val="nil"/>
              <w:left w:val="nil"/>
              <w:bottom w:val="single" w:color="auto" w:sz="4" w:space="0"/>
              <w:right w:val="single" w:color="auto" w:sz="4" w:space="0"/>
            </w:tcBorders>
            <w:shd w:val="clear" w:color="auto" w:fill="auto"/>
            <w:vAlign w:val="center"/>
          </w:tcPr>
          <w:p w14:paraId="1D0248FB">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p>
        </w:tc>
        <w:tc>
          <w:tcPr>
            <w:tcW w:w="1602" w:type="dxa"/>
            <w:tcBorders>
              <w:top w:val="nil"/>
              <w:left w:val="nil"/>
              <w:bottom w:val="single" w:color="auto" w:sz="4" w:space="0"/>
              <w:right w:val="single" w:color="auto" w:sz="4" w:space="0"/>
            </w:tcBorders>
            <w:shd w:val="clear" w:color="auto" w:fill="auto"/>
            <w:vAlign w:val="center"/>
          </w:tcPr>
          <w:p w14:paraId="7E9C90F6">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575" w:type="dxa"/>
            <w:tcBorders>
              <w:top w:val="nil"/>
              <w:left w:val="nil"/>
              <w:bottom w:val="single" w:color="auto" w:sz="4" w:space="0"/>
              <w:right w:val="single" w:color="auto" w:sz="4" w:space="0"/>
            </w:tcBorders>
            <w:shd w:val="clear" w:color="auto" w:fill="auto"/>
            <w:vAlign w:val="center"/>
          </w:tcPr>
          <w:p w14:paraId="38F474E5">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575" w:type="dxa"/>
            <w:tcBorders>
              <w:top w:val="nil"/>
              <w:left w:val="nil"/>
              <w:bottom w:val="single" w:color="auto" w:sz="4" w:space="0"/>
              <w:right w:val="single" w:color="auto" w:sz="4" w:space="0"/>
            </w:tcBorders>
            <w:shd w:val="clear" w:color="auto" w:fill="auto"/>
            <w:vAlign w:val="center"/>
          </w:tcPr>
          <w:p w14:paraId="3DEDF39F">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470" w:type="dxa"/>
            <w:tcBorders>
              <w:top w:val="nil"/>
              <w:left w:val="nil"/>
              <w:bottom w:val="single" w:color="auto" w:sz="4" w:space="0"/>
              <w:right w:val="single" w:color="auto" w:sz="4" w:space="0"/>
            </w:tcBorders>
            <w:shd w:val="clear" w:color="auto" w:fill="auto"/>
            <w:vAlign w:val="center"/>
          </w:tcPr>
          <w:p w14:paraId="6C835EBE">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3465" w:type="dxa"/>
            <w:tcBorders>
              <w:top w:val="single" w:color="auto" w:sz="4" w:space="0"/>
              <w:left w:val="nil"/>
              <w:bottom w:val="single" w:color="auto" w:sz="4" w:space="0"/>
              <w:right w:val="single" w:color="auto" w:sz="4" w:space="0"/>
            </w:tcBorders>
            <w:shd w:val="clear" w:color="auto" w:fill="auto"/>
            <w:vAlign w:val="center"/>
          </w:tcPr>
          <w:p w14:paraId="48459CB5">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p>
        </w:tc>
      </w:tr>
      <w:tr w14:paraId="51135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shd w:val="clear" w:color="auto" w:fill="auto"/>
            <w:vAlign w:val="center"/>
          </w:tcPr>
          <w:p w14:paraId="72FA155A">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n</w:t>
            </w:r>
          </w:p>
        </w:tc>
        <w:tc>
          <w:tcPr>
            <w:tcW w:w="4488" w:type="dxa"/>
            <w:tcBorders>
              <w:top w:val="nil"/>
              <w:left w:val="nil"/>
              <w:bottom w:val="single" w:color="auto" w:sz="4" w:space="0"/>
              <w:right w:val="single" w:color="auto" w:sz="4" w:space="0"/>
            </w:tcBorders>
            <w:shd w:val="clear" w:color="auto" w:fill="auto"/>
            <w:vAlign w:val="center"/>
          </w:tcPr>
          <w:p w14:paraId="3C07E6DD">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[单位工程n]</w:t>
            </w:r>
          </w:p>
        </w:tc>
        <w:tc>
          <w:tcPr>
            <w:tcW w:w="1602" w:type="dxa"/>
            <w:tcBorders>
              <w:top w:val="nil"/>
              <w:left w:val="nil"/>
              <w:bottom w:val="single" w:color="auto" w:sz="4" w:space="0"/>
              <w:right w:val="single" w:color="auto" w:sz="4" w:space="0"/>
            </w:tcBorders>
            <w:shd w:val="clear" w:color="auto" w:fill="auto"/>
            <w:vAlign w:val="center"/>
          </w:tcPr>
          <w:p w14:paraId="2C2E104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575" w:type="dxa"/>
            <w:tcBorders>
              <w:top w:val="nil"/>
              <w:left w:val="nil"/>
              <w:bottom w:val="single" w:color="auto" w:sz="4" w:space="0"/>
              <w:right w:val="single" w:color="auto" w:sz="4" w:space="0"/>
            </w:tcBorders>
            <w:shd w:val="clear" w:color="auto" w:fill="auto"/>
            <w:vAlign w:val="center"/>
          </w:tcPr>
          <w:p w14:paraId="1ED0DB0A">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575" w:type="dxa"/>
            <w:tcBorders>
              <w:top w:val="nil"/>
              <w:left w:val="nil"/>
              <w:bottom w:val="single" w:color="auto" w:sz="4" w:space="0"/>
              <w:right w:val="single" w:color="auto" w:sz="4" w:space="0"/>
            </w:tcBorders>
            <w:shd w:val="clear" w:color="auto" w:fill="auto"/>
            <w:vAlign w:val="center"/>
          </w:tcPr>
          <w:p w14:paraId="76AFFB8A">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470" w:type="dxa"/>
            <w:tcBorders>
              <w:top w:val="nil"/>
              <w:left w:val="nil"/>
              <w:bottom w:val="single" w:color="auto" w:sz="4" w:space="0"/>
              <w:right w:val="single" w:color="auto" w:sz="4" w:space="0"/>
            </w:tcBorders>
            <w:shd w:val="clear" w:color="auto" w:fill="auto"/>
            <w:vAlign w:val="center"/>
          </w:tcPr>
          <w:p w14:paraId="57DE58A5">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3465" w:type="dxa"/>
            <w:tcBorders>
              <w:top w:val="single" w:color="auto" w:sz="4" w:space="0"/>
              <w:left w:val="nil"/>
              <w:bottom w:val="single" w:color="auto" w:sz="4" w:space="0"/>
              <w:right w:val="single" w:color="auto" w:sz="4" w:space="0"/>
            </w:tcBorders>
            <w:shd w:val="clear" w:color="auto" w:fill="auto"/>
            <w:vAlign w:val="center"/>
          </w:tcPr>
          <w:p w14:paraId="794CFFB4">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p>
        </w:tc>
      </w:tr>
      <w:tr w14:paraId="17F86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shd w:val="clear" w:color="auto" w:fill="auto"/>
            <w:vAlign w:val="center"/>
          </w:tcPr>
          <w:p w14:paraId="0314D48E">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p>
        </w:tc>
        <w:tc>
          <w:tcPr>
            <w:tcW w:w="4488" w:type="dxa"/>
            <w:tcBorders>
              <w:top w:val="nil"/>
              <w:left w:val="nil"/>
              <w:bottom w:val="single" w:color="auto" w:sz="4" w:space="0"/>
              <w:right w:val="single" w:color="auto" w:sz="4" w:space="0"/>
            </w:tcBorders>
            <w:shd w:val="clear" w:color="auto" w:fill="auto"/>
            <w:vAlign w:val="center"/>
          </w:tcPr>
          <w:p w14:paraId="3ABB12D1">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投标总报价</w:t>
            </w:r>
          </w:p>
        </w:tc>
        <w:tc>
          <w:tcPr>
            <w:tcW w:w="1602" w:type="dxa"/>
            <w:tcBorders>
              <w:top w:val="nil"/>
              <w:left w:val="nil"/>
              <w:bottom w:val="single" w:color="auto" w:sz="4" w:space="0"/>
              <w:right w:val="single" w:color="auto" w:sz="4" w:space="0"/>
            </w:tcBorders>
            <w:shd w:val="clear" w:color="auto" w:fill="auto"/>
            <w:vAlign w:val="center"/>
          </w:tcPr>
          <w:p w14:paraId="69F5EF5D">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575" w:type="dxa"/>
            <w:tcBorders>
              <w:top w:val="nil"/>
              <w:left w:val="nil"/>
              <w:bottom w:val="single" w:color="auto" w:sz="4" w:space="0"/>
              <w:right w:val="single" w:color="auto" w:sz="4" w:space="0"/>
            </w:tcBorders>
            <w:shd w:val="clear" w:color="auto" w:fill="auto"/>
            <w:vAlign w:val="center"/>
          </w:tcPr>
          <w:p w14:paraId="7827C8AC">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575" w:type="dxa"/>
            <w:tcBorders>
              <w:top w:val="nil"/>
              <w:left w:val="nil"/>
              <w:bottom w:val="single" w:color="auto" w:sz="4" w:space="0"/>
              <w:right w:val="single" w:color="auto" w:sz="4" w:space="0"/>
            </w:tcBorders>
            <w:shd w:val="clear" w:color="auto" w:fill="auto"/>
            <w:vAlign w:val="center"/>
          </w:tcPr>
          <w:p w14:paraId="4778585A">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1470" w:type="dxa"/>
            <w:tcBorders>
              <w:top w:val="nil"/>
              <w:left w:val="nil"/>
              <w:bottom w:val="single" w:color="auto" w:sz="4" w:space="0"/>
              <w:right w:val="single" w:color="auto" w:sz="4" w:space="0"/>
            </w:tcBorders>
            <w:shd w:val="clear" w:color="auto" w:fill="auto"/>
            <w:vAlign w:val="center"/>
          </w:tcPr>
          <w:p w14:paraId="2F5E386A">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w:t>
            </w:r>
          </w:p>
        </w:tc>
        <w:tc>
          <w:tcPr>
            <w:tcW w:w="3465" w:type="dxa"/>
            <w:tcBorders>
              <w:top w:val="single" w:color="auto" w:sz="4" w:space="0"/>
              <w:left w:val="nil"/>
              <w:bottom w:val="single" w:color="auto" w:sz="4" w:space="0"/>
              <w:right w:val="single" w:color="auto" w:sz="4" w:space="0"/>
            </w:tcBorders>
            <w:shd w:val="clear" w:color="auto" w:fill="auto"/>
            <w:vAlign w:val="center"/>
          </w:tcPr>
          <w:p w14:paraId="6F49533B">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∑A=A</w:t>
            </w:r>
            <w:r>
              <w:rPr>
                <w:rFonts w:hint="eastAsia" w:ascii="宋体" w:hAnsi="宋体" w:eastAsia="宋体" w:cs="宋体"/>
                <w:color w:val="auto"/>
                <w:kern w:val="0"/>
                <w:sz w:val="21"/>
                <w:szCs w:val="21"/>
                <w:highlight w:val="none"/>
                <w:vertAlign w:val="subscript"/>
                <w:lang w:val="en-US" w:eastAsia="zh-CN" w:bidi="ar"/>
              </w:rPr>
              <w:t>1</w:t>
            </w:r>
            <w:r>
              <w:rPr>
                <w:rFonts w:hint="eastAsia" w:ascii="宋体" w:hAnsi="宋体" w:eastAsia="宋体" w:cs="宋体"/>
                <w:color w:val="auto"/>
                <w:kern w:val="0"/>
                <w:sz w:val="21"/>
                <w:szCs w:val="21"/>
                <w:highlight w:val="none"/>
                <w:lang w:val="en-US" w:eastAsia="zh-CN" w:bidi="ar"/>
              </w:rPr>
              <w:t>+A</w:t>
            </w:r>
            <w:r>
              <w:rPr>
                <w:rFonts w:hint="eastAsia" w:ascii="宋体" w:hAnsi="宋体" w:eastAsia="宋体" w:cs="宋体"/>
                <w:color w:val="auto"/>
                <w:kern w:val="0"/>
                <w:sz w:val="21"/>
                <w:szCs w:val="21"/>
                <w:highlight w:val="none"/>
                <w:vertAlign w:val="subscript"/>
                <w:lang w:val="en-US" w:eastAsia="zh-CN" w:bidi="ar"/>
              </w:rPr>
              <w:t>2</w:t>
            </w:r>
            <w:r>
              <w:rPr>
                <w:rFonts w:hint="eastAsia" w:ascii="宋体" w:hAnsi="宋体" w:eastAsia="宋体" w:cs="宋体"/>
                <w:color w:val="auto"/>
                <w:kern w:val="0"/>
                <w:sz w:val="21"/>
                <w:szCs w:val="21"/>
                <w:highlight w:val="none"/>
                <w:lang w:val="en-US" w:eastAsia="zh-CN" w:bidi="ar"/>
              </w:rPr>
              <w:t>+…An；∑B=B</w:t>
            </w:r>
            <w:r>
              <w:rPr>
                <w:rFonts w:hint="eastAsia" w:ascii="宋体" w:hAnsi="宋体" w:eastAsia="宋体" w:cs="宋体"/>
                <w:color w:val="auto"/>
                <w:kern w:val="0"/>
                <w:sz w:val="21"/>
                <w:szCs w:val="21"/>
                <w:highlight w:val="none"/>
                <w:vertAlign w:val="subscript"/>
                <w:lang w:val="en-US" w:eastAsia="zh-CN" w:bidi="ar"/>
              </w:rPr>
              <w:t>1</w:t>
            </w:r>
            <w:r>
              <w:rPr>
                <w:rFonts w:hint="eastAsia" w:ascii="宋体" w:hAnsi="宋体" w:eastAsia="宋体" w:cs="宋体"/>
                <w:color w:val="auto"/>
                <w:kern w:val="0"/>
                <w:sz w:val="21"/>
                <w:szCs w:val="21"/>
                <w:highlight w:val="none"/>
                <w:lang w:val="en-US" w:eastAsia="zh-CN" w:bidi="ar"/>
              </w:rPr>
              <w:t>+B</w:t>
            </w:r>
            <w:r>
              <w:rPr>
                <w:rFonts w:hint="eastAsia" w:ascii="宋体" w:hAnsi="宋体" w:eastAsia="宋体" w:cs="宋体"/>
                <w:color w:val="auto"/>
                <w:kern w:val="0"/>
                <w:sz w:val="21"/>
                <w:szCs w:val="21"/>
                <w:highlight w:val="none"/>
                <w:vertAlign w:val="subscript"/>
                <w:lang w:val="en-US" w:eastAsia="zh-CN" w:bidi="ar"/>
              </w:rPr>
              <w:t>2</w:t>
            </w:r>
            <w:r>
              <w:rPr>
                <w:rFonts w:hint="eastAsia" w:ascii="宋体" w:hAnsi="宋体" w:eastAsia="宋体" w:cs="宋体"/>
                <w:color w:val="auto"/>
                <w:kern w:val="0"/>
                <w:sz w:val="21"/>
                <w:szCs w:val="21"/>
                <w:highlight w:val="none"/>
                <w:lang w:val="en-US" w:eastAsia="zh-CN" w:bidi="ar"/>
              </w:rPr>
              <w:t>+…Bn</w:t>
            </w:r>
          </w:p>
        </w:tc>
      </w:tr>
    </w:tbl>
    <w:p w14:paraId="2A861C35">
      <w:pPr>
        <w:keepNext w:val="0"/>
        <w:keepLines w:val="0"/>
        <w:widowControl w:val="0"/>
        <w:suppressLineNumbers w:val="0"/>
        <w:spacing w:before="0" w:beforeAutospacing="0" w:after="0" w:afterAutospacing="0"/>
        <w:ind w:left="0" w:right="0"/>
        <w:jc w:val="both"/>
        <w:rPr>
          <w:rFonts w:hint="default" w:ascii="Calibri"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修正原则：</w:t>
      </w:r>
      <w:r>
        <w:rPr>
          <w:rFonts w:hint="eastAsia" w:ascii="宋体" w:hAnsi="宋体" w:eastAsia="宋体" w:cs="宋体"/>
          <w:color w:val="auto"/>
          <w:kern w:val="2"/>
          <w:sz w:val="21"/>
          <w:szCs w:val="21"/>
          <w:highlight w:val="none"/>
          <w:lang w:val="en-US" w:eastAsia="zh-CN" w:bidi="ar"/>
        </w:rPr>
        <w:t>按就低不就高原则，当修正后报价小于原报价，总价按修正后报价；当修正后报价大于原报价，总价按原报价，并在签订合同时载明在结算价中扣除修正报价与原报价的差额。</w:t>
      </w:r>
      <w:r>
        <w:rPr>
          <w:rFonts w:hint="default" w:ascii="Calibri" w:hAnsi="Calibri" w:eastAsia="宋体" w:cs="宋体"/>
          <w:color w:val="auto"/>
          <w:kern w:val="0"/>
          <w:sz w:val="21"/>
          <w:szCs w:val="21"/>
          <w:highlight w:val="none"/>
          <w:lang w:val="en-US" w:eastAsia="zh-CN" w:bidi="ar"/>
        </w:rPr>
        <w:tab/>
      </w:r>
    </w:p>
    <w:p w14:paraId="66160AF4">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评委签名：</w:t>
      </w:r>
      <w:r>
        <w:rPr>
          <w:rFonts w:hint="default" w:ascii="Calibri" w:hAnsi="Calibri" w:eastAsia="宋体" w:cs="Times New Roman"/>
          <w:color w:val="auto"/>
          <w:kern w:val="0"/>
          <w:sz w:val="21"/>
          <w:szCs w:val="21"/>
          <w:highlight w:val="none"/>
          <w:lang w:val="en-US" w:eastAsia="zh-CN" w:bidi="ar"/>
        </w:rPr>
        <w:tab/>
      </w:r>
      <w:r>
        <w:rPr>
          <w:rFonts w:hint="default" w:ascii="Calibri" w:hAnsi="Calibri" w:eastAsia="宋体" w:cs="Times New Roman"/>
          <w:color w:val="auto"/>
          <w:kern w:val="0"/>
          <w:sz w:val="21"/>
          <w:szCs w:val="21"/>
          <w:highlight w:val="none"/>
          <w:lang w:val="en-US" w:eastAsia="zh-CN" w:bidi="ar"/>
        </w:rPr>
        <w:tab/>
      </w:r>
      <w:r>
        <w:rPr>
          <w:rFonts w:hint="default" w:ascii="Calibri" w:hAnsi="Calibri" w:eastAsia="宋体" w:cs="Times New Roman"/>
          <w:color w:val="auto"/>
          <w:kern w:val="0"/>
          <w:sz w:val="21"/>
          <w:szCs w:val="21"/>
          <w:highlight w:val="none"/>
          <w:lang w:val="en-US" w:eastAsia="zh-CN" w:bidi="ar"/>
        </w:rPr>
        <w:tab/>
      </w:r>
      <w:r>
        <w:rPr>
          <w:rFonts w:hint="default" w:ascii="Calibri" w:hAnsi="Calibri" w:eastAsia="宋体" w:cs="Times New Roman"/>
          <w:color w:val="auto"/>
          <w:kern w:val="0"/>
          <w:sz w:val="21"/>
          <w:szCs w:val="21"/>
          <w:highlight w:val="none"/>
          <w:lang w:val="en-US" w:eastAsia="zh-CN" w:bidi="ar"/>
        </w:rPr>
        <w:tab/>
      </w:r>
      <w:r>
        <w:rPr>
          <w:rFonts w:hint="default" w:ascii="Calibri" w:hAnsi="Calibri" w:eastAsia="宋体" w:cs="Times New Roman"/>
          <w:color w:val="auto"/>
          <w:kern w:val="0"/>
          <w:sz w:val="21"/>
          <w:szCs w:val="21"/>
          <w:highlight w:val="none"/>
          <w:lang w:val="en-US" w:eastAsia="zh-CN" w:bidi="ar"/>
        </w:rPr>
        <w:tab/>
      </w:r>
      <w:r>
        <w:rPr>
          <w:rFonts w:hint="eastAsia" w:ascii="宋体" w:hAnsi="宋体" w:eastAsia="宋体" w:cs="宋体"/>
          <w:color w:val="auto"/>
          <w:kern w:val="0"/>
          <w:sz w:val="21"/>
          <w:szCs w:val="21"/>
          <w:highlight w:val="none"/>
          <w:lang w:val="en-US" w:eastAsia="zh-CN" w:bidi="ar"/>
        </w:rPr>
        <w:t>日期：</w:t>
      </w:r>
    </w:p>
    <w:p w14:paraId="05919402">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14:paraId="3120F6BD">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br w:type="page"/>
      </w:r>
    </w:p>
    <w:p w14:paraId="0E4FC40E">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val="0"/>
          <w:color w:val="auto"/>
          <w:kern w:val="2"/>
          <w:sz w:val="36"/>
          <w:szCs w:val="36"/>
          <w:highlight w:val="none"/>
        </w:rPr>
      </w:pPr>
      <w:r>
        <w:rPr>
          <w:rFonts w:hint="eastAsia" w:ascii="宋体" w:hAnsi="宋体" w:eastAsia="宋体" w:cs="宋体"/>
          <w:b/>
          <w:bCs w:val="0"/>
          <w:color w:val="auto"/>
          <w:kern w:val="2"/>
          <w:sz w:val="36"/>
          <w:szCs w:val="36"/>
          <w:highlight w:val="none"/>
          <w:lang w:val="en-US" w:eastAsia="zh-CN" w:bidi="ar"/>
        </w:rPr>
        <w:t>算术复核表</w:t>
      </w:r>
    </w:p>
    <w:p w14:paraId="634640AE">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工程名称：</w:t>
      </w:r>
    </w:p>
    <w:tbl>
      <w:tblPr>
        <w:tblStyle w:val="17"/>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23"/>
        <w:gridCol w:w="4297"/>
        <w:gridCol w:w="2330"/>
        <w:gridCol w:w="3101"/>
        <w:gridCol w:w="3423"/>
      </w:tblGrid>
      <w:tr w14:paraId="4C3F4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vAlign w:val="top"/>
          </w:tcPr>
          <w:p w14:paraId="0DE7BA44">
            <w:pPr>
              <w:keepNext w:val="0"/>
              <w:keepLines w:val="0"/>
              <w:widowControl w:val="0"/>
              <w:suppressLineNumbers w:val="0"/>
              <w:spacing w:before="0" w:beforeAutospacing="0" w:after="0" w:afterAutospacing="0"/>
              <w:ind w:left="0" w:right="0"/>
              <w:jc w:val="both"/>
              <w:rPr>
                <w:rFonts w:hint="default" w:ascii="Calibri" w:hAnsi="Calibri" w:eastAsia="宋体" w:cs="Times New Roman"/>
                <w:b/>
                <w:bCs w:val="0"/>
                <w:color w:val="auto"/>
                <w:kern w:val="2"/>
                <w:sz w:val="28"/>
                <w:szCs w:val="28"/>
                <w:highlight w:val="none"/>
              </w:rPr>
            </w:pPr>
            <w:r>
              <w:rPr>
                <w:rFonts w:hint="eastAsia" w:ascii="宋体" w:hAnsi="宋体" w:eastAsia="宋体" w:cs="宋体"/>
                <w:b/>
                <w:bCs w:val="0"/>
                <w:color w:val="auto"/>
                <w:kern w:val="2"/>
                <w:sz w:val="28"/>
                <w:szCs w:val="28"/>
                <w:highlight w:val="none"/>
                <w:lang w:val="en-US" w:eastAsia="zh-CN" w:bidi="ar"/>
              </w:rPr>
              <w:t>编号</w:t>
            </w:r>
          </w:p>
        </w:tc>
        <w:tc>
          <w:tcPr>
            <w:tcW w:w="4297" w:type="dxa"/>
            <w:tcBorders>
              <w:top w:val="single" w:color="auto" w:sz="4" w:space="0"/>
              <w:left w:val="nil"/>
              <w:bottom w:val="single" w:color="auto" w:sz="4" w:space="0"/>
              <w:right w:val="single" w:color="auto" w:sz="4" w:space="0"/>
            </w:tcBorders>
            <w:shd w:val="clear" w:color="auto" w:fill="auto"/>
            <w:vAlign w:val="top"/>
          </w:tcPr>
          <w:p w14:paraId="3BBC4ECF">
            <w:pPr>
              <w:keepNext w:val="0"/>
              <w:keepLines w:val="0"/>
              <w:widowControl w:val="0"/>
              <w:suppressLineNumbers w:val="0"/>
              <w:spacing w:before="0" w:beforeAutospacing="0" w:after="0" w:afterAutospacing="0"/>
              <w:ind w:left="0" w:right="0"/>
              <w:jc w:val="both"/>
              <w:rPr>
                <w:rFonts w:hint="default" w:ascii="Calibri" w:hAnsi="Calibri" w:eastAsia="宋体" w:cs="Times New Roman"/>
                <w:b/>
                <w:bCs w:val="0"/>
                <w:color w:val="auto"/>
                <w:kern w:val="2"/>
                <w:sz w:val="28"/>
                <w:szCs w:val="28"/>
                <w:highlight w:val="none"/>
              </w:rPr>
            </w:pPr>
            <w:r>
              <w:rPr>
                <w:rFonts w:hint="eastAsia" w:ascii="宋体" w:hAnsi="宋体" w:eastAsia="宋体" w:cs="宋体"/>
                <w:b/>
                <w:bCs w:val="0"/>
                <w:color w:val="auto"/>
                <w:kern w:val="2"/>
                <w:sz w:val="28"/>
                <w:szCs w:val="28"/>
                <w:highlight w:val="none"/>
                <w:lang w:val="en-US" w:eastAsia="zh-CN" w:bidi="ar"/>
              </w:rPr>
              <w:t>投标人名称</w:t>
            </w:r>
          </w:p>
        </w:tc>
        <w:tc>
          <w:tcPr>
            <w:tcW w:w="2330" w:type="dxa"/>
            <w:tcBorders>
              <w:top w:val="single" w:color="auto" w:sz="4" w:space="0"/>
              <w:left w:val="nil"/>
              <w:bottom w:val="single" w:color="auto" w:sz="4" w:space="0"/>
              <w:right w:val="single" w:color="auto" w:sz="4" w:space="0"/>
            </w:tcBorders>
            <w:shd w:val="clear" w:color="auto" w:fill="auto"/>
            <w:vAlign w:val="top"/>
          </w:tcPr>
          <w:p w14:paraId="0C366DAB">
            <w:pPr>
              <w:keepNext w:val="0"/>
              <w:keepLines w:val="0"/>
              <w:widowControl w:val="0"/>
              <w:suppressLineNumbers w:val="0"/>
              <w:spacing w:before="0" w:beforeAutospacing="0" w:after="0" w:afterAutospacing="0"/>
              <w:ind w:left="0" w:right="0"/>
              <w:jc w:val="both"/>
              <w:rPr>
                <w:rFonts w:hint="default" w:ascii="Calibri" w:hAnsi="Calibri" w:eastAsia="宋体" w:cs="Times New Roman"/>
                <w:b/>
                <w:bCs w:val="0"/>
                <w:color w:val="auto"/>
                <w:kern w:val="2"/>
                <w:sz w:val="28"/>
                <w:szCs w:val="28"/>
                <w:highlight w:val="none"/>
              </w:rPr>
            </w:pPr>
            <w:r>
              <w:rPr>
                <w:rFonts w:hint="eastAsia" w:ascii="宋体" w:hAnsi="宋体" w:eastAsia="宋体" w:cs="宋体"/>
                <w:b/>
                <w:bCs w:val="0"/>
                <w:color w:val="auto"/>
                <w:kern w:val="2"/>
                <w:sz w:val="28"/>
                <w:szCs w:val="28"/>
                <w:highlight w:val="none"/>
                <w:lang w:val="en-US" w:eastAsia="zh-CN" w:bidi="ar"/>
              </w:rPr>
              <w:t>原投标报价（</w:t>
            </w:r>
            <w:r>
              <w:rPr>
                <w:rFonts w:hint="default" w:ascii="Calibri" w:hAnsi="Calibri" w:eastAsia="宋体" w:cs="Calibri"/>
                <w:b/>
                <w:bCs w:val="0"/>
                <w:color w:val="auto"/>
                <w:kern w:val="2"/>
                <w:sz w:val="28"/>
                <w:szCs w:val="28"/>
                <w:highlight w:val="none"/>
                <w:lang w:val="en-US" w:eastAsia="zh-CN" w:bidi="ar"/>
              </w:rPr>
              <w:t>A</w:t>
            </w:r>
            <w:r>
              <w:rPr>
                <w:rFonts w:hint="eastAsia" w:ascii="宋体" w:hAnsi="宋体" w:eastAsia="宋体" w:cs="宋体"/>
                <w:b/>
                <w:bCs w:val="0"/>
                <w:color w:val="auto"/>
                <w:kern w:val="2"/>
                <w:sz w:val="28"/>
                <w:szCs w:val="28"/>
                <w:highlight w:val="none"/>
                <w:lang w:val="en-US" w:eastAsia="zh-CN" w:bidi="ar"/>
              </w:rPr>
              <w:t>）</w:t>
            </w:r>
          </w:p>
        </w:tc>
        <w:tc>
          <w:tcPr>
            <w:tcW w:w="3101" w:type="dxa"/>
            <w:tcBorders>
              <w:top w:val="single" w:color="auto" w:sz="4" w:space="0"/>
              <w:left w:val="nil"/>
              <w:bottom w:val="single" w:color="auto" w:sz="4" w:space="0"/>
              <w:right w:val="single" w:color="auto" w:sz="4" w:space="0"/>
            </w:tcBorders>
            <w:shd w:val="clear" w:color="auto" w:fill="auto"/>
            <w:vAlign w:val="top"/>
          </w:tcPr>
          <w:p w14:paraId="187EFA14">
            <w:pPr>
              <w:keepNext w:val="0"/>
              <w:keepLines w:val="0"/>
              <w:widowControl w:val="0"/>
              <w:suppressLineNumbers w:val="0"/>
              <w:spacing w:before="0" w:beforeAutospacing="0" w:after="0" w:afterAutospacing="0"/>
              <w:ind w:left="0" w:right="0"/>
              <w:jc w:val="both"/>
              <w:rPr>
                <w:rFonts w:hint="default" w:ascii="Calibri" w:hAnsi="Calibri" w:eastAsia="宋体" w:cs="Times New Roman"/>
                <w:b/>
                <w:bCs w:val="0"/>
                <w:color w:val="auto"/>
                <w:kern w:val="2"/>
                <w:sz w:val="28"/>
                <w:szCs w:val="28"/>
                <w:highlight w:val="none"/>
              </w:rPr>
            </w:pPr>
            <w:r>
              <w:rPr>
                <w:rFonts w:hint="eastAsia" w:ascii="宋体" w:hAnsi="宋体" w:eastAsia="宋体" w:cs="宋体"/>
                <w:b/>
                <w:bCs w:val="0"/>
                <w:color w:val="auto"/>
                <w:kern w:val="2"/>
                <w:sz w:val="28"/>
                <w:szCs w:val="28"/>
                <w:highlight w:val="none"/>
                <w:lang w:val="en-US" w:eastAsia="zh-CN" w:bidi="ar"/>
              </w:rPr>
              <w:t>算数复核后投标报价（</w:t>
            </w:r>
            <w:r>
              <w:rPr>
                <w:rFonts w:hint="default" w:ascii="Calibri" w:hAnsi="Calibri" w:eastAsia="宋体" w:cs="Calibri"/>
                <w:b/>
                <w:bCs w:val="0"/>
                <w:color w:val="auto"/>
                <w:kern w:val="2"/>
                <w:sz w:val="28"/>
                <w:szCs w:val="28"/>
                <w:highlight w:val="none"/>
                <w:lang w:val="en-US" w:eastAsia="zh-CN" w:bidi="ar"/>
              </w:rPr>
              <w:t>B</w:t>
            </w:r>
            <w:r>
              <w:rPr>
                <w:rFonts w:hint="eastAsia" w:ascii="宋体" w:hAnsi="宋体" w:eastAsia="宋体" w:cs="宋体"/>
                <w:b/>
                <w:bCs w:val="0"/>
                <w:color w:val="auto"/>
                <w:kern w:val="2"/>
                <w:sz w:val="28"/>
                <w:szCs w:val="28"/>
                <w:highlight w:val="none"/>
                <w:lang w:val="en-US" w:eastAsia="zh-CN" w:bidi="ar"/>
              </w:rPr>
              <w:t>）</w:t>
            </w:r>
          </w:p>
        </w:tc>
        <w:tc>
          <w:tcPr>
            <w:tcW w:w="3423" w:type="dxa"/>
            <w:tcBorders>
              <w:top w:val="single" w:color="auto" w:sz="4" w:space="0"/>
              <w:left w:val="nil"/>
              <w:bottom w:val="single" w:color="auto" w:sz="4" w:space="0"/>
              <w:right w:val="single" w:color="auto" w:sz="4" w:space="0"/>
            </w:tcBorders>
            <w:shd w:val="clear" w:color="auto" w:fill="auto"/>
            <w:vAlign w:val="top"/>
          </w:tcPr>
          <w:p w14:paraId="628774E9">
            <w:pPr>
              <w:keepNext w:val="0"/>
              <w:keepLines w:val="0"/>
              <w:widowControl w:val="0"/>
              <w:suppressLineNumbers w:val="0"/>
              <w:spacing w:before="0" w:beforeAutospacing="0" w:after="0" w:afterAutospacing="0"/>
              <w:ind w:left="0" w:right="0"/>
              <w:jc w:val="both"/>
              <w:rPr>
                <w:rFonts w:hint="default" w:ascii="Calibri" w:hAnsi="Calibri" w:eastAsia="宋体" w:cs="Times New Roman"/>
                <w:b/>
                <w:bCs w:val="0"/>
                <w:color w:val="auto"/>
                <w:kern w:val="2"/>
                <w:sz w:val="28"/>
                <w:szCs w:val="28"/>
                <w:highlight w:val="none"/>
              </w:rPr>
            </w:pPr>
            <w:r>
              <w:rPr>
                <w:rFonts w:hint="eastAsia" w:ascii="宋体" w:hAnsi="宋体" w:eastAsia="宋体" w:cs="宋体"/>
                <w:b/>
                <w:bCs w:val="0"/>
                <w:color w:val="auto"/>
                <w:kern w:val="2"/>
                <w:sz w:val="28"/>
                <w:szCs w:val="28"/>
                <w:highlight w:val="none"/>
                <w:lang w:val="en-US" w:eastAsia="zh-CN" w:bidi="ar"/>
              </w:rPr>
              <w:t>误差率（</w:t>
            </w:r>
            <w:r>
              <w:rPr>
                <w:rFonts w:hint="default" w:ascii="Calibri" w:hAnsi="Calibri" w:eastAsia="宋体" w:cs="Calibri"/>
                <w:b/>
                <w:bCs w:val="0"/>
                <w:color w:val="auto"/>
                <w:kern w:val="2"/>
                <w:sz w:val="28"/>
                <w:szCs w:val="28"/>
                <w:highlight w:val="none"/>
                <w:lang w:val="en-US" w:eastAsia="zh-CN" w:bidi="ar"/>
              </w:rPr>
              <w:t>r=|A-B|/A*100%</w:t>
            </w:r>
            <w:r>
              <w:rPr>
                <w:rFonts w:hint="eastAsia" w:ascii="宋体" w:hAnsi="宋体" w:eastAsia="宋体" w:cs="宋体"/>
                <w:b/>
                <w:bCs w:val="0"/>
                <w:color w:val="auto"/>
                <w:kern w:val="2"/>
                <w:sz w:val="28"/>
                <w:szCs w:val="28"/>
                <w:highlight w:val="none"/>
                <w:lang w:val="en-US" w:eastAsia="zh-CN" w:bidi="ar"/>
              </w:rPr>
              <w:t>）</w:t>
            </w:r>
          </w:p>
        </w:tc>
      </w:tr>
      <w:tr w14:paraId="36071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vAlign w:val="top"/>
          </w:tcPr>
          <w:p w14:paraId="3F4DA7BB">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4297" w:type="dxa"/>
            <w:tcBorders>
              <w:top w:val="single" w:color="auto" w:sz="4" w:space="0"/>
              <w:left w:val="nil"/>
              <w:bottom w:val="single" w:color="auto" w:sz="4" w:space="0"/>
              <w:right w:val="single" w:color="auto" w:sz="4" w:space="0"/>
            </w:tcBorders>
            <w:shd w:val="clear" w:color="auto" w:fill="auto"/>
            <w:vAlign w:val="top"/>
          </w:tcPr>
          <w:p w14:paraId="7F802F7C">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2330" w:type="dxa"/>
            <w:tcBorders>
              <w:top w:val="single" w:color="auto" w:sz="4" w:space="0"/>
              <w:left w:val="nil"/>
              <w:bottom w:val="single" w:color="auto" w:sz="4" w:space="0"/>
              <w:right w:val="single" w:color="auto" w:sz="4" w:space="0"/>
            </w:tcBorders>
            <w:shd w:val="clear" w:color="auto" w:fill="auto"/>
            <w:vAlign w:val="top"/>
          </w:tcPr>
          <w:p w14:paraId="7E1AA91E">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3101" w:type="dxa"/>
            <w:tcBorders>
              <w:top w:val="single" w:color="auto" w:sz="4" w:space="0"/>
              <w:left w:val="nil"/>
              <w:bottom w:val="single" w:color="auto" w:sz="4" w:space="0"/>
              <w:right w:val="single" w:color="auto" w:sz="4" w:space="0"/>
            </w:tcBorders>
            <w:shd w:val="clear" w:color="auto" w:fill="auto"/>
            <w:vAlign w:val="top"/>
          </w:tcPr>
          <w:p w14:paraId="51772C07">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3423" w:type="dxa"/>
            <w:tcBorders>
              <w:top w:val="single" w:color="auto" w:sz="4" w:space="0"/>
              <w:left w:val="nil"/>
              <w:bottom w:val="single" w:color="auto" w:sz="4" w:space="0"/>
              <w:right w:val="single" w:color="auto" w:sz="4" w:space="0"/>
            </w:tcBorders>
            <w:shd w:val="clear" w:color="auto" w:fill="auto"/>
            <w:vAlign w:val="top"/>
          </w:tcPr>
          <w:p w14:paraId="5CBD6EAB">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r>
      <w:tr w14:paraId="1A656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vAlign w:val="top"/>
          </w:tcPr>
          <w:p w14:paraId="42AED2F5">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4297" w:type="dxa"/>
            <w:tcBorders>
              <w:top w:val="single" w:color="auto" w:sz="4" w:space="0"/>
              <w:left w:val="nil"/>
              <w:bottom w:val="single" w:color="auto" w:sz="4" w:space="0"/>
              <w:right w:val="single" w:color="auto" w:sz="4" w:space="0"/>
            </w:tcBorders>
            <w:shd w:val="clear" w:color="auto" w:fill="auto"/>
            <w:vAlign w:val="top"/>
          </w:tcPr>
          <w:p w14:paraId="5439C313">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2330" w:type="dxa"/>
            <w:tcBorders>
              <w:top w:val="single" w:color="auto" w:sz="4" w:space="0"/>
              <w:left w:val="nil"/>
              <w:bottom w:val="single" w:color="auto" w:sz="4" w:space="0"/>
              <w:right w:val="single" w:color="auto" w:sz="4" w:space="0"/>
            </w:tcBorders>
            <w:shd w:val="clear" w:color="auto" w:fill="auto"/>
            <w:vAlign w:val="top"/>
          </w:tcPr>
          <w:p w14:paraId="761229BC">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3101" w:type="dxa"/>
            <w:tcBorders>
              <w:top w:val="single" w:color="auto" w:sz="4" w:space="0"/>
              <w:left w:val="nil"/>
              <w:bottom w:val="single" w:color="auto" w:sz="4" w:space="0"/>
              <w:right w:val="single" w:color="auto" w:sz="4" w:space="0"/>
            </w:tcBorders>
            <w:shd w:val="clear" w:color="auto" w:fill="auto"/>
            <w:vAlign w:val="top"/>
          </w:tcPr>
          <w:p w14:paraId="7B10670E">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3423" w:type="dxa"/>
            <w:tcBorders>
              <w:top w:val="single" w:color="auto" w:sz="4" w:space="0"/>
              <w:left w:val="nil"/>
              <w:bottom w:val="single" w:color="auto" w:sz="4" w:space="0"/>
              <w:right w:val="single" w:color="auto" w:sz="4" w:space="0"/>
            </w:tcBorders>
            <w:shd w:val="clear" w:color="auto" w:fill="auto"/>
            <w:vAlign w:val="top"/>
          </w:tcPr>
          <w:p w14:paraId="385CB168">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r>
      <w:tr w14:paraId="70F8D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vAlign w:val="top"/>
          </w:tcPr>
          <w:p w14:paraId="1D06EC4A">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4297" w:type="dxa"/>
            <w:tcBorders>
              <w:top w:val="single" w:color="auto" w:sz="4" w:space="0"/>
              <w:left w:val="nil"/>
              <w:bottom w:val="single" w:color="auto" w:sz="4" w:space="0"/>
              <w:right w:val="single" w:color="auto" w:sz="4" w:space="0"/>
            </w:tcBorders>
            <w:shd w:val="clear" w:color="auto" w:fill="auto"/>
            <w:vAlign w:val="top"/>
          </w:tcPr>
          <w:p w14:paraId="0B754651">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2330" w:type="dxa"/>
            <w:tcBorders>
              <w:top w:val="single" w:color="auto" w:sz="4" w:space="0"/>
              <w:left w:val="nil"/>
              <w:bottom w:val="single" w:color="auto" w:sz="4" w:space="0"/>
              <w:right w:val="single" w:color="auto" w:sz="4" w:space="0"/>
            </w:tcBorders>
            <w:shd w:val="clear" w:color="auto" w:fill="auto"/>
            <w:vAlign w:val="top"/>
          </w:tcPr>
          <w:p w14:paraId="27B9FC4D">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3101" w:type="dxa"/>
            <w:tcBorders>
              <w:top w:val="single" w:color="auto" w:sz="4" w:space="0"/>
              <w:left w:val="nil"/>
              <w:bottom w:val="single" w:color="auto" w:sz="4" w:space="0"/>
              <w:right w:val="single" w:color="auto" w:sz="4" w:space="0"/>
            </w:tcBorders>
            <w:shd w:val="clear" w:color="auto" w:fill="auto"/>
            <w:vAlign w:val="top"/>
          </w:tcPr>
          <w:p w14:paraId="664ACB44">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3423" w:type="dxa"/>
            <w:tcBorders>
              <w:top w:val="single" w:color="auto" w:sz="4" w:space="0"/>
              <w:left w:val="nil"/>
              <w:bottom w:val="single" w:color="auto" w:sz="4" w:space="0"/>
              <w:right w:val="single" w:color="auto" w:sz="4" w:space="0"/>
            </w:tcBorders>
            <w:shd w:val="clear" w:color="auto" w:fill="auto"/>
            <w:vAlign w:val="top"/>
          </w:tcPr>
          <w:p w14:paraId="54FE1415">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r>
      <w:tr w14:paraId="729B0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vAlign w:val="top"/>
          </w:tcPr>
          <w:p w14:paraId="6FE51BAF">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4297" w:type="dxa"/>
            <w:tcBorders>
              <w:top w:val="single" w:color="auto" w:sz="4" w:space="0"/>
              <w:left w:val="nil"/>
              <w:bottom w:val="single" w:color="auto" w:sz="4" w:space="0"/>
              <w:right w:val="single" w:color="auto" w:sz="4" w:space="0"/>
            </w:tcBorders>
            <w:shd w:val="clear" w:color="auto" w:fill="auto"/>
            <w:vAlign w:val="top"/>
          </w:tcPr>
          <w:p w14:paraId="31505AAA">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2330" w:type="dxa"/>
            <w:tcBorders>
              <w:top w:val="single" w:color="auto" w:sz="4" w:space="0"/>
              <w:left w:val="nil"/>
              <w:bottom w:val="single" w:color="auto" w:sz="4" w:space="0"/>
              <w:right w:val="single" w:color="auto" w:sz="4" w:space="0"/>
            </w:tcBorders>
            <w:shd w:val="clear" w:color="auto" w:fill="auto"/>
            <w:vAlign w:val="top"/>
          </w:tcPr>
          <w:p w14:paraId="3C47DAD4">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3101" w:type="dxa"/>
            <w:tcBorders>
              <w:top w:val="single" w:color="auto" w:sz="4" w:space="0"/>
              <w:left w:val="nil"/>
              <w:bottom w:val="single" w:color="auto" w:sz="4" w:space="0"/>
              <w:right w:val="single" w:color="auto" w:sz="4" w:space="0"/>
            </w:tcBorders>
            <w:shd w:val="clear" w:color="auto" w:fill="auto"/>
            <w:vAlign w:val="top"/>
          </w:tcPr>
          <w:p w14:paraId="719FBBA7">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3423" w:type="dxa"/>
            <w:tcBorders>
              <w:top w:val="single" w:color="auto" w:sz="4" w:space="0"/>
              <w:left w:val="nil"/>
              <w:bottom w:val="single" w:color="auto" w:sz="4" w:space="0"/>
              <w:right w:val="single" w:color="auto" w:sz="4" w:space="0"/>
            </w:tcBorders>
            <w:shd w:val="clear" w:color="auto" w:fill="auto"/>
            <w:vAlign w:val="top"/>
          </w:tcPr>
          <w:p w14:paraId="6F6A4338">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r>
      <w:tr w14:paraId="73C9A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vAlign w:val="top"/>
          </w:tcPr>
          <w:p w14:paraId="67CCCEE9">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4297" w:type="dxa"/>
            <w:tcBorders>
              <w:top w:val="single" w:color="auto" w:sz="4" w:space="0"/>
              <w:left w:val="nil"/>
              <w:bottom w:val="single" w:color="auto" w:sz="4" w:space="0"/>
              <w:right w:val="single" w:color="auto" w:sz="4" w:space="0"/>
            </w:tcBorders>
            <w:shd w:val="clear" w:color="auto" w:fill="auto"/>
            <w:vAlign w:val="top"/>
          </w:tcPr>
          <w:p w14:paraId="5033D200">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2330" w:type="dxa"/>
            <w:tcBorders>
              <w:top w:val="single" w:color="auto" w:sz="4" w:space="0"/>
              <w:left w:val="nil"/>
              <w:bottom w:val="single" w:color="auto" w:sz="4" w:space="0"/>
              <w:right w:val="single" w:color="auto" w:sz="4" w:space="0"/>
            </w:tcBorders>
            <w:shd w:val="clear" w:color="auto" w:fill="auto"/>
            <w:vAlign w:val="top"/>
          </w:tcPr>
          <w:p w14:paraId="0166BEA5">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3101" w:type="dxa"/>
            <w:tcBorders>
              <w:top w:val="single" w:color="auto" w:sz="4" w:space="0"/>
              <w:left w:val="nil"/>
              <w:bottom w:val="single" w:color="auto" w:sz="4" w:space="0"/>
              <w:right w:val="single" w:color="auto" w:sz="4" w:space="0"/>
            </w:tcBorders>
            <w:shd w:val="clear" w:color="auto" w:fill="auto"/>
            <w:vAlign w:val="top"/>
          </w:tcPr>
          <w:p w14:paraId="5F7F3689">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3423" w:type="dxa"/>
            <w:tcBorders>
              <w:top w:val="single" w:color="auto" w:sz="4" w:space="0"/>
              <w:left w:val="nil"/>
              <w:bottom w:val="single" w:color="auto" w:sz="4" w:space="0"/>
              <w:right w:val="single" w:color="auto" w:sz="4" w:space="0"/>
            </w:tcBorders>
            <w:shd w:val="clear" w:color="auto" w:fill="auto"/>
            <w:vAlign w:val="top"/>
          </w:tcPr>
          <w:p w14:paraId="1E73E8D5">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r>
      <w:tr w14:paraId="117A9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vAlign w:val="top"/>
          </w:tcPr>
          <w:p w14:paraId="0489882B">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4297" w:type="dxa"/>
            <w:tcBorders>
              <w:top w:val="single" w:color="auto" w:sz="4" w:space="0"/>
              <w:left w:val="nil"/>
              <w:bottom w:val="single" w:color="auto" w:sz="4" w:space="0"/>
              <w:right w:val="single" w:color="auto" w:sz="4" w:space="0"/>
            </w:tcBorders>
            <w:shd w:val="clear" w:color="auto" w:fill="auto"/>
            <w:vAlign w:val="top"/>
          </w:tcPr>
          <w:p w14:paraId="5B3F5D8B">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2330" w:type="dxa"/>
            <w:tcBorders>
              <w:top w:val="single" w:color="auto" w:sz="4" w:space="0"/>
              <w:left w:val="nil"/>
              <w:bottom w:val="single" w:color="auto" w:sz="4" w:space="0"/>
              <w:right w:val="single" w:color="auto" w:sz="4" w:space="0"/>
            </w:tcBorders>
            <w:shd w:val="clear" w:color="auto" w:fill="auto"/>
            <w:vAlign w:val="top"/>
          </w:tcPr>
          <w:p w14:paraId="4319BBFC">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3101" w:type="dxa"/>
            <w:tcBorders>
              <w:top w:val="single" w:color="auto" w:sz="4" w:space="0"/>
              <w:left w:val="nil"/>
              <w:bottom w:val="single" w:color="auto" w:sz="4" w:space="0"/>
              <w:right w:val="single" w:color="auto" w:sz="4" w:space="0"/>
            </w:tcBorders>
            <w:shd w:val="clear" w:color="auto" w:fill="auto"/>
            <w:vAlign w:val="top"/>
          </w:tcPr>
          <w:p w14:paraId="56B83FA7">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3423" w:type="dxa"/>
            <w:tcBorders>
              <w:top w:val="single" w:color="auto" w:sz="4" w:space="0"/>
              <w:left w:val="nil"/>
              <w:bottom w:val="single" w:color="auto" w:sz="4" w:space="0"/>
              <w:right w:val="single" w:color="auto" w:sz="4" w:space="0"/>
            </w:tcBorders>
            <w:shd w:val="clear" w:color="auto" w:fill="auto"/>
            <w:vAlign w:val="top"/>
          </w:tcPr>
          <w:p w14:paraId="74FC9B7E">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r>
      <w:tr w14:paraId="2DCC3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vAlign w:val="top"/>
          </w:tcPr>
          <w:p w14:paraId="418482CE">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4297" w:type="dxa"/>
            <w:tcBorders>
              <w:top w:val="single" w:color="auto" w:sz="4" w:space="0"/>
              <w:left w:val="nil"/>
              <w:bottom w:val="single" w:color="auto" w:sz="4" w:space="0"/>
              <w:right w:val="single" w:color="auto" w:sz="4" w:space="0"/>
            </w:tcBorders>
            <w:shd w:val="clear" w:color="auto" w:fill="auto"/>
            <w:vAlign w:val="top"/>
          </w:tcPr>
          <w:p w14:paraId="6B75A28F">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2330" w:type="dxa"/>
            <w:tcBorders>
              <w:top w:val="single" w:color="auto" w:sz="4" w:space="0"/>
              <w:left w:val="nil"/>
              <w:bottom w:val="single" w:color="auto" w:sz="4" w:space="0"/>
              <w:right w:val="single" w:color="auto" w:sz="4" w:space="0"/>
            </w:tcBorders>
            <w:shd w:val="clear" w:color="auto" w:fill="auto"/>
            <w:vAlign w:val="top"/>
          </w:tcPr>
          <w:p w14:paraId="0E42B2B8">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3101" w:type="dxa"/>
            <w:tcBorders>
              <w:top w:val="single" w:color="auto" w:sz="4" w:space="0"/>
              <w:left w:val="nil"/>
              <w:bottom w:val="single" w:color="auto" w:sz="4" w:space="0"/>
              <w:right w:val="single" w:color="auto" w:sz="4" w:space="0"/>
            </w:tcBorders>
            <w:shd w:val="clear" w:color="auto" w:fill="auto"/>
            <w:vAlign w:val="top"/>
          </w:tcPr>
          <w:p w14:paraId="71A1A423">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3423" w:type="dxa"/>
            <w:tcBorders>
              <w:top w:val="single" w:color="auto" w:sz="4" w:space="0"/>
              <w:left w:val="nil"/>
              <w:bottom w:val="single" w:color="auto" w:sz="4" w:space="0"/>
              <w:right w:val="single" w:color="auto" w:sz="4" w:space="0"/>
            </w:tcBorders>
            <w:shd w:val="clear" w:color="auto" w:fill="auto"/>
            <w:vAlign w:val="top"/>
          </w:tcPr>
          <w:p w14:paraId="29F3762C">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r>
      <w:tr w14:paraId="7BA7E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vAlign w:val="top"/>
          </w:tcPr>
          <w:p w14:paraId="1FD12AEF">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4297" w:type="dxa"/>
            <w:tcBorders>
              <w:top w:val="single" w:color="auto" w:sz="4" w:space="0"/>
              <w:left w:val="nil"/>
              <w:bottom w:val="single" w:color="auto" w:sz="4" w:space="0"/>
              <w:right w:val="single" w:color="auto" w:sz="4" w:space="0"/>
            </w:tcBorders>
            <w:shd w:val="clear" w:color="auto" w:fill="auto"/>
            <w:vAlign w:val="top"/>
          </w:tcPr>
          <w:p w14:paraId="212FB618">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2330" w:type="dxa"/>
            <w:tcBorders>
              <w:top w:val="single" w:color="auto" w:sz="4" w:space="0"/>
              <w:left w:val="nil"/>
              <w:bottom w:val="single" w:color="auto" w:sz="4" w:space="0"/>
              <w:right w:val="single" w:color="auto" w:sz="4" w:space="0"/>
            </w:tcBorders>
            <w:shd w:val="clear" w:color="auto" w:fill="auto"/>
            <w:vAlign w:val="top"/>
          </w:tcPr>
          <w:p w14:paraId="41E9257A">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3101" w:type="dxa"/>
            <w:tcBorders>
              <w:top w:val="single" w:color="auto" w:sz="4" w:space="0"/>
              <w:left w:val="nil"/>
              <w:bottom w:val="single" w:color="auto" w:sz="4" w:space="0"/>
              <w:right w:val="single" w:color="auto" w:sz="4" w:space="0"/>
            </w:tcBorders>
            <w:shd w:val="clear" w:color="auto" w:fill="auto"/>
            <w:vAlign w:val="top"/>
          </w:tcPr>
          <w:p w14:paraId="7C71D428">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c>
          <w:tcPr>
            <w:tcW w:w="3423" w:type="dxa"/>
            <w:tcBorders>
              <w:top w:val="single" w:color="auto" w:sz="4" w:space="0"/>
              <w:left w:val="nil"/>
              <w:bottom w:val="single" w:color="auto" w:sz="4" w:space="0"/>
              <w:right w:val="single" w:color="auto" w:sz="4" w:space="0"/>
            </w:tcBorders>
            <w:shd w:val="clear" w:color="auto" w:fill="auto"/>
            <w:vAlign w:val="top"/>
          </w:tcPr>
          <w:p w14:paraId="2D0DBA9F">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36"/>
                <w:szCs w:val="36"/>
                <w:highlight w:val="none"/>
              </w:rPr>
            </w:pPr>
          </w:p>
        </w:tc>
      </w:tr>
    </w:tbl>
    <w:p w14:paraId="6EE0A032">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评委签名：</w:t>
      </w:r>
    </w:p>
    <w:p w14:paraId="39A54F16">
      <w:pPr>
        <w:rPr>
          <w:rFonts w:hint="eastAsia" w:ascii="仿宋_GB2312" w:hAnsi="宋体" w:eastAsia="仿宋_GB2312" w:cs="Times New Roman"/>
          <w:color w:val="auto"/>
          <w:kern w:val="2"/>
          <w:sz w:val="21"/>
          <w:szCs w:val="21"/>
          <w:highlight w:val="none"/>
        </w:rPr>
        <w:sectPr>
          <w:pgSz w:w="16838" w:h="11906" w:orient="landscape"/>
          <w:pgMar w:top="1418" w:right="1247" w:bottom="1418" w:left="1134" w:header="851" w:footer="907" w:gutter="0"/>
          <w:pgNumType w:fmt="decimal"/>
          <w:cols w:space="425" w:num="1"/>
          <w:titlePg/>
          <w:docGrid w:type="lines" w:linePitch="312" w:charSpace="0"/>
        </w:sectPr>
      </w:pPr>
    </w:p>
    <w:p w14:paraId="29E5ACB7">
      <w:pPr>
        <w:pStyle w:val="2"/>
        <w:widowControl/>
        <w:rPr>
          <w:rFonts w:hint="default" w:ascii="Arial" w:hAnsi="Arial" w:eastAsia="宋体" w:cs="Times New Roman"/>
          <w:b/>
          <w:bCs w:val="0"/>
          <w:color w:val="auto"/>
          <w:kern w:val="44"/>
          <w:sz w:val="28"/>
          <w:szCs w:val="28"/>
          <w:highlight w:val="none"/>
        </w:rPr>
      </w:pPr>
      <w:bookmarkStart w:id="32" w:name="_Toc21525511"/>
      <w:bookmarkEnd w:id="32"/>
      <w:bookmarkStart w:id="33" w:name="_Toc2272566"/>
      <w:r>
        <w:rPr>
          <w:rFonts w:hint="eastAsia" w:ascii="宋体" w:hAnsi="宋体" w:eastAsia="宋体" w:cs="宋体"/>
          <w:b/>
          <w:bCs w:val="0"/>
          <w:color w:val="auto"/>
          <w:kern w:val="44"/>
          <w:sz w:val="28"/>
          <w:szCs w:val="28"/>
          <w:highlight w:val="none"/>
        </w:rPr>
        <w:t>第三章</w:t>
      </w:r>
      <w:bookmarkEnd w:id="33"/>
      <w:r>
        <w:rPr>
          <w:rFonts w:hint="default" w:ascii="Arial" w:hAnsi="Arial" w:eastAsia="宋体" w:cs="Times New Roman"/>
          <w:b/>
          <w:bCs w:val="0"/>
          <w:color w:val="auto"/>
          <w:kern w:val="44"/>
          <w:sz w:val="28"/>
          <w:szCs w:val="28"/>
          <w:highlight w:val="none"/>
        </w:rPr>
        <w:t xml:space="preserve">  </w:t>
      </w:r>
      <w:r>
        <w:rPr>
          <w:rFonts w:hint="eastAsia" w:ascii="宋体" w:hAnsi="宋体" w:eastAsia="宋体" w:cs="宋体"/>
          <w:b/>
          <w:bCs w:val="0"/>
          <w:color w:val="auto"/>
          <w:kern w:val="44"/>
          <w:sz w:val="28"/>
          <w:szCs w:val="28"/>
          <w:highlight w:val="none"/>
        </w:rPr>
        <w:t>合同条款</w:t>
      </w:r>
    </w:p>
    <w:p w14:paraId="56C693D9">
      <w:pPr>
        <w:keepNext w:val="0"/>
        <w:keepLines w:val="0"/>
        <w:widowControl w:val="0"/>
        <w:suppressLineNumbers w:val="0"/>
        <w:spacing w:before="0" w:beforeAutospacing="0" w:after="0" w:afterAutospacing="0"/>
        <w:ind w:left="0" w:right="0"/>
        <w:jc w:val="center"/>
        <w:rPr>
          <w:rFonts w:hint="eastAsia" w:ascii="宋体" w:hAnsi="Calibri" w:eastAsia="宋体" w:cs="Times New Roman"/>
          <w:b/>
          <w:bCs w:val="0"/>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注：另册。</w:t>
      </w:r>
    </w:p>
    <w:p w14:paraId="17D60EC4">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4"/>
          <w:szCs w:val="24"/>
          <w:highlight w:val="none"/>
        </w:rPr>
      </w:pPr>
      <w:r>
        <w:rPr>
          <w:rFonts w:hint="default" w:ascii="Calibri" w:hAnsi="Calibri" w:eastAsia="宋体" w:cs="Times New Roman"/>
          <w:color w:val="auto"/>
          <w:kern w:val="2"/>
          <w:sz w:val="24"/>
          <w:szCs w:val="24"/>
          <w:highlight w:val="none"/>
          <w:lang w:val="en-US" w:eastAsia="zh-CN" w:bidi="ar"/>
        </w:rPr>
        <w:t xml:space="preserve"> </w:t>
      </w:r>
    </w:p>
    <w:p w14:paraId="20474845">
      <w:pPr>
        <w:pStyle w:val="14"/>
        <w:keepNext w:val="0"/>
        <w:keepLines w:val="0"/>
        <w:widowControl w:val="0"/>
        <w:suppressLineNumbers w:val="0"/>
        <w:spacing w:before="0" w:beforeAutospacing="1" w:after="120" w:afterAutospacing="0" w:line="360" w:lineRule="auto"/>
        <w:ind w:left="0" w:right="0" w:firstLine="42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14:paraId="18359B18">
      <w:pPr>
        <w:pStyle w:val="14"/>
        <w:keepNext w:val="0"/>
        <w:keepLines w:val="0"/>
        <w:widowControl w:val="0"/>
        <w:suppressLineNumbers w:val="0"/>
        <w:spacing w:before="0" w:beforeAutospacing="1" w:after="120" w:afterAutospacing="0" w:line="360" w:lineRule="auto"/>
        <w:ind w:left="0" w:right="0" w:firstLine="42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14:paraId="4D513CEC">
      <w:pPr>
        <w:pStyle w:val="14"/>
        <w:keepNext w:val="0"/>
        <w:keepLines w:val="0"/>
        <w:widowControl w:val="0"/>
        <w:suppressLineNumbers w:val="0"/>
        <w:spacing w:before="0" w:beforeAutospacing="1" w:after="120" w:afterAutospacing="0" w:line="360" w:lineRule="auto"/>
        <w:ind w:left="0" w:right="0" w:firstLine="42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14:paraId="7098FF02">
      <w:pPr>
        <w:pStyle w:val="14"/>
        <w:keepNext w:val="0"/>
        <w:keepLines w:val="0"/>
        <w:widowControl w:val="0"/>
        <w:suppressLineNumbers w:val="0"/>
        <w:spacing w:before="0" w:beforeAutospacing="1" w:after="120" w:afterAutospacing="0" w:line="360" w:lineRule="auto"/>
        <w:ind w:left="0" w:right="0" w:firstLine="42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14:paraId="12F8AE48">
      <w:pPr>
        <w:pStyle w:val="14"/>
        <w:keepNext w:val="0"/>
        <w:keepLines w:val="0"/>
        <w:widowControl w:val="0"/>
        <w:suppressLineNumbers w:val="0"/>
        <w:spacing w:before="0" w:beforeAutospacing="1" w:after="120" w:afterAutospacing="0" w:line="360" w:lineRule="auto"/>
        <w:ind w:left="0" w:right="0" w:firstLine="42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14:paraId="610ADAC8">
      <w:pPr>
        <w:pStyle w:val="14"/>
        <w:keepNext w:val="0"/>
        <w:keepLines w:val="0"/>
        <w:widowControl w:val="0"/>
        <w:suppressLineNumbers w:val="0"/>
        <w:spacing w:before="0" w:beforeAutospacing="1" w:after="120" w:afterAutospacing="0" w:line="360" w:lineRule="auto"/>
        <w:ind w:left="0" w:right="0" w:firstLine="42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14:paraId="2729403F">
      <w:pPr>
        <w:pStyle w:val="14"/>
        <w:keepNext w:val="0"/>
        <w:keepLines w:val="0"/>
        <w:widowControl w:val="0"/>
        <w:suppressLineNumbers w:val="0"/>
        <w:spacing w:before="0" w:beforeAutospacing="1" w:after="120" w:afterAutospacing="0" w:line="360" w:lineRule="auto"/>
        <w:ind w:left="0" w:right="0" w:firstLine="42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14:paraId="3B6F8A10">
      <w:pPr>
        <w:pStyle w:val="14"/>
        <w:keepNext w:val="0"/>
        <w:keepLines w:val="0"/>
        <w:widowControl w:val="0"/>
        <w:suppressLineNumbers w:val="0"/>
        <w:spacing w:before="0" w:beforeAutospacing="1" w:after="120" w:afterAutospacing="0" w:line="360" w:lineRule="auto"/>
        <w:ind w:left="0" w:right="0" w:firstLine="42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14:paraId="4114EC85">
      <w:pPr>
        <w:pStyle w:val="14"/>
        <w:keepNext w:val="0"/>
        <w:keepLines w:val="0"/>
        <w:widowControl w:val="0"/>
        <w:suppressLineNumbers w:val="0"/>
        <w:spacing w:before="0" w:beforeAutospacing="1" w:after="120" w:afterAutospacing="0" w:line="360" w:lineRule="auto"/>
        <w:ind w:left="0" w:right="0" w:firstLine="42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14:paraId="61F0D651">
      <w:pPr>
        <w:pStyle w:val="14"/>
        <w:keepNext w:val="0"/>
        <w:keepLines w:val="0"/>
        <w:widowControl w:val="0"/>
        <w:suppressLineNumbers w:val="0"/>
        <w:spacing w:before="0" w:beforeAutospacing="1" w:after="120" w:afterAutospacing="0" w:line="360" w:lineRule="auto"/>
        <w:ind w:left="0" w:right="0" w:firstLine="42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14:paraId="2C1FCBED">
      <w:pPr>
        <w:pStyle w:val="14"/>
        <w:keepNext w:val="0"/>
        <w:keepLines w:val="0"/>
        <w:widowControl w:val="0"/>
        <w:suppressLineNumbers w:val="0"/>
        <w:spacing w:before="0" w:beforeAutospacing="1" w:after="120" w:afterAutospacing="0" w:line="360" w:lineRule="auto"/>
        <w:ind w:left="0" w:right="0" w:firstLine="42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14:paraId="43A872D3">
      <w:pPr>
        <w:pStyle w:val="14"/>
        <w:keepNext w:val="0"/>
        <w:keepLines w:val="0"/>
        <w:widowControl w:val="0"/>
        <w:suppressLineNumbers w:val="0"/>
        <w:spacing w:before="0" w:beforeAutospacing="1" w:after="120" w:afterAutospacing="0" w:line="360" w:lineRule="auto"/>
        <w:ind w:left="0" w:right="0" w:firstLine="42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14:paraId="5DB0B812">
      <w:pPr>
        <w:pStyle w:val="14"/>
        <w:keepNext w:val="0"/>
        <w:keepLines w:val="0"/>
        <w:widowControl w:val="0"/>
        <w:suppressLineNumbers w:val="0"/>
        <w:spacing w:before="0" w:beforeAutospacing="1" w:after="120" w:afterAutospacing="0" w:line="360" w:lineRule="auto"/>
        <w:ind w:left="0" w:right="0" w:firstLine="42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14:paraId="6C658174">
      <w:pPr>
        <w:pStyle w:val="14"/>
        <w:keepNext w:val="0"/>
        <w:keepLines w:val="0"/>
        <w:widowControl w:val="0"/>
        <w:suppressLineNumbers w:val="0"/>
        <w:spacing w:before="0" w:beforeAutospacing="1" w:after="120" w:afterAutospacing="0" w:line="360" w:lineRule="auto"/>
        <w:ind w:left="0" w:right="0" w:firstLine="42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14:paraId="79CC0B2D">
      <w:pPr>
        <w:pStyle w:val="14"/>
        <w:keepNext w:val="0"/>
        <w:keepLines w:val="0"/>
        <w:widowControl w:val="0"/>
        <w:suppressLineNumbers w:val="0"/>
        <w:spacing w:before="0" w:beforeAutospacing="0" w:after="0" w:afterAutospacing="0" w:line="360" w:lineRule="auto"/>
        <w:ind w:left="0" w:right="0"/>
        <w:jc w:val="both"/>
        <w:rPr>
          <w:rFonts w:hint="eastAsia" w:ascii="宋体" w:hAnsi="Courier New" w:eastAsia="宋体" w:cs="Times New Roman"/>
          <w:color w:val="auto"/>
          <w:kern w:val="2"/>
          <w:sz w:val="24"/>
          <w:szCs w:val="24"/>
          <w:highlight w:val="none"/>
        </w:rPr>
      </w:pPr>
      <w:r>
        <w:rPr>
          <w:rFonts w:hint="eastAsia" w:ascii="宋体" w:hAnsi="Courier New" w:eastAsia="宋体" w:cs="Times New Roman"/>
          <w:color w:val="auto"/>
          <w:kern w:val="2"/>
          <w:sz w:val="24"/>
          <w:szCs w:val="24"/>
          <w:highlight w:val="none"/>
          <w:lang w:val="en-US" w:eastAsia="zh-CN" w:bidi="ar"/>
        </w:rPr>
        <w:t xml:space="preserve"> </w:t>
      </w:r>
    </w:p>
    <w:p w14:paraId="0BED43E2">
      <w:pPr>
        <w:pStyle w:val="14"/>
        <w:keepNext w:val="0"/>
        <w:keepLines w:val="0"/>
        <w:widowControl w:val="0"/>
        <w:suppressLineNumbers w:val="0"/>
        <w:spacing w:before="0" w:beforeAutospacing="0" w:after="0" w:afterAutospacing="0" w:line="360" w:lineRule="auto"/>
        <w:ind w:left="0" w:right="0"/>
        <w:jc w:val="both"/>
        <w:rPr>
          <w:rFonts w:hint="eastAsia" w:ascii="宋体" w:hAnsi="Courier New" w:eastAsia="宋体" w:cs="Times New Roman"/>
          <w:color w:val="auto"/>
          <w:kern w:val="2"/>
          <w:sz w:val="24"/>
          <w:szCs w:val="24"/>
          <w:highlight w:val="none"/>
        </w:rPr>
      </w:pPr>
      <w:r>
        <w:rPr>
          <w:rFonts w:hint="eastAsia" w:ascii="宋体" w:hAnsi="Courier New" w:eastAsia="宋体" w:cs="Times New Roman"/>
          <w:color w:val="auto"/>
          <w:kern w:val="2"/>
          <w:sz w:val="24"/>
          <w:szCs w:val="24"/>
          <w:highlight w:val="none"/>
          <w:lang w:val="en-US" w:eastAsia="zh-CN" w:bidi="ar"/>
        </w:rPr>
        <w:br w:type="page"/>
      </w:r>
    </w:p>
    <w:p w14:paraId="32248AE9">
      <w:pPr>
        <w:pStyle w:val="2"/>
        <w:widowControl/>
        <w:rPr>
          <w:rFonts w:hint="default" w:ascii="Arial" w:hAnsi="Arial" w:eastAsia="宋体" w:cs="Times New Roman"/>
          <w:b/>
          <w:bCs w:val="0"/>
          <w:color w:val="auto"/>
          <w:kern w:val="44"/>
          <w:sz w:val="28"/>
          <w:szCs w:val="28"/>
          <w:highlight w:val="none"/>
        </w:rPr>
      </w:pPr>
      <w:bookmarkStart w:id="34" w:name="_Toc2272567"/>
      <w:bookmarkEnd w:id="34"/>
      <w:bookmarkStart w:id="35" w:name="_Toc21525512"/>
      <w:r>
        <w:rPr>
          <w:rFonts w:hint="eastAsia" w:ascii="宋体" w:hAnsi="宋体" w:eastAsia="宋体" w:cs="宋体"/>
          <w:b/>
          <w:bCs w:val="0"/>
          <w:color w:val="auto"/>
          <w:kern w:val="44"/>
          <w:sz w:val="28"/>
          <w:szCs w:val="28"/>
          <w:highlight w:val="none"/>
        </w:rPr>
        <w:t>第四章</w:t>
      </w:r>
      <w:bookmarkEnd w:id="35"/>
      <w:r>
        <w:rPr>
          <w:rFonts w:hint="default" w:ascii="Arial" w:hAnsi="Arial" w:eastAsia="宋体" w:cs="Times New Roman"/>
          <w:b/>
          <w:bCs w:val="0"/>
          <w:color w:val="auto"/>
          <w:kern w:val="44"/>
          <w:sz w:val="28"/>
          <w:szCs w:val="28"/>
          <w:highlight w:val="none"/>
        </w:rPr>
        <w:t xml:space="preserve">  </w:t>
      </w:r>
      <w:r>
        <w:rPr>
          <w:rFonts w:hint="eastAsia" w:ascii="宋体" w:hAnsi="宋体" w:eastAsia="宋体" w:cs="宋体"/>
          <w:b/>
          <w:bCs w:val="0"/>
          <w:color w:val="auto"/>
          <w:kern w:val="44"/>
          <w:sz w:val="28"/>
          <w:szCs w:val="28"/>
          <w:highlight w:val="none"/>
        </w:rPr>
        <w:t>投标文件格式</w:t>
      </w:r>
    </w:p>
    <w:p w14:paraId="4C3CC839">
      <w:pPr>
        <w:keepNext w:val="0"/>
        <w:keepLines w:val="0"/>
        <w:widowControl w:val="0"/>
        <w:suppressLineNumbers w:val="0"/>
        <w:topLinePunct/>
        <w:adjustRightInd w:val="0"/>
        <w:snapToGrid w:val="0"/>
        <w:spacing w:before="0" w:beforeAutospacing="0" w:after="0" w:afterAutospacing="0" w:line="360" w:lineRule="auto"/>
        <w:ind w:left="0" w:right="0"/>
        <w:jc w:val="center"/>
        <w:outlineLvl w:val="0"/>
        <w:rPr>
          <w:rFonts w:hint="eastAsia" w:ascii="宋体" w:hAnsi="宋体" w:eastAsia="宋体" w:cs="Times New Roman"/>
          <w:b/>
          <w:bCs w:val="0"/>
          <w:color w:val="auto"/>
          <w:spacing w:val="4"/>
          <w:kern w:val="0"/>
          <w:sz w:val="30"/>
          <w:szCs w:val="30"/>
          <w:highlight w:val="none"/>
        </w:rPr>
      </w:pPr>
      <w:bookmarkStart w:id="36" w:name="_Toc7019446"/>
      <w:bookmarkEnd w:id="36"/>
      <w:bookmarkStart w:id="37" w:name="_Toc22928"/>
      <w:bookmarkEnd w:id="37"/>
      <w:bookmarkStart w:id="38" w:name="_Toc14697646"/>
      <w:bookmarkEnd w:id="38"/>
      <w:bookmarkStart w:id="39" w:name="_Toc8084"/>
      <w:r>
        <w:rPr>
          <w:rFonts w:hint="eastAsia" w:ascii="宋体" w:hAnsi="宋体" w:eastAsia="宋体" w:cs="宋体"/>
          <w:b/>
          <w:bCs w:val="0"/>
          <w:color w:val="auto"/>
          <w:spacing w:val="4"/>
          <w:kern w:val="0"/>
          <w:sz w:val="30"/>
          <w:szCs w:val="30"/>
          <w:highlight w:val="none"/>
          <w:lang w:val="en-US" w:eastAsia="zh-CN" w:bidi="ar"/>
        </w:rPr>
        <w:t>一、技术标投标文件格式</w:t>
      </w:r>
      <w:bookmarkEnd w:id="39"/>
    </w:p>
    <w:p w14:paraId="4EBB317B">
      <w:pPr>
        <w:keepNext w:val="0"/>
        <w:keepLines w:val="0"/>
        <w:widowControl/>
        <w:suppressLineNumbers w:val="0"/>
        <w:spacing w:before="0" w:beforeAutospacing="1" w:after="0" w:afterAutospacing="1"/>
        <w:ind w:left="0" w:right="0"/>
        <w:jc w:val="left"/>
        <w:outlineLvl w:val="2"/>
        <w:rPr>
          <w:rFonts w:hint="eastAsia" w:ascii="宋体" w:hAnsi="宋体" w:eastAsia="宋体" w:cs="Times New Roman"/>
          <w:b/>
          <w:bCs w:val="0"/>
          <w:color w:val="auto"/>
          <w:kern w:val="0"/>
          <w:sz w:val="24"/>
          <w:szCs w:val="24"/>
          <w:highlight w:val="none"/>
        </w:rPr>
      </w:pPr>
      <w:r>
        <w:rPr>
          <w:rFonts w:hint="default" w:ascii="Calibri" w:hAnsi="Calibri" w:eastAsia="宋体" w:cs="Times New Roman"/>
          <w:color w:val="auto"/>
          <w:kern w:val="2"/>
          <w:sz w:val="21"/>
          <w:szCs w:val="21"/>
          <w:highlight w:val="none"/>
          <w:lang w:val="en-US" w:eastAsia="zh-CN" w:bidi="ar"/>
        </w:rPr>
        <w:br w:type="page"/>
      </w:r>
      <w:bookmarkStart w:id="40" w:name="_Toc17751"/>
      <w:bookmarkEnd w:id="40"/>
      <w:bookmarkStart w:id="41" w:name="_Toc14697647"/>
      <w:r>
        <w:rPr>
          <w:rFonts w:hint="eastAsia" w:ascii="宋体" w:hAnsi="宋体" w:eastAsia="宋体" w:cs="宋体"/>
          <w:b/>
          <w:bCs w:val="0"/>
          <w:color w:val="auto"/>
          <w:kern w:val="0"/>
          <w:sz w:val="24"/>
          <w:szCs w:val="24"/>
          <w:highlight w:val="none"/>
          <w:lang w:val="en-US" w:eastAsia="zh-CN" w:bidi="ar"/>
        </w:rPr>
        <w:t>格式一：技术标封面</w:t>
      </w:r>
      <w:bookmarkEnd w:id="41"/>
    </w:p>
    <w:p w14:paraId="683218B4">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3714F1AD">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5B7E45B2">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2E3AC8EC">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36"/>
          <w:szCs w:val="36"/>
          <w:highlight w:val="none"/>
          <w:u w:val="single"/>
        </w:rPr>
      </w:pPr>
      <w:r>
        <w:rPr>
          <w:rFonts w:hint="eastAsia" w:ascii="宋体" w:hAnsi="宋体" w:eastAsia="宋体" w:cs="宋体"/>
          <w:color w:val="auto"/>
          <w:spacing w:val="4"/>
          <w:kern w:val="0"/>
          <w:sz w:val="36"/>
          <w:szCs w:val="36"/>
          <w:highlight w:val="none"/>
          <w:u w:val="single"/>
          <w:lang w:val="en-US" w:eastAsia="zh-CN" w:bidi="ar"/>
        </w:rPr>
        <w:t xml:space="preserve">[工程名称] </w:t>
      </w:r>
    </w:p>
    <w:p w14:paraId="7E0C5BDE">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591C2BD8">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59933244">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34F08C49">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21E60CD8">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84"/>
          <w:szCs w:val="84"/>
          <w:highlight w:val="none"/>
        </w:rPr>
      </w:pPr>
      <w:r>
        <w:rPr>
          <w:rFonts w:hint="eastAsia" w:ascii="宋体" w:hAnsi="宋体" w:eastAsia="宋体" w:cs="宋体"/>
          <w:color w:val="auto"/>
          <w:spacing w:val="4"/>
          <w:kern w:val="0"/>
          <w:sz w:val="84"/>
          <w:szCs w:val="84"/>
          <w:highlight w:val="none"/>
          <w:lang w:val="en-US" w:eastAsia="zh-CN" w:bidi="ar"/>
        </w:rPr>
        <w:t>投标文件</w:t>
      </w:r>
    </w:p>
    <w:p w14:paraId="0AE9D324">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36"/>
          <w:szCs w:val="36"/>
          <w:highlight w:val="none"/>
        </w:rPr>
      </w:pPr>
      <w:r>
        <w:rPr>
          <w:rFonts w:hint="eastAsia" w:ascii="宋体" w:hAnsi="宋体" w:eastAsia="宋体" w:cs="宋体"/>
          <w:color w:val="auto"/>
          <w:spacing w:val="4"/>
          <w:kern w:val="0"/>
          <w:sz w:val="36"/>
          <w:szCs w:val="36"/>
          <w:highlight w:val="none"/>
          <w:lang w:val="en-US" w:eastAsia="zh-CN" w:bidi="ar"/>
        </w:rPr>
        <w:t>第一册</w:t>
      </w:r>
      <w:r>
        <w:rPr>
          <w:rFonts w:hint="eastAsia" w:ascii="宋体" w:hAnsi="宋体" w:eastAsia="宋体" w:cs="Times New Roman"/>
          <w:color w:val="auto"/>
          <w:spacing w:val="4"/>
          <w:kern w:val="0"/>
          <w:sz w:val="36"/>
          <w:szCs w:val="36"/>
          <w:highlight w:val="none"/>
          <w:lang w:val="en-US" w:eastAsia="zh-CN" w:bidi="ar"/>
        </w:rPr>
        <w:t xml:space="preserve">  </w:t>
      </w:r>
      <w:r>
        <w:rPr>
          <w:rFonts w:hint="eastAsia" w:ascii="宋体" w:hAnsi="宋体" w:eastAsia="宋体" w:cs="宋体"/>
          <w:color w:val="auto"/>
          <w:spacing w:val="4"/>
          <w:kern w:val="0"/>
          <w:sz w:val="36"/>
          <w:szCs w:val="36"/>
          <w:highlight w:val="none"/>
          <w:lang w:val="en-US" w:eastAsia="zh-CN" w:bidi="ar"/>
        </w:rPr>
        <w:t>【技术投标文件（含资格审查文件）】</w:t>
      </w:r>
    </w:p>
    <w:p w14:paraId="720BE033">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223EFDA4">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62481A43">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22BDD6CE">
      <w:pPr>
        <w:keepNext w:val="0"/>
        <w:keepLines w:val="0"/>
        <w:widowControl w:val="0"/>
        <w:suppressLineNumbers w:val="0"/>
        <w:topLinePunct/>
        <w:adjustRightInd w:val="0"/>
        <w:snapToGrid w:val="0"/>
        <w:spacing w:before="0" w:beforeAutospacing="0" w:after="0" w:afterAutospacing="0" w:line="360" w:lineRule="auto"/>
        <w:ind w:left="0" w:right="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0F22A031">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74F6D1C7">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both"/>
        <w:rPr>
          <w:rFonts w:hint="eastAsia" w:ascii="宋体" w:hAnsi="宋体" w:eastAsia="宋体" w:cs="Times New Roman"/>
          <w:color w:val="auto"/>
          <w:spacing w:val="4"/>
          <w:kern w:val="0"/>
          <w:sz w:val="28"/>
          <w:szCs w:val="28"/>
          <w:highlight w:val="none"/>
        </w:rPr>
      </w:pPr>
      <w:r>
        <w:rPr>
          <w:rFonts w:hint="eastAsia" w:ascii="宋体" w:hAnsi="宋体" w:eastAsia="宋体" w:cs="Times New Roman"/>
          <w:color w:val="auto"/>
          <w:spacing w:val="4"/>
          <w:kern w:val="0"/>
          <w:sz w:val="28"/>
          <w:szCs w:val="28"/>
          <w:highlight w:val="none"/>
          <w:lang w:val="en-US" w:eastAsia="zh-CN" w:bidi="ar"/>
        </w:rPr>
        <w:t xml:space="preserve"> </w:t>
      </w:r>
    </w:p>
    <w:p w14:paraId="3DE5044B">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Times New Roman"/>
          <w:color w:val="auto"/>
          <w:spacing w:val="4"/>
          <w:kern w:val="0"/>
          <w:sz w:val="28"/>
          <w:szCs w:val="28"/>
          <w:highlight w:val="none"/>
        </w:rPr>
      </w:pPr>
      <w:r>
        <w:rPr>
          <w:rFonts w:hint="eastAsia" w:ascii="宋体" w:hAnsi="宋体" w:eastAsia="宋体" w:cs="宋体"/>
          <w:color w:val="auto"/>
          <w:spacing w:val="4"/>
          <w:kern w:val="0"/>
          <w:sz w:val="28"/>
          <w:szCs w:val="28"/>
          <w:highlight w:val="none"/>
          <w:lang w:val="en-US" w:eastAsia="zh-CN" w:bidi="ar"/>
        </w:rPr>
        <w:t>投标人：</w:t>
      </w:r>
      <w:r>
        <w:rPr>
          <w:rFonts w:hint="eastAsia" w:ascii="宋体" w:hAnsi="宋体" w:eastAsia="宋体" w:cs="Times New Roman"/>
          <w:color w:val="auto"/>
          <w:spacing w:val="4"/>
          <w:kern w:val="0"/>
          <w:sz w:val="28"/>
          <w:szCs w:val="28"/>
          <w:highlight w:val="none"/>
          <w:u w:val="single"/>
          <w:lang w:val="en-US" w:eastAsia="zh-CN" w:bidi="ar"/>
        </w:rPr>
        <w:t xml:space="preserve">           </w:t>
      </w:r>
      <w:r>
        <w:rPr>
          <w:rFonts w:hint="eastAsia" w:ascii="宋体" w:hAnsi="宋体" w:eastAsia="宋体" w:cs="宋体"/>
          <w:color w:val="auto"/>
          <w:spacing w:val="4"/>
          <w:kern w:val="0"/>
          <w:sz w:val="28"/>
          <w:szCs w:val="28"/>
          <w:highlight w:val="none"/>
          <w:u w:val="single"/>
          <w:lang w:val="en-US" w:eastAsia="zh-CN" w:bidi="ar"/>
        </w:rPr>
        <w:t>（填写投标人单位名称）</w:t>
      </w:r>
      <w:r>
        <w:rPr>
          <w:rFonts w:hint="eastAsia" w:ascii="宋体" w:hAnsi="宋体" w:eastAsia="宋体" w:cs="Times New Roman"/>
          <w:color w:val="auto"/>
          <w:spacing w:val="4"/>
          <w:kern w:val="0"/>
          <w:sz w:val="28"/>
          <w:szCs w:val="28"/>
          <w:highlight w:val="none"/>
          <w:u w:val="single"/>
          <w:lang w:val="en-US" w:eastAsia="zh-CN" w:bidi="ar"/>
        </w:rPr>
        <w:t xml:space="preserve">    </w:t>
      </w:r>
      <w:r>
        <w:rPr>
          <w:rFonts w:hint="eastAsia" w:ascii="宋体" w:hAnsi="宋体" w:eastAsia="宋体" w:cs="宋体"/>
          <w:color w:val="auto"/>
          <w:spacing w:val="4"/>
          <w:kern w:val="0"/>
          <w:sz w:val="28"/>
          <w:szCs w:val="28"/>
          <w:highlight w:val="none"/>
          <w:u w:val="single"/>
          <w:lang w:val="en-US" w:eastAsia="zh-CN" w:bidi="ar"/>
        </w:rPr>
        <w:t>（盖章）</w:t>
      </w:r>
    </w:p>
    <w:p w14:paraId="1202A6AD">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Times New Roman"/>
          <w:color w:val="auto"/>
          <w:spacing w:val="4"/>
          <w:kern w:val="0"/>
          <w:sz w:val="28"/>
          <w:szCs w:val="28"/>
          <w:highlight w:val="none"/>
        </w:rPr>
      </w:pPr>
      <w:r>
        <w:rPr>
          <w:rFonts w:hint="eastAsia" w:ascii="宋体" w:hAnsi="宋体" w:eastAsia="宋体" w:cs="Times New Roman"/>
          <w:color w:val="auto"/>
          <w:spacing w:val="4"/>
          <w:kern w:val="0"/>
          <w:sz w:val="28"/>
          <w:szCs w:val="28"/>
          <w:highlight w:val="none"/>
          <w:lang w:val="en-US" w:eastAsia="zh-CN" w:bidi="ar"/>
        </w:rPr>
        <w:t xml:space="preserve"> </w:t>
      </w:r>
    </w:p>
    <w:p w14:paraId="44FBE8F1">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Times New Roman"/>
          <w:color w:val="auto"/>
          <w:spacing w:val="4"/>
          <w:kern w:val="0"/>
          <w:sz w:val="28"/>
          <w:szCs w:val="28"/>
          <w:highlight w:val="none"/>
        </w:rPr>
      </w:pPr>
      <w:r>
        <w:rPr>
          <w:rFonts w:hint="eastAsia" w:ascii="宋体" w:hAnsi="宋体" w:eastAsia="宋体" w:cs="宋体"/>
          <w:color w:val="auto"/>
          <w:spacing w:val="4"/>
          <w:kern w:val="0"/>
          <w:sz w:val="28"/>
          <w:szCs w:val="28"/>
          <w:highlight w:val="none"/>
          <w:lang w:val="en-US" w:eastAsia="zh-CN" w:bidi="ar"/>
        </w:rPr>
        <w:t>法定代表人或</w:t>
      </w:r>
    </w:p>
    <w:p w14:paraId="748FCFBE">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Times New Roman"/>
          <w:color w:val="auto"/>
          <w:spacing w:val="4"/>
          <w:kern w:val="0"/>
          <w:sz w:val="28"/>
          <w:szCs w:val="28"/>
          <w:highlight w:val="none"/>
        </w:rPr>
      </w:pPr>
      <w:r>
        <w:rPr>
          <w:rFonts w:hint="eastAsia" w:ascii="宋体" w:hAnsi="宋体" w:eastAsia="宋体" w:cs="宋体"/>
          <w:color w:val="auto"/>
          <w:spacing w:val="4"/>
          <w:kern w:val="0"/>
          <w:sz w:val="28"/>
          <w:szCs w:val="28"/>
          <w:highlight w:val="none"/>
          <w:lang w:val="en-US" w:eastAsia="zh-CN" w:bidi="ar"/>
        </w:rPr>
        <w:t>其委托代理人：</w:t>
      </w:r>
      <w:r>
        <w:rPr>
          <w:rFonts w:hint="eastAsia" w:ascii="宋体" w:hAnsi="宋体" w:eastAsia="宋体" w:cs="Times New Roman"/>
          <w:color w:val="auto"/>
          <w:spacing w:val="4"/>
          <w:kern w:val="0"/>
          <w:sz w:val="28"/>
          <w:szCs w:val="28"/>
          <w:highlight w:val="none"/>
          <w:u w:val="single"/>
          <w:lang w:val="en-US" w:eastAsia="zh-CN" w:bidi="ar"/>
        </w:rPr>
        <w:t xml:space="preserve">                         </w:t>
      </w:r>
      <w:r>
        <w:rPr>
          <w:rFonts w:hint="eastAsia" w:ascii="宋体" w:hAnsi="宋体" w:eastAsia="宋体" w:cs="宋体"/>
          <w:color w:val="auto"/>
          <w:spacing w:val="4"/>
          <w:kern w:val="0"/>
          <w:sz w:val="28"/>
          <w:szCs w:val="28"/>
          <w:highlight w:val="none"/>
          <w:u w:val="single"/>
          <w:lang w:val="en-US" w:eastAsia="zh-CN" w:bidi="ar"/>
        </w:rPr>
        <w:t>（签名或盖章）</w:t>
      </w:r>
    </w:p>
    <w:p w14:paraId="594377B6">
      <w:pPr>
        <w:keepNext w:val="0"/>
        <w:keepLines w:val="0"/>
        <w:widowControl w:val="0"/>
        <w:suppressLineNumbers w:val="0"/>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8"/>
          <w:szCs w:val="28"/>
          <w:highlight w:val="none"/>
          <w:lang w:val="en-US" w:eastAsia="zh-CN" w:bidi="ar"/>
        </w:rPr>
        <w:t>日</w:t>
      </w:r>
      <w:r>
        <w:rPr>
          <w:rFonts w:hint="eastAsia" w:ascii="宋体" w:hAnsi="宋体" w:eastAsia="宋体" w:cs="Times New Roman"/>
          <w:color w:val="auto"/>
          <w:spacing w:val="4"/>
          <w:kern w:val="0"/>
          <w:sz w:val="28"/>
          <w:szCs w:val="28"/>
          <w:highlight w:val="none"/>
          <w:lang w:val="en-US" w:eastAsia="zh-CN" w:bidi="ar"/>
        </w:rPr>
        <w:t xml:space="preserve">  </w:t>
      </w:r>
      <w:r>
        <w:rPr>
          <w:rFonts w:hint="eastAsia" w:ascii="宋体" w:hAnsi="宋体" w:eastAsia="宋体" w:cs="宋体"/>
          <w:color w:val="auto"/>
          <w:spacing w:val="4"/>
          <w:kern w:val="0"/>
          <w:sz w:val="28"/>
          <w:szCs w:val="28"/>
          <w:highlight w:val="none"/>
          <w:lang w:val="en-US" w:eastAsia="zh-CN" w:bidi="ar"/>
        </w:rPr>
        <w:t>期：</w:t>
      </w:r>
      <w:r>
        <w:rPr>
          <w:rFonts w:hint="eastAsia" w:ascii="宋体" w:hAnsi="宋体" w:eastAsia="宋体" w:cs="Times New Roman"/>
          <w:color w:val="auto"/>
          <w:spacing w:val="4"/>
          <w:kern w:val="0"/>
          <w:sz w:val="28"/>
          <w:szCs w:val="28"/>
          <w:highlight w:val="none"/>
          <w:u w:val="single"/>
          <w:lang w:val="en-US" w:eastAsia="zh-CN" w:bidi="ar"/>
        </w:rPr>
        <w:t xml:space="preserve">                                           </w:t>
      </w:r>
      <w:r>
        <w:rPr>
          <w:rFonts w:hint="eastAsia" w:ascii="宋体" w:hAnsi="宋体" w:eastAsia="宋体" w:cs="Times New Roman"/>
          <w:color w:val="auto"/>
          <w:spacing w:val="4"/>
          <w:kern w:val="0"/>
          <w:sz w:val="30"/>
          <w:szCs w:val="30"/>
          <w:highlight w:val="none"/>
          <w:u w:val="single"/>
          <w:lang w:val="en-US" w:eastAsia="zh-CN" w:bidi="ar"/>
        </w:rPr>
        <w:t xml:space="preserve"> </w:t>
      </w:r>
    </w:p>
    <w:p w14:paraId="35EBF475">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36D9B71C">
      <w:pPr>
        <w:pStyle w:val="14"/>
        <w:keepNext w:val="0"/>
        <w:keepLines w:val="0"/>
        <w:widowControl w:val="0"/>
        <w:suppressLineNumbers w:val="0"/>
        <w:spacing w:before="0" w:beforeAutospacing="0" w:after="0" w:afterAutospacing="0"/>
        <w:ind w:left="0" w:right="0" w:firstLine="42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05964A8F">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14:paraId="7C6F38EB">
      <w:pPr>
        <w:keepNext w:val="0"/>
        <w:keepLines w:val="0"/>
        <w:widowControl w:val="0"/>
        <w:suppressLineNumbers w:val="0"/>
        <w:autoSpaceDE w:val="0"/>
        <w:autoSpaceDN w:val="0"/>
        <w:adjustRightInd w:val="0"/>
        <w:spacing w:before="0" w:beforeAutospacing="0" w:after="0" w:afterAutospacing="0"/>
        <w:ind w:left="0" w:right="0"/>
        <w:jc w:val="both"/>
        <w:outlineLvl w:val="2"/>
        <w:rPr>
          <w:rFonts w:hint="eastAsia" w:ascii="宋体" w:hAnsi="Calibri" w:eastAsia="宋体" w:cs="宋体"/>
          <w:b/>
          <w:color w:val="auto"/>
          <w:kern w:val="2"/>
          <w:sz w:val="21"/>
          <w:szCs w:val="21"/>
          <w:highlight w:val="none"/>
        </w:rPr>
      </w:pPr>
      <w:bookmarkStart w:id="42" w:name="_Toc14697648"/>
      <w:bookmarkEnd w:id="42"/>
      <w:bookmarkStart w:id="43" w:name="_Toc23471"/>
      <w:r>
        <w:rPr>
          <w:rFonts w:hint="eastAsia" w:ascii="宋体" w:hAnsi="宋体" w:eastAsia="宋体" w:cs="宋体"/>
          <w:bCs/>
          <w:color w:val="auto"/>
          <w:kern w:val="2"/>
          <w:sz w:val="21"/>
          <w:szCs w:val="21"/>
          <w:highlight w:val="none"/>
          <w:lang w:val="en-US" w:eastAsia="zh-CN" w:bidi="ar"/>
        </w:rPr>
        <w:t>格式二：广州建设工程施工招标投标书</w:t>
      </w:r>
      <w:bookmarkEnd w:id="43"/>
    </w:p>
    <w:p w14:paraId="685DD67A">
      <w:pPr>
        <w:keepNext w:val="0"/>
        <w:keepLines w:val="0"/>
        <w:widowControl w:val="0"/>
        <w:suppressLineNumbers w:val="0"/>
        <w:autoSpaceDE w:val="0"/>
        <w:autoSpaceDN w:val="0"/>
        <w:adjustRightInd w:val="0"/>
        <w:spacing w:before="0" w:beforeAutospacing="0" w:after="0" w:afterAutospacing="0"/>
        <w:ind w:left="-540" w:leftChars="-257" w:right="0" w:firstLine="1135" w:firstLineChars="257"/>
        <w:jc w:val="center"/>
        <w:rPr>
          <w:rFonts w:hint="eastAsia" w:ascii="宋体" w:hAnsi="宋体" w:eastAsia="宋体" w:cs="宋体"/>
          <w:b/>
          <w:color w:val="auto"/>
          <w:kern w:val="2"/>
          <w:sz w:val="44"/>
          <w:szCs w:val="44"/>
          <w:highlight w:val="none"/>
        </w:rPr>
      </w:pPr>
      <w:r>
        <w:rPr>
          <w:rFonts w:hint="eastAsia" w:ascii="宋体" w:hAnsi="宋体" w:eastAsia="宋体" w:cs="宋体"/>
          <w:b/>
          <w:color w:val="auto"/>
          <w:kern w:val="2"/>
          <w:sz w:val="44"/>
          <w:szCs w:val="44"/>
          <w:highlight w:val="none"/>
          <w:lang w:val="en-US" w:eastAsia="zh-CN" w:bidi="ar"/>
        </w:rPr>
        <w:t xml:space="preserve"> </w:t>
      </w:r>
    </w:p>
    <w:p w14:paraId="0C6BD265">
      <w:pPr>
        <w:keepNext w:val="0"/>
        <w:keepLines w:val="0"/>
        <w:widowControl w:val="0"/>
        <w:suppressLineNumbers w:val="0"/>
        <w:autoSpaceDE w:val="0"/>
        <w:autoSpaceDN w:val="0"/>
        <w:adjustRightInd w:val="0"/>
        <w:spacing w:before="0" w:beforeAutospacing="0" w:after="0" w:afterAutospacing="0"/>
        <w:ind w:left="-540" w:leftChars="-257" w:right="0" w:firstLine="1135" w:firstLineChars="257"/>
        <w:jc w:val="center"/>
        <w:rPr>
          <w:rFonts w:hint="eastAsia" w:ascii="宋体" w:hAnsi="Calibri" w:eastAsia="宋体" w:cs="Times New Roman"/>
          <w:b/>
          <w:color w:val="auto"/>
          <w:kern w:val="2"/>
          <w:sz w:val="52"/>
          <w:szCs w:val="52"/>
          <w:highlight w:val="none"/>
        </w:rPr>
      </w:pPr>
      <w:r>
        <w:rPr>
          <w:rFonts w:hint="eastAsia" w:ascii="宋体" w:hAnsi="宋体" w:eastAsia="宋体" w:cs="宋体"/>
          <w:b/>
          <w:color w:val="auto"/>
          <w:kern w:val="2"/>
          <w:sz w:val="44"/>
          <w:szCs w:val="44"/>
          <w:highlight w:val="none"/>
          <w:lang w:val="en-US" w:eastAsia="zh-CN" w:bidi="ar"/>
        </w:rPr>
        <w:t>广州建设工程施工招标投标书</w:t>
      </w:r>
    </w:p>
    <w:tbl>
      <w:tblPr>
        <w:tblStyle w:val="17"/>
        <w:tblW w:w="9379"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805"/>
        <w:gridCol w:w="3574"/>
      </w:tblGrid>
      <w:tr w14:paraId="23507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shd w:val="clear" w:color="auto" w:fill="auto"/>
            <w:vAlign w:val="center"/>
          </w:tcPr>
          <w:p w14:paraId="228EC998">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Calibri" w:eastAsia="宋体" w:cs="宋体"/>
                <w:b/>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工程名称</w:t>
            </w:r>
          </w:p>
        </w:tc>
        <w:tc>
          <w:tcPr>
            <w:tcW w:w="3574" w:type="dxa"/>
            <w:tcBorders>
              <w:top w:val="single" w:color="auto" w:sz="4" w:space="0"/>
              <w:left w:val="nil"/>
              <w:bottom w:val="single" w:color="auto" w:sz="4" w:space="0"/>
              <w:right w:val="single" w:color="auto" w:sz="4" w:space="0"/>
            </w:tcBorders>
            <w:shd w:val="clear" w:color="auto" w:fill="auto"/>
            <w:vAlign w:val="top"/>
          </w:tcPr>
          <w:p w14:paraId="4F374CED">
            <w:pPr>
              <w:keepNext w:val="0"/>
              <w:keepLines w:val="0"/>
              <w:widowControl w:val="0"/>
              <w:suppressLineNumbers w:val="0"/>
              <w:autoSpaceDE w:val="0"/>
              <w:autoSpaceDN w:val="0"/>
              <w:adjustRightInd w:val="0"/>
              <w:spacing w:before="0" w:beforeAutospacing="0" w:after="0" w:afterAutospacing="0"/>
              <w:ind w:left="0" w:right="0"/>
              <w:jc w:val="both"/>
              <w:rPr>
                <w:rFonts w:hint="eastAsia" w:ascii="宋体" w:hAnsi="Calibri" w:eastAsia="宋体" w:cs="宋体"/>
                <w:b/>
                <w:color w:val="auto"/>
                <w:kern w:val="2"/>
                <w:sz w:val="24"/>
                <w:szCs w:val="24"/>
                <w:highlight w:val="none"/>
              </w:rPr>
            </w:pPr>
            <w:r>
              <w:rPr>
                <w:rFonts w:hint="eastAsia" w:ascii="宋体" w:hAnsi="Calibri" w:eastAsia="宋体" w:cs="宋体"/>
                <w:b/>
                <w:color w:val="auto"/>
                <w:kern w:val="2"/>
                <w:sz w:val="24"/>
                <w:szCs w:val="24"/>
                <w:highlight w:val="none"/>
                <w:lang w:eastAsia="zh-CN"/>
              </w:rPr>
              <w:t>广州天河体育中心整体景观提升（开幕式）建筑工程、广州天河体育中心篮球城维修改造项目、广州市羽毛球运动管理中心训练馆改造项目、广州天河体育中心田径副场改造项目施工总承包</w:t>
            </w:r>
          </w:p>
        </w:tc>
      </w:tr>
      <w:tr w14:paraId="25429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shd w:val="clear" w:color="auto" w:fill="auto"/>
            <w:vAlign w:val="center"/>
          </w:tcPr>
          <w:p w14:paraId="5F50D7F9">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Calibri" w:eastAsia="宋体" w:cs="宋体"/>
                <w:b/>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投标总报价（元）</w:t>
            </w:r>
          </w:p>
        </w:tc>
        <w:tc>
          <w:tcPr>
            <w:tcW w:w="3574" w:type="dxa"/>
            <w:tcBorders>
              <w:top w:val="single" w:color="auto" w:sz="4" w:space="0"/>
              <w:left w:val="nil"/>
              <w:bottom w:val="single" w:color="auto" w:sz="4" w:space="0"/>
              <w:right w:val="single" w:color="auto" w:sz="4" w:space="0"/>
            </w:tcBorders>
            <w:shd w:val="clear" w:color="auto" w:fill="auto"/>
            <w:vAlign w:val="center"/>
          </w:tcPr>
          <w:p w14:paraId="408B5B7E">
            <w:pPr>
              <w:keepNext w:val="0"/>
              <w:keepLines w:val="0"/>
              <w:widowControl w:val="0"/>
              <w:suppressLineNumbers w:val="0"/>
              <w:autoSpaceDE w:val="0"/>
              <w:autoSpaceDN w:val="0"/>
              <w:adjustRightInd w:val="0"/>
              <w:spacing w:before="0" w:beforeAutospacing="0" w:after="0" w:afterAutospacing="0"/>
              <w:ind w:left="0" w:right="0"/>
              <w:jc w:val="both"/>
              <w:rPr>
                <w:rFonts w:hint="eastAsia" w:ascii="宋体" w:hAnsi="Calibri" w:eastAsia="宋体" w:cs="宋体"/>
                <w:b/>
                <w:color w:val="auto"/>
                <w:kern w:val="2"/>
                <w:sz w:val="24"/>
                <w:szCs w:val="24"/>
                <w:highlight w:val="none"/>
              </w:rPr>
            </w:pPr>
          </w:p>
        </w:tc>
      </w:tr>
      <w:tr w14:paraId="4265F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shd w:val="clear" w:color="auto" w:fill="auto"/>
            <w:vAlign w:val="center"/>
          </w:tcPr>
          <w:p w14:paraId="5093BFD3">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Calibri" w:eastAsia="宋体" w:cs="宋体"/>
                <w:b/>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其中：</w:t>
            </w:r>
            <w:r>
              <w:rPr>
                <w:rFonts w:hint="eastAsia" w:ascii="宋体" w:hAnsi="宋体" w:eastAsia="宋体" w:cs="宋体"/>
                <w:b/>
                <w:color w:val="auto"/>
                <w:kern w:val="2"/>
                <w:sz w:val="24"/>
                <w:szCs w:val="24"/>
                <w:highlight w:val="none"/>
                <w:lang w:val="en-US" w:eastAsia="zh-CN" w:bidi="ar"/>
              </w:rPr>
              <w:t>人工费</w:t>
            </w:r>
            <w:r>
              <w:rPr>
                <w:rFonts w:hint="eastAsia" w:ascii="宋体" w:hAnsi="宋体" w:eastAsia="宋体" w:cs="宋体"/>
                <w:b/>
                <w:bCs w:val="0"/>
                <w:color w:val="auto"/>
                <w:kern w:val="2"/>
                <w:sz w:val="24"/>
                <w:szCs w:val="24"/>
                <w:highlight w:val="none"/>
                <w:lang w:val="en-US" w:eastAsia="zh-CN" w:bidi="ar"/>
              </w:rPr>
              <w:t>（元）</w:t>
            </w:r>
          </w:p>
        </w:tc>
        <w:tc>
          <w:tcPr>
            <w:tcW w:w="3574" w:type="dxa"/>
            <w:tcBorders>
              <w:top w:val="single" w:color="auto" w:sz="4" w:space="0"/>
              <w:left w:val="nil"/>
              <w:bottom w:val="single" w:color="auto" w:sz="4" w:space="0"/>
              <w:right w:val="single" w:color="auto" w:sz="4" w:space="0"/>
            </w:tcBorders>
            <w:shd w:val="clear" w:color="auto" w:fill="auto"/>
            <w:vAlign w:val="center"/>
          </w:tcPr>
          <w:p w14:paraId="596F8C9A">
            <w:pPr>
              <w:keepNext w:val="0"/>
              <w:keepLines w:val="0"/>
              <w:widowControl w:val="0"/>
              <w:suppressLineNumbers w:val="0"/>
              <w:autoSpaceDE w:val="0"/>
              <w:autoSpaceDN w:val="0"/>
              <w:adjustRightInd w:val="0"/>
              <w:spacing w:before="0" w:beforeAutospacing="0" w:after="0" w:afterAutospacing="0"/>
              <w:ind w:left="0" w:right="0"/>
              <w:jc w:val="both"/>
              <w:rPr>
                <w:rFonts w:hint="eastAsia" w:ascii="宋体" w:hAnsi="Calibri" w:eastAsia="宋体" w:cs="宋体"/>
                <w:b/>
                <w:color w:val="auto"/>
                <w:kern w:val="2"/>
                <w:sz w:val="24"/>
                <w:szCs w:val="24"/>
                <w:highlight w:val="none"/>
              </w:rPr>
            </w:pPr>
          </w:p>
        </w:tc>
      </w:tr>
      <w:tr w14:paraId="63C93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shd w:val="clear" w:color="auto" w:fill="auto"/>
            <w:vAlign w:val="center"/>
          </w:tcPr>
          <w:p w14:paraId="67BE4B7F">
            <w:pPr>
              <w:keepNext w:val="0"/>
              <w:keepLines w:val="0"/>
              <w:widowControl/>
              <w:suppressLineNumbers w:val="0"/>
              <w:spacing w:before="0" w:beforeAutospacing="0" w:after="0" w:afterAutospacing="0"/>
              <w:ind w:left="0" w:right="0"/>
              <w:jc w:val="center"/>
              <w:rPr>
                <w:rFonts w:hint="eastAsia" w:ascii="宋体" w:hAnsi="Calibri" w:eastAsia="宋体" w:cs="宋体"/>
                <w:b/>
                <w:color w:val="auto"/>
                <w:kern w:val="2"/>
                <w:sz w:val="24"/>
                <w:szCs w:val="24"/>
                <w:highlight w:val="none"/>
              </w:rPr>
            </w:pPr>
            <w:r>
              <w:rPr>
                <w:rFonts w:hint="eastAsia" w:ascii="宋体" w:hAnsi="宋体" w:eastAsia="宋体" w:cs="宋体"/>
                <w:b/>
                <w:color w:val="auto"/>
                <w:kern w:val="2"/>
                <w:sz w:val="24"/>
                <w:szCs w:val="24"/>
                <w:highlight w:val="none"/>
                <w:lang w:val="en-US" w:eastAsia="zh-CN" w:bidi="ar"/>
              </w:rPr>
              <w:t>其中：</w:t>
            </w:r>
            <w:r>
              <w:rPr>
                <w:rFonts w:hint="eastAsia" w:ascii="宋体" w:hAnsi="宋体" w:eastAsia="宋体" w:cs="宋体"/>
                <w:b/>
                <w:bCs w:val="0"/>
                <w:color w:val="auto"/>
                <w:kern w:val="2"/>
                <w:sz w:val="24"/>
                <w:szCs w:val="24"/>
                <w:highlight w:val="none"/>
                <w:lang w:val="en-US" w:eastAsia="zh-CN" w:bidi="ar"/>
              </w:rPr>
              <w:t>绿色施工安全防护措施费（元）</w:t>
            </w:r>
          </w:p>
        </w:tc>
        <w:tc>
          <w:tcPr>
            <w:tcW w:w="3574" w:type="dxa"/>
            <w:tcBorders>
              <w:top w:val="single" w:color="auto" w:sz="4" w:space="0"/>
              <w:left w:val="nil"/>
              <w:bottom w:val="single" w:color="auto" w:sz="4" w:space="0"/>
              <w:right w:val="single" w:color="auto" w:sz="4" w:space="0"/>
            </w:tcBorders>
            <w:shd w:val="clear" w:color="auto" w:fill="auto"/>
            <w:vAlign w:val="center"/>
          </w:tcPr>
          <w:p w14:paraId="0E073563">
            <w:pPr>
              <w:keepNext w:val="0"/>
              <w:keepLines w:val="0"/>
              <w:widowControl w:val="0"/>
              <w:suppressLineNumbers w:val="0"/>
              <w:autoSpaceDE w:val="0"/>
              <w:autoSpaceDN w:val="0"/>
              <w:adjustRightInd w:val="0"/>
              <w:spacing w:before="0" w:beforeAutospacing="0" w:after="0" w:afterAutospacing="0"/>
              <w:ind w:left="0" w:right="0"/>
              <w:jc w:val="both"/>
              <w:rPr>
                <w:rFonts w:hint="eastAsia" w:ascii="宋体" w:hAnsi="Calibri" w:eastAsia="宋体" w:cs="宋体"/>
                <w:b/>
                <w:color w:val="auto"/>
                <w:kern w:val="2"/>
                <w:sz w:val="24"/>
                <w:szCs w:val="24"/>
                <w:highlight w:val="none"/>
              </w:rPr>
            </w:pPr>
          </w:p>
        </w:tc>
      </w:tr>
      <w:tr w14:paraId="6AE5E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shd w:val="clear" w:color="auto" w:fill="auto"/>
            <w:vAlign w:val="center"/>
          </w:tcPr>
          <w:p w14:paraId="517F11A5">
            <w:pPr>
              <w:keepNext w:val="0"/>
              <w:keepLines w:val="0"/>
              <w:widowControl w:val="0"/>
              <w:suppressLineNumbers w:val="0"/>
              <w:spacing w:before="0" w:beforeAutospacing="0" w:after="0" w:afterAutospacing="0"/>
              <w:ind w:left="0" w:right="0"/>
              <w:jc w:val="center"/>
              <w:rPr>
                <w:rFonts w:hint="eastAsia" w:ascii="宋体" w:hAnsi="Calibri"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投标总工期</w:t>
            </w:r>
          </w:p>
        </w:tc>
        <w:tc>
          <w:tcPr>
            <w:tcW w:w="3574" w:type="dxa"/>
            <w:tcBorders>
              <w:top w:val="single" w:color="auto" w:sz="4" w:space="0"/>
              <w:left w:val="nil"/>
              <w:bottom w:val="single" w:color="auto" w:sz="4" w:space="0"/>
              <w:right w:val="single" w:color="auto" w:sz="4" w:space="0"/>
            </w:tcBorders>
            <w:shd w:val="clear" w:color="auto" w:fill="auto"/>
            <w:vAlign w:val="top"/>
          </w:tcPr>
          <w:p w14:paraId="4BBA17B3">
            <w:pPr>
              <w:keepNext w:val="0"/>
              <w:keepLines w:val="0"/>
              <w:widowControl w:val="0"/>
              <w:suppressLineNumbers w:val="0"/>
              <w:autoSpaceDE w:val="0"/>
              <w:autoSpaceDN w:val="0"/>
              <w:adjustRightInd w:val="0"/>
              <w:spacing w:before="0" w:beforeAutospacing="0" w:after="0" w:afterAutospacing="0"/>
              <w:ind w:left="0" w:right="0"/>
              <w:jc w:val="both"/>
              <w:rPr>
                <w:rFonts w:hint="eastAsia" w:ascii="宋体" w:hAnsi="Calibri" w:eastAsia="宋体" w:cs="宋体"/>
                <w:b/>
                <w:color w:val="auto"/>
                <w:kern w:val="2"/>
                <w:sz w:val="24"/>
                <w:szCs w:val="24"/>
                <w:highlight w:val="none"/>
              </w:rPr>
            </w:pPr>
          </w:p>
        </w:tc>
      </w:tr>
      <w:tr w14:paraId="45F7D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shd w:val="clear" w:color="auto" w:fill="auto"/>
            <w:vAlign w:val="center"/>
          </w:tcPr>
          <w:p w14:paraId="03B57BF4">
            <w:pPr>
              <w:keepNext w:val="0"/>
              <w:keepLines w:val="0"/>
              <w:widowControl w:val="0"/>
              <w:suppressLineNumbers w:val="0"/>
              <w:spacing w:before="0" w:beforeAutospacing="0" w:after="0" w:afterAutospacing="0"/>
              <w:ind w:left="0" w:right="0"/>
              <w:jc w:val="center"/>
              <w:rPr>
                <w:rFonts w:hint="eastAsia" w:ascii="宋体" w:hAnsi="Calibri"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工程质量标准</w:t>
            </w:r>
          </w:p>
        </w:tc>
        <w:tc>
          <w:tcPr>
            <w:tcW w:w="3574" w:type="dxa"/>
            <w:tcBorders>
              <w:top w:val="single" w:color="auto" w:sz="4" w:space="0"/>
              <w:left w:val="nil"/>
              <w:bottom w:val="single" w:color="auto" w:sz="4" w:space="0"/>
              <w:right w:val="single" w:color="auto" w:sz="4" w:space="0"/>
            </w:tcBorders>
            <w:shd w:val="clear" w:color="auto" w:fill="auto"/>
            <w:vAlign w:val="top"/>
          </w:tcPr>
          <w:p w14:paraId="76E55C8E">
            <w:pPr>
              <w:keepNext w:val="0"/>
              <w:keepLines w:val="0"/>
              <w:widowControl w:val="0"/>
              <w:suppressLineNumbers w:val="0"/>
              <w:autoSpaceDE w:val="0"/>
              <w:autoSpaceDN w:val="0"/>
              <w:adjustRightInd w:val="0"/>
              <w:spacing w:before="0" w:beforeAutospacing="0" w:after="0" w:afterAutospacing="0"/>
              <w:ind w:left="0" w:right="0"/>
              <w:jc w:val="both"/>
              <w:rPr>
                <w:rFonts w:hint="eastAsia" w:ascii="宋体" w:hAnsi="Calibri" w:eastAsia="宋体" w:cs="宋体"/>
                <w:b/>
                <w:color w:val="auto"/>
                <w:kern w:val="2"/>
                <w:sz w:val="24"/>
                <w:szCs w:val="24"/>
                <w:highlight w:val="none"/>
              </w:rPr>
            </w:pPr>
          </w:p>
        </w:tc>
      </w:tr>
      <w:tr w14:paraId="6D6B1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shd w:val="clear" w:color="auto" w:fill="auto"/>
            <w:vAlign w:val="center"/>
          </w:tcPr>
          <w:p w14:paraId="7E2371F3">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Calibri" w:eastAsia="宋体" w:cs="宋体"/>
                <w:b/>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保修期限</w:t>
            </w:r>
          </w:p>
        </w:tc>
        <w:tc>
          <w:tcPr>
            <w:tcW w:w="3574" w:type="dxa"/>
            <w:tcBorders>
              <w:top w:val="single" w:color="auto" w:sz="4" w:space="0"/>
              <w:left w:val="nil"/>
              <w:bottom w:val="single" w:color="auto" w:sz="4" w:space="0"/>
              <w:right w:val="single" w:color="auto" w:sz="4" w:space="0"/>
            </w:tcBorders>
            <w:shd w:val="clear" w:color="auto" w:fill="auto"/>
            <w:vAlign w:val="top"/>
          </w:tcPr>
          <w:p w14:paraId="2334D4AF">
            <w:pPr>
              <w:keepNext w:val="0"/>
              <w:keepLines w:val="0"/>
              <w:widowControl w:val="0"/>
              <w:suppressLineNumbers w:val="0"/>
              <w:autoSpaceDE w:val="0"/>
              <w:autoSpaceDN w:val="0"/>
              <w:adjustRightInd w:val="0"/>
              <w:spacing w:before="0" w:beforeAutospacing="0" w:after="0" w:afterAutospacing="0"/>
              <w:ind w:left="0" w:right="0"/>
              <w:jc w:val="both"/>
              <w:rPr>
                <w:rFonts w:hint="eastAsia" w:ascii="宋体" w:hAnsi="Calibri" w:eastAsia="宋体" w:cs="宋体"/>
                <w:b/>
                <w:color w:val="auto"/>
                <w:kern w:val="2"/>
                <w:sz w:val="24"/>
                <w:szCs w:val="24"/>
                <w:highlight w:val="none"/>
              </w:rPr>
            </w:pPr>
          </w:p>
        </w:tc>
      </w:tr>
    </w:tbl>
    <w:p w14:paraId="398C7DFC">
      <w:pPr>
        <w:keepNext w:val="0"/>
        <w:keepLines w:val="0"/>
        <w:widowControl w:val="0"/>
        <w:suppressLineNumbers w:val="0"/>
        <w:snapToGrid w:val="0"/>
        <w:spacing w:before="0" w:beforeAutospacing="0" w:after="0" w:afterAutospacing="0" w:line="360" w:lineRule="auto"/>
        <w:ind w:left="0" w:right="0"/>
        <w:jc w:val="both"/>
        <w:rPr>
          <w:rFonts w:hint="default" w:ascii="Calibri" w:hAnsi="Calibri" w:eastAsia="宋体" w:cs="Times New Roman"/>
          <w:color w:val="auto"/>
          <w:kern w:val="2"/>
          <w:sz w:val="24"/>
          <w:szCs w:val="24"/>
          <w:highlight w:val="none"/>
        </w:rPr>
      </w:pPr>
      <w:r>
        <w:rPr>
          <w:rFonts w:hint="default" w:ascii="Calibri" w:hAnsi="Calibri" w:eastAsia="宋体" w:cs="Times New Roman"/>
          <w:color w:val="auto"/>
          <w:kern w:val="2"/>
          <w:sz w:val="24"/>
          <w:szCs w:val="24"/>
          <w:highlight w:val="none"/>
          <w:lang w:val="en-US" w:eastAsia="zh-CN" w:bidi="ar"/>
        </w:rPr>
        <w:t xml:space="preserve"> </w:t>
      </w:r>
    </w:p>
    <w:p w14:paraId="0AF7D552">
      <w:pPr>
        <w:rPr>
          <w:rFonts w:hint="eastAsia" w:ascii="宋体" w:hAnsi="宋体" w:cs="宋体"/>
          <w:b/>
          <w:color w:val="auto"/>
          <w:sz w:val="24"/>
          <w:szCs w:val="24"/>
          <w:highlight w:val="none"/>
        </w:rPr>
      </w:pPr>
      <w:r>
        <w:rPr>
          <w:rFonts w:hint="eastAsia" w:ascii="宋体" w:hAnsi="宋体" w:cs="宋体"/>
          <w:b/>
          <w:color w:val="auto"/>
          <w:sz w:val="24"/>
          <w:szCs w:val="24"/>
          <w:highlight w:val="none"/>
        </w:rPr>
        <w:br w:type="page"/>
      </w:r>
    </w:p>
    <w:p w14:paraId="710924F5">
      <w:pPr>
        <w:outlineLvl w:val="2"/>
        <w:rPr>
          <w:rFonts w:hint="eastAsia" w:ascii="宋体" w:hAnsi="宋体" w:cs="宋体"/>
          <w:b/>
          <w:color w:val="auto"/>
          <w:sz w:val="24"/>
          <w:szCs w:val="24"/>
          <w:highlight w:val="none"/>
        </w:rPr>
      </w:pPr>
      <w:r>
        <w:rPr>
          <w:rFonts w:hint="eastAsia" w:ascii="宋体" w:hAnsi="宋体" w:cs="宋体"/>
          <w:b/>
          <w:color w:val="auto"/>
          <w:sz w:val="24"/>
          <w:szCs w:val="24"/>
          <w:highlight w:val="none"/>
        </w:rPr>
        <w:t>附表1：分项投标书</w:t>
      </w:r>
    </w:p>
    <w:p w14:paraId="7EF14462">
      <w:pPr>
        <w:topLinePunct/>
        <w:adjustRightInd w:val="0"/>
        <w:snapToGrid w:val="0"/>
        <w:spacing w:line="360" w:lineRule="auto"/>
        <w:ind w:firstLine="496" w:firstLineChars="200"/>
        <w:rPr>
          <w:rFonts w:hint="eastAsia" w:ascii="宋体" w:hAnsi="宋体" w:cs="宋体"/>
          <w:color w:val="auto"/>
          <w:spacing w:val="4"/>
          <w:kern w:val="0"/>
          <w:sz w:val="24"/>
          <w:szCs w:val="24"/>
          <w:highlight w:val="none"/>
        </w:rPr>
      </w:pPr>
    </w:p>
    <w:p w14:paraId="403144DE">
      <w:pPr>
        <w:autoSpaceDE w:val="0"/>
        <w:autoSpaceDN w:val="0"/>
        <w:adjustRightInd w:val="0"/>
        <w:ind w:left="-540" w:leftChars="-257" w:firstLine="1135" w:firstLineChars="257"/>
        <w:jc w:val="center"/>
        <w:rPr>
          <w:rFonts w:hint="eastAsia" w:ascii="宋体" w:hAnsi="宋体" w:cs="宋体"/>
          <w:b/>
          <w:bCs/>
          <w:color w:val="auto"/>
          <w:sz w:val="52"/>
          <w:szCs w:val="52"/>
          <w:highlight w:val="none"/>
        </w:rPr>
      </w:pPr>
      <w:r>
        <w:rPr>
          <w:rFonts w:hint="eastAsia" w:ascii="宋体" w:hAnsi="宋体" w:cs="宋体"/>
          <w:b/>
          <w:bCs/>
          <w:color w:val="auto"/>
          <w:sz w:val="44"/>
          <w:szCs w:val="44"/>
          <w:highlight w:val="none"/>
          <w:lang w:val="zh-CN"/>
        </w:rPr>
        <w:t>分项投标书</w:t>
      </w:r>
    </w:p>
    <w:tbl>
      <w:tblPr>
        <w:tblStyle w:val="17"/>
        <w:tblpPr w:leftFromText="180" w:rightFromText="180" w:vertAnchor="text" w:horzAnchor="margin" w:tblpXSpec="center" w:tblpY="275"/>
        <w:tblW w:w="93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3"/>
        <w:gridCol w:w="4022"/>
      </w:tblGrid>
      <w:tr w14:paraId="32331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5353" w:type="dxa"/>
            <w:tcBorders>
              <w:top w:val="single" w:color="auto" w:sz="4" w:space="0"/>
              <w:left w:val="single" w:color="auto" w:sz="4" w:space="0"/>
              <w:bottom w:val="single" w:color="auto" w:sz="4" w:space="0"/>
              <w:right w:val="single" w:color="auto" w:sz="4" w:space="0"/>
            </w:tcBorders>
            <w:noWrap w:val="0"/>
            <w:vAlign w:val="center"/>
          </w:tcPr>
          <w:p w14:paraId="6CA57590">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cs="宋体"/>
                <w:b/>
                <w:bCs/>
                <w:color w:val="auto"/>
                <w:sz w:val="24"/>
                <w:szCs w:val="24"/>
                <w:highlight w:val="none"/>
                <w:lang w:val="zh-CN"/>
              </w:rPr>
            </w:pPr>
            <w:r>
              <w:rPr>
                <w:rFonts w:hint="eastAsia" w:ascii="宋体" w:hAnsi="宋体" w:cs="宋体"/>
                <w:b/>
                <w:color w:val="auto"/>
                <w:sz w:val="24"/>
                <w:szCs w:val="24"/>
                <w:highlight w:val="none"/>
                <w:lang w:val="zh-CN"/>
              </w:rPr>
              <w:t>工 程 名 称</w:t>
            </w:r>
          </w:p>
        </w:tc>
        <w:tc>
          <w:tcPr>
            <w:tcW w:w="4022" w:type="dxa"/>
            <w:tcBorders>
              <w:top w:val="single" w:color="auto" w:sz="4" w:space="0"/>
              <w:left w:val="single" w:color="auto" w:sz="4" w:space="0"/>
              <w:bottom w:val="single" w:color="auto" w:sz="4" w:space="0"/>
              <w:right w:val="single" w:color="auto" w:sz="4" w:space="0"/>
            </w:tcBorders>
            <w:noWrap w:val="0"/>
            <w:vAlign w:val="center"/>
          </w:tcPr>
          <w:p w14:paraId="3E567088">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cs="宋体"/>
                <w:b/>
                <w:bCs/>
                <w:color w:val="auto"/>
                <w:sz w:val="24"/>
                <w:szCs w:val="24"/>
                <w:highlight w:val="none"/>
                <w:lang w:val="zh-CN"/>
              </w:rPr>
            </w:pPr>
            <w:r>
              <w:rPr>
                <w:rFonts w:hint="eastAsia" w:ascii="宋体" w:hAnsi="Calibri" w:eastAsia="宋体" w:cs="宋体"/>
                <w:b/>
                <w:color w:val="auto"/>
                <w:kern w:val="2"/>
                <w:sz w:val="24"/>
                <w:szCs w:val="24"/>
                <w:highlight w:val="none"/>
                <w:lang w:eastAsia="zh-CN"/>
              </w:rPr>
              <w:t>广州天河体育中心整体景观提升（开幕式）建筑工程</w:t>
            </w:r>
          </w:p>
        </w:tc>
      </w:tr>
      <w:tr w14:paraId="77C90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353" w:type="dxa"/>
            <w:tcBorders>
              <w:top w:val="single" w:color="auto" w:sz="4" w:space="0"/>
              <w:left w:val="single" w:color="auto" w:sz="4" w:space="0"/>
              <w:bottom w:val="single" w:color="auto" w:sz="4" w:space="0"/>
              <w:right w:val="single" w:color="auto" w:sz="4" w:space="0"/>
            </w:tcBorders>
            <w:noWrap w:val="0"/>
            <w:vAlign w:val="center"/>
          </w:tcPr>
          <w:p w14:paraId="47D6CC8F">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cs="宋体"/>
                <w:b/>
                <w:bCs/>
                <w:color w:val="auto"/>
                <w:sz w:val="24"/>
                <w:szCs w:val="24"/>
                <w:highlight w:val="none"/>
                <w:lang w:val="zh-CN"/>
              </w:rPr>
            </w:pPr>
            <w:r>
              <w:rPr>
                <w:rFonts w:hint="eastAsia" w:ascii="宋体" w:hAnsi="宋体" w:cs="宋体"/>
                <w:b/>
                <w:color w:val="auto"/>
                <w:sz w:val="24"/>
                <w:szCs w:val="24"/>
                <w:highlight w:val="none"/>
                <w:lang w:val="zh-CN"/>
              </w:rPr>
              <w:t>投标报价（元）</w:t>
            </w:r>
          </w:p>
        </w:tc>
        <w:tc>
          <w:tcPr>
            <w:tcW w:w="4022" w:type="dxa"/>
            <w:tcBorders>
              <w:top w:val="single" w:color="auto" w:sz="4" w:space="0"/>
              <w:left w:val="single" w:color="auto" w:sz="4" w:space="0"/>
              <w:bottom w:val="single" w:color="auto" w:sz="4" w:space="0"/>
              <w:right w:val="single" w:color="auto" w:sz="4" w:space="0"/>
            </w:tcBorders>
            <w:noWrap w:val="0"/>
            <w:vAlign w:val="center"/>
          </w:tcPr>
          <w:p w14:paraId="117869B4">
            <w:pPr>
              <w:keepNext w:val="0"/>
              <w:keepLines w:val="0"/>
              <w:suppressLineNumbers w:val="0"/>
              <w:autoSpaceDE w:val="0"/>
              <w:autoSpaceDN w:val="0"/>
              <w:adjustRightInd w:val="0"/>
              <w:spacing w:before="0" w:beforeAutospacing="0" w:after="0" w:afterAutospacing="0"/>
              <w:ind w:left="0" w:right="0"/>
              <w:rPr>
                <w:rFonts w:hint="eastAsia" w:ascii="宋体" w:hAnsi="宋体" w:cs="宋体"/>
                <w:b/>
                <w:bCs/>
                <w:color w:val="auto"/>
                <w:sz w:val="24"/>
                <w:szCs w:val="24"/>
                <w:highlight w:val="none"/>
                <w:lang w:val="zh-CN"/>
              </w:rPr>
            </w:pPr>
          </w:p>
        </w:tc>
      </w:tr>
      <w:tr w14:paraId="4A3BE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353" w:type="dxa"/>
            <w:tcBorders>
              <w:top w:val="single" w:color="auto" w:sz="4" w:space="0"/>
              <w:left w:val="single" w:color="auto" w:sz="4" w:space="0"/>
              <w:bottom w:val="single" w:color="auto" w:sz="4" w:space="0"/>
              <w:right w:val="single" w:color="auto" w:sz="4" w:space="0"/>
            </w:tcBorders>
            <w:noWrap w:val="0"/>
            <w:vAlign w:val="center"/>
          </w:tcPr>
          <w:p w14:paraId="107A412C">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cs="宋体"/>
                <w:b/>
                <w:bCs/>
                <w:color w:val="auto"/>
                <w:sz w:val="24"/>
                <w:szCs w:val="24"/>
                <w:highlight w:val="none"/>
                <w:lang w:val="zh-CN"/>
              </w:rPr>
            </w:pPr>
            <w:r>
              <w:rPr>
                <w:rFonts w:hint="eastAsia" w:ascii="宋体" w:hAnsi="宋体" w:cs="宋体"/>
                <w:b/>
                <w:color w:val="auto"/>
                <w:sz w:val="24"/>
                <w:szCs w:val="24"/>
                <w:highlight w:val="none"/>
                <w:lang w:val="zh-CN"/>
              </w:rPr>
              <w:t>其中：</w:t>
            </w:r>
            <w:r>
              <w:rPr>
                <w:rFonts w:hint="eastAsia" w:ascii="宋体" w:hAnsi="宋体" w:cs="宋体"/>
                <w:b/>
                <w:bCs/>
                <w:color w:val="auto"/>
                <w:sz w:val="24"/>
                <w:szCs w:val="24"/>
                <w:highlight w:val="none"/>
                <w:lang w:val="zh-CN"/>
              </w:rPr>
              <w:t>人工费</w:t>
            </w:r>
            <w:r>
              <w:rPr>
                <w:rFonts w:hint="eastAsia" w:ascii="宋体" w:hAnsi="宋体" w:cs="宋体"/>
                <w:b/>
                <w:color w:val="auto"/>
                <w:sz w:val="24"/>
                <w:szCs w:val="24"/>
                <w:highlight w:val="none"/>
                <w:lang w:val="zh-CN"/>
              </w:rPr>
              <w:t>（元）</w:t>
            </w:r>
          </w:p>
        </w:tc>
        <w:tc>
          <w:tcPr>
            <w:tcW w:w="4022" w:type="dxa"/>
            <w:tcBorders>
              <w:top w:val="single" w:color="auto" w:sz="4" w:space="0"/>
              <w:left w:val="single" w:color="auto" w:sz="4" w:space="0"/>
              <w:bottom w:val="single" w:color="auto" w:sz="4" w:space="0"/>
              <w:right w:val="single" w:color="auto" w:sz="4" w:space="0"/>
            </w:tcBorders>
            <w:noWrap w:val="0"/>
            <w:vAlign w:val="center"/>
          </w:tcPr>
          <w:p w14:paraId="4ED2292E">
            <w:pPr>
              <w:keepNext w:val="0"/>
              <w:keepLines w:val="0"/>
              <w:suppressLineNumbers w:val="0"/>
              <w:autoSpaceDE w:val="0"/>
              <w:autoSpaceDN w:val="0"/>
              <w:adjustRightInd w:val="0"/>
              <w:spacing w:before="0" w:beforeAutospacing="0" w:after="0" w:afterAutospacing="0"/>
              <w:ind w:left="0" w:right="0"/>
              <w:rPr>
                <w:rFonts w:hint="eastAsia" w:ascii="宋体" w:hAnsi="宋体" w:cs="宋体"/>
                <w:b/>
                <w:bCs/>
                <w:color w:val="auto"/>
                <w:sz w:val="24"/>
                <w:szCs w:val="24"/>
                <w:highlight w:val="none"/>
                <w:lang w:val="zh-CN"/>
              </w:rPr>
            </w:pPr>
          </w:p>
        </w:tc>
      </w:tr>
      <w:tr w14:paraId="01D4A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353" w:type="dxa"/>
            <w:tcBorders>
              <w:top w:val="single" w:color="auto" w:sz="4" w:space="0"/>
              <w:left w:val="single" w:color="auto" w:sz="4" w:space="0"/>
              <w:bottom w:val="single" w:color="auto" w:sz="4" w:space="0"/>
              <w:right w:val="single" w:color="auto" w:sz="4" w:space="0"/>
            </w:tcBorders>
            <w:noWrap w:val="0"/>
            <w:vAlign w:val="center"/>
          </w:tcPr>
          <w:p w14:paraId="6E68A927">
            <w:pPr>
              <w:keepNext w:val="0"/>
              <w:keepLines w:val="0"/>
              <w:widowControl/>
              <w:suppressLineNumbers w:val="0"/>
              <w:spacing w:before="0" w:beforeAutospacing="0" w:after="0" w:afterAutospacing="0"/>
              <w:ind w:left="0" w:right="0"/>
              <w:jc w:val="left"/>
              <w:rPr>
                <w:rFonts w:hint="eastAsia" w:ascii="宋体" w:hAnsi="宋体" w:cs="宋体"/>
                <w:b/>
                <w:bCs/>
                <w:color w:val="auto"/>
                <w:sz w:val="24"/>
                <w:szCs w:val="24"/>
                <w:highlight w:val="none"/>
                <w:lang w:val="zh-CN"/>
              </w:rPr>
            </w:pPr>
            <w:r>
              <w:rPr>
                <w:rFonts w:hint="eastAsia" w:ascii="宋体" w:hAnsi="宋体" w:cs="宋体"/>
                <w:b/>
                <w:bCs/>
                <w:color w:val="auto"/>
                <w:sz w:val="24"/>
                <w:szCs w:val="24"/>
                <w:highlight w:val="none"/>
                <w:lang w:val="zh-CN"/>
              </w:rPr>
              <w:t>其中：</w:t>
            </w:r>
            <w:r>
              <w:rPr>
                <w:rFonts w:hint="eastAsia" w:ascii="宋体" w:hAnsi="宋体" w:cs="宋体"/>
                <w:b/>
                <w:color w:val="auto"/>
                <w:sz w:val="24"/>
                <w:szCs w:val="24"/>
                <w:highlight w:val="none"/>
                <w:lang w:val="zh-CN"/>
              </w:rPr>
              <w:t>绿色施工安全防护措施费（元）</w:t>
            </w:r>
          </w:p>
        </w:tc>
        <w:tc>
          <w:tcPr>
            <w:tcW w:w="4022" w:type="dxa"/>
            <w:tcBorders>
              <w:top w:val="single" w:color="auto" w:sz="4" w:space="0"/>
              <w:left w:val="single" w:color="auto" w:sz="4" w:space="0"/>
              <w:bottom w:val="single" w:color="auto" w:sz="4" w:space="0"/>
              <w:right w:val="single" w:color="auto" w:sz="4" w:space="0"/>
            </w:tcBorders>
            <w:noWrap w:val="0"/>
            <w:vAlign w:val="center"/>
          </w:tcPr>
          <w:p w14:paraId="71B2A6F2">
            <w:pPr>
              <w:keepNext w:val="0"/>
              <w:keepLines w:val="0"/>
              <w:suppressLineNumbers w:val="0"/>
              <w:autoSpaceDE w:val="0"/>
              <w:autoSpaceDN w:val="0"/>
              <w:adjustRightInd w:val="0"/>
              <w:spacing w:before="0" w:beforeAutospacing="0" w:after="0" w:afterAutospacing="0"/>
              <w:ind w:left="0" w:right="0"/>
              <w:rPr>
                <w:rFonts w:hint="eastAsia" w:ascii="宋体" w:hAnsi="宋体" w:cs="宋体"/>
                <w:b/>
                <w:bCs/>
                <w:color w:val="auto"/>
                <w:sz w:val="24"/>
                <w:szCs w:val="24"/>
                <w:highlight w:val="none"/>
                <w:lang w:val="zh-CN"/>
              </w:rPr>
            </w:pPr>
          </w:p>
        </w:tc>
      </w:tr>
      <w:tr w14:paraId="1EEE2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trPr>
        <w:tc>
          <w:tcPr>
            <w:tcW w:w="5353" w:type="dxa"/>
            <w:tcBorders>
              <w:top w:val="single" w:color="auto" w:sz="4" w:space="0"/>
              <w:left w:val="single" w:color="auto" w:sz="4" w:space="0"/>
              <w:bottom w:val="single" w:color="auto" w:sz="4" w:space="0"/>
              <w:right w:val="single" w:color="auto" w:sz="4" w:space="0"/>
            </w:tcBorders>
            <w:noWrap w:val="0"/>
            <w:vAlign w:val="center"/>
          </w:tcPr>
          <w:p w14:paraId="7E55189E">
            <w:pPr>
              <w:keepNext w:val="0"/>
              <w:keepLines w:val="0"/>
              <w:widowControl/>
              <w:suppressLineNumbers w:val="0"/>
              <w:spacing w:before="0" w:beforeAutospacing="0" w:after="0" w:afterAutospacing="0"/>
              <w:ind w:left="0" w:right="0"/>
              <w:jc w:val="center"/>
              <w:rPr>
                <w:rFonts w:hint="eastAsia" w:ascii="宋体" w:hAnsi="宋体" w:cs="宋体"/>
                <w:b/>
                <w:bCs/>
                <w:color w:val="auto"/>
                <w:sz w:val="24"/>
                <w:szCs w:val="24"/>
                <w:highlight w:val="none"/>
                <w:lang w:val="zh-CN"/>
              </w:rPr>
            </w:pPr>
            <w:r>
              <w:rPr>
                <w:rFonts w:hint="eastAsia" w:ascii="宋体" w:hAnsi="宋体" w:cs="宋体"/>
                <w:b/>
                <w:bCs/>
                <w:color w:val="auto"/>
                <w:sz w:val="24"/>
                <w:szCs w:val="24"/>
                <w:highlight w:val="none"/>
                <w:lang w:val="zh-CN"/>
              </w:rPr>
              <w:t>法定代表人或其委托代理人（签字或盖章）</w:t>
            </w:r>
          </w:p>
        </w:tc>
        <w:tc>
          <w:tcPr>
            <w:tcW w:w="4022" w:type="dxa"/>
            <w:tcBorders>
              <w:top w:val="single" w:color="auto" w:sz="4" w:space="0"/>
              <w:left w:val="single" w:color="auto" w:sz="4" w:space="0"/>
              <w:bottom w:val="single" w:color="auto" w:sz="4" w:space="0"/>
              <w:right w:val="single" w:color="auto" w:sz="4" w:space="0"/>
            </w:tcBorders>
            <w:noWrap w:val="0"/>
            <w:vAlign w:val="center"/>
          </w:tcPr>
          <w:p w14:paraId="6AAF08AD">
            <w:pPr>
              <w:keepNext w:val="0"/>
              <w:keepLines w:val="0"/>
              <w:suppressLineNumbers w:val="0"/>
              <w:autoSpaceDE w:val="0"/>
              <w:autoSpaceDN w:val="0"/>
              <w:adjustRightInd w:val="0"/>
              <w:spacing w:before="0" w:beforeAutospacing="0" w:after="0" w:afterAutospacing="0"/>
              <w:ind w:left="0" w:right="0"/>
              <w:rPr>
                <w:rFonts w:hint="eastAsia" w:ascii="宋体" w:hAnsi="宋体" w:cs="宋体"/>
                <w:b/>
                <w:bCs/>
                <w:color w:val="auto"/>
                <w:sz w:val="24"/>
                <w:szCs w:val="24"/>
                <w:highlight w:val="none"/>
                <w:lang w:val="zh-CN"/>
              </w:rPr>
            </w:pPr>
          </w:p>
        </w:tc>
      </w:tr>
      <w:tr w14:paraId="5F6AD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5353" w:type="dxa"/>
            <w:tcBorders>
              <w:top w:val="single" w:color="auto" w:sz="4" w:space="0"/>
              <w:left w:val="single" w:color="auto" w:sz="4" w:space="0"/>
              <w:bottom w:val="single" w:color="auto" w:sz="4" w:space="0"/>
              <w:right w:val="single" w:color="auto" w:sz="4" w:space="0"/>
            </w:tcBorders>
            <w:noWrap w:val="0"/>
            <w:vAlign w:val="center"/>
          </w:tcPr>
          <w:p w14:paraId="5B085CBC">
            <w:pPr>
              <w:keepNext w:val="0"/>
              <w:keepLines w:val="0"/>
              <w:widowControl/>
              <w:suppressLineNumbers w:val="0"/>
              <w:spacing w:before="0" w:beforeAutospacing="0" w:after="0" w:afterAutospacing="0"/>
              <w:ind w:left="0" w:right="0"/>
              <w:jc w:val="center"/>
              <w:rPr>
                <w:rFonts w:hint="eastAsia" w:ascii="宋体" w:hAnsi="宋体" w:cs="宋体"/>
                <w:b/>
                <w:bCs/>
                <w:color w:val="auto"/>
                <w:sz w:val="24"/>
                <w:szCs w:val="24"/>
                <w:highlight w:val="none"/>
                <w:lang w:val="zh-CN"/>
              </w:rPr>
            </w:pPr>
            <w:r>
              <w:rPr>
                <w:rFonts w:hint="eastAsia" w:ascii="宋体" w:hAnsi="宋体" w:cs="宋体"/>
                <w:b/>
                <w:bCs/>
                <w:color w:val="auto"/>
                <w:sz w:val="24"/>
                <w:szCs w:val="24"/>
                <w:highlight w:val="none"/>
                <w:lang w:val="zh-CN"/>
              </w:rPr>
              <w:t>投标单位（盖章）</w:t>
            </w:r>
          </w:p>
        </w:tc>
        <w:tc>
          <w:tcPr>
            <w:tcW w:w="4022" w:type="dxa"/>
            <w:tcBorders>
              <w:top w:val="single" w:color="auto" w:sz="4" w:space="0"/>
              <w:left w:val="single" w:color="auto" w:sz="4" w:space="0"/>
              <w:bottom w:val="single" w:color="auto" w:sz="4" w:space="0"/>
              <w:right w:val="single" w:color="auto" w:sz="4" w:space="0"/>
            </w:tcBorders>
            <w:noWrap w:val="0"/>
            <w:vAlign w:val="center"/>
          </w:tcPr>
          <w:p w14:paraId="0B1CEDAC">
            <w:pPr>
              <w:keepNext w:val="0"/>
              <w:keepLines w:val="0"/>
              <w:suppressLineNumbers w:val="0"/>
              <w:autoSpaceDE w:val="0"/>
              <w:autoSpaceDN w:val="0"/>
              <w:adjustRightInd w:val="0"/>
              <w:spacing w:before="0" w:beforeAutospacing="0" w:after="0" w:afterAutospacing="0"/>
              <w:ind w:left="0" w:right="0"/>
              <w:rPr>
                <w:rFonts w:hint="eastAsia" w:ascii="宋体" w:hAnsi="宋体" w:cs="宋体"/>
                <w:b/>
                <w:bCs/>
                <w:color w:val="auto"/>
                <w:sz w:val="24"/>
                <w:szCs w:val="24"/>
                <w:highlight w:val="none"/>
                <w:lang w:val="zh-CN"/>
              </w:rPr>
            </w:pPr>
          </w:p>
        </w:tc>
      </w:tr>
    </w:tbl>
    <w:p w14:paraId="6BC431AD">
      <w:pPr>
        <w:outlineLvl w:val="2"/>
        <w:rPr>
          <w:rFonts w:hint="eastAsia" w:ascii="宋体" w:hAnsi="宋体" w:cs="宋体"/>
          <w:b/>
          <w:color w:val="auto"/>
          <w:sz w:val="24"/>
          <w:szCs w:val="24"/>
          <w:highlight w:val="none"/>
        </w:rPr>
      </w:pPr>
    </w:p>
    <w:p w14:paraId="0EEC9306">
      <w:pPr>
        <w:rPr>
          <w:rFonts w:hint="eastAsia" w:ascii="宋体" w:hAnsi="宋体" w:cs="宋体"/>
          <w:b/>
          <w:color w:val="auto"/>
          <w:sz w:val="24"/>
          <w:szCs w:val="24"/>
          <w:highlight w:val="none"/>
        </w:rPr>
      </w:pPr>
      <w:r>
        <w:rPr>
          <w:rFonts w:hint="eastAsia" w:ascii="宋体" w:hAnsi="宋体" w:cs="宋体"/>
          <w:b/>
          <w:color w:val="auto"/>
          <w:sz w:val="24"/>
          <w:szCs w:val="24"/>
          <w:highlight w:val="none"/>
        </w:rPr>
        <w:br w:type="page"/>
      </w:r>
    </w:p>
    <w:p w14:paraId="740E6542">
      <w:pPr>
        <w:outlineLvl w:val="2"/>
        <w:rPr>
          <w:rFonts w:hint="eastAsia" w:ascii="宋体" w:hAnsi="宋体" w:cs="宋体"/>
          <w:b/>
          <w:color w:val="auto"/>
          <w:sz w:val="24"/>
          <w:szCs w:val="24"/>
          <w:highlight w:val="none"/>
        </w:rPr>
      </w:pPr>
      <w:r>
        <w:rPr>
          <w:rFonts w:hint="eastAsia" w:ascii="宋体" w:hAnsi="宋体" w:cs="宋体"/>
          <w:b/>
          <w:color w:val="auto"/>
          <w:sz w:val="24"/>
          <w:szCs w:val="24"/>
          <w:highlight w:val="none"/>
        </w:rPr>
        <w:t>附表</w:t>
      </w:r>
      <w:r>
        <w:rPr>
          <w:rFonts w:hint="eastAsia" w:ascii="宋体" w:hAnsi="宋体" w:cs="宋体"/>
          <w:b/>
          <w:color w:val="auto"/>
          <w:sz w:val="24"/>
          <w:szCs w:val="24"/>
          <w:highlight w:val="none"/>
          <w:lang w:val="en-US" w:eastAsia="zh-CN"/>
        </w:rPr>
        <w:t>2</w:t>
      </w:r>
      <w:r>
        <w:rPr>
          <w:rFonts w:hint="eastAsia" w:ascii="宋体" w:hAnsi="宋体" w:cs="宋体"/>
          <w:b/>
          <w:color w:val="auto"/>
          <w:sz w:val="24"/>
          <w:szCs w:val="24"/>
          <w:highlight w:val="none"/>
        </w:rPr>
        <w:t>：分项投标书</w:t>
      </w:r>
    </w:p>
    <w:p w14:paraId="30D72801">
      <w:pPr>
        <w:topLinePunct/>
        <w:adjustRightInd w:val="0"/>
        <w:snapToGrid w:val="0"/>
        <w:spacing w:line="360" w:lineRule="auto"/>
        <w:ind w:firstLine="496" w:firstLineChars="200"/>
        <w:rPr>
          <w:rFonts w:hint="eastAsia" w:ascii="宋体" w:hAnsi="宋体" w:cs="宋体"/>
          <w:color w:val="auto"/>
          <w:spacing w:val="4"/>
          <w:kern w:val="0"/>
          <w:sz w:val="24"/>
          <w:szCs w:val="24"/>
          <w:highlight w:val="none"/>
        </w:rPr>
      </w:pPr>
    </w:p>
    <w:p w14:paraId="6CFAA028">
      <w:pPr>
        <w:autoSpaceDE w:val="0"/>
        <w:autoSpaceDN w:val="0"/>
        <w:adjustRightInd w:val="0"/>
        <w:ind w:left="-540" w:leftChars="-257" w:firstLine="1135" w:firstLineChars="257"/>
        <w:jc w:val="center"/>
        <w:rPr>
          <w:rFonts w:hint="eastAsia" w:ascii="宋体" w:hAnsi="宋体" w:cs="宋体"/>
          <w:b/>
          <w:bCs/>
          <w:color w:val="auto"/>
          <w:sz w:val="52"/>
          <w:szCs w:val="52"/>
          <w:highlight w:val="none"/>
        </w:rPr>
      </w:pPr>
      <w:r>
        <w:rPr>
          <w:rFonts w:hint="eastAsia" w:ascii="宋体" w:hAnsi="宋体" w:cs="宋体"/>
          <w:b/>
          <w:bCs/>
          <w:color w:val="auto"/>
          <w:sz w:val="44"/>
          <w:szCs w:val="44"/>
          <w:highlight w:val="none"/>
          <w:lang w:val="zh-CN"/>
        </w:rPr>
        <w:t>分项投标书</w:t>
      </w:r>
    </w:p>
    <w:tbl>
      <w:tblPr>
        <w:tblStyle w:val="17"/>
        <w:tblpPr w:leftFromText="180" w:rightFromText="180" w:vertAnchor="text" w:horzAnchor="margin" w:tblpXSpec="center" w:tblpY="275"/>
        <w:tblW w:w="93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3"/>
        <w:gridCol w:w="4022"/>
      </w:tblGrid>
      <w:tr w14:paraId="1BA5E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5353" w:type="dxa"/>
            <w:tcBorders>
              <w:top w:val="single" w:color="auto" w:sz="4" w:space="0"/>
              <w:left w:val="single" w:color="auto" w:sz="4" w:space="0"/>
              <w:bottom w:val="single" w:color="auto" w:sz="4" w:space="0"/>
              <w:right w:val="single" w:color="auto" w:sz="4" w:space="0"/>
            </w:tcBorders>
            <w:noWrap w:val="0"/>
            <w:vAlign w:val="center"/>
          </w:tcPr>
          <w:p w14:paraId="2D73238D">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cs="宋体"/>
                <w:b/>
                <w:bCs/>
                <w:color w:val="auto"/>
                <w:sz w:val="24"/>
                <w:szCs w:val="24"/>
                <w:highlight w:val="none"/>
                <w:lang w:val="zh-CN"/>
              </w:rPr>
            </w:pPr>
            <w:r>
              <w:rPr>
                <w:rFonts w:hint="eastAsia" w:ascii="宋体" w:hAnsi="宋体" w:cs="宋体"/>
                <w:b/>
                <w:color w:val="auto"/>
                <w:sz w:val="24"/>
                <w:szCs w:val="24"/>
                <w:highlight w:val="none"/>
                <w:lang w:val="zh-CN"/>
              </w:rPr>
              <w:t>工 程 名 称</w:t>
            </w:r>
          </w:p>
        </w:tc>
        <w:tc>
          <w:tcPr>
            <w:tcW w:w="4022" w:type="dxa"/>
            <w:tcBorders>
              <w:top w:val="single" w:color="auto" w:sz="4" w:space="0"/>
              <w:left w:val="single" w:color="auto" w:sz="4" w:space="0"/>
              <w:bottom w:val="single" w:color="auto" w:sz="4" w:space="0"/>
              <w:right w:val="single" w:color="auto" w:sz="4" w:space="0"/>
            </w:tcBorders>
            <w:noWrap w:val="0"/>
            <w:vAlign w:val="center"/>
          </w:tcPr>
          <w:p w14:paraId="100E6357">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cs="宋体"/>
                <w:b/>
                <w:bCs/>
                <w:color w:val="auto"/>
                <w:sz w:val="24"/>
                <w:szCs w:val="24"/>
                <w:highlight w:val="none"/>
                <w:lang w:val="zh-CN"/>
              </w:rPr>
            </w:pPr>
            <w:r>
              <w:rPr>
                <w:rFonts w:hint="eastAsia" w:ascii="宋体" w:hAnsi="宋体" w:eastAsia="宋体" w:cs="宋体"/>
                <w:b/>
                <w:color w:val="auto"/>
                <w:sz w:val="24"/>
                <w:szCs w:val="24"/>
                <w:highlight w:val="none"/>
                <w:lang w:val="zh-CN" w:eastAsia="zh-CN"/>
              </w:rPr>
              <w:t>广州天河体育中心篮球城维修改造项目</w:t>
            </w:r>
          </w:p>
        </w:tc>
      </w:tr>
      <w:tr w14:paraId="3BC1B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353" w:type="dxa"/>
            <w:tcBorders>
              <w:top w:val="single" w:color="auto" w:sz="4" w:space="0"/>
              <w:left w:val="single" w:color="auto" w:sz="4" w:space="0"/>
              <w:bottom w:val="single" w:color="auto" w:sz="4" w:space="0"/>
              <w:right w:val="single" w:color="auto" w:sz="4" w:space="0"/>
            </w:tcBorders>
            <w:noWrap w:val="0"/>
            <w:vAlign w:val="center"/>
          </w:tcPr>
          <w:p w14:paraId="5A2B0BBF">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cs="宋体"/>
                <w:b/>
                <w:bCs/>
                <w:color w:val="auto"/>
                <w:sz w:val="24"/>
                <w:szCs w:val="24"/>
                <w:highlight w:val="none"/>
                <w:lang w:val="zh-CN"/>
              </w:rPr>
            </w:pPr>
            <w:r>
              <w:rPr>
                <w:rFonts w:hint="eastAsia" w:ascii="宋体" w:hAnsi="宋体" w:cs="宋体"/>
                <w:b/>
                <w:color w:val="auto"/>
                <w:sz w:val="24"/>
                <w:szCs w:val="24"/>
                <w:highlight w:val="none"/>
                <w:lang w:val="zh-CN"/>
              </w:rPr>
              <w:t>投标报价（元）</w:t>
            </w:r>
          </w:p>
        </w:tc>
        <w:tc>
          <w:tcPr>
            <w:tcW w:w="4022" w:type="dxa"/>
            <w:tcBorders>
              <w:top w:val="single" w:color="auto" w:sz="4" w:space="0"/>
              <w:left w:val="single" w:color="auto" w:sz="4" w:space="0"/>
              <w:bottom w:val="single" w:color="auto" w:sz="4" w:space="0"/>
              <w:right w:val="single" w:color="auto" w:sz="4" w:space="0"/>
            </w:tcBorders>
            <w:noWrap w:val="0"/>
            <w:vAlign w:val="center"/>
          </w:tcPr>
          <w:p w14:paraId="02F11D25">
            <w:pPr>
              <w:keepNext w:val="0"/>
              <w:keepLines w:val="0"/>
              <w:suppressLineNumbers w:val="0"/>
              <w:autoSpaceDE w:val="0"/>
              <w:autoSpaceDN w:val="0"/>
              <w:adjustRightInd w:val="0"/>
              <w:spacing w:before="0" w:beforeAutospacing="0" w:after="0" w:afterAutospacing="0"/>
              <w:ind w:left="0" w:right="0"/>
              <w:rPr>
                <w:rFonts w:hint="eastAsia" w:ascii="宋体" w:hAnsi="宋体" w:cs="宋体"/>
                <w:b/>
                <w:bCs/>
                <w:color w:val="auto"/>
                <w:sz w:val="24"/>
                <w:szCs w:val="24"/>
                <w:highlight w:val="none"/>
                <w:lang w:val="zh-CN"/>
              </w:rPr>
            </w:pPr>
          </w:p>
        </w:tc>
      </w:tr>
      <w:tr w14:paraId="3DB7C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353" w:type="dxa"/>
            <w:tcBorders>
              <w:top w:val="single" w:color="auto" w:sz="4" w:space="0"/>
              <w:left w:val="single" w:color="auto" w:sz="4" w:space="0"/>
              <w:bottom w:val="single" w:color="auto" w:sz="4" w:space="0"/>
              <w:right w:val="single" w:color="auto" w:sz="4" w:space="0"/>
            </w:tcBorders>
            <w:noWrap w:val="0"/>
            <w:vAlign w:val="center"/>
          </w:tcPr>
          <w:p w14:paraId="07E93427">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cs="宋体"/>
                <w:b/>
                <w:bCs/>
                <w:color w:val="auto"/>
                <w:sz w:val="24"/>
                <w:szCs w:val="24"/>
                <w:highlight w:val="none"/>
                <w:lang w:val="zh-CN"/>
              </w:rPr>
            </w:pPr>
            <w:r>
              <w:rPr>
                <w:rFonts w:hint="eastAsia" w:ascii="宋体" w:hAnsi="宋体" w:cs="宋体"/>
                <w:b/>
                <w:color w:val="auto"/>
                <w:sz w:val="24"/>
                <w:szCs w:val="24"/>
                <w:highlight w:val="none"/>
                <w:lang w:val="zh-CN"/>
              </w:rPr>
              <w:t>其中：</w:t>
            </w:r>
            <w:r>
              <w:rPr>
                <w:rFonts w:hint="eastAsia" w:ascii="宋体" w:hAnsi="宋体" w:cs="宋体"/>
                <w:b/>
                <w:bCs/>
                <w:color w:val="auto"/>
                <w:sz w:val="24"/>
                <w:szCs w:val="24"/>
                <w:highlight w:val="none"/>
                <w:lang w:val="zh-CN"/>
              </w:rPr>
              <w:t>人工费</w:t>
            </w:r>
            <w:r>
              <w:rPr>
                <w:rFonts w:hint="eastAsia" w:ascii="宋体" w:hAnsi="宋体" w:cs="宋体"/>
                <w:b/>
                <w:color w:val="auto"/>
                <w:sz w:val="24"/>
                <w:szCs w:val="24"/>
                <w:highlight w:val="none"/>
                <w:lang w:val="zh-CN"/>
              </w:rPr>
              <w:t>（元）</w:t>
            </w:r>
          </w:p>
        </w:tc>
        <w:tc>
          <w:tcPr>
            <w:tcW w:w="4022" w:type="dxa"/>
            <w:tcBorders>
              <w:top w:val="single" w:color="auto" w:sz="4" w:space="0"/>
              <w:left w:val="single" w:color="auto" w:sz="4" w:space="0"/>
              <w:bottom w:val="single" w:color="auto" w:sz="4" w:space="0"/>
              <w:right w:val="single" w:color="auto" w:sz="4" w:space="0"/>
            </w:tcBorders>
            <w:noWrap w:val="0"/>
            <w:vAlign w:val="center"/>
          </w:tcPr>
          <w:p w14:paraId="4584B168">
            <w:pPr>
              <w:keepNext w:val="0"/>
              <w:keepLines w:val="0"/>
              <w:suppressLineNumbers w:val="0"/>
              <w:autoSpaceDE w:val="0"/>
              <w:autoSpaceDN w:val="0"/>
              <w:adjustRightInd w:val="0"/>
              <w:spacing w:before="0" w:beforeAutospacing="0" w:after="0" w:afterAutospacing="0"/>
              <w:ind w:left="0" w:right="0"/>
              <w:rPr>
                <w:rFonts w:hint="eastAsia" w:ascii="宋体" w:hAnsi="宋体" w:cs="宋体"/>
                <w:b/>
                <w:bCs/>
                <w:color w:val="auto"/>
                <w:sz w:val="24"/>
                <w:szCs w:val="24"/>
                <w:highlight w:val="none"/>
                <w:lang w:val="zh-CN"/>
              </w:rPr>
            </w:pPr>
          </w:p>
        </w:tc>
      </w:tr>
      <w:tr w14:paraId="289E7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353" w:type="dxa"/>
            <w:tcBorders>
              <w:top w:val="single" w:color="auto" w:sz="4" w:space="0"/>
              <w:left w:val="single" w:color="auto" w:sz="4" w:space="0"/>
              <w:bottom w:val="single" w:color="auto" w:sz="4" w:space="0"/>
              <w:right w:val="single" w:color="auto" w:sz="4" w:space="0"/>
            </w:tcBorders>
            <w:noWrap w:val="0"/>
            <w:vAlign w:val="center"/>
          </w:tcPr>
          <w:p w14:paraId="5E568212">
            <w:pPr>
              <w:keepNext w:val="0"/>
              <w:keepLines w:val="0"/>
              <w:widowControl/>
              <w:suppressLineNumbers w:val="0"/>
              <w:spacing w:before="0" w:beforeAutospacing="0" w:after="0" w:afterAutospacing="0"/>
              <w:ind w:left="0" w:right="0"/>
              <w:jc w:val="left"/>
              <w:rPr>
                <w:rFonts w:hint="eastAsia" w:ascii="宋体" w:hAnsi="宋体" w:cs="宋体"/>
                <w:b/>
                <w:bCs/>
                <w:color w:val="auto"/>
                <w:sz w:val="24"/>
                <w:szCs w:val="24"/>
                <w:highlight w:val="none"/>
                <w:lang w:val="zh-CN"/>
              </w:rPr>
            </w:pPr>
            <w:r>
              <w:rPr>
                <w:rFonts w:hint="eastAsia" w:ascii="宋体" w:hAnsi="宋体" w:cs="宋体"/>
                <w:b/>
                <w:bCs/>
                <w:color w:val="auto"/>
                <w:sz w:val="24"/>
                <w:szCs w:val="24"/>
                <w:highlight w:val="none"/>
                <w:lang w:val="zh-CN"/>
              </w:rPr>
              <w:t>其中：</w:t>
            </w:r>
            <w:r>
              <w:rPr>
                <w:rFonts w:hint="eastAsia" w:ascii="宋体" w:hAnsi="宋体" w:cs="宋体"/>
                <w:b/>
                <w:color w:val="auto"/>
                <w:sz w:val="24"/>
                <w:szCs w:val="24"/>
                <w:highlight w:val="none"/>
                <w:lang w:val="zh-CN"/>
              </w:rPr>
              <w:t>绿色施工安全防护措施费（元）</w:t>
            </w:r>
          </w:p>
        </w:tc>
        <w:tc>
          <w:tcPr>
            <w:tcW w:w="4022" w:type="dxa"/>
            <w:tcBorders>
              <w:top w:val="single" w:color="auto" w:sz="4" w:space="0"/>
              <w:left w:val="single" w:color="auto" w:sz="4" w:space="0"/>
              <w:bottom w:val="single" w:color="auto" w:sz="4" w:space="0"/>
              <w:right w:val="single" w:color="auto" w:sz="4" w:space="0"/>
            </w:tcBorders>
            <w:noWrap w:val="0"/>
            <w:vAlign w:val="center"/>
          </w:tcPr>
          <w:p w14:paraId="26A2949D">
            <w:pPr>
              <w:keepNext w:val="0"/>
              <w:keepLines w:val="0"/>
              <w:suppressLineNumbers w:val="0"/>
              <w:autoSpaceDE w:val="0"/>
              <w:autoSpaceDN w:val="0"/>
              <w:adjustRightInd w:val="0"/>
              <w:spacing w:before="0" w:beforeAutospacing="0" w:after="0" w:afterAutospacing="0"/>
              <w:ind w:left="0" w:right="0"/>
              <w:rPr>
                <w:rFonts w:hint="eastAsia" w:ascii="宋体" w:hAnsi="宋体" w:cs="宋体"/>
                <w:b/>
                <w:bCs/>
                <w:color w:val="auto"/>
                <w:sz w:val="24"/>
                <w:szCs w:val="24"/>
                <w:highlight w:val="none"/>
                <w:lang w:val="zh-CN"/>
              </w:rPr>
            </w:pPr>
          </w:p>
        </w:tc>
      </w:tr>
      <w:tr w14:paraId="2AC60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trPr>
        <w:tc>
          <w:tcPr>
            <w:tcW w:w="5353" w:type="dxa"/>
            <w:tcBorders>
              <w:top w:val="single" w:color="auto" w:sz="4" w:space="0"/>
              <w:left w:val="single" w:color="auto" w:sz="4" w:space="0"/>
              <w:bottom w:val="single" w:color="auto" w:sz="4" w:space="0"/>
              <w:right w:val="single" w:color="auto" w:sz="4" w:space="0"/>
            </w:tcBorders>
            <w:noWrap w:val="0"/>
            <w:vAlign w:val="center"/>
          </w:tcPr>
          <w:p w14:paraId="7DC6F25B">
            <w:pPr>
              <w:keepNext w:val="0"/>
              <w:keepLines w:val="0"/>
              <w:widowControl/>
              <w:suppressLineNumbers w:val="0"/>
              <w:spacing w:before="0" w:beforeAutospacing="0" w:after="0" w:afterAutospacing="0"/>
              <w:ind w:left="0" w:right="0"/>
              <w:jc w:val="center"/>
              <w:rPr>
                <w:rFonts w:hint="eastAsia" w:ascii="宋体" w:hAnsi="宋体" w:cs="宋体"/>
                <w:b/>
                <w:bCs/>
                <w:color w:val="auto"/>
                <w:sz w:val="24"/>
                <w:szCs w:val="24"/>
                <w:highlight w:val="none"/>
                <w:lang w:val="zh-CN"/>
              </w:rPr>
            </w:pPr>
            <w:r>
              <w:rPr>
                <w:rFonts w:hint="eastAsia" w:ascii="宋体" w:hAnsi="宋体" w:cs="宋体"/>
                <w:b/>
                <w:bCs/>
                <w:color w:val="auto"/>
                <w:sz w:val="24"/>
                <w:szCs w:val="24"/>
                <w:highlight w:val="none"/>
                <w:lang w:val="zh-CN"/>
              </w:rPr>
              <w:t>法定代表人或其委托代理人（签字或盖章）</w:t>
            </w:r>
          </w:p>
        </w:tc>
        <w:tc>
          <w:tcPr>
            <w:tcW w:w="4022" w:type="dxa"/>
            <w:tcBorders>
              <w:top w:val="single" w:color="auto" w:sz="4" w:space="0"/>
              <w:left w:val="single" w:color="auto" w:sz="4" w:space="0"/>
              <w:bottom w:val="single" w:color="auto" w:sz="4" w:space="0"/>
              <w:right w:val="single" w:color="auto" w:sz="4" w:space="0"/>
            </w:tcBorders>
            <w:noWrap w:val="0"/>
            <w:vAlign w:val="center"/>
          </w:tcPr>
          <w:p w14:paraId="332798DB">
            <w:pPr>
              <w:keepNext w:val="0"/>
              <w:keepLines w:val="0"/>
              <w:suppressLineNumbers w:val="0"/>
              <w:autoSpaceDE w:val="0"/>
              <w:autoSpaceDN w:val="0"/>
              <w:adjustRightInd w:val="0"/>
              <w:spacing w:before="0" w:beforeAutospacing="0" w:after="0" w:afterAutospacing="0"/>
              <w:ind w:left="0" w:right="0"/>
              <w:rPr>
                <w:rFonts w:hint="eastAsia" w:ascii="宋体" w:hAnsi="宋体" w:cs="宋体"/>
                <w:b/>
                <w:bCs/>
                <w:color w:val="auto"/>
                <w:sz w:val="24"/>
                <w:szCs w:val="24"/>
                <w:highlight w:val="none"/>
                <w:lang w:val="zh-CN"/>
              </w:rPr>
            </w:pPr>
          </w:p>
        </w:tc>
      </w:tr>
      <w:tr w14:paraId="0263F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5353" w:type="dxa"/>
            <w:tcBorders>
              <w:top w:val="single" w:color="auto" w:sz="4" w:space="0"/>
              <w:left w:val="single" w:color="auto" w:sz="4" w:space="0"/>
              <w:bottom w:val="single" w:color="auto" w:sz="4" w:space="0"/>
              <w:right w:val="single" w:color="auto" w:sz="4" w:space="0"/>
            </w:tcBorders>
            <w:noWrap w:val="0"/>
            <w:vAlign w:val="center"/>
          </w:tcPr>
          <w:p w14:paraId="1106EA76">
            <w:pPr>
              <w:keepNext w:val="0"/>
              <w:keepLines w:val="0"/>
              <w:widowControl/>
              <w:suppressLineNumbers w:val="0"/>
              <w:spacing w:before="0" w:beforeAutospacing="0" w:after="0" w:afterAutospacing="0"/>
              <w:ind w:left="0" w:right="0"/>
              <w:jc w:val="center"/>
              <w:rPr>
                <w:rFonts w:hint="eastAsia" w:ascii="宋体" w:hAnsi="宋体" w:cs="宋体"/>
                <w:b/>
                <w:bCs/>
                <w:color w:val="auto"/>
                <w:sz w:val="24"/>
                <w:szCs w:val="24"/>
                <w:highlight w:val="none"/>
                <w:lang w:val="zh-CN"/>
              </w:rPr>
            </w:pPr>
            <w:r>
              <w:rPr>
                <w:rFonts w:hint="eastAsia" w:ascii="宋体" w:hAnsi="宋体" w:cs="宋体"/>
                <w:b/>
                <w:bCs/>
                <w:color w:val="auto"/>
                <w:sz w:val="24"/>
                <w:szCs w:val="24"/>
                <w:highlight w:val="none"/>
                <w:lang w:val="zh-CN"/>
              </w:rPr>
              <w:t>投标单位（盖章）</w:t>
            </w:r>
          </w:p>
        </w:tc>
        <w:tc>
          <w:tcPr>
            <w:tcW w:w="4022" w:type="dxa"/>
            <w:tcBorders>
              <w:top w:val="single" w:color="auto" w:sz="4" w:space="0"/>
              <w:left w:val="single" w:color="auto" w:sz="4" w:space="0"/>
              <w:bottom w:val="single" w:color="auto" w:sz="4" w:space="0"/>
              <w:right w:val="single" w:color="auto" w:sz="4" w:space="0"/>
            </w:tcBorders>
            <w:noWrap w:val="0"/>
            <w:vAlign w:val="center"/>
          </w:tcPr>
          <w:p w14:paraId="40211542">
            <w:pPr>
              <w:keepNext w:val="0"/>
              <w:keepLines w:val="0"/>
              <w:suppressLineNumbers w:val="0"/>
              <w:autoSpaceDE w:val="0"/>
              <w:autoSpaceDN w:val="0"/>
              <w:adjustRightInd w:val="0"/>
              <w:spacing w:before="0" w:beforeAutospacing="0" w:after="0" w:afterAutospacing="0"/>
              <w:ind w:left="0" w:right="0"/>
              <w:rPr>
                <w:rFonts w:hint="eastAsia" w:ascii="宋体" w:hAnsi="宋体" w:cs="宋体"/>
                <w:b/>
                <w:bCs/>
                <w:color w:val="auto"/>
                <w:sz w:val="24"/>
                <w:szCs w:val="24"/>
                <w:highlight w:val="none"/>
                <w:lang w:val="zh-CN"/>
              </w:rPr>
            </w:pPr>
          </w:p>
        </w:tc>
      </w:tr>
    </w:tbl>
    <w:p w14:paraId="64841B06">
      <w:pPr>
        <w:tabs>
          <w:tab w:val="left" w:pos="720"/>
        </w:tabs>
        <w:snapToGrid w:val="0"/>
        <w:spacing w:line="360" w:lineRule="auto"/>
        <w:rPr>
          <w:rFonts w:ascii="宋体" w:hAnsi="宋体" w:cs="宋体"/>
          <w:color w:val="auto"/>
          <w:sz w:val="24"/>
          <w:szCs w:val="24"/>
          <w:highlight w:val="none"/>
        </w:rPr>
      </w:pPr>
    </w:p>
    <w:p w14:paraId="53CE3AF7">
      <w:pPr>
        <w:outlineLvl w:val="2"/>
        <w:rPr>
          <w:rFonts w:hint="eastAsia" w:ascii="宋体" w:hAnsi="宋体" w:cs="宋体"/>
          <w:b/>
          <w:color w:val="auto"/>
          <w:sz w:val="24"/>
          <w:szCs w:val="24"/>
          <w:highlight w:val="none"/>
        </w:rPr>
      </w:pPr>
      <w:r>
        <w:rPr>
          <w:rFonts w:ascii="宋体" w:hAnsi="宋体" w:cs="宋体"/>
          <w:color w:val="auto"/>
          <w:sz w:val="24"/>
          <w:szCs w:val="24"/>
          <w:highlight w:val="none"/>
        </w:rPr>
        <w:br w:type="page"/>
      </w:r>
      <w:bookmarkStart w:id="44" w:name="_Toc94347363"/>
      <w:r>
        <w:rPr>
          <w:rFonts w:hint="eastAsia" w:ascii="宋体" w:hAnsi="宋体" w:cs="宋体"/>
          <w:b/>
          <w:color w:val="auto"/>
          <w:sz w:val="24"/>
          <w:szCs w:val="24"/>
          <w:highlight w:val="none"/>
        </w:rPr>
        <w:t>附表</w:t>
      </w:r>
      <w:r>
        <w:rPr>
          <w:rFonts w:hint="eastAsia" w:ascii="宋体" w:hAnsi="宋体" w:cs="宋体"/>
          <w:b/>
          <w:color w:val="auto"/>
          <w:sz w:val="24"/>
          <w:szCs w:val="24"/>
          <w:highlight w:val="none"/>
          <w:lang w:val="en-US" w:eastAsia="zh-CN"/>
        </w:rPr>
        <w:t>3</w:t>
      </w:r>
      <w:r>
        <w:rPr>
          <w:rFonts w:hint="eastAsia" w:ascii="宋体" w:hAnsi="宋体" w:cs="宋体"/>
          <w:b/>
          <w:color w:val="auto"/>
          <w:sz w:val="24"/>
          <w:szCs w:val="24"/>
          <w:highlight w:val="none"/>
        </w:rPr>
        <w:t>：分项投标书</w:t>
      </w:r>
      <w:bookmarkEnd w:id="44"/>
    </w:p>
    <w:p w14:paraId="00266FA0">
      <w:pPr>
        <w:topLinePunct/>
        <w:adjustRightInd w:val="0"/>
        <w:snapToGrid w:val="0"/>
        <w:spacing w:line="360" w:lineRule="auto"/>
        <w:ind w:firstLine="496" w:firstLineChars="200"/>
        <w:rPr>
          <w:rFonts w:hint="eastAsia" w:ascii="宋体" w:hAnsi="宋体" w:cs="宋体"/>
          <w:color w:val="auto"/>
          <w:spacing w:val="4"/>
          <w:kern w:val="0"/>
          <w:sz w:val="24"/>
          <w:szCs w:val="24"/>
          <w:highlight w:val="none"/>
        </w:rPr>
      </w:pPr>
    </w:p>
    <w:p w14:paraId="64C2F4F7">
      <w:pPr>
        <w:autoSpaceDE w:val="0"/>
        <w:autoSpaceDN w:val="0"/>
        <w:adjustRightInd w:val="0"/>
        <w:ind w:left="-540" w:leftChars="-257" w:firstLine="1135" w:firstLineChars="257"/>
        <w:jc w:val="center"/>
        <w:rPr>
          <w:rFonts w:hint="eastAsia" w:ascii="宋体" w:hAnsi="宋体" w:cs="宋体"/>
          <w:b/>
          <w:bCs/>
          <w:color w:val="auto"/>
          <w:sz w:val="52"/>
          <w:szCs w:val="52"/>
          <w:highlight w:val="none"/>
        </w:rPr>
      </w:pPr>
      <w:r>
        <w:rPr>
          <w:rFonts w:hint="eastAsia" w:ascii="宋体" w:hAnsi="宋体" w:cs="宋体"/>
          <w:b/>
          <w:bCs/>
          <w:color w:val="auto"/>
          <w:sz w:val="44"/>
          <w:szCs w:val="44"/>
          <w:highlight w:val="none"/>
          <w:lang w:val="zh-CN"/>
        </w:rPr>
        <w:t>分项投标书</w:t>
      </w:r>
    </w:p>
    <w:tbl>
      <w:tblPr>
        <w:tblStyle w:val="17"/>
        <w:tblpPr w:leftFromText="180" w:rightFromText="180" w:vertAnchor="text" w:horzAnchor="margin" w:tblpXSpec="center" w:tblpY="275"/>
        <w:tblW w:w="93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3"/>
        <w:gridCol w:w="4022"/>
      </w:tblGrid>
      <w:tr w14:paraId="423F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5353" w:type="dxa"/>
            <w:tcBorders>
              <w:top w:val="single" w:color="auto" w:sz="4" w:space="0"/>
              <w:left w:val="single" w:color="auto" w:sz="4" w:space="0"/>
              <w:bottom w:val="single" w:color="auto" w:sz="4" w:space="0"/>
              <w:right w:val="single" w:color="auto" w:sz="4" w:space="0"/>
            </w:tcBorders>
            <w:noWrap w:val="0"/>
            <w:vAlign w:val="center"/>
          </w:tcPr>
          <w:p w14:paraId="347A83B4">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cs="宋体"/>
                <w:b/>
                <w:bCs/>
                <w:color w:val="auto"/>
                <w:sz w:val="24"/>
                <w:szCs w:val="24"/>
                <w:highlight w:val="none"/>
                <w:lang w:val="zh-CN"/>
              </w:rPr>
            </w:pPr>
            <w:r>
              <w:rPr>
                <w:rFonts w:hint="eastAsia" w:ascii="宋体" w:hAnsi="宋体" w:cs="宋体"/>
                <w:b/>
                <w:color w:val="auto"/>
                <w:sz w:val="24"/>
                <w:szCs w:val="24"/>
                <w:highlight w:val="none"/>
                <w:lang w:val="zh-CN"/>
              </w:rPr>
              <w:t>工 程 名 称</w:t>
            </w:r>
          </w:p>
        </w:tc>
        <w:tc>
          <w:tcPr>
            <w:tcW w:w="4022" w:type="dxa"/>
            <w:tcBorders>
              <w:top w:val="single" w:color="auto" w:sz="4" w:space="0"/>
              <w:left w:val="single" w:color="auto" w:sz="4" w:space="0"/>
              <w:bottom w:val="single" w:color="auto" w:sz="4" w:space="0"/>
              <w:right w:val="single" w:color="auto" w:sz="4" w:space="0"/>
            </w:tcBorders>
            <w:noWrap w:val="0"/>
            <w:vAlign w:val="center"/>
          </w:tcPr>
          <w:p w14:paraId="59D66752">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cs="宋体"/>
                <w:b/>
                <w:bCs/>
                <w:color w:val="auto"/>
                <w:sz w:val="24"/>
                <w:szCs w:val="24"/>
                <w:highlight w:val="none"/>
                <w:lang w:val="zh-CN"/>
              </w:rPr>
            </w:pPr>
            <w:r>
              <w:rPr>
                <w:rFonts w:hint="eastAsia" w:ascii="宋体" w:hAnsi="宋体" w:cs="宋体"/>
                <w:b/>
                <w:bCs/>
                <w:color w:val="auto"/>
                <w:sz w:val="24"/>
                <w:szCs w:val="24"/>
                <w:highlight w:val="none"/>
                <w:lang w:val="zh-CN"/>
              </w:rPr>
              <w:t>广州市羽毛球运动管理中心训练馆改造项目</w:t>
            </w:r>
          </w:p>
        </w:tc>
      </w:tr>
      <w:tr w14:paraId="1180A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353" w:type="dxa"/>
            <w:tcBorders>
              <w:top w:val="single" w:color="auto" w:sz="4" w:space="0"/>
              <w:left w:val="single" w:color="auto" w:sz="4" w:space="0"/>
              <w:bottom w:val="single" w:color="auto" w:sz="4" w:space="0"/>
              <w:right w:val="single" w:color="auto" w:sz="4" w:space="0"/>
            </w:tcBorders>
            <w:noWrap w:val="0"/>
            <w:vAlign w:val="center"/>
          </w:tcPr>
          <w:p w14:paraId="34ADBC47">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cs="宋体"/>
                <w:b/>
                <w:bCs/>
                <w:color w:val="auto"/>
                <w:sz w:val="24"/>
                <w:szCs w:val="24"/>
                <w:highlight w:val="none"/>
                <w:lang w:val="zh-CN"/>
              </w:rPr>
            </w:pPr>
            <w:r>
              <w:rPr>
                <w:rFonts w:hint="eastAsia" w:ascii="宋体" w:hAnsi="宋体" w:cs="宋体"/>
                <w:b/>
                <w:color w:val="auto"/>
                <w:sz w:val="24"/>
                <w:szCs w:val="24"/>
                <w:highlight w:val="none"/>
                <w:lang w:val="zh-CN"/>
              </w:rPr>
              <w:t>投标报价（元）</w:t>
            </w:r>
          </w:p>
        </w:tc>
        <w:tc>
          <w:tcPr>
            <w:tcW w:w="4022" w:type="dxa"/>
            <w:tcBorders>
              <w:top w:val="single" w:color="auto" w:sz="4" w:space="0"/>
              <w:left w:val="single" w:color="auto" w:sz="4" w:space="0"/>
              <w:bottom w:val="single" w:color="auto" w:sz="4" w:space="0"/>
              <w:right w:val="single" w:color="auto" w:sz="4" w:space="0"/>
            </w:tcBorders>
            <w:noWrap w:val="0"/>
            <w:vAlign w:val="center"/>
          </w:tcPr>
          <w:p w14:paraId="21739F0B">
            <w:pPr>
              <w:keepNext w:val="0"/>
              <w:keepLines w:val="0"/>
              <w:suppressLineNumbers w:val="0"/>
              <w:autoSpaceDE w:val="0"/>
              <w:autoSpaceDN w:val="0"/>
              <w:adjustRightInd w:val="0"/>
              <w:spacing w:before="0" w:beforeAutospacing="0" w:after="0" w:afterAutospacing="0"/>
              <w:ind w:left="0" w:right="0"/>
              <w:rPr>
                <w:rFonts w:hint="eastAsia" w:ascii="宋体" w:hAnsi="宋体" w:cs="宋体"/>
                <w:b/>
                <w:bCs/>
                <w:color w:val="auto"/>
                <w:sz w:val="24"/>
                <w:szCs w:val="24"/>
                <w:highlight w:val="none"/>
                <w:lang w:val="zh-CN"/>
              </w:rPr>
            </w:pPr>
          </w:p>
        </w:tc>
      </w:tr>
      <w:tr w14:paraId="2DD40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353" w:type="dxa"/>
            <w:tcBorders>
              <w:top w:val="single" w:color="auto" w:sz="4" w:space="0"/>
              <w:left w:val="single" w:color="auto" w:sz="4" w:space="0"/>
              <w:bottom w:val="single" w:color="auto" w:sz="4" w:space="0"/>
              <w:right w:val="single" w:color="auto" w:sz="4" w:space="0"/>
            </w:tcBorders>
            <w:noWrap w:val="0"/>
            <w:vAlign w:val="center"/>
          </w:tcPr>
          <w:p w14:paraId="082AF1EA">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cs="宋体"/>
                <w:b/>
                <w:bCs/>
                <w:color w:val="auto"/>
                <w:sz w:val="24"/>
                <w:szCs w:val="24"/>
                <w:highlight w:val="none"/>
                <w:lang w:val="zh-CN"/>
              </w:rPr>
            </w:pPr>
            <w:r>
              <w:rPr>
                <w:rFonts w:hint="eastAsia" w:ascii="宋体" w:hAnsi="宋体" w:cs="宋体"/>
                <w:b/>
                <w:color w:val="auto"/>
                <w:sz w:val="24"/>
                <w:szCs w:val="24"/>
                <w:highlight w:val="none"/>
                <w:lang w:val="zh-CN"/>
              </w:rPr>
              <w:t>其中：</w:t>
            </w:r>
            <w:r>
              <w:rPr>
                <w:rFonts w:hint="eastAsia" w:ascii="宋体" w:hAnsi="宋体" w:cs="宋体"/>
                <w:b/>
                <w:bCs/>
                <w:color w:val="auto"/>
                <w:sz w:val="24"/>
                <w:szCs w:val="24"/>
                <w:highlight w:val="none"/>
                <w:lang w:val="zh-CN"/>
              </w:rPr>
              <w:t>人工费</w:t>
            </w:r>
            <w:r>
              <w:rPr>
                <w:rFonts w:hint="eastAsia" w:ascii="宋体" w:hAnsi="宋体" w:cs="宋体"/>
                <w:b/>
                <w:color w:val="auto"/>
                <w:sz w:val="24"/>
                <w:szCs w:val="24"/>
                <w:highlight w:val="none"/>
                <w:lang w:val="zh-CN"/>
              </w:rPr>
              <w:t>（元）</w:t>
            </w:r>
          </w:p>
        </w:tc>
        <w:tc>
          <w:tcPr>
            <w:tcW w:w="4022" w:type="dxa"/>
            <w:tcBorders>
              <w:top w:val="single" w:color="auto" w:sz="4" w:space="0"/>
              <w:left w:val="single" w:color="auto" w:sz="4" w:space="0"/>
              <w:bottom w:val="single" w:color="auto" w:sz="4" w:space="0"/>
              <w:right w:val="single" w:color="auto" w:sz="4" w:space="0"/>
            </w:tcBorders>
            <w:noWrap w:val="0"/>
            <w:vAlign w:val="center"/>
          </w:tcPr>
          <w:p w14:paraId="4C0B78A7">
            <w:pPr>
              <w:keepNext w:val="0"/>
              <w:keepLines w:val="0"/>
              <w:suppressLineNumbers w:val="0"/>
              <w:autoSpaceDE w:val="0"/>
              <w:autoSpaceDN w:val="0"/>
              <w:adjustRightInd w:val="0"/>
              <w:spacing w:before="0" w:beforeAutospacing="0" w:after="0" w:afterAutospacing="0"/>
              <w:ind w:left="0" w:right="0"/>
              <w:rPr>
                <w:rFonts w:hint="eastAsia" w:ascii="宋体" w:hAnsi="宋体" w:cs="宋体"/>
                <w:b/>
                <w:bCs/>
                <w:color w:val="auto"/>
                <w:sz w:val="24"/>
                <w:szCs w:val="24"/>
                <w:highlight w:val="none"/>
                <w:lang w:val="zh-CN"/>
              </w:rPr>
            </w:pPr>
          </w:p>
        </w:tc>
      </w:tr>
      <w:tr w14:paraId="4A187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353" w:type="dxa"/>
            <w:tcBorders>
              <w:top w:val="single" w:color="auto" w:sz="4" w:space="0"/>
              <w:left w:val="single" w:color="auto" w:sz="4" w:space="0"/>
              <w:bottom w:val="single" w:color="auto" w:sz="4" w:space="0"/>
              <w:right w:val="single" w:color="auto" w:sz="4" w:space="0"/>
            </w:tcBorders>
            <w:noWrap w:val="0"/>
            <w:vAlign w:val="center"/>
          </w:tcPr>
          <w:p w14:paraId="375834F7">
            <w:pPr>
              <w:keepNext w:val="0"/>
              <w:keepLines w:val="0"/>
              <w:widowControl/>
              <w:suppressLineNumbers w:val="0"/>
              <w:spacing w:before="0" w:beforeAutospacing="0" w:after="0" w:afterAutospacing="0"/>
              <w:ind w:left="0" w:right="0"/>
              <w:jc w:val="left"/>
              <w:rPr>
                <w:rFonts w:hint="eastAsia" w:ascii="宋体" w:hAnsi="宋体" w:cs="宋体"/>
                <w:b/>
                <w:bCs/>
                <w:color w:val="auto"/>
                <w:sz w:val="24"/>
                <w:szCs w:val="24"/>
                <w:highlight w:val="none"/>
                <w:lang w:val="zh-CN"/>
              </w:rPr>
            </w:pPr>
            <w:r>
              <w:rPr>
                <w:rFonts w:hint="eastAsia" w:ascii="宋体" w:hAnsi="宋体" w:cs="宋体"/>
                <w:b/>
                <w:bCs/>
                <w:color w:val="auto"/>
                <w:sz w:val="24"/>
                <w:szCs w:val="24"/>
                <w:highlight w:val="none"/>
                <w:lang w:val="zh-CN"/>
              </w:rPr>
              <w:t>其中：</w:t>
            </w:r>
            <w:r>
              <w:rPr>
                <w:rFonts w:hint="eastAsia" w:ascii="宋体" w:hAnsi="宋体" w:cs="宋体"/>
                <w:b/>
                <w:color w:val="auto"/>
                <w:sz w:val="24"/>
                <w:szCs w:val="24"/>
                <w:highlight w:val="none"/>
                <w:lang w:val="zh-CN"/>
              </w:rPr>
              <w:t>绿色施工安全防护措施费（元）</w:t>
            </w:r>
          </w:p>
        </w:tc>
        <w:tc>
          <w:tcPr>
            <w:tcW w:w="4022" w:type="dxa"/>
            <w:tcBorders>
              <w:top w:val="single" w:color="auto" w:sz="4" w:space="0"/>
              <w:left w:val="single" w:color="auto" w:sz="4" w:space="0"/>
              <w:bottom w:val="single" w:color="auto" w:sz="4" w:space="0"/>
              <w:right w:val="single" w:color="auto" w:sz="4" w:space="0"/>
            </w:tcBorders>
            <w:noWrap w:val="0"/>
            <w:vAlign w:val="center"/>
          </w:tcPr>
          <w:p w14:paraId="3253C987">
            <w:pPr>
              <w:keepNext w:val="0"/>
              <w:keepLines w:val="0"/>
              <w:suppressLineNumbers w:val="0"/>
              <w:autoSpaceDE w:val="0"/>
              <w:autoSpaceDN w:val="0"/>
              <w:adjustRightInd w:val="0"/>
              <w:spacing w:before="0" w:beforeAutospacing="0" w:after="0" w:afterAutospacing="0"/>
              <w:ind w:left="0" w:right="0"/>
              <w:rPr>
                <w:rFonts w:hint="eastAsia" w:ascii="宋体" w:hAnsi="宋体" w:cs="宋体"/>
                <w:b/>
                <w:bCs/>
                <w:color w:val="auto"/>
                <w:sz w:val="24"/>
                <w:szCs w:val="24"/>
                <w:highlight w:val="none"/>
                <w:lang w:val="zh-CN"/>
              </w:rPr>
            </w:pPr>
          </w:p>
        </w:tc>
      </w:tr>
      <w:tr w14:paraId="3EBD6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trPr>
        <w:tc>
          <w:tcPr>
            <w:tcW w:w="5353" w:type="dxa"/>
            <w:tcBorders>
              <w:top w:val="single" w:color="auto" w:sz="4" w:space="0"/>
              <w:left w:val="single" w:color="auto" w:sz="4" w:space="0"/>
              <w:bottom w:val="single" w:color="auto" w:sz="4" w:space="0"/>
              <w:right w:val="single" w:color="auto" w:sz="4" w:space="0"/>
            </w:tcBorders>
            <w:noWrap w:val="0"/>
            <w:vAlign w:val="center"/>
          </w:tcPr>
          <w:p w14:paraId="3149F4EA">
            <w:pPr>
              <w:keepNext w:val="0"/>
              <w:keepLines w:val="0"/>
              <w:widowControl/>
              <w:suppressLineNumbers w:val="0"/>
              <w:spacing w:before="0" w:beforeAutospacing="0" w:after="0" w:afterAutospacing="0"/>
              <w:ind w:left="0" w:right="0"/>
              <w:jc w:val="center"/>
              <w:rPr>
                <w:rFonts w:hint="eastAsia" w:ascii="宋体" w:hAnsi="宋体" w:cs="宋体"/>
                <w:b/>
                <w:bCs/>
                <w:color w:val="auto"/>
                <w:sz w:val="24"/>
                <w:szCs w:val="24"/>
                <w:highlight w:val="none"/>
                <w:lang w:val="zh-CN"/>
              </w:rPr>
            </w:pPr>
            <w:r>
              <w:rPr>
                <w:rFonts w:hint="eastAsia" w:ascii="宋体" w:hAnsi="宋体" w:cs="宋体"/>
                <w:b/>
                <w:bCs/>
                <w:color w:val="auto"/>
                <w:sz w:val="24"/>
                <w:szCs w:val="24"/>
                <w:highlight w:val="none"/>
                <w:lang w:val="zh-CN"/>
              </w:rPr>
              <w:t>法定代表人或其委托代理人（签字或盖章）</w:t>
            </w:r>
          </w:p>
        </w:tc>
        <w:tc>
          <w:tcPr>
            <w:tcW w:w="4022" w:type="dxa"/>
            <w:tcBorders>
              <w:top w:val="single" w:color="auto" w:sz="4" w:space="0"/>
              <w:left w:val="single" w:color="auto" w:sz="4" w:space="0"/>
              <w:bottom w:val="single" w:color="auto" w:sz="4" w:space="0"/>
              <w:right w:val="single" w:color="auto" w:sz="4" w:space="0"/>
            </w:tcBorders>
            <w:noWrap w:val="0"/>
            <w:vAlign w:val="center"/>
          </w:tcPr>
          <w:p w14:paraId="359E735C">
            <w:pPr>
              <w:keepNext w:val="0"/>
              <w:keepLines w:val="0"/>
              <w:suppressLineNumbers w:val="0"/>
              <w:autoSpaceDE w:val="0"/>
              <w:autoSpaceDN w:val="0"/>
              <w:adjustRightInd w:val="0"/>
              <w:spacing w:before="0" w:beforeAutospacing="0" w:after="0" w:afterAutospacing="0"/>
              <w:ind w:left="0" w:right="0"/>
              <w:rPr>
                <w:rFonts w:hint="eastAsia" w:ascii="宋体" w:hAnsi="宋体" w:cs="宋体"/>
                <w:b/>
                <w:bCs/>
                <w:color w:val="auto"/>
                <w:sz w:val="24"/>
                <w:szCs w:val="24"/>
                <w:highlight w:val="none"/>
                <w:lang w:val="zh-CN"/>
              </w:rPr>
            </w:pPr>
          </w:p>
        </w:tc>
      </w:tr>
      <w:tr w14:paraId="203E7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5353" w:type="dxa"/>
            <w:tcBorders>
              <w:top w:val="single" w:color="auto" w:sz="4" w:space="0"/>
              <w:left w:val="single" w:color="auto" w:sz="4" w:space="0"/>
              <w:bottom w:val="single" w:color="auto" w:sz="4" w:space="0"/>
              <w:right w:val="single" w:color="auto" w:sz="4" w:space="0"/>
            </w:tcBorders>
            <w:noWrap w:val="0"/>
            <w:vAlign w:val="center"/>
          </w:tcPr>
          <w:p w14:paraId="571B50BD">
            <w:pPr>
              <w:keepNext w:val="0"/>
              <w:keepLines w:val="0"/>
              <w:widowControl/>
              <w:suppressLineNumbers w:val="0"/>
              <w:spacing w:before="0" w:beforeAutospacing="0" w:after="0" w:afterAutospacing="0"/>
              <w:ind w:left="0" w:right="0"/>
              <w:jc w:val="center"/>
              <w:rPr>
                <w:rFonts w:hint="eastAsia" w:ascii="宋体" w:hAnsi="宋体" w:cs="宋体"/>
                <w:b/>
                <w:bCs/>
                <w:color w:val="auto"/>
                <w:sz w:val="24"/>
                <w:szCs w:val="24"/>
                <w:highlight w:val="none"/>
                <w:lang w:val="zh-CN"/>
              </w:rPr>
            </w:pPr>
            <w:r>
              <w:rPr>
                <w:rFonts w:hint="eastAsia" w:ascii="宋体" w:hAnsi="宋体" w:cs="宋体"/>
                <w:b/>
                <w:bCs/>
                <w:color w:val="auto"/>
                <w:sz w:val="24"/>
                <w:szCs w:val="24"/>
                <w:highlight w:val="none"/>
                <w:lang w:val="zh-CN"/>
              </w:rPr>
              <w:t>投标单位（盖章）</w:t>
            </w:r>
          </w:p>
        </w:tc>
        <w:tc>
          <w:tcPr>
            <w:tcW w:w="4022" w:type="dxa"/>
            <w:tcBorders>
              <w:top w:val="single" w:color="auto" w:sz="4" w:space="0"/>
              <w:left w:val="single" w:color="auto" w:sz="4" w:space="0"/>
              <w:bottom w:val="single" w:color="auto" w:sz="4" w:space="0"/>
              <w:right w:val="single" w:color="auto" w:sz="4" w:space="0"/>
            </w:tcBorders>
            <w:noWrap w:val="0"/>
            <w:vAlign w:val="center"/>
          </w:tcPr>
          <w:p w14:paraId="783496E2">
            <w:pPr>
              <w:keepNext w:val="0"/>
              <w:keepLines w:val="0"/>
              <w:suppressLineNumbers w:val="0"/>
              <w:autoSpaceDE w:val="0"/>
              <w:autoSpaceDN w:val="0"/>
              <w:adjustRightInd w:val="0"/>
              <w:spacing w:before="0" w:beforeAutospacing="0" w:after="0" w:afterAutospacing="0"/>
              <w:ind w:left="0" w:right="0"/>
              <w:rPr>
                <w:rFonts w:hint="eastAsia" w:ascii="宋体" w:hAnsi="宋体" w:cs="宋体"/>
                <w:b/>
                <w:bCs/>
                <w:color w:val="auto"/>
                <w:sz w:val="24"/>
                <w:szCs w:val="24"/>
                <w:highlight w:val="none"/>
                <w:lang w:val="zh-CN"/>
              </w:rPr>
            </w:pPr>
          </w:p>
        </w:tc>
      </w:tr>
    </w:tbl>
    <w:p w14:paraId="4DD6B78C">
      <w:pPr>
        <w:tabs>
          <w:tab w:val="left" w:pos="720"/>
        </w:tabs>
        <w:snapToGrid w:val="0"/>
        <w:spacing w:line="360" w:lineRule="auto"/>
        <w:rPr>
          <w:rFonts w:ascii="宋体" w:hAnsi="宋体" w:cs="宋体"/>
          <w:color w:val="auto"/>
          <w:sz w:val="24"/>
          <w:szCs w:val="24"/>
          <w:highlight w:val="none"/>
        </w:rPr>
      </w:pPr>
    </w:p>
    <w:p w14:paraId="4EADA34A">
      <w:pPr>
        <w:rPr>
          <w:rFonts w:hint="eastAsia" w:ascii="宋体" w:hAnsi="宋体" w:cs="宋体"/>
          <w:b/>
          <w:color w:val="auto"/>
          <w:sz w:val="24"/>
          <w:szCs w:val="24"/>
          <w:highlight w:val="none"/>
        </w:rPr>
      </w:pPr>
      <w:r>
        <w:rPr>
          <w:rFonts w:hint="eastAsia" w:ascii="宋体" w:hAnsi="宋体" w:cs="宋体"/>
          <w:b/>
          <w:color w:val="auto"/>
          <w:sz w:val="24"/>
          <w:szCs w:val="24"/>
          <w:highlight w:val="none"/>
        </w:rPr>
        <w:br w:type="page"/>
      </w:r>
    </w:p>
    <w:p w14:paraId="3927A9D4">
      <w:pPr>
        <w:outlineLvl w:val="2"/>
        <w:rPr>
          <w:rFonts w:hint="eastAsia" w:ascii="宋体" w:hAnsi="宋体" w:cs="宋体"/>
          <w:b/>
          <w:color w:val="auto"/>
          <w:sz w:val="24"/>
          <w:szCs w:val="24"/>
          <w:highlight w:val="none"/>
        </w:rPr>
      </w:pPr>
      <w:r>
        <w:rPr>
          <w:rFonts w:hint="eastAsia" w:ascii="宋体" w:hAnsi="宋体" w:cs="宋体"/>
          <w:b/>
          <w:color w:val="auto"/>
          <w:sz w:val="24"/>
          <w:szCs w:val="24"/>
          <w:highlight w:val="none"/>
        </w:rPr>
        <w:t>附表</w:t>
      </w:r>
      <w:r>
        <w:rPr>
          <w:rFonts w:hint="eastAsia" w:ascii="宋体" w:hAnsi="宋体" w:cs="宋体"/>
          <w:b/>
          <w:color w:val="auto"/>
          <w:sz w:val="24"/>
          <w:szCs w:val="24"/>
          <w:highlight w:val="none"/>
          <w:lang w:val="en-US" w:eastAsia="zh-CN"/>
        </w:rPr>
        <w:t>4</w:t>
      </w:r>
      <w:r>
        <w:rPr>
          <w:rFonts w:hint="eastAsia" w:ascii="宋体" w:hAnsi="宋体" w:cs="宋体"/>
          <w:b/>
          <w:color w:val="auto"/>
          <w:sz w:val="24"/>
          <w:szCs w:val="24"/>
          <w:highlight w:val="none"/>
        </w:rPr>
        <w:t>：分项投标书</w:t>
      </w:r>
    </w:p>
    <w:p w14:paraId="63D0C4EE">
      <w:pPr>
        <w:topLinePunct/>
        <w:adjustRightInd w:val="0"/>
        <w:snapToGrid w:val="0"/>
        <w:spacing w:line="360" w:lineRule="auto"/>
        <w:ind w:firstLine="496" w:firstLineChars="200"/>
        <w:rPr>
          <w:rFonts w:hint="eastAsia" w:ascii="宋体" w:hAnsi="宋体" w:cs="宋体"/>
          <w:color w:val="auto"/>
          <w:spacing w:val="4"/>
          <w:kern w:val="0"/>
          <w:sz w:val="24"/>
          <w:szCs w:val="24"/>
          <w:highlight w:val="none"/>
        </w:rPr>
      </w:pPr>
    </w:p>
    <w:p w14:paraId="4620ED19">
      <w:pPr>
        <w:autoSpaceDE w:val="0"/>
        <w:autoSpaceDN w:val="0"/>
        <w:adjustRightInd w:val="0"/>
        <w:ind w:left="-540" w:leftChars="-257" w:firstLine="1135" w:firstLineChars="257"/>
        <w:jc w:val="center"/>
        <w:rPr>
          <w:rFonts w:hint="eastAsia" w:ascii="宋体" w:hAnsi="宋体" w:cs="宋体"/>
          <w:b/>
          <w:bCs/>
          <w:color w:val="auto"/>
          <w:sz w:val="52"/>
          <w:szCs w:val="52"/>
          <w:highlight w:val="none"/>
        </w:rPr>
      </w:pPr>
      <w:r>
        <w:rPr>
          <w:rFonts w:hint="eastAsia" w:ascii="宋体" w:hAnsi="宋体" w:cs="宋体"/>
          <w:b/>
          <w:bCs/>
          <w:color w:val="auto"/>
          <w:sz w:val="44"/>
          <w:szCs w:val="44"/>
          <w:highlight w:val="none"/>
          <w:lang w:val="zh-CN"/>
        </w:rPr>
        <w:t>分项投标书</w:t>
      </w:r>
    </w:p>
    <w:tbl>
      <w:tblPr>
        <w:tblStyle w:val="17"/>
        <w:tblpPr w:leftFromText="180" w:rightFromText="180" w:vertAnchor="text" w:horzAnchor="margin" w:tblpXSpec="center" w:tblpY="275"/>
        <w:tblW w:w="93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3"/>
        <w:gridCol w:w="4022"/>
      </w:tblGrid>
      <w:tr w14:paraId="5ECE4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5353" w:type="dxa"/>
            <w:tcBorders>
              <w:top w:val="single" w:color="auto" w:sz="4" w:space="0"/>
              <w:left w:val="single" w:color="auto" w:sz="4" w:space="0"/>
              <w:bottom w:val="single" w:color="auto" w:sz="4" w:space="0"/>
              <w:right w:val="single" w:color="auto" w:sz="4" w:space="0"/>
            </w:tcBorders>
            <w:noWrap w:val="0"/>
            <w:vAlign w:val="center"/>
          </w:tcPr>
          <w:p w14:paraId="18B34FCF">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cs="宋体"/>
                <w:b/>
                <w:bCs/>
                <w:color w:val="auto"/>
                <w:sz w:val="24"/>
                <w:szCs w:val="24"/>
                <w:highlight w:val="none"/>
                <w:lang w:val="zh-CN"/>
              </w:rPr>
            </w:pPr>
            <w:r>
              <w:rPr>
                <w:rFonts w:hint="eastAsia" w:ascii="宋体" w:hAnsi="宋体" w:cs="宋体"/>
                <w:b/>
                <w:color w:val="auto"/>
                <w:sz w:val="24"/>
                <w:szCs w:val="24"/>
                <w:highlight w:val="none"/>
                <w:lang w:val="zh-CN"/>
              </w:rPr>
              <w:t>工 程 名 称</w:t>
            </w:r>
          </w:p>
        </w:tc>
        <w:tc>
          <w:tcPr>
            <w:tcW w:w="4022" w:type="dxa"/>
            <w:tcBorders>
              <w:top w:val="single" w:color="auto" w:sz="4" w:space="0"/>
              <w:left w:val="single" w:color="auto" w:sz="4" w:space="0"/>
              <w:bottom w:val="single" w:color="auto" w:sz="4" w:space="0"/>
              <w:right w:val="single" w:color="auto" w:sz="4" w:space="0"/>
            </w:tcBorders>
            <w:noWrap w:val="0"/>
            <w:vAlign w:val="center"/>
          </w:tcPr>
          <w:p w14:paraId="27A700C9">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cs="宋体"/>
                <w:b/>
                <w:bCs/>
                <w:color w:val="auto"/>
                <w:sz w:val="24"/>
                <w:szCs w:val="24"/>
                <w:highlight w:val="none"/>
                <w:lang w:val="zh-CN"/>
              </w:rPr>
            </w:pPr>
            <w:r>
              <w:rPr>
                <w:rFonts w:hint="eastAsia" w:ascii="宋体" w:hAnsi="宋体" w:cs="宋体"/>
                <w:b/>
                <w:bCs/>
                <w:color w:val="auto"/>
                <w:sz w:val="24"/>
                <w:szCs w:val="24"/>
                <w:highlight w:val="none"/>
                <w:lang w:val="zh-CN"/>
              </w:rPr>
              <w:t>广州天河体育中心田径副场改造项目</w:t>
            </w:r>
          </w:p>
        </w:tc>
      </w:tr>
      <w:tr w14:paraId="09531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353" w:type="dxa"/>
            <w:tcBorders>
              <w:top w:val="single" w:color="auto" w:sz="4" w:space="0"/>
              <w:left w:val="single" w:color="auto" w:sz="4" w:space="0"/>
              <w:bottom w:val="single" w:color="auto" w:sz="4" w:space="0"/>
              <w:right w:val="single" w:color="auto" w:sz="4" w:space="0"/>
            </w:tcBorders>
            <w:noWrap w:val="0"/>
            <w:vAlign w:val="center"/>
          </w:tcPr>
          <w:p w14:paraId="6A3D3245">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cs="宋体"/>
                <w:b/>
                <w:bCs/>
                <w:color w:val="auto"/>
                <w:sz w:val="24"/>
                <w:szCs w:val="24"/>
                <w:highlight w:val="none"/>
                <w:lang w:val="zh-CN"/>
              </w:rPr>
            </w:pPr>
            <w:r>
              <w:rPr>
                <w:rFonts w:hint="eastAsia" w:ascii="宋体" w:hAnsi="宋体" w:cs="宋体"/>
                <w:b/>
                <w:color w:val="auto"/>
                <w:sz w:val="24"/>
                <w:szCs w:val="24"/>
                <w:highlight w:val="none"/>
                <w:lang w:val="zh-CN"/>
              </w:rPr>
              <w:t>投标报价（元）</w:t>
            </w:r>
          </w:p>
        </w:tc>
        <w:tc>
          <w:tcPr>
            <w:tcW w:w="4022" w:type="dxa"/>
            <w:tcBorders>
              <w:top w:val="single" w:color="auto" w:sz="4" w:space="0"/>
              <w:left w:val="single" w:color="auto" w:sz="4" w:space="0"/>
              <w:bottom w:val="single" w:color="auto" w:sz="4" w:space="0"/>
              <w:right w:val="single" w:color="auto" w:sz="4" w:space="0"/>
            </w:tcBorders>
            <w:noWrap w:val="0"/>
            <w:vAlign w:val="center"/>
          </w:tcPr>
          <w:p w14:paraId="2B04ADB2">
            <w:pPr>
              <w:keepNext w:val="0"/>
              <w:keepLines w:val="0"/>
              <w:suppressLineNumbers w:val="0"/>
              <w:autoSpaceDE w:val="0"/>
              <w:autoSpaceDN w:val="0"/>
              <w:adjustRightInd w:val="0"/>
              <w:spacing w:before="0" w:beforeAutospacing="0" w:after="0" w:afterAutospacing="0"/>
              <w:ind w:left="0" w:right="0"/>
              <w:rPr>
                <w:rFonts w:hint="eastAsia" w:ascii="宋体" w:hAnsi="宋体" w:cs="宋体"/>
                <w:b/>
                <w:bCs/>
                <w:color w:val="auto"/>
                <w:sz w:val="24"/>
                <w:szCs w:val="24"/>
                <w:highlight w:val="none"/>
                <w:lang w:val="zh-CN"/>
              </w:rPr>
            </w:pPr>
          </w:p>
        </w:tc>
      </w:tr>
      <w:tr w14:paraId="6D067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353" w:type="dxa"/>
            <w:tcBorders>
              <w:top w:val="single" w:color="auto" w:sz="4" w:space="0"/>
              <w:left w:val="single" w:color="auto" w:sz="4" w:space="0"/>
              <w:bottom w:val="single" w:color="auto" w:sz="4" w:space="0"/>
              <w:right w:val="single" w:color="auto" w:sz="4" w:space="0"/>
            </w:tcBorders>
            <w:noWrap w:val="0"/>
            <w:vAlign w:val="center"/>
          </w:tcPr>
          <w:p w14:paraId="00F19855">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cs="宋体"/>
                <w:b/>
                <w:bCs/>
                <w:color w:val="auto"/>
                <w:sz w:val="24"/>
                <w:szCs w:val="24"/>
                <w:highlight w:val="none"/>
                <w:lang w:val="zh-CN"/>
              </w:rPr>
            </w:pPr>
            <w:r>
              <w:rPr>
                <w:rFonts w:hint="eastAsia" w:ascii="宋体" w:hAnsi="宋体" w:cs="宋体"/>
                <w:b/>
                <w:color w:val="auto"/>
                <w:sz w:val="24"/>
                <w:szCs w:val="24"/>
                <w:highlight w:val="none"/>
                <w:lang w:val="zh-CN"/>
              </w:rPr>
              <w:t>其中：</w:t>
            </w:r>
            <w:r>
              <w:rPr>
                <w:rFonts w:hint="eastAsia" w:ascii="宋体" w:hAnsi="宋体" w:cs="宋体"/>
                <w:b/>
                <w:bCs/>
                <w:color w:val="auto"/>
                <w:sz w:val="24"/>
                <w:szCs w:val="24"/>
                <w:highlight w:val="none"/>
                <w:lang w:val="zh-CN"/>
              </w:rPr>
              <w:t>人工费</w:t>
            </w:r>
            <w:r>
              <w:rPr>
                <w:rFonts w:hint="eastAsia" w:ascii="宋体" w:hAnsi="宋体" w:cs="宋体"/>
                <w:b/>
                <w:color w:val="auto"/>
                <w:sz w:val="24"/>
                <w:szCs w:val="24"/>
                <w:highlight w:val="none"/>
                <w:lang w:val="zh-CN"/>
              </w:rPr>
              <w:t>（元）</w:t>
            </w:r>
          </w:p>
        </w:tc>
        <w:tc>
          <w:tcPr>
            <w:tcW w:w="4022" w:type="dxa"/>
            <w:tcBorders>
              <w:top w:val="single" w:color="auto" w:sz="4" w:space="0"/>
              <w:left w:val="single" w:color="auto" w:sz="4" w:space="0"/>
              <w:bottom w:val="single" w:color="auto" w:sz="4" w:space="0"/>
              <w:right w:val="single" w:color="auto" w:sz="4" w:space="0"/>
            </w:tcBorders>
            <w:noWrap w:val="0"/>
            <w:vAlign w:val="center"/>
          </w:tcPr>
          <w:p w14:paraId="2240DD5B">
            <w:pPr>
              <w:keepNext w:val="0"/>
              <w:keepLines w:val="0"/>
              <w:suppressLineNumbers w:val="0"/>
              <w:autoSpaceDE w:val="0"/>
              <w:autoSpaceDN w:val="0"/>
              <w:adjustRightInd w:val="0"/>
              <w:spacing w:before="0" w:beforeAutospacing="0" w:after="0" w:afterAutospacing="0"/>
              <w:ind w:left="0" w:right="0"/>
              <w:rPr>
                <w:rFonts w:hint="eastAsia" w:ascii="宋体" w:hAnsi="宋体" w:cs="宋体"/>
                <w:b/>
                <w:bCs/>
                <w:color w:val="auto"/>
                <w:sz w:val="24"/>
                <w:szCs w:val="24"/>
                <w:highlight w:val="none"/>
                <w:lang w:val="zh-CN"/>
              </w:rPr>
            </w:pPr>
          </w:p>
        </w:tc>
      </w:tr>
      <w:tr w14:paraId="5E6AD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353" w:type="dxa"/>
            <w:tcBorders>
              <w:top w:val="single" w:color="auto" w:sz="4" w:space="0"/>
              <w:left w:val="single" w:color="auto" w:sz="4" w:space="0"/>
              <w:bottom w:val="single" w:color="auto" w:sz="4" w:space="0"/>
              <w:right w:val="single" w:color="auto" w:sz="4" w:space="0"/>
            </w:tcBorders>
            <w:noWrap w:val="0"/>
            <w:vAlign w:val="center"/>
          </w:tcPr>
          <w:p w14:paraId="53D33F6E">
            <w:pPr>
              <w:keepNext w:val="0"/>
              <w:keepLines w:val="0"/>
              <w:widowControl/>
              <w:suppressLineNumbers w:val="0"/>
              <w:spacing w:before="0" w:beforeAutospacing="0" w:after="0" w:afterAutospacing="0"/>
              <w:ind w:left="0" w:right="0"/>
              <w:jc w:val="left"/>
              <w:rPr>
                <w:rFonts w:hint="eastAsia" w:ascii="宋体" w:hAnsi="宋体" w:cs="宋体"/>
                <w:b/>
                <w:bCs/>
                <w:color w:val="auto"/>
                <w:sz w:val="24"/>
                <w:szCs w:val="24"/>
                <w:highlight w:val="none"/>
                <w:lang w:val="zh-CN"/>
              </w:rPr>
            </w:pPr>
            <w:r>
              <w:rPr>
                <w:rFonts w:hint="eastAsia" w:ascii="宋体" w:hAnsi="宋体" w:cs="宋体"/>
                <w:b/>
                <w:bCs/>
                <w:color w:val="auto"/>
                <w:sz w:val="24"/>
                <w:szCs w:val="24"/>
                <w:highlight w:val="none"/>
                <w:lang w:val="zh-CN"/>
              </w:rPr>
              <w:t>其中：</w:t>
            </w:r>
            <w:r>
              <w:rPr>
                <w:rFonts w:hint="eastAsia" w:ascii="宋体" w:hAnsi="宋体" w:cs="宋体"/>
                <w:b/>
                <w:color w:val="auto"/>
                <w:sz w:val="24"/>
                <w:szCs w:val="24"/>
                <w:highlight w:val="none"/>
                <w:lang w:val="zh-CN"/>
              </w:rPr>
              <w:t>绿色施工安全防护措施费（元）</w:t>
            </w:r>
          </w:p>
        </w:tc>
        <w:tc>
          <w:tcPr>
            <w:tcW w:w="4022" w:type="dxa"/>
            <w:tcBorders>
              <w:top w:val="single" w:color="auto" w:sz="4" w:space="0"/>
              <w:left w:val="single" w:color="auto" w:sz="4" w:space="0"/>
              <w:bottom w:val="single" w:color="auto" w:sz="4" w:space="0"/>
              <w:right w:val="single" w:color="auto" w:sz="4" w:space="0"/>
            </w:tcBorders>
            <w:noWrap w:val="0"/>
            <w:vAlign w:val="center"/>
          </w:tcPr>
          <w:p w14:paraId="4E849B26">
            <w:pPr>
              <w:keepNext w:val="0"/>
              <w:keepLines w:val="0"/>
              <w:suppressLineNumbers w:val="0"/>
              <w:autoSpaceDE w:val="0"/>
              <w:autoSpaceDN w:val="0"/>
              <w:adjustRightInd w:val="0"/>
              <w:spacing w:before="0" w:beforeAutospacing="0" w:after="0" w:afterAutospacing="0"/>
              <w:ind w:left="0" w:right="0"/>
              <w:rPr>
                <w:rFonts w:hint="eastAsia" w:ascii="宋体" w:hAnsi="宋体" w:cs="宋体"/>
                <w:b/>
                <w:bCs/>
                <w:color w:val="auto"/>
                <w:sz w:val="24"/>
                <w:szCs w:val="24"/>
                <w:highlight w:val="none"/>
                <w:lang w:val="zh-CN"/>
              </w:rPr>
            </w:pPr>
          </w:p>
        </w:tc>
      </w:tr>
      <w:tr w14:paraId="0B7D2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trPr>
        <w:tc>
          <w:tcPr>
            <w:tcW w:w="5353" w:type="dxa"/>
            <w:tcBorders>
              <w:top w:val="single" w:color="auto" w:sz="4" w:space="0"/>
              <w:left w:val="single" w:color="auto" w:sz="4" w:space="0"/>
              <w:bottom w:val="single" w:color="auto" w:sz="4" w:space="0"/>
              <w:right w:val="single" w:color="auto" w:sz="4" w:space="0"/>
            </w:tcBorders>
            <w:noWrap w:val="0"/>
            <w:vAlign w:val="center"/>
          </w:tcPr>
          <w:p w14:paraId="2A41E541">
            <w:pPr>
              <w:keepNext w:val="0"/>
              <w:keepLines w:val="0"/>
              <w:widowControl/>
              <w:suppressLineNumbers w:val="0"/>
              <w:spacing w:before="0" w:beforeAutospacing="0" w:after="0" w:afterAutospacing="0"/>
              <w:ind w:left="0" w:right="0"/>
              <w:jc w:val="center"/>
              <w:rPr>
                <w:rFonts w:hint="eastAsia" w:ascii="宋体" w:hAnsi="宋体" w:cs="宋体"/>
                <w:b/>
                <w:bCs/>
                <w:color w:val="auto"/>
                <w:sz w:val="24"/>
                <w:szCs w:val="24"/>
                <w:highlight w:val="none"/>
                <w:lang w:val="zh-CN"/>
              </w:rPr>
            </w:pPr>
            <w:r>
              <w:rPr>
                <w:rFonts w:hint="eastAsia" w:ascii="宋体" w:hAnsi="宋体" w:cs="宋体"/>
                <w:b/>
                <w:bCs/>
                <w:color w:val="auto"/>
                <w:sz w:val="24"/>
                <w:szCs w:val="24"/>
                <w:highlight w:val="none"/>
                <w:lang w:val="zh-CN"/>
              </w:rPr>
              <w:t>法定代表人或其委托代理人（签字或盖章）</w:t>
            </w:r>
          </w:p>
        </w:tc>
        <w:tc>
          <w:tcPr>
            <w:tcW w:w="4022" w:type="dxa"/>
            <w:tcBorders>
              <w:top w:val="single" w:color="auto" w:sz="4" w:space="0"/>
              <w:left w:val="single" w:color="auto" w:sz="4" w:space="0"/>
              <w:bottom w:val="single" w:color="auto" w:sz="4" w:space="0"/>
              <w:right w:val="single" w:color="auto" w:sz="4" w:space="0"/>
            </w:tcBorders>
            <w:noWrap w:val="0"/>
            <w:vAlign w:val="center"/>
          </w:tcPr>
          <w:p w14:paraId="29E3642F">
            <w:pPr>
              <w:keepNext w:val="0"/>
              <w:keepLines w:val="0"/>
              <w:suppressLineNumbers w:val="0"/>
              <w:autoSpaceDE w:val="0"/>
              <w:autoSpaceDN w:val="0"/>
              <w:adjustRightInd w:val="0"/>
              <w:spacing w:before="0" w:beforeAutospacing="0" w:after="0" w:afterAutospacing="0"/>
              <w:ind w:left="0" w:right="0"/>
              <w:rPr>
                <w:rFonts w:hint="eastAsia" w:ascii="宋体" w:hAnsi="宋体" w:cs="宋体"/>
                <w:b/>
                <w:bCs/>
                <w:color w:val="auto"/>
                <w:sz w:val="24"/>
                <w:szCs w:val="24"/>
                <w:highlight w:val="none"/>
                <w:lang w:val="zh-CN"/>
              </w:rPr>
            </w:pPr>
          </w:p>
        </w:tc>
      </w:tr>
      <w:tr w14:paraId="1B01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5353" w:type="dxa"/>
            <w:tcBorders>
              <w:top w:val="single" w:color="auto" w:sz="4" w:space="0"/>
              <w:left w:val="single" w:color="auto" w:sz="4" w:space="0"/>
              <w:bottom w:val="single" w:color="auto" w:sz="4" w:space="0"/>
              <w:right w:val="single" w:color="auto" w:sz="4" w:space="0"/>
            </w:tcBorders>
            <w:noWrap w:val="0"/>
            <w:vAlign w:val="center"/>
          </w:tcPr>
          <w:p w14:paraId="7F498118">
            <w:pPr>
              <w:keepNext w:val="0"/>
              <w:keepLines w:val="0"/>
              <w:widowControl/>
              <w:suppressLineNumbers w:val="0"/>
              <w:spacing w:before="0" w:beforeAutospacing="0" w:after="0" w:afterAutospacing="0"/>
              <w:ind w:left="0" w:right="0"/>
              <w:jc w:val="center"/>
              <w:rPr>
                <w:rFonts w:hint="eastAsia" w:ascii="宋体" w:hAnsi="宋体" w:cs="宋体"/>
                <w:b/>
                <w:bCs/>
                <w:color w:val="auto"/>
                <w:sz w:val="24"/>
                <w:szCs w:val="24"/>
                <w:highlight w:val="none"/>
                <w:lang w:val="zh-CN"/>
              </w:rPr>
            </w:pPr>
            <w:r>
              <w:rPr>
                <w:rFonts w:hint="eastAsia" w:ascii="宋体" w:hAnsi="宋体" w:cs="宋体"/>
                <w:b/>
                <w:bCs/>
                <w:color w:val="auto"/>
                <w:sz w:val="24"/>
                <w:szCs w:val="24"/>
                <w:highlight w:val="none"/>
                <w:lang w:val="zh-CN"/>
              </w:rPr>
              <w:t>投标单位（盖章）</w:t>
            </w:r>
          </w:p>
        </w:tc>
        <w:tc>
          <w:tcPr>
            <w:tcW w:w="4022" w:type="dxa"/>
            <w:tcBorders>
              <w:top w:val="single" w:color="auto" w:sz="4" w:space="0"/>
              <w:left w:val="single" w:color="auto" w:sz="4" w:space="0"/>
              <w:bottom w:val="single" w:color="auto" w:sz="4" w:space="0"/>
              <w:right w:val="single" w:color="auto" w:sz="4" w:space="0"/>
            </w:tcBorders>
            <w:noWrap w:val="0"/>
            <w:vAlign w:val="center"/>
          </w:tcPr>
          <w:p w14:paraId="6B0900C1">
            <w:pPr>
              <w:keepNext w:val="0"/>
              <w:keepLines w:val="0"/>
              <w:suppressLineNumbers w:val="0"/>
              <w:autoSpaceDE w:val="0"/>
              <w:autoSpaceDN w:val="0"/>
              <w:adjustRightInd w:val="0"/>
              <w:spacing w:before="0" w:beforeAutospacing="0" w:after="0" w:afterAutospacing="0"/>
              <w:ind w:left="0" w:right="0"/>
              <w:rPr>
                <w:rFonts w:hint="eastAsia" w:ascii="宋体" w:hAnsi="宋体" w:cs="宋体"/>
                <w:b/>
                <w:bCs/>
                <w:color w:val="auto"/>
                <w:sz w:val="24"/>
                <w:szCs w:val="24"/>
                <w:highlight w:val="none"/>
                <w:lang w:val="zh-CN"/>
              </w:rPr>
            </w:pPr>
          </w:p>
        </w:tc>
      </w:tr>
    </w:tbl>
    <w:p w14:paraId="540626A4">
      <w:pPr>
        <w:keepNext w:val="0"/>
        <w:keepLines w:val="0"/>
        <w:widowControl w:val="0"/>
        <w:suppressLineNumbers w:val="0"/>
        <w:topLinePunct/>
        <w:adjustRightInd w:val="0"/>
        <w:snapToGrid w:val="0"/>
        <w:spacing w:before="0" w:beforeAutospacing="0" w:after="0" w:afterAutospacing="0"/>
        <w:ind w:left="0" w:right="0"/>
        <w:jc w:val="left"/>
        <w:outlineLvl w:val="2"/>
        <w:rPr>
          <w:rFonts w:hint="eastAsia" w:ascii="宋体" w:hAnsi="宋体" w:eastAsia="宋体" w:cs="Times New Roman"/>
          <w:color w:val="auto"/>
          <w:spacing w:val="4"/>
          <w:kern w:val="0"/>
          <w:sz w:val="24"/>
          <w:szCs w:val="24"/>
          <w:highlight w:val="none"/>
        </w:rPr>
      </w:pPr>
      <w:r>
        <w:rPr>
          <w:rFonts w:hint="default" w:ascii="Calibri" w:hAnsi="Calibri" w:eastAsia="宋体" w:cs="Times New Roman"/>
          <w:color w:val="auto"/>
          <w:kern w:val="2"/>
          <w:sz w:val="24"/>
          <w:szCs w:val="24"/>
          <w:highlight w:val="none"/>
          <w:lang w:val="en-US" w:eastAsia="zh-CN" w:bidi="ar"/>
        </w:rPr>
        <w:br w:type="page"/>
      </w:r>
      <w:bookmarkStart w:id="45" w:name="_Toc504722505"/>
      <w:bookmarkEnd w:id="45"/>
      <w:bookmarkStart w:id="46" w:name="_Toc4489937"/>
      <w:bookmarkEnd w:id="46"/>
      <w:bookmarkStart w:id="47" w:name="_Toc22278"/>
      <w:bookmarkEnd w:id="47"/>
      <w:bookmarkStart w:id="48" w:name="_Toc14697649"/>
      <w:bookmarkEnd w:id="48"/>
      <w:bookmarkStart w:id="49" w:name="_Toc27343"/>
      <w:r>
        <w:rPr>
          <w:rFonts w:hint="eastAsia" w:ascii="宋体" w:hAnsi="宋体" w:eastAsia="宋体" w:cs="宋体"/>
          <w:color w:val="auto"/>
          <w:spacing w:val="4"/>
          <w:kern w:val="0"/>
          <w:sz w:val="24"/>
          <w:szCs w:val="24"/>
          <w:highlight w:val="none"/>
          <w:lang w:val="en-US" w:eastAsia="zh-CN" w:bidi="ar"/>
        </w:rPr>
        <w:t>格式三：投标函</w:t>
      </w:r>
      <w:bookmarkEnd w:id="49"/>
    </w:p>
    <w:p w14:paraId="0C527F96">
      <w:pPr>
        <w:keepNext w:val="0"/>
        <w:keepLines w:val="0"/>
        <w:widowControl w:val="0"/>
        <w:suppressLineNumbers w:val="0"/>
        <w:topLinePunct/>
        <w:adjustRightInd w:val="0"/>
        <w:snapToGrid w:val="0"/>
        <w:spacing w:before="156" w:beforeAutospacing="0" w:after="156" w:afterAutospacing="0" w:line="360" w:lineRule="auto"/>
        <w:ind w:left="0" w:right="0"/>
        <w:jc w:val="center"/>
        <w:rPr>
          <w:rFonts w:hint="eastAsia" w:ascii="宋体" w:hAnsi="宋体" w:eastAsia="宋体" w:cs="Times New Roman"/>
          <w:b/>
          <w:bCs w:val="0"/>
          <w:color w:val="auto"/>
          <w:spacing w:val="4"/>
          <w:kern w:val="0"/>
          <w:sz w:val="36"/>
          <w:szCs w:val="36"/>
          <w:highlight w:val="none"/>
        </w:rPr>
      </w:pPr>
      <w:r>
        <w:rPr>
          <w:rFonts w:hint="eastAsia" w:ascii="宋体" w:hAnsi="宋体" w:eastAsia="宋体" w:cs="宋体"/>
          <w:b/>
          <w:bCs w:val="0"/>
          <w:color w:val="auto"/>
          <w:spacing w:val="4"/>
          <w:kern w:val="0"/>
          <w:sz w:val="36"/>
          <w:szCs w:val="36"/>
          <w:highlight w:val="none"/>
          <w:lang w:val="en-US" w:eastAsia="zh-CN" w:bidi="ar"/>
        </w:rPr>
        <w:t>投</w:t>
      </w:r>
      <w:r>
        <w:rPr>
          <w:rFonts w:hint="eastAsia" w:ascii="宋体" w:hAnsi="宋体" w:eastAsia="宋体" w:cs="Times New Roman"/>
          <w:b/>
          <w:bCs w:val="0"/>
          <w:color w:val="auto"/>
          <w:spacing w:val="4"/>
          <w:kern w:val="0"/>
          <w:sz w:val="36"/>
          <w:szCs w:val="36"/>
          <w:highlight w:val="none"/>
          <w:lang w:val="en-US" w:eastAsia="zh-CN" w:bidi="ar"/>
        </w:rPr>
        <w:t xml:space="preserve"> </w:t>
      </w:r>
      <w:r>
        <w:rPr>
          <w:rFonts w:hint="eastAsia" w:ascii="宋体" w:hAnsi="宋体" w:eastAsia="宋体" w:cs="宋体"/>
          <w:b/>
          <w:bCs w:val="0"/>
          <w:color w:val="auto"/>
          <w:spacing w:val="4"/>
          <w:kern w:val="0"/>
          <w:sz w:val="36"/>
          <w:szCs w:val="36"/>
          <w:highlight w:val="none"/>
          <w:lang w:val="en-US" w:eastAsia="zh-CN" w:bidi="ar"/>
        </w:rPr>
        <w:t>标</w:t>
      </w:r>
      <w:r>
        <w:rPr>
          <w:rFonts w:hint="eastAsia" w:ascii="宋体" w:hAnsi="宋体" w:eastAsia="宋体" w:cs="Times New Roman"/>
          <w:b/>
          <w:bCs w:val="0"/>
          <w:color w:val="auto"/>
          <w:spacing w:val="4"/>
          <w:kern w:val="0"/>
          <w:sz w:val="36"/>
          <w:szCs w:val="36"/>
          <w:highlight w:val="none"/>
          <w:lang w:val="en-US" w:eastAsia="zh-CN" w:bidi="ar"/>
        </w:rPr>
        <w:t xml:space="preserve"> </w:t>
      </w:r>
      <w:r>
        <w:rPr>
          <w:rFonts w:hint="eastAsia" w:ascii="宋体" w:hAnsi="宋体" w:eastAsia="宋体" w:cs="宋体"/>
          <w:b/>
          <w:bCs w:val="0"/>
          <w:color w:val="auto"/>
          <w:spacing w:val="4"/>
          <w:kern w:val="0"/>
          <w:sz w:val="36"/>
          <w:szCs w:val="36"/>
          <w:highlight w:val="none"/>
          <w:lang w:val="en-US" w:eastAsia="zh-CN" w:bidi="ar"/>
        </w:rPr>
        <w:t>函</w:t>
      </w:r>
    </w:p>
    <w:p w14:paraId="7AF8758D">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致：</w:t>
      </w:r>
      <w:r>
        <w:rPr>
          <w:rFonts w:hint="eastAsia" w:ascii="宋体" w:hAnsi="宋体" w:eastAsia="宋体" w:cs="Times New Roman"/>
          <w:color w:val="auto"/>
          <w:spacing w:val="4"/>
          <w:kern w:val="0"/>
          <w:sz w:val="24"/>
          <w:szCs w:val="24"/>
          <w:highlight w:val="none"/>
          <w:u w:val="single"/>
          <w:lang w:val="en-US" w:eastAsia="zh-CN" w:bidi="ar"/>
        </w:rPr>
        <w:t xml:space="preserve"> </w:t>
      </w:r>
      <w:r>
        <w:rPr>
          <w:rFonts w:hint="eastAsia" w:ascii="宋体" w:hAnsi="宋体" w:eastAsia="宋体" w:cs="宋体"/>
          <w:color w:val="auto"/>
          <w:spacing w:val="4"/>
          <w:kern w:val="0"/>
          <w:sz w:val="24"/>
          <w:szCs w:val="24"/>
          <w:highlight w:val="none"/>
          <w:u w:val="single"/>
          <w:lang w:val="en-US" w:eastAsia="zh-CN" w:bidi="ar"/>
        </w:rPr>
        <w:t>（招标人名称）</w:t>
      </w:r>
      <w:r>
        <w:rPr>
          <w:rFonts w:hint="eastAsia" w:ascii="宋体" w:hAnsi="宋体" w:eastAsia="宋体" w:cs="Times New Roman"/>
          <w:color w:val="auto"/>
          <w:spacing w:val="4"/>
          <w:kern w:val="0"/>
          <w:sz w:val="24"/>
          <w:szCs w:val="24"/>
          <w:highlight w:val="none"/>
          <w:u w:val="single"/>
          <w:lang w:val="en-US" w:eastAsia="zh-CN" w:bidi="ar"/>
        </w:rPr>
        <w:t xml:space="preserve"> </w:t>
      </w:r>
    </w:p>
    <w:p w14:paraId="46D8A21F">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1.根据招标人</w:t>
      </w:r>
      <w:r>
        <w:rPr>
          <w:rFonts w:hint="eastAsia" w:ascii="宋体" w:hAnsi="宋体" w:eastAsia="宋体" w:cs="Times New Roman"/>
          <w:color w:val="auto"/>
          <w:spacing w:val="4"/>
          <w:kern w:val="0"/>
          <w:sz w:val="24"/>
          <w:szCs w:val="24"/>
          <w:highlight w:val="none"/>
          <w:u w:val="single"/>
          <w:lang w:val="en-US" w:eastAsia="zh-CN" w:bidi="ar"/>
        </w:rPr>
        <w:t xml:space="preserve"> </w:t>
      </w:r>
      <w:r>
        <w:rPr>
          <w:rFonts w:hint="eastAsia" w:ascii="宋体" w:hAnsi="宋体" w:eastAsia="宋体" w:cs="宋体"/>
          <w:color w:val="auto"/>
          <w:spacing w:val="4"/>
          <w:kern w:val="0"/>
          <w:sz w:val="24"/>
          <w:szCs w:val="24"/>
          <w:highlight w:val="none"/>
          <w:u w:val="single"/>
          <w:lang w:val="en-US" w:eastAsia="zh-CN" w:bidi="ar"/>
        </w:rPr>
        <w:t>（工程项目名称）</w:t>
      </w:r>
      <w:r>
        <w:rPr>
          <w:rFonts w:hint="eastAsia" w:ascii="宋体" w:hAnsi="宋体" w:eastAsia="宋体" w:cs="Times New Roman"/>
          <w:color w:val="auto"/>
          <w:spacing w:val="4"/>
          <w:kern w:val="0"/>
          <w:sz w:val="24"/>
          <w:szCs w:val="24"/>
          <w:highlight w:val="none"/>
          <w:u w:val="singl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招标文件，遵照《中华人民共和国招标投标法》等有关规定，经踏勘项目现场和研究上述招标文件、相关招标资料及其他有关文件后，我方愿按我方投标总价并遵照上述文件要求承包上述工程的施工、竣工，并承担任何质量缺陷保修责任。</w:t>
      </w:r>
    </w:p>
    <w:p w14:paraId="23326222">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2.我方已详细审核全部招标文件，包括修改文件（如有时）及有关附件。</w:t>
      </w:r>
    </w:p>
    <w:p w14:paraId="31FAF8E6">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3.如果我方中标，我方保证按照合同文件中规定的开工日期开始施工，并按规定的预计竣工日期完成和交付全部工程。</w:t>
      </w:r>
    </w:p>
    <w:p w14:paraId="059C728C">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4.如果我方中标，我方承诺在充分考虑场地环境变化及政策性调整等风险因素的前提下，继续补充完善施工组织设计，直至招标人满意为止并加以实施，由此产生的费用已包含在投标报价中。</w:t>
      </w:r>
    </w:p>
    <w:p w14:paraId="5C03E7BB">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u w:val="single"/>
        </w:rPr>
      </w:pPr>
      <w:r>
        <w:rPr>
          <w:rFonts w:hint="eastAsia" w:ascii="宋体" w:hAnsi="宋体" w:eastAsia="宋体" w:cs="宋体"/>
          <w:color w:val="auto"/>
          <w:spacing w:val="4"/>
          <w:kern w:val="0"/>
          <w:sz w:val="24"/>
          <w:szCs w:val="24"/>
          <w:highlight w:val="none"/>
          <w:u w:val="single"/>
          <w:lang w:val="en-US" w:eastAsia="zh-CN" w:bidi="ar"/>
        </w:rPr>
        <w:t>5.如果我方中标，我方承诺按《建设工程质量管理条例》（中华人民共和国国务院令第279号）、《建设工程安全生产管理条例》（中华人民共和国国务院令第393号）的规定对承包工程的全部建设工程质量和施工现场的安全生产负责。</w:t>
      </w:r>
    </w:p>
    <w:p w14:paraId="4DF58BC4">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6.如果我方中标，我方将按照招标文件的规定，按时提交履约担保，以保障本项目优质、优价、按期、顺利完成。</w:t>
      </w:r>
    </w:p>
    <w:p w14:paraId="3B85B3EA">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7.我方同意所提交的投标文件在招标文件投标须知中第13条规定的投标有效期内有效，在此期限届满之前，本投标书始终将对我方具有约束力，并随时接受中标。</w:t>
      </w:r>
    </w:p>
    <w:p w14:paraId="5E62910E">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8.在合同协议书正式签署生效之前，本投标书连同你单位的中标通知书将构成我们双方之间共同遵守的文件，对双方具有约束力。</w:t>
      </w:r>
    </w:p>
    <w:p w14:paraId="48E737FF">
      <w:pPr>
        <w:keepNext w:val="0"/>
        <w:keepLines w:val="0"/>
        <w:widowControl/>
        <w:suppressLineNumbers w:val="0"/>
        <w:topLinePunct/>
        <w:adjustRightInd w:val="0"/>
        <w:snapToGrid w:val="0"/>
        <w:spacing w:before="0" w:beforeAutospacing="0" w:after="200" w:afterAutospacing="0" w:line="360" w:lineRule="auto"/>
        <w:ind w:left="0" w:right="0" w:firstLine="496" w:firstLineChars="200"/>
        <w:jc w:val="left"/>
        <w:rPr>
          <w:rFonts w:hint="default" w:ascii="Times New Roman" w:hAnsi="Times New Roman" w:eastAsia="宋体" w:cs="Times New Roman"/>
          <w:color w:val="auto"/>
          <w:spacing w:val="4"/>
          <w:kern w:val="0"/>
          <w:sz w:val="24"/>
          <w:szCs w:val="24"/>
          <w:highlight w:val="none"/>
          <w:u w:val="single"/>
        </w:rPr>
      </w:pPr>
      <w:r>
        <w:rPr>
          <w:rFonts w:hint="eastAsia" w:ascii="宋体" w:hAnsi="宋体" w:eastAsia="宋体" w:cs="宋体"/>
          <w:color w:val="auto"/>
          <w:spacing w:val="4"/>
          <w:kern w:val="0"/>
          <w:sz w:val="24"/>
          <w:szCs w:val="24"/>
          <w:highlight w:val="none"/>
          <w:u w:val="single"/>
          <w:lang w:val="en-US" w:eastAsia="zh-CN" w:bidi="ar"/>
        </w:rPr>
        <w:t>9.随同本投标文件，如果我方在投标文件有效期内撤回投标文件；或在接到中标通知书后</w:t>
      </w:r>
      <w:r>
        <w:rPr>
          <w:rFonts w:hint="default" w:ascii="Times New Roman" w:hAnsi="Times New Roman" w:eastAsia="宋体" w:cs="Times New Roman"/>
          <w:color w:val="auto"/>
          <w:spacing w:val="4"/>
          <w:kern w:val="0"/>
          <w:sz w:val="24"/>
          <w:szCs w:val="24"/>
          <w:highlight w:val="none"/>
          <w:u w:val="single"/>
          <w:lang w:val="en-US" w:eastAsia="zh-CN" w:bidi="ar"/>
        </w:rPr>
        <w:t>28</w:t>
      </w:r>
      <w:r>
        <w:rPr>
          <w:rFonts w:hint="eastAsia" w:ascii="宋体" w:hAnsi="宋体" w:eastAsia="宋体" w:cs="宋体"/>
          <w:color w:val="auto"/>
          <w:spacing w:val="4"/>
          <w:kern w:val="0"/>
          <w:sz w:val="24"/>
          <w:szCs w:val="24"/>
          <w:highlight w:val="none"/>
          <w:u w:val="single"/>
          <w:lang w:val="en-US" w:eastAsia="zh-CN" w:bidi="ar"/>
        </w:rPr>
        <w:t>天内未能或拒绝签订合同协议书；或未能按招标文件要求提交履约担保，你单位有权另选中标单位。</w:t>
      </w:r>
    </w:p>
    <w:p w14:paraId="038FF7BA">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10</w:t>
      </w:r>
      <w:r>
        <w:rPr>
          <w:rFonts w:hint="eastAsia" w:ascii="宋体" w:hAnsi="宋体" w:eastAsia="宋体" w:cs="宋体"/>
          <w:color w:val="auto"/>
          <w:spacing w:val="4"/>
          <w:kern w:val="0"/>
          <w:sz w:val="24"/>
          <w:szCs w:val="24"/>
          <w:highlight w:val="none"/>
          <w:lang w:val="en-US" w:eastAsia="zh-CN" w:bidi="ar"/>
        </w:rPr>
        <w:t>.</w:t>
      </w:r>
      <w:bookmarkStart w:id="50" w:name="_Toc484958693"/>
      <w:r>
        <w:rPr>
          <w:rFonts w:hint="eastAsia" w:ascii="宋体" w:hAnsi="宋体" w:eastAsia="宋体" w:cs="宋体"/>
          <w:color w:val="auto"/>
          <w:spacing w:val="4"/>
          <w:kern w:val="0"/>
          <w:sz w:val="24"/>
          <w:szCs w:val="24"/>
          <w:highlight w:val="none"/>
          <w:lang w:val="en-US" w:eastAsia="zh-CN" w:bidi="ar"/>
        </w:rPr>
        <w:t>我方</w:t>
      </w:r>
      <w:bookmarkEnd w:id="50"/>
      <w:r>
        <w:rPr>
          <w:rFonts w:hint="eastAsia" w:ascii="宋体" w:hAnsi="宋体" w:eastAsia="宋体" w:cs="宋体"/>
          <w:color w:val="auto"/>
          <w:spacing w:val="4"/>
          <w:kern w:val="0"/>
          <w:sz w:val="24"/>
          <w:szCs w:val="24"/>
          <w:highlight w:val="none"/>
          <w:lang w:val="en-US" w:eastAsia="zh-CN" w:bidi="ar"/>
        </w:rPr>
        <w:t>理解</w:t>
      </w:r>
      <w:bookmarkStart w:id="51" w:name="_Toc484958694"/>
      <w:r>
        <w:rPr>
          <w:rFonts w:hint="eastAsia" w:ascii="宋体" w:hAnsi="宋体" w:eastAsia="宋体" w:cs="宋体"/>
          <w:color w:val="auto"/>
          <w:spacing w:val="4"/>
          <w:kern w:val="0"/>
          <w:sz w:val="24"/>
          <w:szCs w:val="24"/>
          <w:highlight w:val="none"/>
          <w:lang w:val="en-US" w:eastAsia="zh-CN" w:bidi="ar"/>
        </w:rPr>
        <w:t>，你单位不一</w:t>
      </w:r>
      <w:bookmarkEnd w:id="51"/>
      <w:r>
        <w:rPr>
          <w:rFonts w:hint="eastAsia" w:ascii="宋体" w:hAnsi="宋体" w:eastAsia="宋体" w:cs="宋体"/>
          <w:color w:val="auto"/>
          <w:spacing w:val="4"/>
          <w:kern w:val="0"/>
          <w:sz w:val="24"/>
          <w:szCs w:val="24"/>
          <w:highlight w:val="none"/>
          <w:lang w:val="en-US" w:eastAsia="zh-CN" w:bidi="ar"/>
        </w:rPr>
        <w:t>定</w:t>
      </w:r>
      <w:bookmarkStart w:id="52" w:name="_Toc484958695"/>
      <w:r>
        <w:rPr>
          <w:rFonts w:hint="eastAsia" w:ascii="宋体" w:hAnsi="宋体" w:eastAsia="宋体" w:cs="宋体"/>
          <w:color w:val="auto"/>
          <w:spacing w:val="4"/>
          <w:kern w:val="0"/>
          <w:sz w:val="24"/>
          <w:szCs w:val="24"/>
          <w:highlight w:val="none"/>
          <w:lang w:val="en-US" w:eastAsia="zh-CN" w:bidi="ar"/>
        </w:rPr>
        <w:t>接受最低</w:t>
      </w:r>
      <w:bookmarkEnd w:id="52"/>
      <w:r>
        <w:rPr>
          <w:rFonts w:hint="eastAsia" w:ascii="宋体" w:hAnsi="宋体" w:eastAsia="宋体" w:cs="宋体"/>
          <w:color w:val="auto"/>
          <w:spacing w:val="4"/>
          <w:kern w:val="0"/>
          <w:sz w:val="24"/>
          <w:szCs w:val="24"/>
          <w:highlight w:val="none"/>
          <w:lang w:val="en-US" w:eastAsia="zh-CN" w:bidi="ar"/>
        </w:rPr>
        <w:t>标</w:t>
      </w:r>
      <w:bookmarkStart w:id="53" w:name="_Toc484958696"/>
      <w:r>
        <w:rPr>
          <w:rFonts w:hint="eastAsia" w:ascii="宋体" w:hAnsi="宋体" w:eastAsia="宋体" w:cs="宋体"/>
          <w:color w:val="auto"/>
          <w:spacing w:val="4"/>
          <w:kern w:val="0"/>
          <w:sz w:val="24"/>
          <w:szCs w:val="24"/>
          <w:highlight w:val="none"/>
          <w:lang w:val="en-US" w:eastAsia="zh-CN" w:bidi="ar"/>
        </w:rPr>
        <w:t>价的</w:t>
      </w:r>
      <w:bookmarkEnd w:id="53"/>
      <w:r>
        <w:rPr>
          <w:rFonts w:hint="eastAsia" w:ascii="宋体" w:hAnsi="宋体" w:eastAsia="宋体" w:cs="宋体"/>
          <w:color w:val="auto"/>
          <w:spacing w:val="4"/>
          <w:kern w:val="0"/>
          <w:sz w:val="24"/>
          <w:szCs w:val="24"/>
          <w:highlight w:val="none"/>
          <w:lang w:val="en-US" w:eastAsia="zh-CN" w:bidi="ar"/>
        </w:rPr>
        <w:t>投</w:t>
      </w:r>
      <w:bookmarkStart w:id="54" w:name="_Toc484958697"/>
      <w:r>
        <w:rPr>
          <w:rFonts w:hint="eastAsia" w:ascii="宋体" w:hAnsi="宋体" w:eastAsia="宋体" w:cs="宋体"/>
          <w:color w:val="auto"/>
          <w:spacing w:val="4"/>
          <w:kern w:val="0"/>
          <w:sz w:val="24"/>
          <w:szCs w:val="24"/>
          <w:highlight w:val="none"/>
          <w:lang w:val="en-US" w:eastAsia="zh-CN" w:bidi="ar"/>
        </w:rPr>
        <w:t>标或你单位接到的其它任何投标。同</w:t>
      </w:r>
      <w:bookmarkEnd w:id="54"/>
      <w:r>
        <w:rPr>
          <w:rFonts w:hint="eastAsia" w:ascii="宋体" w:hAnsi="宋体" w:eastAsia="宋体" w:cs="宋体"/>
          <w:color w:val="auto"/>
          <w:spacing w:val="4"/>
          <w:kern w:val="0"/>
          <w:sz w:val="24"/>
          <w:szCs w:val="24"/>
          <w:highlight w:val="none"/>
          <w:lang w:val="en-US" w:eastAsia="zh-CN" w:bidi="ar"/>
        </w:rPr>
        <w:t>时</w:t>
      </w:r>
      <w:bookmarkStart w:id="55" w:name="_Toc484958698"/>
      <w:r>
        <w:rPr>
          <w:rFonts w:hint="eastAsia" w:ascii="宋体" w:hAnsi="宋体" w:eastAsia="宋体" w:cs="宋体"/>
          <w:color w:val="auto"/>
          <w:spacing w:val="4"/>
          <w:kern w:val="0"/>
          <w:sz w:val="24"/>
          <w:szCs w:val="24"/>
          <w:highlight w:val="none"/>
          <w:lang w:val="en-US" w:eastAsia="zh-CN" w:bidi="ar"/>
        </w:rPr>
        <w:t>也理解，你单位不负担我方的任何投</w:t>
      </w:r>
      <w:bookmarkEnd w:id="55"/>
      <w:r>
        <w:rPr>
          <w:rFonts w:hint="eastAsia" w:ascii="宋体" w:hAnsi="宋体" w:eastAsia="宋体" w:cs="宋体"/>
          <w:color w:val="auto"/>
          <w:spacing w:val="4"/>
          <w:kern w:val="0"/>
          <w:sz w:val="24"/>
          <w:szCs w:val="24"/>
          <w:highlight w:val="none"/>
          <w:lang w:val="en-US" w:eastAsia="zh-CN" w:bidi="ar"/>
        </w:rPr>
        <w:t>标</w:t>
      </w:r>
      <w:bookmarkStart w:id="56" w:name="_Toc484958699"/>
      <w:r>
        <w:rPr>
          <w:rFonts w:hint="eastAsia" w:ascii="宋体" w:hAnsi="宋体" w:eastAsia="宋体" w:cs="宋体"/>
          <w:color w:val="auto"/>
          <w:spacing w:val="4"/>
          <w:kern w:val="0"/>
          <w:sz w:val="24"/>
          <w:szCs w:val="24"/>
          <w:highlight w:val="none"/>
          <w:lang w:val="en-US" w:eastAsia="zh-CN" w:bidi="ar"/>
        </w:rPr>
        <w:t>费用</w:t>
      </w:r>
      <w:bookmarkEnd w:id="56"/>
      <w:bookmarkStart w:id="57" w:name="_Toc484958700"/>
      <w:bookmarkEnd w:id="57"/>
      <w:r>
        <w:rPr>
          <w:rFonts w:hint="eastAsia" w:ascii="宋体" w:hAnsi="宋体" w:eastAsia="宋体" w:cs="宋体"/>
          <w:color w:val="auto"/>
          <w:spacing w:val="4"/>
          <w:kern w:val="0"/>
          <w:sz w:val="24"/>
          <w:szCs w:val="24"/>
          <w:highlight w:val="none"/>
          <w:lang w:val="en-US" w:eastAsia="zh-CN" w:bidi="ar"/>
        </w:rPr>
        <w:t>。</w:t>
      </w:r>
    </w:p>
    <w:p w14:paraId="191AEEB6">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2BAE6846">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61C38E8D">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投</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标</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人：（盖章）</w:t>
      </w:r>
    </w:p>
    <w:p w14:paraId="1F015F40">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bookmarkStart w:id="58" w:name="_Toc484958701"/>
      <w:bookmarkEnd w:id="58"/>
      <w:r>
        <w:rPr>
          <w:rFonts w:hint="eastAsia" w:ascii="宋体" w:hAnsi="宋体" w:eastAsia="宋体" w:cs="宋体"/>
          <w:color w:val="auto"/>
          <w:spacing w:val="4"/>
          <w:kern w:val="0"/>
          <w:sz w:val="24"/>
          <w:szCs w:val="24"/>
          <w:highlight w:val="none"/>
          <w:lang w:val="en-US" w:eastAsia="zh-CN" w:bidi="ar"/>
        </w:rPr>
        <w:t>法定代表人或授权代理人（签字或盖章）：</w:t>
      </w:r>
    </w:p>
    <w:p w14:paraId="2F1B3143">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日</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期：</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年</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月</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日</w:t>
      </w:r>
      <w:r>
        <w:rPr>
          <w:rFonts w:hint="eastAsia" w:ascii="宋体" w:hAnsi="宋体" w:eastAsia="宋体" w:cs="Times New Roman"/>
          <w:color w:val="auto"/>
          <w:spacing w:val="4"/>
          <w:kern w:val="0"/>
          <w:sz w:val="24"/>
          <w:szCs w:val="24"/>
          <w:highlight w:val="none"/>
          <w:lang w:val="en-US" w:eastAsia="zh-CN" w:bidi="ar"/>
        </w:rPr>
        <w:t xml:space="preserve"> </w:t>
      </w:r>
    </w:p>
    <w:p w14:paraId="4588C4E6">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4AFB1094">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38865741">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67BA1705">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044BD853">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6A8F3466">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3C3EDB8E">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2647A18A">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4C7EDED3">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59F7B627">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73F4EBFF">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72E2DE95">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7BCCD3BA">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1E73CEDE">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7396D53F">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0AAF52B7">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7E1C22E7">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047A5657">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43089A9B">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78048D65">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7167E08E">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3CB1F09E">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31651191">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3FF39179">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6F7725E4">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3C1804FD">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208311A7">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0F62CB89">
      <w:pPr>
        <w:keepNext w:val="0"/>
        <w:keepLines w:val="0"/>
        <w:widowControl w:val="0"/>
        <w:suppressLineNumbers w:val="0"/>
        <w:topLinePunct/>
        <w:adjustRightInd w:val="0"/>
        <w:snapToGrid w:val="0"/>
        <w:spacing w:before="0" w:beforeAutospacing="0" w:after="0" w:afterAutospacing="0"/>
        <w:ind w:left="0" w:right="0"/>
        <w:jc w:val="left"/>
        <w:outlineLvl w:val="2"/>
        <w:rPr>
          <w:rFonts w:hint="eastAsia" w:ascii="宋体" w:hAnsi="宋体" w:eastAsia="宋体" w:cs="Times New Roman"/>
          <w:color w:val="auto"/>
          <w:spacing w:val="4"/>
          <w:kern w:val="0"/>
          <w:sz w:val="24"/>
          <w:szCs w:val="24"/>
          <w:highlight w:val="none"/>
        </w:rPr>
      </w:pPr>
      <w:bookmarkStart w:id="59" w:name="_Toc26989"/>
      <w:bookmarkEnd w:id="59"/>
      <w:bookmarkStart w:id="60" w:name="_Toc504722506"/>
      <w:bookmarkEnd w:id="60"/>
      <w:bookmarkStart w:id="61" w:name="_Toc20655"/>
      <w:bookmarkEnd w:id="61"/>
      <w:bookmarkStart w:id="62" w:name="_Toc4489938"/>
      <w:bookmarkEnd w:id="62"/>
      <w:bookmarkStart w:id="63" w:name="_Toc14697650"/>
      <w:r>
        <w:rPr>
          <w:rFonts w:hint="eastAsia" w:ascii="宋体" w:hAnsi="宋体" w:eastAsia="宋体" w:cs="宋体"/>
          <w:color w:val="auto"/>
          <w:spacing w:val="4"/>
          <w:kern w:val="0"/>
          <w:sz w:val="24"/>
          <w:szCs w:val="24"/>
          <w:highlight w:val="none"/>
          <w:lang w:val="en-US" w:eastAsia="zh-CN" w:bidi="ar"/>
        </w:rPr>
        <w:t>格式四：企业相关资料</w:t>
      </w:r>
      <w:bookmarkEnd w:id="63"/>
    </w:p>
    <w:p w14:paraId="28B9EF4A">
      <w:pPr>
        <w:keepNext w:val="0"/>
        <w:keepLines w:val="0"/>
        <w:widowControl w:val="0"/>
        <w:suppressLineNumbers w:val="0"/>
        <w:topLinePunct/>
        <w:adjustRightInd w:val="0"/>
        <w:snapToGrid w:val="0"/>
        <w:spacing w:before="156" w:beforeLines="50" w:beforeAutospacing="0" w:after="156" w:afterLines="50" w:afterAutospacing="0"/>
        <w:ind w:left="0" w:right="0"/>
        <w:jc w:val="left"/>
        <w:rPr>
          <w:rFonts w:hint="eastAsia" w:ascii="宋体" w:hAnsi="宋体" w:eastAsia="宋体" w:cs="Times New Roman"/>
          <w:b/>
          <w:bCs w:val="0"/>
          <w:color w:val="auto"/>
          <w:spacing w:val="4"/>
          <w:kern w:val="0"/>
          <w:sz w:val="24"/>
          <w:szCs w:val="24"/>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14:paraId="2386777E">
      <w:pPr>
        <w:keepNext w:val="0"/>
        <w:keepLines w:val="0"/>
        <w:widowControl w:val="0"/>
        <w:suppressLineNumbers w:val="0"/>
        <w:topLinePunct/>
        <w:adjustRightInd w:val="0"/>
        <w:snapToGrid w:val="0"/>
        <w:spacing w:before="156" w:beforeLines="50" w:beforeAutospacing="0" w:after="156" w:afterLines="50" w:afterAutospacing="0"/>
        <w:ind w:left="0" w:right="0"/>
        <w:jc w:val="center"/>
        <w:rPr>
          <w:rFonts w:hint="eastAsia" w:ascii="宋体" w:hAnsi="宋体" w:eastAsia="宋体" w:cs="Times New Roman"/>
          <w:b/>
          <w:bCs w:val="0"/>
          <w:color w:val="auto"/>
          <w:spacing w:val="4"/>
          <w:kern w:val="0"/>
          <w:sz w:val="36"/>
          <w:szCs w:val="36"/>
          <w:highlight w:val="none"/>
        </w:rPr>
      </w:pPr>
      <w:bookmarkStart w:id="64" w:name="_Toc4340128"/>
      <w:bookmarkEnd w:id="64"/>
      <w:bookmarkStart w:id="65" w:name="_Toc4486071"/>
      <w:bookmarkEnd w:id="65"/>
      <w:bookmarkStart w:id="66" w:name="_Toc504722507"/>
      <w:bookmarkEnd w:id="66"/>
      <w:bookmarkStart w:id="67" w:name="_Toc4339790"/>
      <w:bookmarkEnd w:id="67"/>
      <w:bookmarkStart w:id="68" w:name="_Toc14697651"/>
      <w:bookmarkEnd w:id="68"/>
      <w:bookmarkStart w:id="69" w:name="_Toc5083"/>
      <w:bookmarkEnd w:id="69"/>
      <w:bookmarkStart w:id="70" w:name="_Toc4489939"/>
      <w:r>
        <w:rPr>
          <w:rFonts w:hint="eastAsia" w:ascii="宋体" w:hAnsi="宋体" w:eastAsia="宋体" w:cs="宋体"/>
          <w:b/>
          <w:bCs w:val="0"/>
          <w:color w:val="auto"/>
          <w:spacing w:val="4"/>
          <w:kern w:val="0"/>
          <w:sz w:val="36"/>
          <w:szCs w:val="36"/>
          <w:highlight w:val="none"/>
          <w:lang w:val="en-US" w:eastAsia="zh-CN" w:bidi="ar"/>
        </w:rPr>
        <w:t>企业相关资料</w:t>
      </w:r>
      <w:bookmarkEnd w:id="70"/>
    </w:p>
    <w:p w14:paraId="0D1B4A03">
      <w:pPr>
        <w:keepNext w:val="0"/>
        <w:keepLines w:val="0"/>
        <w:widowControl w:val="0"/>
        <w:suppressLineNumbers w:val="0"/>
        <w:topLinePunct/>
        <w:adjustRightInd w:val="0"/>
        <w:snapToGrid w:val="0"/>
        <w:spacing w:before="156" w:beforeLines="50" w:beforeAutospacing="0" w:after="156" w:afterLines="50" w:afterAutospacing="0"/>
        <w:ind w:left="0" w:right="0"/>
        <w:jc w:val="center"/>
        <w:rPr>
          <w:rFonts w:hint="eastAsia" w:ascii="宋体" w:hAnsi="宋体" w:eastAsia="宋体" w:cs="Times New Roman"/>
          <w:b/>
          <w:bCs w:val="0"/>
          <w:color w:val="auto"/>
          <w:spacing w:val="4"/>
          <w:kern w:val="0"/>
          <w:sz w:val="24"/>
          <w:szCs w:val="24"/>
          <w:highlight w:val="none"/>
        </w:rPr>
      </w:pPr>
      <w:bookmarkStart w:id="71" w:name="_Toc913"/>
      <w:bookmarkEnd w:id="71"/>
      <w:bookmarkStart w:id="72" w:name="_Toc4339791"/>
      <w:bookmarkEnd w:id="72"/>
      <w:bookmarkStart w:id="73" w:name="_Toc4489940"/>
      <w:bookmarkEnd w:id="73"/>
      <w:bookmarkStart w:id="74" w:name="_Toc4340129"/>
      <w:bookmarkEnd w:id="74"/>
      <w:bookmarkStart w:id="75" w:name="_Toc14697652"/>
      <w:bookmarkEnd w:id="75"/>
      <w:bookmarkStart w:id="76" w:name="_Toc504722508"/>
      <w:bookmarkEnd w:id="76"/>
      <w:bookmarkStart w:id="77" w:name="_Toc4486072"/>
      <w:r>
        <w:rPr>
          <w:rFonts w:hint="eastAsia" w:ascii="宋体" w:hAnsi="宋体" w:eastAsia="宋体" w:cs="宋体"/>
          <w:b/>
          <w:bCs w:val="0"/>
          <w:color w:val="auto"/>
          <w:spacing w:val="4"/>
          <w:kern w:val="0"/>
          <w:sz w:val="24"/>
          <w:szCs w:val="24"/>
          <w:highlight w:val="none"/>
          <w:lang w:val="en-US" w:eastAsia="zh-CN" w:bidi="ar"/>
        </w:rPr>
        <w:t>(如有)</w:t>
      </w:r>
      <w:bookmarkEnd w:id="77"/>
    </w:p>
    <w:p w14:paraId="78F80998">
      <w:pPr>
        <w:keepNext w:val="0"/>
        <w:keepLines w:val="0"/>
        <w:widowControl w:val="0"/>
        <w:suppressLineNumbers w:val="0"/>
        <w:topLinePunct/>
        <w:adjustRightInd w:val="0"/>
        <w:snapToGrid w:val="0"/>
        <w:spacing w:before="156" w:beforeLines="50" w:beforeAutospacing="0" w:after="156" w:afterLines="50" w:afterAutospacing="0"/>
        <w:ind w:left="0" w:right="0"/>
        <w:jc w:val="left"/>
        <w:rPr>
          <w:rFonts w:hint="eastAsia" w:ascii="宋体" w:hAnsi="宋体" w:eastAsia="宋体" w:cs="Times New Roman"/>
          <w:color w:val="auto"/>
          <w:spacing w:val="4"/>
          <w:kern w:val="0"/>
          <w:sz w:val="24"/>
          <w:szCs w:val="24"/>
          <w:highlight w:val="none"/>
        </w:rPr>
      </w:pPr>
      <w:bookmarkStart w:id="78" w:name="_Toc4339792"/>
      <w:bookmarkEnd w:id="78"/>
      <w:bookmarkStart w:id="79" w:name="_Toc4340130"/>
      <w:bookmarkEnd w:id="79"/>
      <w:bookmarkStart w:id="80" w:name="_Toc14697653"/>
      <w:bookmarkEnd w:id="80"/>
      <w:bookmarkStart w:id="81" w:name="_Toc27564"/>
      <w:bookmarkEnd w:id="81"/>
      <w:bookmarkStart w:id="82" w:name="_Toc504722509"/>
      <w:bookmarkEnd w:id="82"/>
      <w:bookmarkStart w:id="83" w:name="_Toc4489941"/>
      <w:bookmarkEnd w:id="83"/>
      <w:bookmarkStart w:id="84" w:name="_Toc4486073"/>
      <w:r>
        <w:rPr>
          <w:rFonts w:hint="eastAsia" w:ascii="宋体" w:hAnsi="宋体" w:eastAsia="宋体" w:cs="宋体"/>
          <w:color w:val="auto"/>
          <w:spacing w:val="4"/>
          <w:kern w:val="0"/>
          <w:sz w:val="24"/>
          <w:szCs w:val="24"/>
          <w:highlight w:val="none"/>
          <w:lang w:val="en-US" w:eastAsia="zh-CN" w:bidi="ar"/>
        </w:rPr>
        <w:t>注：</w:t>
      </w:r>
      <w:bookmarkEnd w:id="84"/>
    </w:p>
    <w:p w14:paraId="3D1B591F">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Times New Roman"/>
          <w:color w:val="auto"/>
          <w:kern w:val="2"/>
          <w:sz w:val="24"/>
          <w:szCs w:val="24"/>
          <w:highlight w:val="none"/>
        </w:rPr>
      </w:pPr>
      <w:bookmarkStart w:id="85" w:name="_Toc4339793"/>
      <w:bookmarkEnd w:id="85"/>
      <w:bookmarkStart w:id="86" w:name="_Toc4489942"/>
      <w:bookmarkEnd w:id="86"/>
      <w:bookmarkStart w:id="87" w:name="_Toc4486074"/>
      <w:bookmarkEnd w:id="87"/>
      <w:bookmarkStart w:id="88" w:name="_Toc9431"/>
      <w:bookmarkEnd w:id="88"/>
      <w:bookmarkStart w:id="89" w:name="_Toc4340131"/>
      <w:bookmarkEnd w:id="89"/>
      <w:bookmarkStart w:id="90" w:name="_Toc504722510"/>
      <w:r>
        <w:rPr>
          <w:rFonts w:hint="default" w:ascii="Calibri" w:hAnsi="Calibri" w:eastAsia="宋体" w:cs="Calibri"/>
          <w:color w:val="auto"/>
          <w:kern w:val="2"/>
          <w:sz w:val="24"/>
          <w:szCs w:val="24"/>
          <w:highlight w:val="none"/>
          <w:lang w:val="en-US" w:eastAsia="zh-CN" w:bidi="ar"/>
        </w:rPr>
        <w:t>1.</w:t>
      </w:r>
      <w:bookmarkEnd w:id="90"/>
      <w:r>
        <w:rPr>
          <w:rFonts w:hint="eastAsia" w:ascii="Calibri" w:hAnsi="Calibri"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按《技术标详细审查评分表》中的评分要求进行提供；</w:t>
      </w:r>
    </w:p>
    <w:p w14:paraId="65E91C40">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Times New Roman"/>
          <w:color w:val="auto"/>
          <w:kern w:val="2"/>
          <w:sz w:val="24"/>
          <w:szCs w:val="24"/>
          <w:highlight w:val="none"/>
        </w:rPr>
      </w:pPr>
      <w:r>
        <w:rPr>
          <w:rFonts w:hint="default" w:ascii="Calibri" w:hAnsi="Calibri" w:eastAsia="宋体" w:cs="Calibri"/>
          <w:color w:val="auto"/>
          <w:kern w:val="2"/>
          <w:sz w:val="24"/>
          <w:szCs w:val="24"/>
          <w:highlight w:val="none"/>
          <w:lang w:val="en-US" w:eastAsia="zh-CN" w:bidi="ar"/>
        </w:rPr>
        <w:t xml:space="preserve">2. </w:t>
      </w:r>
      <w:r>
        <w:rPr>
          <w:rFonts w:hint="eastAsia" w:ascii="宋体" w:hAnsi="宋体" w:eastAsia="宋体" w:cs="宋体"/>
          <w:color w:val="auto"/>
          <w:kern w:val="2"/>
          <w:sz w:val="24"/>
          <w:szCs w:val="24"/>
          <w:highlight w:val="none"/>
          <w:lang w:val="en-US" w:eastAsia="zh-CN" w:bidi="ar"/>
        </w:rPr>
        <w:t>其他投标人认为须提交的资料。</w:t>
      </w:r>
    </w:p>
    <w:p w14:paraId="034E55E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lang w:val="en-US" w:eastAsia="zh-CN" w:bidi="ar"/>
        </w:rPr>
        <w:t xml:space="preserve"> </w:t>
      </w:r>
    </w:p>
    <w:p w14:paraId="7362AE4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lang w:val="en-US" w:eastAsia="zh-CN" w:bidi="ar"/>
        </w:rPr>
        <w:t xml:space="preserve"> </w:t>
      </w:r>
    </w:p>
    <w:p w14:paraId="2CFAFECB">
      <w:pPr>
        <w:keepNext w:val="0"/>
        <w:keepLines w:val="0"/>
        <w:widowControl w:val="0"/>
        <w:suppressLineNumbers w:val="0"/>
        <w:topLinePunct/>
        <w:adjustRightInd w:val="0"/>
        <w:snapToGrid w:val="0"/>
        <w:spacing w:before="0" w:beforeAutospacing="0" w:after="0" w:afterAutospacing="0" w:line="360" w:lineRule="auto"/>
        <w:ind w:left="0" w:right="0"/>
        <w:jc w:val="both"/>
        <w:outlineLvl w:val="2"/>
        <w:rPr>
          <w:rFonts w:hint="default" w:ascii="Calibri" w:hAnsi="Calibri" w:eastAsia="宋体" w:cs="Times New Roman"/>
          <w:b/>
          <w:bCs w:val="0"/>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br w:type="page"/>
      </w:r>
      <w:bookmarkStart w:id="91" w:name="_Toc14697659"/>
      <w:bookmarkEnd w:id="91"/>
      <w:bookmarkStart w:id="92" w:name="_Toc16968"/>
      <w:r>
        <w:rPr>
          <w:rFonts w:hint="eastAsia" w:ascii="宋体" w:hAnsi="宋体" w:eastAsia="宋体" w:cs="宋体"/>
          <w:b/>
          <w:bCs w:val="0"/>
          <w:color w:val="auto"/>
          <w:spacing w:val="4"/>
          <w:kern w:val="0"/>
          <w:sz w:val="24"/>
          <w:szCs w:val="24"/>
          <w:highlight w:val="none"/>
          <w:lang w:val="en-US" w:eastAsia="zh-CN" w:bidi="ar"/>
        </w:rPr>
        <w:t>格式五：法定代表人证明书、授权委托书</w:t>
      </w:r>
      <w:bookmarkEnd w:id="92"/>
    </w:p>
    <w:p w14:paraId="0722F524">
      <w:pPr>
        <w:keepNext w:val="0"/>
        <w:keepLines w:val="0"/>
        <w:widowControl w:val="0"/>
        <w:suppressLineNumbers w:val="0"/>
        <w:topLinePunct/>
        <w:adjustRightInd w:val="0"/>
        <w:snapToGrid w:val="0"/>
        <w:spacing w:before="156" w:beforeAutospacing="0" w:after="156" w:afterAutospacing="0"/>
        <w:ind w:left="0" w:right="0"/>
        <w:jc w:val="center"/>
        <w:rPr>
          <w:rFonts w:hint="eastAsia" w:ascii="宋体" w:hAnsi="宋体" w:eastAsia="宋体" w:cs="Times New Roman"/>
          <w:color w:val="auto"/>
          <w:spacing w:val="4"/>
          <w:kern w:val="0"/>
          <w:sz w:val="32"/>
          <w:szCs w:val="32"/>
          <w:highlight w:val="none"/>
        </w:rPr>
      </w:pPr>
      <w:r>
        <w:rPr>
          <w:rFonts w:hint="eastAsia" w:ascii="宋体" w:hAnsi="宋体" w:eastAsia="宋体" w:cs="宋体"/>
          <w:color w:val="auto"/>
          <w:spacing w:val="4"/>
          <w:kern w:val="0"/>
          <w:sz w:val="32"/>
          <w:szCs w:val="32"/>
          <w:highlight w:val="none"/>
          <w:lang w:val="en-US" w:eastAsia="zh-CN" w:bidi="ar"/>
        </w:rPr>
        <w:t>法定代表人证明书、授权委托书</w:t>
      </w:r>
    </w:p>
    <w:p w14:paraId="718010E1">
      <w:pPr>
        <w:keepNext w:val="0"/>
        <w:keepLines w:val="0"/>
        <w:widowControl w:val="0"/>
        <w:suppressLineNumbers w:val="0"/>
        <w:topLinePunct/>
        <w:adjustRightInd w:val="0"/>
        <w:snapToGrid w:val="0"/>
        <w:spacing w:before="0" w:beforeAutospacing="0" w:after="0" w:afterAutospacing="0" w:line="240" w:lineRule="exact"/>
        <w:ind w:left="0" w:right="0"/>
        <w:jc w:val="both"/>
        <w:rPr>
          <w:rFonts w:hint="default" w:ascii="Calibri" w:hAnsi="Calibri" w:eastAsia="宋体" w:cs="Times New Roman"/>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w:t>
      </w:r>
      <w:r>
        <w:rPr>
          <w:rFonts w:hint="default" w:ascii="Calibri" w:hAnsi="Calibri" w:eastAsia="宋体" w:cs="Calibri"/>
          <w:color w:val="auto"/>
          <w:spacing w:val="4"/>
          <w:kern w:val="2"/>
          <w:sz w:val="24"/>
          <w:szCs w:val="24"/>
          <w:highlight w:val="none"/>
          <w:lang w:val="en-US" w:eastAsia="zh-CN" w:bidi="ar"/>
        </w:rPr>
        <w:t>1</w:t>
      </w:r>
      <w:r>
        <w:rPr>
          <w:rFonts w:hint="eastAsia" w:ascii="宋体" w:hAnsi="宋体" w:eastAsia="宋体" w:cs="宋体"/>
          <w:color w:val="auto"/>
          <w:spacing w:val="4"/>
          <w:kern w:val="2"/>
          <w:sz w:val="24"/>
          <w:szCs w:val="24"/>
          <w:highlight w:val="none"/>
          <w:lang w:val="en-US" w:eastAsia="zh-CN" w:bidi="ar"/>
        </w:rPr>
        <w:t>）法定代表人证明书</w:t>
      </w:r>
    </w:p>
    <w:p w14:paraId="1232E27C">
      <w:pPr>
        <w:keepNext w:val="0"/>
        <w:keepLines w:val="0"/>
        <w:widowControl w:val="0"/>
        <w:suppressLineNumbers w:val="0"/>
        <w:topLinePunct/>
        <w:adjustRightInd w:val="0"/>
        <w:snapToGrid w:val="0"/>
        <w:spacing w:before="0" w:beforeAutospacing="0" w:after="0" w:afterAutospacing="0" w:line="240" w:lineRule="exact"/>
        <w:ind w:left="0" w:right="248"/>
        <w:jc w:val="right"/>
        <w:rPr>
          <w:rFonts w:hint="default" w:ascii="Calibri" w:hAnsi="Calibri" w:eastAsia="宋体" w:cs="Times New Roman"/>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 xml:space="preserve">（ </w:t>
      </w:r>
      <w:r>
        <w:rPr>
          <w:rFonts w:hint="eastAsia" w:ascii="Calibri" w:hAnsi="Calibri" w:eastAsia="宋体" w:cs="Times New Roman"/>
          <w:color w:val="auto"/>
          <w:spacing w:val="4"/>
          <w:kern w:val="2"/>
          <w:sz w:val="24"/>
          <w:szCs w:val="24"/>
          <w:highlight w:val="none"/>
          <w:lang w:val="en-US" w:eastAsia="zh-CN" w:bidi="ar"/>
        </w:rPr>
        <w:t xml:space="preserve"> </w:t>
      </w:r>
      <w:r>
        <w:rPr>
          <w:rFonts w:hint="eastAsia" w:ascii="宋体" w:hAnsi="宋体" w:eastAsia="宋体" w:cs="宋体"/>
          <w:color w:val="auto"/>
          <w:spacing w:val="4"/>
          <w:kern w:val="2"/>
          <w:sz w:val="24"/>
          <w:szCs w:val="24"/>
          <w:highlight w:val="none"/>
          <w:lang w:val="en-US" w:eastAsia="zh-CN" w:bidi="ar"/>
        </w:rPr>
        <w:t>）第 号</w:t>
      </w:r>
    </w:p>
    <w:p w14:paraId="2FF2F5DC">
      <w:pPr>
        <w:keepNext w:val="0"/>
        <w:keepLines w:val="0"/>
        <w:widowControl w:val="0"/>
        <w:suppressLineNumbers w:val="0"/>
        <w:topLinePunct/>
        <w:adjustRightInd w:val="0"/>
        <w:snapToGrid w:val="0"/>
        <w:spacing w:before="0" w:beforeAutospacing="0" w:after="0" w:afterAutospacing="0" w:line="240" w:lineRule="exact"/>
        <w:ind w:left="0" w:right="248"/>
        <w:jc w:val="left"/>
        <w:rPr>
          <w:rFonts w:hint="default" w:ascii="Calibri" w:hAnsi="Calibri" w:eastAsia="宋体" w:cs="Times New Roman"/>
          <w:color w:val="auto"/>
          <w:spacing w:val="4"/>
          <w:kern w:val="2"/>
          <w:sz w:val="24"/>
          <w:szCs w:val="24"/>
          <w:highlight w:val="none"/>
        </w:rPr>
      </w:pPr>
      <w:r>
        <w:rPr>
          <w:rFonts w:hint="default" w:ascii="Calibri" w:hAnsi="Calibri" w:eastAsia="宋体" w:cs="Times New Roman"/>
          <w:color w:val="auto"/>
          <w:spacing w:val="4"/>
          <w:kern w:val="2"/>
          <w:sz w:val="24"/>
          <w:szCs w:val="24"/>
          <w:highlight w:val="none"/>
          <w:lang w:val="en-US" w:eastAsia="zh-CN" w:bidi="ar"/>
        </w:rPr>
        <w:t xml:space="preserve"> </w:t>
      </w:r>
    </w:p>
    <w:p w14:paraId="60603719">
      <w:pPr>
        <w:keepNext w:val="0"/>
        <w:keepLines w:val="0"/>
        <w:widowControl w:val="0"/>
        <w:suppressLineNumbers w:val="0"/>
        <w:topLinePunct/>
        <w:adjustRightInd w:val="0"/>
        <w:snapToGrid w:val="0"/>
        <w:spacing w:before="0" w:beforeAutospacing="0" w:after="0" w:afterAutospacing="0" w:line="360" w:lineRule="auto"/>
        <w:ind w:left="0" w:right="0" w:firstLine="0" w:firstLineChars="0"/>
        <w:jc w:val="both"/>
        <w:rPr>
          <w:rFonts w:hint="default" w:ascii="Calibri" w:hAnsi="Calibri" w:eastAsia="宋体" w:cs="Times New Roman"/>
          <w:color w:val="auto"/>
          <w:spacing w:val="4"/>
          <w:kern w:val="2"/>
          <w:sz w:val="24"/>
          <w:szCs w:val="24"/>
          <w:highlight w:val="none"/>
        </w:rPr>
      </w:pPr>
      <w:r>
        <w:rPr>
          <w:rFonts w:hint="default" w:ascii="Calibri" w:hAnsi="Calibri" w:eastAsia="宋体" w:cs="Times New Roman"/>
          <w:color w:val="auto"/>
          <w:spacing w:val="4"/>
          <w:kern w:val="2"/>
          <w:sz w:val="24"/>
          <w:szCs w:val="24"/>
          <w:highlight w:val="none"/>
          <w:lang w:val="en-US" w:eastAsia="zh-CN" w:bidi="ar"/>
        </w:rPr>
        <w:drawing>
          <wp:inline distT="0" distB="0" distL="114300" distR="114300">
            <wp:extent cx="5757545" cy="2796540"/>
            <wp:effectExtent l="0" t="0" r="8255" b="1016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0"/>
                    <a:stretch>
                      <a:fillRect/>
                    </a:stretch>
                  </pic:blipFill>
                  <pic:spPr>
                    <a:xfrm>
                      <a:off x="0" y="0"/>
                      <a:ext cx="5757545" cy="2796540"/>
                    </a:xfrm>
                    <a:prstGeom prst="rect">
                      <a:avLst/>
                    </a:prstGeom>
                  </pic:spPr>
                </pic:pic>
              </a:graphicData>
            </a:graphic>
          </wp:inline>
        </w:drawing>
      </w:r>
      <w:r>
        <w:rPr>
          <w:rFonts w:hint="default" w:ascii="Calibri" w:hAnsi="Calibri" w:eastAsia="宋体" w:cs="Times New Roman"/>
          <w:color w:val="auto"/>
          <w:spacing w:val="4"/>
          <w:kern w:val="2"/>
          <w:sz w:val="24"/>
          <w:szCs w:val="24"/>
          <w:highlight w:val="none"/>
          <w:lang w:val="en-US" w:eastAsia="zh-CN" w:bidi="ar"/>
        </w:rPr>
        <w:t xml:space="preserve"> </w:t>
      </w:r>
    </w:p>
    <w:p w14:paraId="1CC491F8">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2"/>
          <w:sz w:val="24"/>
          <w:szCs w:val="24"/>
          <w:highlight w:val="none"/>
        </w:rPr>
      </w:pPr>
      <w:r>
        <w:rPr>
          <w:rFonts w:hint="default" w:ascii="Calibri" w:hAnsi="Calibri" w:eastAsia="宋体" w:cs="Times New Roman"/>
          <w:color w:val="auto"/>
          <w:spacing w:val="4"/>
          <w:kern w:val="2"/>
          <w:sz w:val="24"/>
          <w:szCs w:val="24"/>
          <w:highlight w:val="none"/>
          <w:lang w:val="en-US" w:eastAsia="zh-CN" w:bidi="ar"/>
        </w:rPr>
        <w:t xml:space="preserve">  </w:t>
      </w:r>
    </w:p>
    <w:p w14:paraId="01AB0801">
      <w:pPr>
        <w:keepNext w:val="0"/>
        <w:keepLines w:val="0"/>
        <w:widowControl w:val="0"/>
        <w:suppressLineNumbers w:val="0"/>
        <w:topLinePunct/>
        <w:adjustRightInd w:val="0"/>
        <w:snapToGrid w:val="0"/>
        <w:spacing w:before="0" w:beforeAutospacing="0" w:after="0" w:afterAutospacing="0"/>
        <w:ind w:left="0" w:right="0" w:firstLine="496" w:firstLineChars="200"/>
        <w:jc w:val="both"/>
        <w:rPr>
          <w:rFonts w:hint="default" w:ascii="Calibri" w:hAnsi="Calibri" w:eastAsia="宋体" w:cs="Times New Roman"/>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w:t>
      </w:r>
      <w:r>
        <w:rPr>
          <w:rFonts w:hint="default" w:ascii="Calibri" w:hAnsi="Calibri" w:eastAsia="宋体" w:cs="Calibri"/>
          <w:color w:val="auto"/>
          <w:spacing w:val="4"/>
          <w:kern w:val="2"/>
          <w:sz w:val="24"/>
          <w:szCs w:val="24"/>
          <w:highlight w:val="none"/>
          <w:lang w:val="en-US" w:eastAsia="zh-CN" w:bidi="ar"/>
        </w:rPr>
        <w:t>2</w:t>
      </w:r>
      <w:r>
        <w:rPr>
          <w:rFonts w:hint="eastAsia" w:ascii="宋体" w:hAnsi="宋体" w:eastAsia="宋体" w:cs="宋体"/>
          <w:color w:val="auto"/>
          <w:spacing w:val="4"/>
          <w:kern w:val="2"/>
          <w:sz w:val="24"/>
          <w:szCs w:val="24"/>
          <w:highlight w:val="none"/>
          <w:lang w:val="en-US" w:eastAsia="zh-CN" w:bidi="ar"/>
        </w:rPr>
        <w:t>）法定代表人授权委托书</w:t>
      </w:r>
    </w:p>
    <w:p w14:paraId="602AA19F">
      <w:pPr>
        <w:keepNext w:val="0"/>
        <w:keepLines w:val="0"/>
        <w:widowControl w:val="0"/>
        <w:suppressLineNumbers w:val="0"/>
        <w:topLinePunct/>
        <w:adjustRightInd w:val="0"/>
        <w:snapToGrid w:val="0"/>
        <w:spacing w:before="0" w:beforeAutospacing="0" w:after="0" w:afterAutospacing="0"/>
        <w:ind w:left="0" w:right="0" w:firstLine="496" w:firstLineChars="200"/>
        <w:jc w:val="both"/>
        <w:rPr>
          <w:rFonts w:hint="default" w:ascii="Calibri" w:hAnsi="Calibri" w:eastAsia="宋体" w:cs="Times New Roman"/>
          <w:color w:val="auto"/>
          <w:spacing w:val="4"/>
          <w:kern w:val="2"/>
          <w:sz w:val="24"/>
          <w:szCs w:val="24"/>
          <w:highlight w:val="none"/>
        </w:rPr>
      </w:pPr>
      <w:r>
        <w:rPr>
          <w:rFonts w:hint="eastAsia" w:ascii="Calibri" w:hAnsi="Calibri" w:eastAsia="宋体" w:cs="Times New Roman"/>
          <w:color w:val="auto"/>
          <w:spacing w:val="4"/>
          <w:kern w:val="2"/>
          <w:sz w:val="24"/>
          <w:szCs w:val="24"/>
          <w:highlight w:val="none"/>
          <w:lang w:val="en-US" w:eastAsia="zh-CN" w:bidi="ar"/>
        </w:rPr>
        <w:t xml:space="preserve">                                                 </w:t>
      </w:r>
      <w:r>
        <w:rPr>
          <w:rFonts w:hint="eastAsia" w:ascii="宋体" w:hAnsi="宋体" w:eastAsia="宋体" w:cs="宋体"/>
          <w:color w:val="auto"/>
          <w:spacing w:val="4"/>
          <w:kern w:val="2"/>
          <w:sz w:val="24"/>
          <w:szCs w:val="24"/>
          <w:highlight w:val="none"/>
          <w:lang w:val="en-US" w:eastAsia="zh-CN" w:bidi="ar"/>
        </w:rPr>
        <w:t>（</w:t>
      </w:r>
      <w:r>
        <w:rPr>
          <w:rFonts w:hint="eastAsia" w:ascii="Calibri" w:hAnsi="Calibri" w:eastAsia="宋体" w:cs="Times New Roman"/>
          <w:color w:val="auto"/>
          <w:spacing w:val="4"/>
          <w:kern w:val="2"/>
          <w:sz w:val="24"/>
          <w:szCs w:val="24"/>
          <w:highlight w:val="none"/>
          <w:lang w:val="en-US" w:eastAsia="zh-CN" w:bidi="ar"/>
        </w:rPr>
        <w:t xml:space="preserve">   </w:t>
      </w:r>
      <w:r>
        <w:rPr>
          <w:rFonts w:hint="eastAsia" w:ascii="宋体" w:hAnsi="宋体" w:eastAsia="宋体" w:cs="宋体"/>
          <w:color w:val="auto"/>
          <w:spacing w:val="4"/>
          <w:kern w:val="2"/>
          <w:sz w:val="24"/>
          <w:szCs w:val="24"/>
          <w:highlight w:val="none"/>
          <w:lang w:val="en-US" w:eastAsia="zh-CN" w:bidi="ar"/>
        </w:rPr>
        <w:t>）第</w:t>
      </w:r>
      <w:r>
        <w:rPr>
          <w:rFonts w:hint="eastAsia" w:ascii="Calibri" w:hAnsi="Calibri" w:eastAsia="宋体" w:cs="Times New Roman"/>
          <w:color w:val="auto"/>
          <w:spacing w:val="4"/>
          <w:kern w:val="2"/>
          <w:sz w:val="24"/>
          <w:szCs w:val="24"/>
          <w:highlight w:val="none"/>
          <w:lang w:val="en-US" w:eastAsia="zh-CN" w:bidi="ar"/>
        </w:rPr>
        <w:t xml:space="preserve">  </w:t>
      </w:r>
      <w:r>
        <w:rPr>
          <w:rFonts w:hint="eastAsia" w:ascii="宋体" w:hAnsi="宋体" w:eastAsia="宋体" w:cs="宋体"/>
          <w:color w:val="auto"/>
          <w:spacing w:val="4"/>
          <w:kern w:val="2"/>
          <w:sz w:val="24"/>
          <w:szCs w:val="24"/>
          <w:highlight w:val="none"/>
          <w:lang w:val="en-US" w:eastAsia="zh-CN" w:bidi="ar"/>
        </w:rPr>
        <w:t>号</w:t>
      </w:r>
    </w:p>
    <w:p w14:paraId="72983D17">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2"/>
          <w:sz w:val="24"/>
          <w:szCs w:val="24"/>
          <w:highlight w:val="none"/>
        </w:rPr>
      </w:pPr>
      <w:r>
        <w:rPr>
          <w:rFonts w:hint="default" w:ascii="Calibri" w:hAnsi="Calibri" w:eastAsia="宋体" w:cs="Times New Roman"/>
          <w:color w:val="auto"/>
          <w:spacing w:val="4"/>
          <w:kern w:val="2"/>
          <w:sz w:val="24"/>
          <w:szCs w:val="24"/>
          <w:highlight w:val="none"/>
          <w:lang w:val="en-US" w:eastAsia="zh-CN" w:bidi="ar"/>
        </w:rPr>
        <w:t xml:space="preserve"> </w:t>
      </w:r>
    </w:p>
    <w:p w14:paraId="3B90D83F">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2"/>
          <w:sz w:val="24"/>
          <w:szCs w:val="24"/>
          <w:highlight w:val="none"/>
        </w:rPr>
      </w:pPr>
      <w:r>
        <w:rPr>
          <w:rFonts w:hint="default" w:ascii="Calibri" w:hAnsi="Calibri" w:eastAsia="宋体" w:cs="Times New Roman"/>
          <w:color w:val="auto"/>
          <w:spacing w:val="4"/>
          <w:kern w:val="2"/>
          <w:sz w:val="24"/>
          <w:szCs w:val="24"/>
          <w:highlight w:val="none"/>
          <w:lang w:val="en-US" w:eastAsia="zh-CN" w:bidi="ar"/>
        </w:rPr>
        <w:t xml:space="preserve"> </w:t>
      </w:r>
      <w:r>
        <w:rPr>
          <w:rFonts w:hint="default" w:ascii="Calibri" w:hAnsi="Calibri" w:eastAsia="宋体" w:cs="Times New Roman"/>
          <w:color w:val="auto"/>
          <w:spacing w:val="4"/>
          <w:kern w:val="2"/>
          <w:sz w:val="24"/>
          <w:szCs w:val="24"/>
          <w:highlight w:val="none"/>
        </w:rPr>
        <w:drawing>
          <wp:inline distT="0" distB="0" distL="114300" distR="114300">
            <wp:extent cx="5757545" cy="2740025"/>
            <wp:effectExtent l="0" t="0" r="8255" b="317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1"/>
                    <a:stretch>
                      <a:fillRect/>
                    </a:stretch>
                  </pic:blipFill>
                  <pic:spPr>
                    <a:xfrm>
                      <a:off x="0" y="0"/>
                      <a:ext cx="5757545" cy="2740025"/>
                    </a:xfrm>
                    <a:prstGeom prst="rect">
                      <a:avLst/>
                    </a:prstGeom>
                  </pic:spPr>
                </pic:pic>
              </a:graphicData>
            </a:graphic>
          </wp:inline>
        </w:drawing>
      </w:r>
    </w:p>
    <w:p w14:paraId="7521907D">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2"/>
          <w:sz w:val="24"/>
          <w:szCs w:val="24"/>
          <w:highlight w:val="none"/>
        </w:rPr>
      </w:pPr>
    </w:p>
    <w:p w14:paraId="50FA5EBC">
      <w:pPr>
        <w:keepNext w:val="0"/>
        <w:keepLines w:val="0"/>
        <w:widowControl w:val="0"/>
        <w:suppressLineNumbers w:val="0"/>
        <w:topLinePunct/>
        <w:adjustRightInd w:val="0"/>
        <w:snapToGrid w:val="0"/>
        <w:spacing w:before="0" w:beforeLines="-2147483648" w:beforeAutospacing="0" w:after="0" w:afterLines="-2147483648" w:afterAutospacing="0" w:line="360" w:lineRule="auto"/>
        <w:ind w:left="0" w:right="0" w:firstLine="496" w:firstLineChars="200"/>
        <w:jc w:val="both"/>
        <w:rPr>
          <w:rFonts w:hint="eastAsia" w:ascii="宋体" w:hAnsi="宋体" w:eastAsia="宋体" w:cs="Times New Roman"/>
          <w:color w:val="auto"/>
          <w:spacing w:val="4"/>
          <w:kern w:val="0"/>
          <w:sz w:val="21"/>
          <w:szCs w:val="21"/>
          <w:highlight w:val="none"/>
        </w:rPr>
      </w:pPr>
      <w:r>
        <w:rPr>
          <w:rFonts w:hint="default" w:ascii="Calibri" w:hAnsi="Calibri" w:eastAsia="宋体" w:cs="Times New Roman"/>
          <w:color w:val="auto"/>
          <w:spacing w:val="4"/>
          <w:kern w:val="2"/>
          <w:sz w:val="24"/>
          <w:szCs w:val="24"/>
          <w:highlight w:val="none"/>
          <w:lang w:val="en-US" w:eastAsia="zh-CN" w:bidi="ar"/>
        </w:rPr>
        <w:t xml:space="preserve"> </w:t>
      </w:r>
      <w:bookmarkStart w:id="93" w:name="_Toc4340136"/>
      <w:bookmarkEnd w:id="93"/>
      <w:bookmarkStart w:id="94" w:name="_Toc4486079"/>
      <w:bookmarkEnd w:id="94"/>
      <w:bookmarkStart w:id="95" w:name="_Toc4339798"/>
      <w:bookmarkEnd w:id="95"/>
      <w:bookmarkStart w:id="96" w:name="_Toc4489947"/>
      <w:bookmarkEnd w:id="96"/>
      <w:bookmarkStart w:id="97" w:name="_Toc14697660"/>
      <w:bookmarkEnd w:id="97"/>
      <w:bookmarkStart w:id="98" w:name="_Toc3736"/>
      <w:r>
        <w:rPr>
          <w:rFonts w:hint="eastAsia" w:ascii="宋体" w:hAnsi="宋体" w:eastAsia="宋体" w:cs="宋体"/>
          <w:color w:val="auto"/>
          <w:spacing w:val="4"/>
          <w:kern w:val="0"/>
          <w:sz w:val="21"/>
          <w:szCs w:val="21"/>
          <w:highlight w:val="none"/>
          <w:lang w:val="en-US" w:eastAsia="zh-CN" w:bidi="ar"/>
        </w:rPr>
        <w:t>注：按提供的格式或使用从工商管理部门购买的格式填写。</w:t>
      </w:r>
      <w:bookmarkEnd w:id="98"/>
    </w:p>
    <w:p w14:paraId="6E2E6E06">
      <w:pPr>
        <w:keepNext w:val="0"/>
        <w:keepLines w:val="0"/>
        <w:widowControl w:val="0"/>
        <w:suppressLineNumbers w:val="0"/>
        <w:spacing w:before="0" w:beforeAutospacing="0" w:after="0" w:afterAutospacing="0"/>
        <w:ind w:left="0" w:right="0"/>
        <w:jc w:val="both"/>
        <w:outlineLvl w:val="2"/>
        <w:rPr>
          <w:rFonts w:hint="eastAsia" w:ascii="宋体" w:hAnsi="宋体" w:eastAsia="宋体" w:cs="宋体"/>
          <w:b/>
          <w:bCs w:val="0"/>
          <w:color w:val="auto"/>
          <w:kern w:val="2"/>
          <w:sz w:val="24"/>
          <w:szCs w:val="24"/>
          <w:highlight w:val="none"/>
        </w:rPr>
      </w:pPr>
      <w:bookmarkStart w:id="99" w:name="_Toc83906646"/>
      <w:bookmarkEnd w:id="99"/>
      <w:bookmarkStart w:id="100" w:name="_Toc80701953"/>
      <w:bookmarkEnd w:id="100"/>
      <w:bookmarkStart w:id="101" w:name="_Toc504722514"/>
      <w:bookmarkEnd w:id="101"/>
      <w:bookmarkStart w:id="102" w:name="_Toc14697661"/>
      <w:bookmarkEnd w:id="102"/>
      <w:bookmarkStart w:id="103" w:name="_Toc28552"/>
      <w:bookmarkEnd w:id="103"/>
      <w:bookmarkStart w:id="104" w:name="_Toc80952391"/>
      <w:bookmarkEnd w:id="104"/>
      <w:bookmarkStart w:id="105" w:name="_Toc4489948"/>
      <w:r>
        <w:rPr>
          <w:rFonts w:hint="eastAsia" w:ascii="宋体" w:hAnsi="宋体" w:eastAsia="宋体" w:cs="宋体"/>
          <w:b/>
          <w:bCs w:val="0"/>
          <w:color w:val="auto"/>
          <w:kern w:val="2"/>
          <w:sz w:val="24"/>
          <w:szCs w:val="24"/>
          <w:highlight w:val="none"/>
          <w:lang w:val="en-US" w:eastAsia="zh-CN" w:bidi="ar"/>
        </w:rPr>
        <w:t>格式六：企业类似工程业绩信息表</w:t>
      </w:r>
      <w:bookmarkEnd w:id="105"/>
      <w:r>
        <w:rPr>
          <w:rFonts w:hint="eastAsia" w:ascii="宋体" w:hAnsi="宋体" w:eastAsia="宋体" w:cs="宋体"/>
          <w:b/>
          <w:color w:val="auto"/>
          <w:kern w:val="2"/>
          <w:sz w:val="24"/>
          <w:szCs w:val="24"/>
          <w:highlight w:val="none"/>
          <w:lang w:val="en-US" w:eastAsia="zh-CN" w:bidi="ar"/>
        </w:rPr>
        <w:t>（资格审查）</w:t>
      </w:r>
    </w:p>
    <w:p w14:paraId="2AC326D5">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 xml:space="preserve"> </w:t>
      </w:r>
    </w:p>
    <w:p w14:paraId="7E24742D">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 xml:space="preserve"> </w:t>
      </w:r>
    </w:p>
    <w:p w14:paraId="5C5EAB23">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企业类似工程业绩信息表</w:t>
      </w:r>
      <w:r>
        <w:rPr>
          <w:rFonts w:hint="eastAsia" w:ascii="宋体" w:hAnsi="宋体" w:eastAsia="宋体" w:cs="宋体"/>
          <w:b/>
          <w:color w:val="auto"/>
          <w:kern w:val="2"/>
          <w:sz w:val="24"/>
          <w:szCs w:val="24"/>
          <w:highlight w:val="none"/>
          <w:lang w:val="en-US" w:eastAsia="zh-CN" w:bidi="ar"/>
        </w:rPr>
        <w:t>（资格审查）</w:t>
      </w:r>
    </w:p>
    <w:p w14:paraId="1E0C36DE">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 xml:space="preserve"> </w:t>
      </w:r>
    </w:p>
    <w:tbl>
      <w:tblPr>
        <w:tblStyle w:val="17"/>
        <w:tblW w:w="78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25"/>
        <w:gridCol w:w="3766"/>
        <w:gridCol w:w="2591"/>
      </w:tblGrid>
      <w:tr w14:paraId="04EBB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7" w:hRule="atLeast"/>
          <w:jc w:val="center"/>
        </w:trPr>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14:paraId="1F31186F">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序号</w:t>
            </w:r>
          </w:p>
        </w:tc>
        <w:tc>
          <w:tcPr>
            <w:tcW w:w="3766" w:type="dxa"/>
            <w:tcBorders>
              <w:top w:val="single" w:color="auto" w:sz="4" w:space="0"/>
              <w:left w:val="nil"/>
              <w:bottom w:val="single" w:color="auto" w:sz="4" w:space="0"/>
              <w:right w:val="single" w:color="auto" w:sz="4" w:space="0"/>
            </w:tcBorders>
            <w:shd w:val="clear" w:color="auto" w:fill="auto"/>
            <w:vAlign w:val="center"/>
          </w:tcPr>
          <w:p w14:paraId="19E2B125">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项目名称</w:t>
            </w:r>
          </w:p>
        </w:tc>
        <w:tc>
          <w:tcPr>
            <w:tcW w:w="2591" w:type="dxa"/>
            <w:tcBorders>
              <w:top w:val="single" w:color="auto" w:sz="4" w:space="0"/>
              <w:left w:val="nil"/>
              <w:bottom w:val="single" w:color="auto" w:sz="4" w:space="0"/>
              <w:right w:val="single" w:color="auto" w:sz="4" w:space="0"/>
            </w:tcBorders>
            <w:shd w:val="clear" w:color="auto" w:fill="auto"/>
            <w:vAlign w:val="center"/>
          </w:tcPr>
          <w:p w14:paraId="01AACA73">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项目编号</w:t>
            </w:r>
          </w:p>
        </w:tc>
      </w:tr>
      <w:tr w14:paraId="66D9E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7" w:hRule="atLeast"/>
          <w:jc w:val="center"/>
        </w:trPr>
        <w:tc>
          <w:tcPr>
            <w:tcW w:w="1525" w:type="dxa"/>
            <w:tcBorders>
              <w:top w:val="single" w:color="auto" w:sz="4" w:space="0"/>
              <w:left w:val="single" w:color="auto" w:sz="4" w:space="0"/>
              <w:bottom w:val="single" w:color="auto" w:sz="4" w:space="0"/>
              <w:right w:val="single" w:color="auto" w:sz="4" w:space="0"/>
            </w:tcBorders>
            <w:shd w:val="clear" w:color="auto" w:fill="auto"/>
            <w:vAlign w:val="top"/>
          </w:tcPr>
          <w:p w14:paraId="608C03EA">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24"/>
                <w:szCs w:val="24"/>
                <w:highlight w:val="none"/>
              </w:rPr>
            </w:pPr>
          </w:p>
        </w:tc>
        <w:tc>
          <w:tcPr>
            <w:tcW w:w="3766" w:type="dxa"/>
            <w:tcBorders>
              <w:top w:val="single" w:color="auto" w:sz="4" w:space="0"/>
              <w:left w:val="nil"/>
              <w:bottom w:val="single" w:color="auto" w:sz="4" w:space="0"/>
              <w:right w:val="single" w:color="auto" w:sz="4" w:space="0"/>
            </w:tcBorders>
            <w:shd w:val="clear" w:color="auto" w:fill="auto"/>
            <w:vAlign w:val="top"/>
          </w:tcPr>
          <w:p w14:paraId="55CC0A5F">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24"/>
                <w:szCs w:val="24"/>
                <w:highlight w:val="none"/>
              </w:rPr>
            </w:pPr>
          </w:p>
        </w:tc>
        <w:tc>
          <w:tcPr>
            <w:tcW w:w="2591" w:type="dxa"/>
            <w:tcBorders>
              <w:top w:val="single" w:color="auto" w:sz="4" w:space="0"/>
              <w:left w:val="nil"/>
              <w:bottom w:val="single" w:color="auto" w:sz="4" w:space="0"/>
              <w:right w:val="single" w:color="auto" w:sz="4" w:space="0"/>
            </w:tcBorders>
            <w:shd w:val="clear" w:color="auto" w:fill="auto"/>
            <w:vAlign w:val="top"/>
          </w:tcPr>
          <w:p w14:paraId="02EAC2DE">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24"/>
                <w:szCs w:val="24"/>
                <w:highlight w:val="none"/>
              </w:rPr>
            </w:pPr>
          </w:p>
        </w:tc>
      </w:tr>
      <w:tr w14:paraId="64B98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7" w:hRule="atLeast"/>
          <w:jc w:val="center"/>
        </w:trPr>
        <w:tc>
          <w:tcPr>
            <w:tcW w:w="1525" w:type="dxa"/>
            <w:tcBorders>
              <w:top w:val="single" w:color="auto" w:sz="4" w:space="0"/>
              <w:left w:val="single" w:color="auto" w:sz="4" w:space="0"/>
              <w:bottom w:val="single" w:color="auto" w:sz="4" w:space="0"/>
              <w:right w:val="single" w:color="auto" w:sz="4" w:space="0"/>
            </w:tcBorders>
            <w:shd w:val="clear" w:color="auto" w:fill="auto"/>
            <w:vAlign w:val="top"/>
          </w:tcPr>
          <w:p w14:paraId="2A806707">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24"/>
                <w:szCs w:val="24"/>
                <w:highlight w:val="none"/>
              </w:rPr>
            </w:pPr>
          </w:p>
        </w:tc>
        <w:tc>
          <w:tcPr>
            <w:tcW w:w="3766" w:type="dxa"/>
            <w:tcBorders>
              <w:top w:val="single" w:color="auto" w:sz="4" w:space="0"/>
              <w:left w:val="nil"/>
              <w:bottom w:val="single" w:color="auto" w:sz="4" w:space="0"/>
              <w:right w:val="single" w:color="auto" w:sz="4" w:space="0"/>
            </w:tcBorders>
            <w:shd w:val="clear" w:color="auto" w:fill="auto"/>
            <w:vAlign w:val="top"/>
          </w:tcPr>
          <w:p w14:paraId="561684F9">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24"/>
                <w:szCs w:val="24"/>
                <w:highlight w:val="none"/>
              </w:rPr>
            </w:pPr>
          </w:p>
        </w:tc>
        <w:tc>
          <w:tcPr>
            <w:tcW w:w="2591" w:type="dxa"/>
            <w:tcBorders>
              <w:top w:val="single" w:color="auto" w:sz="4" w:space="0"/>
              <w:left w:val="nil"/>
              <w:bottom w:val="single" w:color="auto" w:sz="4" w:space="0"/>
              <w:right w:val="single" w:color="auto" w:sz="4" w:space="0"/>
            </w:tcBorders>
            <w:shd w:val="clear" w:color="auto" w:fill="auto"/>
            <w:vAlign w:val="top"/>
          </w:tcPr>
          <w:p w14:paraId="23B13662">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24"/>
                <w:szCs w:val="24"/>
                <w:highlight w:val="none"/>
              </w:rPr>
            </w:pPr>
          </w:p>
        </w:tc>
      </w:tr>
    </w:tbl>
    <w:p w14:paraId="1BB89F8B">
      <w:pPr>
        <w:keepNext w:val="0"/>
        <w:keepLines w:val="0"/>
        <w:widowControl w:val="0"/>
        <w:suppressLineNumbers w:val="0"/>
        <w:spacing w:before="0" w:beforeAutospacing="0" w:after="0" w:afterAutospacing="0" w:line="271" w:lineRule="auto"/>
        <w:ind w:left="0" w:right="0" w:firstLine="424" w:firstLineChars="202"/>
        <w:jc w:val="left"/>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注：按招标公告“九、投标人合格条件”中的业绩要求提供，如无已竣工验收的类似工程业绩的，在项目栏中填写“无”。</w:t>
      </w:r>
    </w:p>
    <w:p w14:paraId="57AA0FDD">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 xml:space="preserve"> </w:t>
      </w:r>
    </w:p>
    <w:p w14:paraId="75875852">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投标人：  （盖章）</w:t>
      </w:r>
    </w:p>
    <w:p w14:paraId="3D5AA059">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法定代表人或授权代理人(签字或盖章)：</w:t>
      </w:r>
    </w:p>
    <w:p w14:paraId="4C1FEE93">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 xml:space="preserve">日   期：    年    月    日 </w:t>
      </w:r>
    </w:p>
    <w:p w14:paraId="3323035F">
      <w:pPr>
        <w:pStyle w:val="21"/>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p>
    <w:p w14:paraId="2C188F10">
      <w:pPr>
        <w:pStyle w:val="21"/>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p>
    <w:p w14:paraId="61B5013C">
      <w:pPr>
        <w:pStyle w:val="21"/>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p>
    <w:p w14:paraId="23E4C80F">
      <w:pPr>
        <w:pStyle w:val="21"/>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p>
    <w:p w14:paraId="75CAEC7D">
      <w:pPr>
        <w:pStyle w:val="21"/>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p>
    <w:p w14:paraId="4C1E65A5">
      <w:pPr>
        <w:pStyle w:val="21"/>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p>
    <w:p w14:paraId="3DD8C8C3">
      <w:pPr>
        <w:pStyle w:val="21"/>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p>
    <w:p w14:paraId="788CB3FB">
      <w:pPr>
        <w:pStyle w:val="21"/>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p>
    <w:p w14:paraId="34E893E7">
      <w:pPr>
        <w:pStyle w:val="21"/>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p>
    <w:p w14:paraId="6C17E5FC">
      <w:pPr>
        <w:pStyle w:val="21"/>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p>
    <w:p w14:paraId="4615BEB0">
      <w:pPr>
        <w:pStyle w:val="21"/>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p>
    <w:p w14:paraId="737E59B2">
      <w:pPr>
        <w:pStyle w:val="21"/>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p>
    <w:p w14:paraId="0272F36B">
      <w:pPr>
        <w:pStyle w:val="21"/>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p>
    <w:p w14:paraId="6CDF7850">
      <w:pPr>
        <w:pStyle w:val="21"/>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p>
    <w:p w14:paraId="0FA7EFD2">
      <w:pPr>
        <w:pStyle w:val="21"/>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p>
    <w:p w14:paraId="368BB30E">
      <w:pPr>
        <w:pStyle w:val="21"/>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p>
    <w:p w14:paraId="320A0D25">
      <w:pPr>
        <w:pStyle w:val="21"/>
        <w:widowControl/>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rPr>
        <w:t xml:space="preserve"> </w:t>
      </w:r>
      <w:bookmarkStart w:id="106" w:name="_Toc24195"/>
      <w:bookmarkEnd w:id="106"/>
    </w:p>
    <w:p w14:paraId="7B24B547">
      <w:pPr>
        <w:rPr>
          <w:rFonts w:hint="eastAsia" w:ascii="宋体" w:hAnsi="宋体" w:eastAsia="宋体" w:cs="Times New Roman"/>
          <w:b/>
          <w:color w:val="auto"/>
          <w:spacing w:val="4"/>
          <w:kern w:val="0"/>
          <w:sz w:val="24"/>
          <w:szCs w:val="24"/>
          <w:highlight w:val="none"/>
        </w:rPr>
        <w:sectPr>
          <w:pgSz w:w="11907" w:h="16840"/>
          <w:pgMar w:top="1418" w:right="1418" w:bottom="1418" w:left="1418" w:header="851" w:footer="851" w:gutter="0"/>
          <w:pgNumType w:fmt="decimal"/>
          <w:cols w:space="425" w:num="1"/>
          <w:docGrid w:type="lines" w:linePitch="312" w:charSpace="0"/>
        </w:sectPr>
      </w:pPr>
    </w:p>
    <w:p w14:paraId="2B930373">
      <w:pPr>
        <w:keepNext w:val="0"/>
        <w:keepLines w:val="0"/>
        <w:widowControl w:val="0"/>
        <w:suppressLineNumbers w:val="0"/>
        <w:topLinePunct/>
        <w:adjustRightInd w:val="0"/>
        <w:snapToGrid w:val="0"/>
        <w:spacing w:before="156" w:beforeLines="50" w:beforeAutospacing="0" w:after="156" w:afterLines="50" w:afterAutospacing="0"/>
        <w:ind w:left="0" w:right="0"/>
        <w:jc w:val="left"/>
        <w:outlineLvl w:val="2"/>
        <w:rPr>
          <w:rFonts w:hint="eastAsia" w:ascii="宋体" w:hAnsi="宋体" w:eastAsia="宋体" w:cs="Times New Roman"/>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lang w:val="en-US" w:eastAsia="zh-CN" w:bidi="ar"/>
        </w:rPr>
        <w:t>格式七：施工组织架构图</w:t>
      </w:r>
    </w:p>
    <w:p w14:paraId="3FF2CCF3">
      <w:pPr>
        <w:keepNext w:val="0"/>
        <w:keepLines w:val="0"/>
        <w:widowControl w:val="0"/>
        <w:suppressLineNumbers w:val="0"/>
        <w:topLinePunct/>
        <w:adjustRightInd w:val="0"/>
        <w:snapToGrid w:val="0"/>
        <w:spacing w:before="156" w:beforeAutospacing="0" w:after="156" w:afterAutospacing="0" w:line="360" w:lineRule="auto"/>
        <w:ind w:left="0" w:right="0"/>
        <w:jc w:val="center"/>
        <w:rPr>
          <w:rFonts w:hint="eastAsia" w:ascii="宋体" w:hAnsi="宋体" w:eastAsia="宋体" w:cs="Times New Roman"/>
          <w:color w:val="auto"/>
          <w:spacing w:val="4"/>
          <w:kern w:val="0"/>
          <w:sz w:val="36"/>
          <w:szCs w:val="36"/>
          <w:highlight w:val="none"/>
        </w:rPr>
      </w:pPr>
      <w:r>
        <w:rPr>
          <w:rFonts w:hint="eastAsia" w:ascii="宋体" w:hAnsi="宋体" w:eastAsia="宋体" w:cs="宋体"/>
          <w:color w:val="auto"/>
          <w:spacing w:val="4"/>
          <w:kern w:val="0"/>
          <w:sz w:val="36"/>
          <w:szCs w:val="36"/>
          <w:highlight w:val="none"/>
          <w:lang w:val="en-US" w:eastAsia="zh-CN" w:bidi="ar"/>
        </w:rPr>
        <w:t>施工组织架构图</w:t>
      </w:r>
    </w:p>
    <w:p w14:paraId="0CDD3D9A">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注：</w:t>
      </w:r>
    </w:p>
    <w:p w14:paraId="1943EB0F">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1、投标人应结合本工程的类型和特点，科学、合理地设置本项目的施工组织架构；</w:t>
      </w:r>
    </w:p>
    <w:p w14:paraId="6D20190D">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bookmarkStart w:id="107" w:name="_Toc369536775"/>
      <w:bookmarkEnd w:id="107"/>
      <w:bookmarkStart w:id="108" w:name="_Toc163337625"/>
      <w:bookmarkEnd w:id="108"/>
      <w:bookmarkStart w:id="109" w:name="_Toc337720096"/>
      <w:bookmarkEnd w:id="109"/>
      <w:bookmarkStart w:id="110" w:name="_Toc239216036"/>
      <w:bookmarkEnd w:id="110"/>
      <w:bookmarkStart w:id="111" w:name="_Toc239311751"/>
      <w:bookmarkEnd w:id="111"/>
      <w:bookmarkStart w:id="112" w:name="_Toc352240528"/>
      <w:bookmarkEnd w:id="112"/>
      <w:bookmarkStart w:id="113" w:name="_Toc318924500"/>
      <w:bookmarkEnd w:id="113"/>
      <w:bookmarkStart w:id="114" w:name="_Toc464131229"/>
      <w:bookmarkEnd w:id="114"/>
      <w:bookmarkStart w:id="115" w:name="_Toc395261104"/>
      <w:bookmarkEnd w:id="115"/>
      <w:bookmarkStart w:id="116" w:name="_Toc358370583"/>
      <w:bookmarkEnd w:id="116"/>
      <w:bookmarkStart w:id="117" w:name="_Toc449308425"/>
      <w:bookmarkEnd w:id="117"/>
      <w:bookmarkStart w:id="118" w:name="_Toc226209008"/>
      <w:bookmarkEnd w:id="118"/>
      <w:bookmarkStart w:id="119" w:name="_Toc352623426"/>
      <w:bookmarkEnd w:id="119"/>
      <w:bookmarkStart w:id="120" w:name="_Toc484958704"/>
      <w:r>
        <w:rPr>
          <w:rFonts w:hint="eastAsia" w:ascii="宋体" w:hAnsi="宋体" w:eastAsia="宋体" w:cs="宋体"/>
          <w:color w:val="auto"/>
          <w:spacing w:val="4"/>
          <w:kern w:val="0"/>
          <w:sz w:val="24"/>
          <w:szCs w:val="24"/>
          <w:highlight w:val="none"/>
          <w:lang w:val="en-US" w:eastAsia="zh-CN" w:bidi="ar"/>
        </w:rPr>
        <w:t>2、施工组织架构图由投标人</w:t>
      </w:r>
      <w:bookmarkEnd w:id="120"/>
      <w:r>
        <w:rPr>
          <w:rFonts w:hint="eastAsia" w:ascii="宋体" w:hAnsi="宋体" w:eastAsia="宋体" w:cs="宋体"/>
          <w:color w:val="auto"/>
          <w:spacing w:val="4"/>
          <w:kern w:val="0"/>
          <w:sz w:val="24"/>
          <w:szCs w:val="24"/>
          <w:highlight w:val="none"/>
          <w:lang w:val="en-US" w:eastAsia="zh-CN" w:bidi="ar"/>
        </w:rPr>
        <w:t>结合招标人对本工程的具体要求自行设定；</w:t>
      </w:r>
    </w:p>
    <w:p w14:paraId="3747275E">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3、可结合自身情况附相关辅助说明资料。</w:t>
      </w:r>
    </w:p>
    <w:p w14:paraId="26814146">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1C22C2A3">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42E542EB">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1EC63063">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07C4EA15">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57B46C34">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227FBDF0">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39C43257">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投标人：  （盖章）</w:t>
      </w:r>
    </w:p>
    <w:p w14:paraId="57042FFA">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法定代表人或授权代理人(签字或盖章)：</w:t>
      </w:r>
    </w:p>
    <w:p w14:paraId="79D615E6">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日</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期：</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年</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月</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日</w:t>
      </w:r>
      <w:r>
        <w:rPr>
          <w:rFonts w:hint="eastAsia" w:ascii="宋体" w:hAnsi="宋体" w:eastAsia="宋体" w:cs="Times New Roman"/>
          <w:color w:val="auto"/>
          <w:spacing w:val="4"/>
          <w:kern w:val="0"/>
          <w:sz w:val="24"/>
          <w:szCs w:val="24"/>
          <w:highlight w:val="none"/>
          <w:lang w:val="en-US" w:eastAsia="zh-CN" w:bidi="ar"/>
        </w:rPr>
        <w:t xml:space="preserve"> </w:t>
      </w:r>
    </w:p>
    <w:p w14:paraId="09F3ECB8">
      <w:pPr>
        <w:spacing w:line="360" w:lineRule="auto"/>
        <w:rPr>
          <w:rFonts w:hint="eastAsia" w:ascii="宋体" w:hAnsi="宋体" w:eastAsia="宋体" w:cs="Times New Roman"/>
          <w:color w:val="auto"/>
          <w:spacing w:val="4"/>
          <w:kern w:val="0"/>
          <w:sz w:val="24"/>
          <w:szCs w:val="24"/>
          <w:highlight w:val="none"/>
        </w:rPr>
        <w:sectPr>
          <w:pgSz w:w="11907" w:h="16840"/>
          <w:pgMar w:top="1418" w:right="1418" w:bottom="1418" w:left="1418" w:header="851" w:footer="851" w:gutter="0"/>
          <w:pgNumType w:fmt="decimal"/>
          <w:cols w:space="425" w:num="1"/>
          <w:docGrid w:type="lines" w:linePitch="312" w:charSpace="0"/>
        </w:sectPr>
      </w:pPr>
    </w:p>
    <w:p w14:paraId="163377E8">
      <w:pPr>
        <w:keepNext w:val="0"/>
        <w:keepLines w:val="0"/>
        <w:widowControl w:val="0"/>
        <w:suppressLineNumbers w:val="0"/>
        <w:topLinePunct/>
        <w:adjustRightInd w:val="0"/>
        <w:snapToGrid w:val="0"/>
        <w:spacing w:before="156" w:beforeAutospacing="0" w:after="156" w:afterAutospacing="0" w:line="360" w:lineRule="auto"/>
        <w:ind w:left="0" w:right="0"/>
        <w:jc w:val="both"/>
        <w:outlineLvl w:val="2"/>
        <w:rPr>
          <w:rFonts w:hint="eastAsia" w:ascii="宋体" w:hAnsi="宋体" w:eastAsia="宋体" w:cs="Times New Roman"/>
          <w:b/>
          <w:color w:val="auto"/>
          <w:kern w:val="0"/>
          <w:sz w:val="24"/>
          <w:szCs w:val="24"/>
          <w:highlight w:val="none"/>
        </w:rPr>
      </w:pPr>
      <w:bookmarkStart w:id="121" w:name="_Toc4818"/>
      <w:bookmarkEnd w:id="121"/>
      <w:bookmarkStart w:id="122" w:name="_Toc14697662"/>
      <w:r>
        <w:rPr>
          <w:rFonts w:hint="eastAsia" w:ascii="宋体" w:hAnsi="宋体" w:eastAsia="宋体" w:cs="宋体"/>
          <w:b/>
          <w:color w:val="auto"/>
          <w:kern w:val="0"/>
          <w:sz w:val="24"/>
          <w:szCs w:val="24"/>
          <w:highlight w:val="none"/>
          <w:lang w:val="en-US" w:eastAsia="zh-CN" w:bidi="ar"/>
        </w:rPr>
        <w:t>格式八：投入主要人员汇总表</w:t>
      </w:r>
      <w:bookmarkEnd w:id="122"/>
    </w:p>
    <w:p w14:paraId="12A1F9E4">
      <w:pPr>
        <w:keepNext w:val="0"/>
        <w:keepLines w:val="0"/>
        <w:widowControl w:val="0"/>
        <w:suppressLineNumbers w:val="0"/>
        <w:topLinePunct/>
        <w:adjustRightInd w:val="0"/>
        <w:snapToGrid w:val="0"/>
        <w:spacing w:before="0" w:beforeAutospacing="0" w:after="0" w:afterAutospacing="0" w:line="360" w:lineRule="auto"/>
        <w:ind w:left="0" w:right="0"/>
        <w:jc w:val="both"/>
        <w:rPr>
          <w:rFonts w:hint="default" w:ascii="宋体" w:hAnsi="宋体" w:eastAsia="宋体" w:cs="Times New Roman"/>
          <w:b/>
          <w:bCs w:val="0"/>
          <w:color w:val="auto"/>
          <w:spacing w:val="4"/>
          <w:kern w:val="0"/>
          <w:sz w:val="32"/>
          <w:szCs w:val="32"/>
          <w:highlight w:val="none"/>
        </w:rPr>
      </w:pPr>
      <w:r>
        <w:rPr>
          <w:rFonts w:hint="eastAsia" w:ascii="宋体" w:hAnsi="宋体" w:eastAsia="宋体" w:cs="宋体"/>
          <w:b/>
          <w:bCs w:val="0"/>
          <w:color w:val="auto"/>
          <w:spacing w:val="4"/>
          <w:kern w:val="0"/>
          <w:sz w:val="32"/>
          <w:szCs w:val="32"/>
          <w:highlight w:val="none"/>
          <w:lang w:val="en-US" w:eastAsia="zh-CN" w:bidi="ar"/>
        </w:rPr>
        <w:t>投入主要人员汇总表</w:t>
      </w:r>
      <w:r>
        <w:rPr>
          <w:rFonts w:hint="default" w:ascii="宋体" w:hAnsi="宋体" w:eastAsia="宋体" w:cs="宋体"/>
          <w:b/>
          <w:bCs w:val="0"/>
          <w:color w:val="auto"/>
          <w:spacing w:val="4"/>
          <w:kern w:val="0"/>
          <w:sz w:val="32"/>
          <w:szCs w:val="32"/>
          <w:highlight w:val="none"/>
          <w:lang w:eastAsia="zh-CN" w:bidi="ar"/>
        </w:rPr>
        <w:t>（广州天河体育中心整体景观提升（开幕式）建筑工程）</w:t>
      </w:r>
    </w:p>
    <w:tbl>
      <w:tblPr>
        <w:tblStyle w:val="17"/>
        <w:tblW w:w="97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35"/>
        <w:gridCol w:w="420"/>
        <w:gridCol w:w="458"/>
        <w:gridCol w:w="356"/>
        <w:gridCol w:w="644"/>
        <w:gridCol w:w="425"/>
        <w:gridCol w:w="446"/>
        <w:gridCol w:w="1353"/>
        <w:gridCol w:w="743"/>
        <w:gridCol w:w="2909"/>
        <w:gridCol w:w="1335"/>
      </w:tblGrid>
      <w:tr w14:paraId="006F6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2AE56AF4">
            <w:pPr>
              <w:pStyle w:val="14"/>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eastAsia" w:ascii="宋体" w:hAnsi="宋体" w:eastAsia="宋体" w:cs="宋体"/>
                <w:b/>
                <w:bCs w:val="0"/>
                <w:color w:val="auto"/>
                <w:kern w:val="2"/>
                <w:sz w:val="21"/>
                <w:szCs w:val="21"/>
                <w:highlight w:val="none"/>
                <w:lang w:val="en-US" w:eastAsia="zh-CN" w:bidi="ar"/>
              </w:rPr>
              <w:t>序号</w:t>
            </w:r>
          </w:p>
        </w:tc>
        <w:tc>
          <w:tcPr>
            <w:tcW w:w="420" w:type="dxa"/>
            <w:tcBorders>
              <w:top w:val="single" w:color="auto" w:sz="4" w:space="0"/>
              <w:left w:val="nil"/>
              <w:bottom w:val="single" w:color="auto" w:sz="4" w:space="0"/>
              <w:right w:val="single" w:color="auto" w:sz="4" w:space="0"/>
            </w:tcBorders>
            <w:shd w:val="clear" w:color="auto" w:fill="auto"/>
            <w:vAlign w:val="center"/>
          </w:tcPr>
          <w:p w14:paraId="0F6B495C">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姓名</w:t>
            </w:r>
          </w:p>
        </w:tc>
        <w:tc>
          <w:tcPr>
            <w:tcW w:w="458" w:type="dxa"/>
            <w:tcBorders>
              <w:top w:val="single" w:color="auto" w:sz="4" w:space="0"/>
              <w:left w:val="nil"/>
              <w:bottom w:val="single" w:color="auto" w:sz="4" w:space="0"/>
              <w:right w:val="single" w:color="auto" w:sz="4" w:space="0"/>
            </w:tcBorders>
            <w:shd w:val="clear" w:color="auto" w:fill="auto"/>
            <w:vAlign w:val="center"/>
          </w:tcPr>
          <w:p w14:paraId="4F5E841E">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年龄</w:t>
            </w:r>
          </w:p>
        </w:tc>
        <w:tc>
          <w:tcPr>
            <w:tcW w:w="356" w:type="dxa"/>
            <w:tcBorders>
              <w:top w:val="single" w:color="auto" w:sz="4" w:space="0"/>
              <w:left w:val="nil"/>
              <w:bottom w:val="single" w:color="auto" w:sz="4" w:space="0"/>
              <w:right w:val="single" w:color="auto" w:sz="4" w:space="0"/>
            </w:tcBorders>
            <w:shd w:val="clear" w:color="auto" w:fill="auto"/>
            <w:vAlign w:val="center"/>
          </w:tcPr>
          <w:p w14:paraId="43221682">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工作年限</w:t>
            </w:r>
          </w:p>
        </w:tc>
        <w:tc>
          <w:tcPr>
            <w:tcW w:w="644" w:type="dxa"/>
            <w:tcBorders>
              <w:top w:val="single" w:color="auto" w:sz="4" w:space="0"/>
              <w:left w:val="nil"/>
              <w:bottom w:val="single" w:color="auto" w:sz="4" w:space="0"/>
              <w:right w:val="single" w:color="auto" w:sz="4" w:space="0"/>
            </w:tcBorders>
            <w:shd w:val="clear" w:color="auto" w:fill="auto"/>
            <w:vAlign w:val="center"/>
          </w:tcPr>
          <w:p w14:paraId="16A9E71F">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所学专业</w:t>
            </w:r>
          </w:p>
        </w:tc>
        <w:tc>
          <w:tcPr>
            <w:tcW w:w="425" w:type="dxa"/>
            <w:tcBorders>
              <w:top w:val="single" w:color="auto" w:sz="4" w:space="0"/>
              <w:left w:val="nil"/>
              <w:bottom w:val="single" w:color="auto" w:sz="4" w:space="0"/>
              <w:right w:val="single" w:color="auto" w:sz="4" w:space="0"/>
            </w:tcBorders>
            <w:shd w:val="clear" w:color="auto" w:fill="auto"/>
            <w:vAlign w:val="center"/>
          </w:tcPr>
          <w:p w14:paraId="765E8803">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职称、资格证书</w:t>
            </w:r>
          </w:p>
        </w:tc>
        <w:tc>
          <w:tcPr>
            <w:tcW w:w="446" w:type="dxa"/>
            <w:tcBorders>
              <w:top w:val="single" w:color="auto" w:sz="4" w:space="0"/>
              <w:left w:val="nil"/>
              <w:bottom w:val="single" w:color="auto" w:sz="4" w:space="0"/>
              <w:right w:val="single" w:color="auto" w:sz="4" w:space="0"/>
            </w:tcBorders>
            <w:shd w:val="clear" w:color="auto" w:fill="auto"/>
            <w:vAlign w:val="center"/>
          </w:tcPr>
          <w:p w14:paraId="5478EBF9">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原任职务</w:t>
            </w:r>
          </w:p>
        </w:tc>
        <w:tc>
          <w:tcPr>
            <w:tcW w:w="1353" w:type="dxa"/>
            <w:tcBorders>
              <w:top w:val="single" w:color="auto" w:sz="4" w:space="0"/>
              <w:left w:val="nil"/>
              <w:bottom w:val="single" w:color="auto" w:sz="4" w:space="0"/>
              <w:right w:val="single" w:color="auto" w:sz="4" w:space="0"/>
            </w:tcBorders>
            <w:shd w:val="clear" w:color="auto" w:fill="auto"/>
            <w:vAlign w:val="center"/>
          </w:tcPr>
          <w:p w14:paraId="3515DF02">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在本项目任职</w:t>
            </w:r>
          </w:p>
        </w:tc>
        <w:tc>
          <w:tcPr>
            <w:tcW w:w="743" w:type="dxa"/>
            <w:tcBorders>
              <w:top w:val="single" w:color="auto" w:sz="4" w:space="0"/>
              <w:left w:val="nil"/>
              <w:bottom w:val="single" w:color="auto" w:sz="4" w:space="0"/>
              <w:right w:val="single" w:color="auto" w:sz="4" w:space="0"/>
            </w:tcBorders>
            <w:shd w:val="clear" w:color="auto" w:fill="auto"/>
            <w:vAlign w:val="center"/>
          </w:tcPr>
          <w:p w14:paraId="7EFEB305">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数量</w:t>
            </w:r>
          </w:p>
        </w:tc>
        <w:tc>
          <w:tcPr>
            <w:tcW w:w="2909" w:type="dxa"/>
            <w:tcBorders>
              <w:top w:val="single" w:color="auto" w:sz="4" w:space="0"/>
              <w:left w:val="nil"/>
              <w:bottom w:val="single" w:color="auto" w:sz="4" w:space="0"/>
              <w:right w:val="single" w:color="auto" w:sz="4" w:space="0"/>
            </w:tcBorders>
            <w:shd w:val="clear" w:color="auto" w:fill="auto"/>
            <w:vAlign w:val="center"/>
          </w:tcPr>
          <w:p w14:paraId="190CB3D5">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基本要求</w:t>
            </w:r>
          </w:p>
        </w:tc>
        <w:tc>
          <w:tcPr>
            <w:tcW w:w="1335" w:type="dxa"/>
            <w:tcBorders>
              <w:top w:val="single" w:color="auto" w:sz="4" w:space="0"/>
              <w:left w:val="nil"/>
              <w:bottom w:val="single" w:color="auto" w:sz="4" w:space="0"/>
              <w:right w:val="single" w:color="auto" w:sz="4" w:space="0"/>
            </w:tcBorders>
            <w:shd w:val="clear" w:color="auto" w:fill="auto"/>
            <w:vAlign w:val="center"/>
          </w:tcPr>
          <w:p w14:paraId="22FEEAC0">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备注</w:t>
            </w:r>
          </w:p>
        </w:tc>
      </w:tr>
      <w:tr w14:paraId="6377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49DAFA39">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p>
        </w:tc>
        <w:tc>
          <w:tcPr>
            <w:tcW w:w="420" w:type="dxa"/>
            <w:tcBorders>
              <w:top w:val="single" w:color="auto" w:sz="4" w:space="0"/>
              <w:left w:val="nil"/>
              <w:bottom w:val="single" w:color="auto" w:sz="4" w:space="0"/>
              <w:right w:val="single" w:color="auto" w:sz="4" w:space="0"/>
            </w:tcBorders>
            <w:shd w:val="clear" w:color="auto" w:fill="auto"/>
            <w:vAlign w:val="center"/>
          </w:tcPr>
          <w:p w14:paraId="6F42C40B">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21"/>
                <w:szCs w:val="21"/>
                <w:highlight w:val="none"/>
              </w:rPr>
            </w:pPr>
          </w:p>
        </w:tc>
        <w:tc>
          <w:tcPr>
            <w:tcW w:w="458" w:type="dxa"/>
            <w:tcBorders>
              <w:top w:val="single" w:color="auto" w:sz="4" w:space="0"/>
              <w:left w:val="nil"/>
              <w:bottom w:val="single" w:color="auto" w:sz="4" w:space="0"/>
              <w:right w:val="single" w:color="auto" w:sz="4" w:space="0"/>
            </w:tcBorders>
            <w:shd w:val="clear" w:color="auto" w:fill="auto"/>
            <w:vAlign w:val="top"/>
          </w:tcPr>
          <w:p w14:paraId="0BF497E3">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356" w:type="dxa"/>
            <w:tcBorders>
              <w:top w:val="single" w:color="auto" w:sz="4" w:space="0"/>
              <w:left w:val="nil"/>
              <w:bottom w:val="single" w:color="auto" w:sz="4" w:space="0"/>
              <w:right w:val="single" w:color="auto" w:sz="4" w:space="0"/>
            </w:tcBorders>
            <w:shd w:val="clear" w:color="auto" w:fill="auto"/>
            <w:vAlign w:val="top"/>
          </w:tcPr>
          <w:p w14:paraId="3B7A642F">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644" w:type="dxa"/>
            <w:tcBorders>
              <w:top w:val="single" w:color="auto" w:sz="4" w:space="0"/>
              <w:left w:val="nil"/>
              <w:bottom w:val="single" w:color="auto" w:sz="4" w:space="0"/>
              <w:right w:val="single" w:color="auto" w:sz="4" w:space="0"/>
            </w:tcBorders>
            <w:shd w:val="clear" w:color="auto" w:fill="auto"/>
            <w:vAlign w:val="top"/>
          </w:tcPr>
          <w:p w14:paraId="41641F9A">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25" w:type="dxa"/>
            <w:tcBorders>
              <w:top w:val="single" w:color="auto" w:sz="4" w:space="0"/>
              <w:left w:val="nil"/>
              <w:bottom w:val="single" w:color="auto" w:sz="4" w:space="0"/>
              <w:right w:val="single" w:color="auto" w:sz="4" w:space="0"/>
            </w:tcBorders>
            <w:shd w:val="clear" w:color="auto" w:fill="auto"/>
            <w:vAlign w:val="center"/>
          </w:tcPr>
          <w:p w14:paraId="027A5A12">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46" w:type="dxa"/>
            <w:tcBorders>
              <w:top w:val="single" w:color="auto" w:sz="4" w:space="0"/>
              <w:left w:val="nil"/>
              <w:bottom w:val="single" w:color="auto" w:sz="4" w:space="0"/>
              <w:right w:val="single" w:color="auto" w:sz="4" w:space="0"/>
            </w:tcBorders>
            <w:shd w:val="clear" w:color="auto" w:fill="auto"/>
            <w:vAlign w:val="top"/>
          </w:tcPr>
          <w:p w14:paraId="67D075D2">
            <w:pPr>
              <w:keepNext w:val="0"/>
              <w:keepLines w:val="0"/>
              <w:widowControl w:val="0"/>
              <w:suppressLineNumbers w:val="0"/>
              <w:spacing w:before="0" w:beforeAutospacing="0" w:after="0" w:afterAutospacing="0" w:line="240" w:lineRule="exact"/>
              <w:ind w:left="0" w:right="0"/>
              <w:jc w:val="both"/>
              <w:rPr>
                <w:rFonts w:hint="default" w:ascii="宋体" w:hAnsi="宋体" w:eastAsia="宋体" w:cs="宋体"/>
                <w:color w:val="auto"/>
                <w:kern w:val="2"/>
                <w:sz w:val="21"/>
                <w:szCs w:val="21"/>
                <w:highlight w:val="none"/>
              </w:rPr>
            </w:pPr>
          </w:p>
        </w:tc>
        <w:tc>
          <w:tcPr>
            <w:tcW w:w="1353" w:type="dxa"/>
            <w:tcBorders>
              <w:top w:val="single" w:color="auto" w:sz="4" w:space="0"/>
              <w:left w:val="nil"/>
              <w:bottom w:val="single" w:color="auto" w:sz="4" w:space="0"/>
              <w:right w:val="single" w:color="auto" w:sz="4" w:space="0"/>
            </w:tcBorders>
            <w:shd w:val="clear" w:color="auto" w:fill="auto"/>
            <w:vAlign w:val="center"/>
          </w:tcPr>
          <w:p w14:paraId="47E83548">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项目指挥长</w:t>
            </w:r>
          </w:p>
        </w:tc>
        <w:tc>
          <w:tcPr>
            <w:tcW w:w="743" w:type="dxa"/>
            <w:tcBorders>
              <w:top w:val="single" w:color="auto" w:sz="4" w:space="0"/>
              <w:left w:val="nil"/>
              <w:bottom w:val="single" w:color="auto" w:sz="4" w:space="0"/>
              <w:right w:val="single" w:color="auto" w:sz="4" w:space="0"/>
            </w:tcBorders>
            <w:shd w:val="clear" w:color="auto" w:fill="auto"/>
            <w:vAlign w:val="center"/>
          </w:tcPr>
          <w:p w14:paraId="2D628992">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u w:val="single"/>
              </w:rPr>
            </w:pPr>
            <w:r>
              <w:rPr>
                <w:rFonts w:hint="default" w:ascii="宋体" w:hAnsi="宋体" w:eastAsia="宋体" w:cs="Times New Roman"/>
                <w:color w:val="auto"/>
                <w:kern w:val="2"/>
                <w:sz w:val="21"/>
                <w:szCs w:val="21"/>
                <w:highlight w:val="none"/>
                <w:u w:val="single"/>
              </w:rPr>
              <w:t>1</w:t>
            </w:r>
          </w:p>
        </w:tc>
        <w:tc>
          <w:tcPr>
            <w:tcW w:w="2909" w:type="dxa"/>
            <w:tcBorders>
              <w:top w:val="single" w:color="auto" w:sz="4" w:space="0"/>
              <w:left w:val="nil"/>
              <w:bottom w:val="single" w:color="auto" w:sz="4" w:space="0"/>
              <w:right w:val="single" w:color="auto" w:sz="4" w:space="0"/>
            </w:tcBorders>
            <w:shd w:val="clear" w:color="auto" w:fill="auto"/>
            <w:vAlign w:val="center"/>
          </w:tcPr>
          <w:p w14:paraId="1B0A24F0">
            <w:pPr>
              <w:keepNext w:val="0"/>
              <w:keepLines w:val="0"/>
              <w:widowControl w:val="0"/>
              <w:suppressLineNumbers w:val="0"/>
              <w:adjustRightInd w:val="0"/>
              <w:snapToGrid w:val="0"/>
              <w:spacing w:before="0" w:beforeAutospacing="0" w:after="0" w:afterAutospacing="0" w:line="360" w:lineRule="auto"/>
              <w:ind w:left="0" w:right="0"/>
              <w:jc w:val="left"/>
              <w:rPr>
                <w:rFonts w:hint="default"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由投标人现任副总经理（或总工程师）或以上行政职务担任，且应已任该职满半年或以上的领导担任，负责项目的总协调。</w:t>
            </w:r>
          </w:p>
        </w:tc>
        <w:tc>
          <w:tcPr>
            <w:tcW w:w="1335" w:type="dxa"/>
            <w:tcBorders>
              <w:top w:val="single" w:color="auto" w:sz="4" w:space="0"/>
              <w:left w:val="nil"/>
              <w:bottom w:val="single" w:color="auto" w:sz="4" w:space="0"/>
              <w:right w:val="single" w:color="auto" w:sz="4" w:space="0"/>
            </w:tcBorders>
            <w:shd w:val="clear" w:color="auto" w:fill="auto"/>
            <w:vAlign w:val="top"/>
          </w:tcPr>
          <w:p w14:paraId="6E58CC99">
            <w:pPr>
              <w:keepNext w:val="0"/>
              <w:keepLines w:val="0"/>
              <w:widowControl w:val="0"/>
              <w:suppressLineNumbers w:val="0"/>
              <w:adjustRightInd w:val="0"/>
              <w:snapToGrid w:val="0"/>
              <w:spacing w:before="0" w:beforeAutospacing="0" w:after="0" w:afterAutospacing="0" w:line="360" w:lineRule="auto"/>
              <w:ind w:left="0" w:right="0"/>
              <w:jc w:val="both"/>
              <w:rPr>
                <w:rFonts w:hint="default" w:ascii="宋体" w:hAnsi="宋体" w:eastAsia="宋体" w:cs="宋体"/>
                <w:color w:val="auto"/>
                <w:kern w:val="0"/>
                <w:sz w:val="21"/>
                <w:szCs w:val="21"/>
                <w:highlight w:val="none"/>
                <w:u w:val="single"/>
                <w:lang w:bidi="ar"/>
              </w:rPr>
            </w:pPr>
            <w:r>
              <w:rPr>
                <w:rFonts w:hint="eastAsia" w:ascii="宋体" w:hAnsi="宋体" w:eastAsia="宋体" w:cs="宋体"/>
                <w:color w:val="auto"/>
                <w:kern w:val="0"/>
                <w:sz w:val="21"/>
                <w:szCs w:val="21"/>
                <w:highlight w:val="none"/>
                <w:u w:val="single"/>
                <w:lang w:val="en-US" w:eastAsia="zh-CN" w:bidi="ar"/>
              </w:rPr>
              <w:t>提供任职证明</w:t>
            </w:r>
          </w:p>
        </w:tc>
      </w:tr>
      <w:tr w14:paraId="757BA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3EB2AFAA">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w:t>
            </w:r>
          </w:p>
        </w:tc>
        <w:tc>
          <w:tcPr>
            <w:tcW w:w="420" w:type="dxa"/>
            <w:tcBorders>
              <w:top w:val="single" w:color="auto" w:sz="4" w:space="0"/>
              <w:left w:val="nil"/>
              <w:bottom w:val="single" w:color="auto" w:sz="4" w:space="0"/>
              <w:right w:val="single" w:color="auto" w:sz="4" w:space="0"/>
            </w:tcBorders>
            <w:shd w:val="clear" w:color="auto" w:fill="auto"/>
            <w:vAlign w:val="center"/>
          </w:tcPr>
          <w:p w14:paraId="45D8CFEB">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21"/>
                <w:szCs w:val="21"/>
                <w:highlight w:val="none"/>
              </w:rPr>
            </w:pPr>
          </w:p>
        </w:tc>
        <w:tc>
          <w:tcPr>
            <w:tcW w:w="458" w:type="dxa"/>
            <w:tcBorders>
              <w:top w:val="single" w:color="auto" w:sz="4" w:space="0"/>
              <w:left w:val="nil"/>
              <w:bottom w:val="single" w:color="auto" w:sz="4" w:space="0"/>
              <w:right w:val="single" w:color="auto" w:sz="4" w:space="0"/>
            </w:tcBorders>
            <w:shd w:val="clear" w:color="auto" w:fill="auto"/>
            <w:vAlign w:val="top"/>
          </w:tcPr>
          <w:p w14:paraId="0F7EDD6C">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356" w:type="dxa"/>
            <w:tcBorders>
              <w:top w:val="single" w:color="auto" w:sz="4" w:space="0"/>
              <w:left w:val="nil"/>
              <w:bottom w:val="single" w:color="auto" w:sz="4" w:space="0"/>
              <w:right w:val="single" w:color="auto" w:sz="4" w:space="0"/>
            </w:tcBorders>
            <w:shd w:val="clear" w:color="auto" w:fill="auto"/>
            <w:vAlign w:val="top"/>
          </w:tcPr>
          <w:p w14:paraId="2ACCA3C6">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644" w:type="dxa"/>
            <w:tcBorders>
              <w:top w:val="single" w:color="auto" w:sz="4" w:space="0"/>
              <w:left w:val="nil"/>
              <w:bottom w:val="single" w:color="auto" w:sz="4" w:space="0"/>
              <w:right w:val="single" w:color="auto" w:sz="4" w:space="0"/>
            </w:tcBorders>
            <w:shd w:val="clear" w:color="auto" w:fill="auto"/>
            <w:vAlign w:val="top"/>
          </w:tcPr>
          <w:p w14:paraId="257B06DE">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25" w:type="dxa"/>
            <w:tcBorders>
              <w:top w:val="single" w:color="auto" w:sz="4" w:space="0"/>
              <w:left w:val="nil"/>
              <w:bottom w:val="single" w:color="auto" w:sz="4" w:space="0"/>
              <w:right w:val="single" w:color="auto" w:sz="4" w:space="0"/>
            </w:tcBorders>
            <w:shd w:val="clear" w:color="auto" w:fill="auto"/>
            <w:vAlign w:val="center"/>
          </w:tcPr>
          <w:p w14:paraId="26BE0295">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46" w:type="dxa"/>
            <w:tcBorders>
              <w:top w:val="single" w:color="auto" w:sz="4" w:space="0"/>
              <w:left w:val="nil"/>
              <w:bottom w:val="single" w:color="auto" w:sz="4" w:space="0"/>
              <w:right w:val="single" w:color="auto" w:sz="4" w:space="0"/>
            </w:tcBorders>
            <w:shd w:val="clear" w:color="auto" w:fill="auto"/>
            <w:vAlign w:val="top"/>
          </w:tcPr>
          <w:p w14:paraId="6A514693">
            <w:pPr>
              <w:keepNext w:val="0"/>
              <w:keepLines w:val="0"/>
              <w:widowControl w:val="0"/>
              <w:suppressLineNumbers w:val="0"/>
              <w:spacing w:before="0" w:beforeAutospacing="0" w:after="0" w:afterAutospacing="0" w:line="240" w:lineRule="exact"/>
              <w:ind w:left="0" w:right="0"/>
              <w:jc w:val="both"/>
              <w:rPr>
                <w:rFonts w:hint="default" w:ascii="宋体" w:hAnsi="宋体" w:eastAsia="宋体" w:cs="宋体"/>
                <w:color w:val="auto"/>
                <w:kern w:val="2"/>
                <w:sz w:val="21"/>
                <w:szCs w:val="21"/>
                <w:highlight w:val="none"/>
              </w:rPr>
            </w:pPr>
          </w:p>
        </w:tc>
        <w:tc>
          <w:tcPr>
            <w:tcW w:w="1353" w:type="dxa"/>
            <w:tcBorders>
              <w:top w:val="single" w:color="auto" w:sz="4" w:space="0"/>
              <w:left w:val="nil"/>
              <w:bottom w:val="single" w:color="auto" w:sz="4" w:space="0"/>
              <w:right w:val="single" w:color="auto" w:sz="4" w:space="0"/>
            </w:tcBorders>
            <w:shd w:val="clear" w:color="auto" w:fill="auto"/>
            <w:vAlign w:val="center"/>
          </w:tcPr>
          <w:p w14:paraId="0C6CA875">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宋体" w:hAnsi="宋体" w:eastAsia="宋体" w:cs="Times New Roman"/>
                <w:color w:val="auto"/>
                <w:kern w:val="2"/>
                <w:sz w:val="21"/>
                <w:szCs w:val="21"/>
                <w:highlight w:val="none"/>
                <w:lang w:val="en-US"/>
              </w:rPr>
            </w:pPr>
            <w:r>
              <w:rPr>
                <w:rFonts w:hint="eastAsia" w:ascii="宋体" w:hAnsi="宋体" w:eastAsia="宋体" w:cs="宋体"/>
                <w:color w:val="auto"/>
                <w:kern w:val="2"/>
                <w:sz w:val="21"/>
                <w:szCs w:val="21"/>
                <w:highlight w:val="none"/>
                <w:lang w:val="en-US" w:eastAsia="zh-CN" w:bidi="ar"/>
              </w:rPr>
              <w:t>项目负责人</w:t>
            </w:r>
          </w:p>
        </w:tc>
        <w:tc>
          <w:tcPr>
            <w:tcW w:w="743" w:type="dxa"/>
            <w:tcBorders>
              <w:top w:val="single" w:color="auto" w:sz="4" w:space="0"/>
              <w:left w:val="nil"/>
              <w:bottom w:val="single" w:color="auto" w:sz="4" w:space="0"/>
              <w:right w:val="single" w:color="auto" w:sz="4" w:space="0"/>
            </w:tcBorders>
            <w:shd w:val="clear" w:color="auto" w:fill="auto"/>
            <w:vAlign w:val="center"/>
          </w:tcPr>
          <w:p w14:paraId="7861D276">
            <w:pPr>
              <w:keepNext w:val="0"/>
              <w:keepLines w:val="0"/>
              <w:widowControl w:val="0"/>
              <w:suppressLineNumbers w:val="0"/>
              <w:adjustRightInd w:val="0"/>
              <w:snapToGrid w:val="0"/>
              <w:spacing w:before="0" w:beforeAutospacing="0" w:after="0" w:afterAutospacing="0"/>
              <w:ind w:left="0" w:right="0"/>
              <w:jc w:val="center"/>
              <w:rPr>
                <w:rFonts w:hint="default" w:ascii="宋体" w:hAnsi="宋体" w:eastAsia="宋体" w:cs="Times New Roman"/>
                <w:color w:val="auto"/>
                <w:kern w:val="2"/>
                <w:sz w:val="21"/>
                <w:szCs w:val="21"/>
                <w:highlight w:val="none"/>
                <w:u w:val="single"/>
              </w:rPr>
            </w:pPr>
            <w:r>
              <w:rPr>
                <w:rFonts w:hint="default" w:ascii="宋体" w:hAnsi="宋体" w:eastAsia="宋体" w:cs="Times New Roman"/>
                <w:color w:val="auto"/>
                <w:kern w:val="2"/>
                <w:sz w:val="21"/>
                <w:szCs w:val="21"/>
                <w:highlight w:val="none"/>
                <w:u w:val="single"/>
              </w:rPr>
              <w:t>1</w:t>
            </w:r>
          </w:p>
        </w:tc>
        <w:tc>
          <w:tcPr>
            <w:tcW w:w="2909" w:type="dxa"/>
            <w:tcBorders>
              <w:top w:val="single" w:color="auto" w:sz="4" w:space="0"/>
              <w:left w:val="nil"/>
              <w:bottom w:val="single" w:color="auto" w:sz="4" w:space="0"/>
              <w:right w:val="single" w:color="auto" w:sz="4" w:space="0"/>
            </w:tcBorders>
            <w:shd w:val="clear" w:color="auto" w:fill="auto"/>
            <w:vAlign w:val="center"/>
          </w:tcPr>
          <w:p w14:paraId="52D79349">
            <w:pPr>
              <w:keepNext w:val="0"/>
              <w:keepLines w:val="0"/>
              <w:widowControl w:val="0"/>
              <w:suppressLineNumbers w:val="0"/>
              <w:adjustRightInd w:val="0"/>
              <w:snapToGrid w:val="0"/>
              <w:spacing w:before="0" w:beforeAutospacing="0" w:after="0" w:afterAutospacing="0"/>
              <w:ind w:left="0" w:right="0"/>
              <w:jc w:val="both"/>
              <w:rPr>
                <w:rFonts w:hint="default"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按招标公告要求。</w:t>
            </w:r>
          </w:p>
        </w:tc>
        <w:tc>
          <w:tcPr>
            <w:tcW w:w="1335" w:type="dxa"/>
            <w:tcBorders>
              <w:top w:val="single" w:color="auto" w:sz="4" w:space="0"/>
              <w:left w:val="nil"/>
              <w:bottom w:val="single" w:color="auto" w:sz="4" w:space="0"/>
              <w:right w:val="single" w:color="auto" w:sz="4" w:space="0"/>
            </w:tcBorders>
            <w:shd w:val="clear" w:color="auto" w:fill="auto"/>
            <w:vAlign w:val="center"/>
          </w:tcPr>
          <w:p w14:paraId="5CD24F88">
            <w:pPr>
              <w:keepNext w:val="0"/>
              <w:keepLines w:val="0"/>
              <w:widowControl w:val="0"/>
              <w:suppressLineNumbers w:val="0"/>
              <w:adjustRightInd w:val="0"/>
              <w:snapToGrid w:val="0"/>
              <w:spacing w:before="0" w:beforeAutospacing="0" w:after="0" w:afterAutospacing="0" w:line="360" w:lineRule="auto"/>
              <w:ind w:left="0" w:right="0"/>
              <w:jc w:val="both"/>
              <w:rPr>
                <w:rFonts w:hint="default" w:ascii="宋体" w:hAnsi="宋体" w:eastAsia="宋体" w:cs="宋体"/>
                <w:color w:val="auto"/>
                <w:kern w:val="0"/>
                <w:sz w:val="21"/>
                <w:szCs w:val="21"/>
                <w:highlight w:val="none"/>
                <w:u w:val="none"/>
                <w:lang w:bidi="ar"/>
              </w:rPr>
            </w:pPr>
            <w:r>
              <w:rPr>
                <w:rFonts w:hint="eastAsia" w:ascii="宋体" w:hAnsi="宋体" w:eastAsia="宋体" w:cs="宋体"/>
                <w:color w:val="auto"/>
                <w:kern w:val="0"/>
                <w:sz w:val="21"/>
                <w:szCs w:val="21"/>
                <w:highlight w:val="none"/>
                <w:u w:val="none"/>
                <w:lang w:val="en-US" w:eastAsia="zh-CN" w:bidi="ar"/>
              </w:rPr>
              <w:t>按招标公告提供资料</w:t>
            </w:r>
          </w:p>
        </w:tc>
      </w:tr>
      <w:tr w14:paraId="1A84B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37F5AFE1">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3</w:t>
            </w:r>
          </w:p>
        </w:tc>
        <w:tc>
          <w:tcPr>
            <w:tcW w:w="420" w:type="dxa"/>
            <w:tcBorders>
              <w:top w:val="single" w:color="auto" w:sz="4" w:space="0"/>
              <w:left w:val="nil"/>
              <w:bottom w:val="single" w:color="auto" w:sz="4" w:space="0"/>
              <w:right w:val="single" w:color="auto" w:sz="4" w:space="0"/>
            </w:tcBorders>
            <w:shd w:val="clear" w:color="auto" w:fill="auto"/>
            <w:vAlign w:val="center"/>
          </w:tcPr>
          <w:p w14:paraId="311BBE41">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21"/>
                <w:szCs w:val="21"/>
                <w:highlight w:val="none"/>
              </w:rPr>
            </w:pPr>
          </w:p>
        </w:tc>
        <w:tc>
          <w:tcPr>
            <w:tcW w:w="458" w:type="dxa"/>
            <w:tcBorders>
              <w:top w:val="single" w:color="auto" w:sz="4" w:space="0"/>
              <w:left w:val="nil"/>
              <w:bottom w:val="single" w:color="auto" w:sz="4" w:space="0"/>
              <w:right w:val="single" w:color="auto" w:sz="4" w:space="0"/>
            </w:tcBorders>
            <w:shd w:val="clear" w:color="auto" w:fill="auto"/>
            <w:vAlign w:val="top"/>
          </w:tcPr>
          <w:p w14:paraId="72CD2122">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356" w:type="dxa"/>
            <w:tcBorders>
              <w:top w:val="single" w:color="auto" w:sz="4" w:space="0"/>
              <w:left w:val="nil"/>
              <w:bottom w:val="single" w:color="auto" w:sz="4" w:space="0"/>
              <w:right w:val="single" w:color="auto" w:sz="4" w:space="0"/>
            </w:tcBorders>
            <w:shd w:val="clear" w:color="auto" w:fill="auto"/>
            <w:vAlign w:val="top"/>
          </w:tcPr>
          <w:p w14:paraId="79E58BB1">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644" w:type="dxa"/>
            <w:tcBorders>
              <w:top w:val="single" w:color="auto" w:sz="4" w:space="0"/>
              <w:left w:val="nil"/>
              <w:bottom w:val="single" w:color="auto" w:sz="4" w:space="0"/>
              <w:right w:val="single" w:color="auto" w:sz="4" w:space="0"/>
            </w:tcBorders>
            <w:shd w:val="clear" w:color="auto" w:fill="auto"/>
            <w:vAlign w:val="top"/>
          </w:tcPr>
          <w:p w14:paraId="557E97C6">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25" w:type="dxa"/>
            <w:tcBorders>
              <w:top w:val="single" w:color="auto" w:sz="4" w:space="0"/>
              <w:left w:val="nil"/>
              <w:bottom w:val="single" w:color="auto" w:sz="4" w:space="0"/>
              <w:right w:val="single" w:color="auto" w:sz="4" w:space="0"/>
            </w:tcBorders>
            <w:shd w:val="clear" w:color="auto" w:fill="auto"/>
            <w:vAlign w:val="center"/>
          </w:tcPr>
          <w:p w14:paraId="7DB71BC9">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46" w:type="dxa"/>
            <w:tcBorders>
              <w:top w:val="single" w:color="auto" w:sz="4" w:space="0"/>
              <w:left w:val="nil"/>
              <w:bottom w:val="single" w:color="auto" w:sz="4" w:space="0"/>
              <w:right w:val="single" w:color="auto" w:sz="4" w:space="0"/>
            </w:tcBorders>
            <w:shd w:val="clear" w:color="auto" w:fill="auto"/>
            <w:vAlign w:val="top"/>
          </w:tcPr>
          <w:p w14:paraId="310ECD02">
            <w:pPr>
              <w:keepNext w:val="0"/>
              <w:keepLines w:val="0"/>
              <w:widowControl w:val="0"/>
              <w:suppressLineNumbers w:val="0"/>
              <w:spacing w:before="0" w:beforeAutospacing="0" w:after="0" w:afterAutospacing="0" w:line="240" w:lineRule="exact"/>
              <w:ind w:left="0" w:right="0"/>
              <w:jc w:val="both"/>
              <w:rPr>
                <w:rFonts w:hint="default" w:ascii="宋体" w:hAnsi="宋体" w:eastAsia="宋体" w:cs="宋体"/>
                <w:color w:val="auto"/>
                <w:kern w:val="2"/>
                <w:sz w:val="21"/>
                <w:szCs w:val="21"/>
                <w:highlight w:val="none"/>
              </w:rPr>
            </w:pPr>
          </w:p>
        </w:tc>
        <w:tc>
          <w:tcPr>
            <w:tcW w:w="1353" w:type="dxa"/>
            <w:tcBorders>
              <w:top w:val="single" w:color="auto" w:sz="4" w:space="0"/>
              <w:left w:val="nil"/>
              <w:bottom w:val="single" w:color="auto" w:sz="4" w:space="0"/>
              <w:right w:val="single" w:color="auto" w:sz="4" w:space="0"/>
            </w:tcBorders>
            <w:shd w:val="clear" w:color="auto" w:fill="auto"/>
            <w:vAlign w:val="center"/>
          </w:tcPr>
          <w:p w14:paraId="2B000BAA">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技术负责人</w:t>
            </w:r>
          </w:p>
        </w:tc>
        <w:tc>
          <w:tcPr>
            <w:tcW w:w="743" w:type="dxa"/>
            <w:tcBorders>
              <w:top w:val="single" w:color="auto" w:sz="4" w:space="0"/>
              <w:left w:val="nil"/>
              <w:bottom w:val="single" w:color="auto" w:sz="4" w:space="0"/>
              <w:right w:val="single" w:color="auto" w:sz="4" w:space="0"/>
            </w:tcBorders>
            <w:shd w:val="clear" w:color="auto" w:fill="auto"/>
            <w:vAlign w:val="center"/>
          </w:tcPr>
          <w:p w14:paraId="4D061563">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宋体" w:hAnsi="宋体" w:eastAsia="宋体" w:cs="Times New Roman"/>
                <w:color w:val="auto"/>
                <w:kern w:val="2"/>
                <w:sz w:val="21"/>
                <w:szCs w:val="21"/>
                <w:highlight w:val="none"/>
                <w:u w:val="single"/>
                <w:lang w:val="en-US" w:eastAsia="zh-CN" w:bidi="ar-SA"/>
              </w:rPr>
            </w:pPr>
            <w:r>
              <w:rPr>
                <w:rFonts w:hint="default" w:ascii="宋体" w:hAnsi="宋体" w:eastAsia="宋体" w:cs="Times New Roman"/>
                <w:color w:val="auto"/>
                <w:kern w:val="2"/>
                <w:sz w:val="21"/>
                <w:szCs w:val="21"/>
                <w:highlight w:val="none"/>
                <w:u w:val="single"/>
              </w:rPr>
              <w:t>1</w:t>
            </w:r>
          </w:p>
        </w:tc>
        <w:tc>
          <w:tcPr>
            <w:tcW w:w="2909" w:type="dxa"/>
            <w:tcBorders>
              <w:top w:val="single" w:color="auto" w:sz="4" w:space="0"/>
              <w:left w:val="nil"/>
              <w:bottom w:val="single" w:color="auto" w:sz="4" w:space="0"/>
              <w:right w:val="single" w:color="auto" w:sz="4" w:space="0"/>
            </w:tcBorders>
            <w:shd w:val="clear" w:color="auto" w:fill="auto"/>
            <w:vAlign w:val="top"/>
          </w:tcPr>
          <w:p w14:paraId="16E20093">
            <w:pPr>
              <w:keepNext w:val="0"/>
              <w:keepLines w:val="0"/>
              <w:widowControl w:val="0"/>
              <w:suppressLineNumbers w:val="0"/>
              <w:adjustRightInd w:val="0"/>
              <w:snapToGrid w:val="0"/>
              <w:spacing w:before="0" w:beforeAutospacing="0" w:after="0" w:afterAutospacing="0" w:line="360" w:lineRule="auto"/>
              <w:ind w:left="0" w:leftChars="0" w:right="0" w:rightChars="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按招标公告要求。</w:t>
            </w:r>
          </w:p>
        </w:tc>
        <w:tc>
          <w:tcPr>
            <w:tcW w:w="1335" w:type="dxa"/>
            <w:tcBorders>
              <w:top w:val="single" w:color="auto" w:sz="4" w:space="0"/>
              <w:left w:val="nil"/>
              <w:bottom w:val="single" w:color="auto" w:sz="4" w:space="0"/>
              <w:right w:val="single" w:color="auto" w:sz="4" w:space="0"/>
            </w:tcBorders>
            <w:shd w:val="clear" w:color="auto" w:fill="auto"/>
            <w:vAlign w:val="center"/>
          </w:tcPr>
          <w:p w14:paraId="5528FCF5">
            <w:pPr>
              <w:keepNext w:val="0"/>
              <w:keepLines w:val="0"/>
              <w:widowControl w:val="0"/>
              <w:suppressLineNumbers w:val="0"/>
              <w:adjustRightInd w:val="0"/>
              <w:snapToGrid w:val="0"/>
              <w:spacing w:before="0" w:beforeAutospacing="0" w:after="0" w:afterAutospacing="0" w:line="360" w:lineRule="auto"/>
              <w:ind w:left="0" w:leftChars="0" w:right="0" w:rightChars="0"/>
              <w:jc w:val="both"/>
              <w:rPr>
                <w:rFonts w:hint="default" w:ascii="宋体" w:hAnsi="宋体" w:eastAsia="宋体" w:cs="宋体"/>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u w:val="none"/>
                <w:lang w:val="en-US" w:eastAsia="zh-CN" w:bidi="ar"/>
              </w:rPr>
              <w:t>按招标公告提供资料</w:t>
            </w:r>
          </w:p>
        </w:tc>
      </w:tr>
      <w:tr w14:paraId="408A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3C53F31A">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4</w:t>
            </w:r>
          </w:p>
        </w:tc>
        <w:tc>
          <w:tcPr>
            <w:tcW w:w="420" w:type="dxa"/>
            <w:tcBorders>
              <w:top w:val="single" w:color="auto" w:sz="4" w:space="0"/>
              <w:left w:val="nil"/>
              <w:bottom w:val="single" w:color="auto" w:sz="4" w:space="0"/>
              <w:right w:val="single" w:color="auto" w:sz="4" w:space="0"/>
            </w:tcBorders>
            <w:shd w:val="clear" w:color="auto" w:fill="auto"/>
            <w:vAlign w:val="center"/>
          </w:tcPr>
          <w:p w14:paraId="6585BA0E">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21"/>
                <w:szCs w:val="21"/>
                <w:highlight w:val="none"/>
              </w:rPr>
            </w:pPr>
          </w:p>
        </w:tc>
        <w:tc>
          <w:tcPr>
            <w:tcW w:w="458" w:type="dxa"/>
            <w:tcBorders>
              <w:top w:val="single" w:color="auto" w:sz="4" w:space="0"/>
              <w:left w:val="nil"/>
              <w:bottom w:val="single" w:color="auto" w:sz="4" w:space="0"/>
              <w:right w:val="single" w:color="auto" w:sz="4" w:space="0"/>
            </w:tcBorders>
            <w:shd w:val="clear" w:color="auto" w:fill="auto"/>
            <w:vAlign w:val="top"/>
          </w:tcPr>
          <w:p w14:paraId="7A9CC200">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356" w:type="dxa"/>
            <w:tcBorders>
              <w:top w:val="single" w:color="auto" w:sz="4" w:space="0"/>
              <w:left w:val="nil"/>
              <w:bottom w:val="single" w:color="auto" w:sz="4" w:space="0"/>
              <w:right w:val="single" w:color="auto" w:sz="4" w:space="0"/>
            </w:tcBorders>
            <w:shd w:val="clear" w:color="auto" w:fill="auto"/>
            <w:vAlign w:val="top"/>
          </w:tcPr>
          <w:p w14:paraId="4F91DD5E">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644" w:type="dxa"/>
            <w:tcBorders>
              <w:top w:val="single" w:color="auto" w:sz="4" w:space="0"/>
              <w:left w:val="nil"/>
              <w:bottom w:val="single" w:color="auto" w:sz="4" w:space="0"/>
              <w:right w:val="single" w:color="auto" w:sz="4" w:space="0"/>
            </w:tcBorders>
            <w:shd w:val="clear" w:color="auto" w:fill="auto"/>
            <w:vAlign w:val="top"/>
          </w:tcPr>
          <w:p w14:paraId="79C4B727">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25" w:type="dxa"/>
            <w:tcBorders>
              <w:top w:val="single" w:color="auto" w:sz="4" w:space="0"/>
              <w:left w:val="nil"/>
              <w:bottom w:val="single" w:color="auto" w:sz="4" w:space="0"/>
              <w:right w:val="single" w:color="auto" w:sz="4" w:space="0"/>
            </w:tcBorders>
            <w:shd w:val="clear" w:color="auto" w:fill="auto"/>
            <w:vAlign w:val="center"/>
          </w:tcPr>
          <w:p w14:paraId="72BFB5F5">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46" w:type="dxa"/>
            <w:tcBorders>
              <w:top w:val="single" w:color="auto" w:sz="4" w:space="0"/>
              <w:left w:val="nil"/>
              <w:bottom w:val="single" w:color="auto" w:sz="4" w:space="0"/>
              <w:right w:val="single" w:color="auto" w:sz="4" w:space="0"/>
            </w:tcBorders>
            <w:shd w:val="clear" w:color="auto" w:fill="auto"/>
            <w:vAlign w:val="top"/>
          </w:tcPr>
          <w:p w14:paraId="03ED9A6F">
            <w:pPr>
              <w:keepNext w:val="0"/>
              <w:keepLines w:val="0"/>
              <w:widowControl w:val="0"/>
              <w:suppressLineNumbers w:val="0"/>
              <w:spacing w:before="0" w:beforeAutospacing="0" w:after="0" w:afterAutospacing="0" w:line="240" w:lineRule="exact"/>
              <w:ind w:left="0" w:right="0"/>
              <w:jc w:val="both"/>
              <w:rPr>
                <w:rFonts w:hint="default" w:ascii="宋体" w:hAnsi="宋体" w:eastAsia="宋体" w:cs="宋体"/>
                <w:color w:val="auto"/>
                <w:kern w:val="2"/>
                <w:sz w:val="21"/>
                <w:szCs w:val="21"/>
                <w:highlight w:val="none"/>
              </w:rPr>
            </w:pPr>
          </w:p>
        </w:tc>
        <w:tc>
          <w:tcPr>
            <w:tcW w:w="1353" w:type="dxa"/>
            <w:tcBorders>
              <w:top w:val="single" w:color="auto" w:sz="4" w:space="0"/>
              <w:left w:val="nil"/>
              <w:bottom w:val="single" w:color="auto" w:sz="4" w:space="0"/>
              <w:right w:val="single" w:color="auto" w:sz="4" w:space="0"/>
            </w:tcBorders>
            <w:shd w:val="clear" w:color="auto" w:fill="auto"/>
            <w:vAlign w:val="center"/>
          </w:tcPr>
          <w:p w14:paraId="1A36D647">
            <w:pPr>
              <w:keepNext w:val="0"/>
              <w:keepLines w:val="0"/>
              <w:widowControl w:val="0"/>
              <w:suppressLineNumbers w:val="0"/>
              <w:topLinePunct/>
              <w:adjustRightInd w:val="0"/>
              <w:snapToGrid w:val="0"/>
              <w:spacing w:before="0" w:beforeAutospacing="0" w:after="0" w:afterAutospacing="0" w:line="360" w:lineRule="auto"/>
              <w:ind w:left="0" w:leftChars="0" w:right="0" w:rightChars="0" w:firstLine="0" w:firstLineChars="0"/>
              <w:jc w:val="left"/>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专职安全员</w:t>
            </w:r>
          </w:p>
        </w:tc>
        <w:tc>
          <w:tcPr>
            <w:tcW w:w="743" w:type="dxa"/>
            <w:tcBorders>
              <w:top w:val="single" w:color="auto" w:sz="4" w:space="0"/>
              <w:left w:val="nil"/>
              <w:bottom w:val="single" w:color="auto" w:sz="4" w:space="0"/>
              <w:right w:val="single" w:color="auto" w:sz="4" w:space="0"/>
            </w:tcBorders>
            <w:shd w:val="clear" w:color="auto" w:fill="auto"/>
            <w:vAlign w:val="center"/>
          </w:tcPr>
          <w:p w14:paraId="753152E4">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default" w:ascii="宋体" w:hAnsi="宋体" w:eastAsia="宋体" w:cs="Times New Roman"/>
                <w:color w:val="auto"/>
                <w:kern w:val="2"/>
                <w:sz w:val="21"/>
                <w:szCs w:val="21"/>
                <w:highlight w:val="none"/>
                <w:u w:val="single"/>
              </w:rPr>
            </w:pPr>
            <w:r>
              <w:rPr>
                <w:rFonts w:hint="default" w:ascii="宋体" w:hAnsi="宋体" w:eastAsia="宋体" w:cs="Times New Roman"/>
                <w:color w:val="auto"/>
                <w:kern w:val="2"/>
                <w:sz w:val="21"/>
                <w:szCs w:val="21"/>
                <w:highlight w:val="none"/>
                <w:u w:val="single"/>
              </w:rPr>
              <w:t>1</w:t>
            </w:r>
          </w:p>
        </w:tc>
        <w:tc>
          <w:tcPr>
            <w:tcW w:w="2909" w:type="dxa"/>
            <w:tcBorders>
              <w:top w:val="single" w:color="auto" w:sz="4" w:space="0"/>
              <w:left w:val="nil"/>
              <w:bottom w:val="single" w:color="auto" w:sz="4" w:space="0"/>
              <w:right w:val="single" w:color="auto" w:sz="4" w:space="0"/>
            </w:tcBorders>
            <w:shd w:val="clear" w:color="auto" w:fill="auto"/>
            <w:vAlign w:val="top"/>
          </w:tcPr>
          <w:p w14:paraId="3C5C742E">
            <w:pPr>
              <w:keepNext w:val="0"/>
              <w:keepLines w:val="0"/>
              <w:widowControl w:val="0"/>
              <w:suppressLineNumbers w:val="0"/>
              <w:adjustRightInd w:val="0"/>
              <w:snapToGrid w:val="0"/>
              <w:spacing w:before="0" w:beforeAutospacing="0" w:after="0" w:afterAutospacing="0" w:line="360" w:lineRule="auto"/>
              <w:ind w:left="0" w:leftChars="0" w:right="0" w:rightChars="0"/>
              <w:jc w:val="both"/>
              <w:rPr>
                <w:rFonts w:hint="default"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按招标公告要求。</w:t>
            </w:r>
          </w:p>
        </w:tc>
        <w:tc>
          <w:tcPr>
            <w:tcW w:w="1335" w:type="dxa"/>
            <w:tcBorders>
              <w:top w:val="single" w:color="auto" w:sz="4" w:space="0"/>
              <w:left w:val="nil"/>
              <w:bottom w:val="single" w:color="auto" w:sz="4" w:space="0"/>
              <w:right w:val="single" w:color="auto" w:sz="4" w:space="0"/>
            </w:tcBorders>
            <w:shd w:val="clear" w:color="auto" w:fill="auto"/>
            <w:vAlign w:val="center"/>
          </w:tcPr>
          <w:p w14:paraId="694340CD">
            <w:pPr>
              <w:keepNext w:val="0"/>
              <w:keepLines w:val="0"/>
              <w:widowControl w:val="0"/>
              <w:suppressLineNumbers w:val="0"/>
              <w:adjustRightInd w:val="0"/>
              <w:snapToGrid w:val="0"/>
              <w:spacing w:before="0" w:beforeAutospacing="0" w:after="0" w:afterAutospacing="0" w:line="360" w:lineRule="auto"/>
              <w:ind w:left="0" w:leftChars="0" w:right="0" w:rightChars="0"/>
              <w:jc w:val="both"/>
              <w:rPr>
                <w:rFonts w:hint="default" w:ascii="宋体" w:hAnsi="宋体" w:eastAsia="宋体" w:cs="宋体"/>
                <w:color w:val="auto"/>
                <w:kern w:val="0"/>
                <w:sz w:val="21"/>
                <w:szCs w:val="21"/>
                <w:highlight w:val="none"/>
                <w:u w:val="none"/>
                <w:lang w:bidi="ar"/>
              </w:rPr>
            </w:pPr>
            <w:r>
              <w:rPr>
                <w:rFonts w:hint="eastAsia" w:ascii="宋体" w:hAnsi="宋体" w:eastAsia="宋体" w:cs="宋体"/>
                <w:color w:val="auto"/>
                <w:kern w:val="0"/>
                <w:sz w:val="21"/>
                <w:szCs w:val="21"/>
                <w:highlight w:val="none"/>
                <w:u w:val="none"/>
                <w:lang w:val="en-US" w:eastAsia="zh-CN" w:bidi="ar"/>
              </w:rPr>
              <w:t>按招标公告提供资料</w:t>
            </w:r>
          </w:p>
        </w:tc>
      </w:tr>
      <w:tr w14:paraId="09EB0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54E52440">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5</w:t>
            </w:r>
          </w:p>
        </w:tc>
        <w:tc>
          <w:tcPr>
            <w:tcW w:w="420" w:type="dxa"/>
            <w:tcBorders>
              <w:top w:val="single" w:color="auto" w:sz="4" w:space="0"/>
              <w:left w:val="nil"/>
              <w:bottom w:val="single" w:color="auto" w:sz="4" w:space="0"/>
              <w:right w:val="single" w:color="auto" w:sz="4" w:space="0"/>
            </w:tcBorders>
            <w:shd w:val="clear" w:color="auto" w:fill="auto"/>
            <w:vAlign w:val="center"/>
          </w:tcPr>
          <w:p w14:paraId="24F8A305">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21"/>
                <w:szCs w:val="21"/>
                <w:highlight w:val="none"/>
              </w:rPr>
            </w:pPr>
          </w:p>
        </w:tc>
        <w:tc>
          <w:tcPr>
            <w:tcW w:w="458" w:type="dxa"/>
            <w:tcBorders>
              <w:top w:val="single" w:color="auto" w:sz="4" w:space="0"/>
              <w:left w:val="nil"/>
              <w:bottom w:val="single" w:color="auto" w:sz="4" w:space="0"/>
              <w:right w:val="single" w:color="auto" w:sz="4" w:space="0"/>
            </w:tcBorders>
            <w:shd w:val="clear" w:color="auto" w:fill="auto"/>
            <w:vAlign w:val="top"/>
          </w:tcPr>
          <w:p w14:paraId="4272A3D7">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356" w:type="dxa"/>
            <w:tcBorders>
              <w:top w:val="single" w:color="auto" w:sz="4" w:space="0"/>
              <w:left w:val="nil"/>
              <w:bottom w:val="single" w:color="auto" w:sz="4" w:space="0"/>
              <w:right w:val="single" w:color="auto" w:sz="4" w:space="0"/>
            </w:tcBorders>
            <w:shd w:val="clear" w:color="auto" w:fill="auto"/>
            <w:vAlign w:val="top"/>
          </w:tcPr>
          <w:p w14:paraId="2A2E070C">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644" w:type="dxa"/>
            <w:tcBorders>
              <w:top w:val="single" w:color="auto" w:sz="4" w:space="0"/>
              <w:left w:val="nil"/>
              <w:bottom w:val="single" w:color="auto" w:sz="4" w:space="0"/>
              <w:right w:val="single" w:color="auto" w:sz="4" w:space="0"/>
            </w:tcBorders>
            <w:shd w:val="clear" w:color="auto" w:fill="auto"/>
            <w:vAlign w:val="top"/>
          </w:tcPr>
          <w:p w14:paraId="06B84574">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25" w:type="dxa"/>
            <w:tcBorders>
              <w:top w:val="single" w:color="auto" w:sz="4" w:space="0"/>
              <w:left w:val="nil"/>
              <w:bottom w:val="single" w:color="auto" w:sz="4" w:space="0"/>
              <w:right w:val="single" w:color="auto" w:sz="4" w:space="0"/>
            </w:tcBorders>
            <w:shd w:val="clear" w:color="auto" w:fill="auto"/>
            <w:vAlign w:val="center"/>
          </w:tcPr>
          <w:p w14:paraId="34576D4E">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46" w:type="dxa"/>
            <w:tcBorders>
              <w:top w:val="single" w:color="auto" w:sz="4" w:space="0"/>
              <w:left w:val="nil"/>
              <w:bottom w:val="single" w:color="auto" w:sz="4" w:space="0"/>
              <w:right w:val="single" w:color="auto" w:sz="4" w:space="0"/>
            </w:tcBorders>
            <w:shd w:val="clear" w:color="auto" w:fill="auto"/>
            <w:vAlign w:val="top"/>
          </w:tcPr>
          <w:p w14:paraId="34784B32">
            <w:pPr>
              <w:keepNext w:val="0"/>
              <w:keepLines w:val="0"/>
              <w:widowControl w:val="0"/>
              <w:suppressLineNumbers w:val="0"/>
              <w:spacing w:before="0" w:beforeAutospacing="0" w:after="0" w:afterAutospacing="0" w:line="240" w:lineRule="exact"/>
              <w:ind w:left="0" w:right="0"/>
              <w:jc w:val="both"/>
              <w:rPr>
                <w:rFonts w:hint="default" w:ascii="宋体" w:hAnsi="宋体" w:eastAsia="宋体" w:cs="宋体"/>
                <w:color w:val="auto"/>
                <w:kern w:val="2"/>
                <w:sz w:val="21"/>
                <w:szCs w:val="21"/>
                <w:highlight w:val="none"/>
              </w:rPr>
            </w:pPr>
          </w:p>
        </w:tc>
        <w:tc>
          <w:tcPr>
            <w:tcW w:w="1353" w:type="dxa"/>
            <w:tcBorders>
              <w:top w:val="single" w:color="auto" w:sz="4" w:space="0"/>
              <w:left w:val="nil"/>
              <w:bottom w:val="single" w:color="auto" w:sz="4" w:space="0"/>
              <w:right w:val="single" w:color="auto" w:sz="4" w:space="0"/>
            </w:tcBorders>
            <w:shd w:val="clear" w:color="auto" w:fill="auto"/>
            <w:vAlign w:val="center"/>
          </w:tcPr>
          <w:p w14:paraId="478FEBDD">
            <w:pPr>
              <w:keepNext w:val="0"/>
              <w:keepLines w:val="0"/>
              <w:widowControl w:val="0"/>
              <w:suppressLineNumbers w:val="0"/>
              <w:topLinePunct/>
              <w:adjustRightInd w:val="0"/>
              <w:snapToGrid w:val="0"/>
              <w:spacing w:before="0" w:beforeAutospacing="0" w:after="0" w:afterAutospacing="0" w:line="360" w:lineRule="auto"/>
              <w:ind w:left="0" w:leftChars="0" w:right="0" w:rightChars="0" w:firstLine="0" w:firstLineChars="0"/>
              <w:jc w:val="left"/>
              <w:rPr>
                <w:rFonts w:hint="eastAsia" w:ascii="宋体" w:hAnsi="宋体" w:eastAsia="宋体" w:cs="宋体"/>
                <w:color w:val="auto"/>
                <w:kern w:val="2"/>
                <w:sz w:val="21"/>
                <w:szCs w:val="21"/>
                <w:highlight w:val="none"/>
                <w:lang w:bidi="ar"/>
              </w:rPr>
            </w:pPr>
            <w:r>
              <w:rPr>
                <w:rFonts w:hint="eastAsia" w:ascii="宋体" w:hAnsi="宋体" w:eastAsia="宋体" w:cs="宋体"/>
                <w:bCs w:val="0"/>
                <w:snapToGrid/>
                <w:color w:val="auto"/>
                <w:spacing w:val="0"/>
                <w:kern w:val="2"/>
                <w:sz w:val="21"/>
                <w:szCs w:val="21"/>
                <w:highlight w:val="none"/>
                <w:lang w:val="en-US" w:eastAsia="zh-CN" w:bidi="ar"/>
              </w:rPr>
              <w:t>土建工程师</w:t>
            </w:r>
          </w:p>
        </w:tc>
        <w:tc>
          <w:tcPr>
            <w:tcW w:w="743" w:type="dxa"/>
            <w:tcBorders>
              <w:top w:val="single" w:color="auto" w:sz="4" w:space="0"/>
              <w:left w:val="nil"/>
              <w:bottom w:val="single" w:color="auto" w:sz="4" w:space="0"/>
              <w:right w:val="single" w:color="auto" w:sz="4" w:space="0"/>
            </w:tcBorders>
            <w:shd w:val="clear" w:color="auto" w:fill="auto"/>
            <w:vAlign w:val="center"/>
          </w:tcPr>
          <w:p w14:paraId="6D3915AF">
            <w:pPr>
              <w:keepNext w:val="0"/>
              <w:keepLines w:val="0"/>
              <w:widowControl w:val="0"/>
              <w:suppressLineNumbers w:val="0"/>
              <w:topLinePunct/>
              <w:adjustRightInd w:val="0"/>
              <w:snapToGrid w:val="0"/>
              <w:spacing w:before="0" w:beforeAutospacing="0" w:after="0" w:afterAutospacing="0" w:line="360" w:lineRule="auto"/>
              <w:ind w:left="0" w:leftChars="0" w:right="0" w:rightChars="0"/>
              <w:jc w:val="center"/>
              <w:rPr>
                <w:rFonts w:hint="eastAsia" w:ascii="宋体" w:hAnsi="宋体" w:eastAsia="宋体" w:cs="宋体"/>
                <w:color w:val="auto"/>
                <w:kern w:val="2"/>
                <w:sz w:val="21"/>
                <w:szCs w:val="21"/>
                <w:highlight w:val="none"/>
                <w:u w:val="none"/>
                <w:lang w:bidi="ar"/>
              </w:rPr>
            </w:pPr>
            <w:r>
              <w:rPr>
                <w:rFonts w:hint="eastAsia" w:ascii="宋体" w:hAnsi="宋体" w:eastAsia="宋体" w:cs="宋体"/>
                <w:color w:val="auto"/>
                <w:kern w:val="2"/>
                <w:sz w:val="21"/>
                <w:szCs w:val="21"/>
                <w:highlight w:val="none"/>
                <w:u w:val="none"/>
                <w:lang w:bidi="ar"/>
              </w:rPr>
              <w:t>2</w:t>
            </w:r>
          </w:p>
        </w:tc>
        <w:tc>
          <w:tcPr>
            <w:tcW w:w="2909" w:type="dxa"/>
            <w:tcBorders>
              <w:top w:val="single" w:color="auto" w:sz="4" w:space="0"/>
              <w:left w:val="nil"/>
              <w:bottom w:val="single" w:color="auto" w:sz="4" w:space="0"/>
              <w:right w:val="single" w:color="auto" w:sz="4" w:space="0"/>
            </w:tcBorders>
            <w:shd w:val="clear" w:color="auto" w:fill="auto"/>
            <w:vAlign w:val="top"/>
          </w:tcPr>
          <w:p w14:paraId="53FC32C2">
            <w:pPr>
              <w:keepNext w:val="0"/>
              <w:keepLines w:val="0"/>
              <w:widowControl w:val="0"/>
              <w:suppressLineNumbers w:val="0"/>
              <w:topLinePunct/>
              <w:adjustRightInd w:val="0"/>
              <w:snapToGrid w:val="0"/>
              <w:spacing w:before="0" w:beforeAutospacing="0" w:after="0" w:afterAutospacing="0" w:line="360" w:lineRule="auto"/>
              <w:ind w:left="0" w:right="0" w:firstLine="0" w:firstLineChars="0"/>
              <w:jc w:val="left"/>
              <w:rPr>
                <w:rFonts w:hint="eastAsia" w:ascii="宋体" w:hAnsi="宋体" w:eastAsia="宋体" w:cs="宋体"/>
                <w:color w:val="auto"/>
                <w:kern w:val="2"/>
                <w:sz w:val="21"/>
                <w:szCs w:val="21"/>
                <w:highlight w:val="none"/>
                <w:lang w:bidi="ar"/>
              </w:rPr>
            </w:pPr>
            <w:r>
              <w:rPr>
                <w:rFonts w:hint="eastAsia" w:ascii="宋体" w:hAnsi="宋体" w:eastAsia="宋体" w:cs="宋体"/>
                <w:bCs w:val="0"/>
                <w:snapToGrid/>
                <w:color w:val="auto"/>
                <w:spacing w:val="0"/>
                <w:kern w:val="2"/>
                <w:sz w:val="21"/>
                <w:szCs w:val="21"/>
                <w:highlight w:val="none"/>
                <w:lang w:val="en-US" w:eastAsia="zh-CN" w:bidi="ar"/>
              </w:rPr>
              <w:t>具备中级或以上技术职称。所学专业或职称为建筑工程类或市政工程类相关专业</w:t>
            </w:r>
          </w:p>
        </w:tc>
        <w:tc>
          <w:tcPr>
            <w:tcW w:w="1335" w:type="dxa"/>
            <w:tcBorders>
              <w:top w:val="single" w:color="auto" w:sz="4" w:space="0"/>
              <w:left w:val="nil"/>
              <w:bottom w:val="single" w:color="auto" w:sz="4" w:space="0"/>
              <w:right w:val="single" w:color="auto" w:sz="4" w:space="0"/>
            </w:tcBorders>
            <w:shd w:val="clear" w:color="auto" w:fill="auto"/>
            <w:vAlign w:val="center"/>
          </w:tcPr>
          <w:p w14:paraId="1680A583">
            <w:pPr>
              <w:keepNext w:val="0"/>
              <w:keepLines w:val="0"/>
              <w:widowControl w:val="0"/>
              <w:suppressLineNumbers w:val="0"/>
              <w:topLinePunct/>
              <w:adjustRightInd w:val="0"/>
              <w:snapToGrid w:val="0"/>
              <w:spacing w:before="0" w:beforeAutospacing="0" w:after="0" w:afterAutospacing="0" w:line="360" w:lineRule="auto"/>
              <w:ind w:left="0" w:leftChars="0" w:right="0" w:rightChars="0" w:firstLine="0" w:firstLineChars="0"/>
              <w:jc w:val="left"/>
              <w:rPr>
                <w:rFonts w:hint="eastAsia" w:ascii="宋体" w:hAnsi="宋体" w:eastAsia="宋体" w:cs="宋体"/>
                <w:color w:val="auto"/>
                <w:kern w:val="2"/>
                <w:sz w:val="21"/>
                <w:szCs w:val="21"/>
                <w:highlight w:val="none"/>
                <w:u w:val="none"/>
                <w:lang w:bidi="ar"/>
              </w:rPr>
            </w:pPr>
            <w:r>
              <w:rPr>
                <w:rFonts w:hint="eastAsia" w:ascii="宋体" w:hAnsi="宋体" w:eastAsia="宋体" w:cs="宋体"/>
                <w:bCs w:val="0"/>
                <w:snapToGrid/>
                <w:color w:val="auto"/>
                <w:spacing w:val="0"/>
                <w:kern w:val="2"/>
                <w:sz w:val="21"/>
                <w:szCs w:val="21"/>
                <w:highlight w:val="none"/>
                <w:u w:val="none"/>
                <w:lang w:val="en-US" w:eastAsia="zh-CN" w:bidi="ar"/>
              </w:rPr>
              <w:t>须提供毕业证、职称证书扫描件</w:t>
            </w:r>
          </w:p>
        </w:tc>
      </w:tr>
      <w:tr w14:paraId="5BE2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021EAAB2">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6</w:t>
            </w:r>
          </w:p>
        </w:tc>
        <w:tc>
          <w:tcPr>
            <w:tcW w:w="420" w:type="dxa"/>
            <w:tcBorders>
              <w:top w:val="single" w:color="auto" w:sz="4" w:space="0"/>
              <w:left w:val="nil"/>
              <w:bottom w:val="single" w:color="auto" w:sz="4" w:space="0"/>
              <w:right w:val="single" w:color="auto" w:sz="4" w:space="0"/>
            </w:tcBorders>
            <w:shd w:val="clear" w:color="auto" w:fill="auto"/>
            <w:vAlign w:val="center"/>
          </w:tcPr>
          <w:p w14:paraId="4A080138">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21"/>
                <w:szCs w:val="21"/>
                <w:highlight w:val="none"/>
              </w:rPr>
            </w:pPr>
          </w:p>
        </w:tc>
        <w:tc>
          <w:tcPr>
            <w:tcW w:w="458" w:type="dxa"/>
            <w:tcBorders>
              <w:top w:val="single" w:color="auto" w:sz="4" w:space="0"/>
              <w:left w:val="nil"/>
              <w:bottom w:val="single" w:color="auto" w:sz="4" w:space="0"/>
              <w:right w:val="single" w:color="auto" w:sz="4" w:space="0"/>
            </w:tcBorders>
            <w:shd w:val="clear" w:color="auto" w:fill="auto"/>
            <w:vAlign w:val="top"/>
          </w:tcPr>
          <w:p w14:paraId="40728277">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356" w:type="dxa"/>
            <w:tcBorders>
              <w:top w:val="single" w:color="auto" w:sz="4" w:space="0"/>
              <w:left w:val="nil"/>
              <w:bottom w:val="single" w:color="auto" w:sz="4" w:space="0"/>
              <w:right w:val="single" w:color="auto" w:sz="4" w:space="0"/>
            </w:tcBorders>
            <w:shd w:val="clear" w:color="auto" w:fill="auto"/>
            <w:vAlign w:val="top"/>
          </w:tcPr>
          <w:p w14:paraId="3553952E">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644" w:type="dxa"/>
            <w:tcBorders>
              <w:top w:val="single" w:color="auto" w:sz="4" w:space="0"/>
              <w:left w:val="nil"/>
              <w:bottom w:val="single" w:color="auto" w:sz="4" w:space="0"/>
              <w:right w:val="single" w:color="auto" w:sz="4" w:space="0"/>
            </w:tcBorders>
            <w:shd w:val="clear" w:color="auto" w:fill="auto"/>
            <w:vAlign w:val="top"/>
          </w:tcPr>
          <w:p w14:paraId="1B6F6322">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25" w:type="dxa"/>
            <w:tcBorders>
              <w:top w:val="single" w:color="auto" w:sz="4" w:space="0"/>
              <w:left w:val="nil"/>
              <w:bottom w:val="single" w:color="auto" w:sz="4" w:space="0"/>
              <w:right w:val="single" w:color="auto" w:sz="4" w:space="0"/>
            </w:tcBorders>
            <w:shd w:val="clear" w:color="auto" w:fill="auto"/>
            <w:vAlign w:val="center"/>
          </w:tcPr>
          <w:p w14:paraId="146A3BB0">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46" w:type="dxa"/>
            <w:tcBorders>
              <w:top w:val="single" w:color="auto" w:sz="4" w:space="0"/>
              <w:left w:val="nil"/>
              <w:bottom w:val="single" w:color="auto" w:sz="4" w:space="0"/>
              <w:right w:val="single" w:color="auto" w:sz="4" w:space="0"/>
            </w:tcBorders>
            <w:shd w:val="clear" w:color="auto" w:fill="auto"/>
            <w:vAlign w:val="top"/>
          </w:tcPr>
          <w:p w14:paraId="4328414A">
            <w:pPr>
              <w:keepNext w:val="0"/>
              <w:keepLines w:val="0"/>
              <w:widowControl w:val="0"/>
              <w:suppressLineNumbers w:val="0"/>
              <w:spacing w:before="0" w:beforeAutospacing="0" w:after="0" w:afterAutospacing="0" w:line="240" w:lineRule="exact"/>
              <w:ind w:left="0" w:right="0"/>
              <w:jc w:val="both"/>
              <w:rPr>
                <w:rFonts w:hint="default" w:ascii="宋体" w:hAnsi="宋体" w:eastAsia="宋体" w:cs="宋体"/>
                <w:color w:val="auto"/>
                <w:kern w:val="2"/>
                <w:sz w:val="21"/>
                <w:szCs w:val="21"/>
                <w:highlight w:val="none"/>
              </w:rPr>
            </w:pPr>
          </w:p>
        </w:tc>
        <w:tc>
          <w:tcPr>
            <w:tcW w:w="1353" w:type="dxa"/>
            <w:tcBorders>
              <w:top w:val="single" w:color="auto" w:sz="4" w:space="0"/>
              <w:left w:val="nil"/>
              <w:bottom w:val="single" w:color="auto" w:sz="4" w:space="0"/>
              <w:right w:val="single" w:color="auto" w:sz="4" w:space="0"/>
            </w:tcBorders>
            <w:shd w:val="clear" w:color="auto" w:fill="auto"/>
            <w:vAlign w:val="center"/>
          </w:tcPr>
          <w:p w14:paraId="4494B2D2">
            <w:pPr>
              <w:keepNext w:val="0"/>
              <w:keepLines w:val="0"/>
              <w:widowControl w:val="0"/>
              <w:suppressLineNumbers w:val="0"/>
              <w:topLinePunct/>
              <w:adjustRightInd w:val="0"/>
              <w:snapToGrid w:val="0"/>
              <w:spacing w:before="0" w:beforeAutospacing="0" w:after="0" w:afterAutospacing="0" w:line="360" w:lineRule="auto"/>
              <w:ind w:left="0" w:leftChars="0" w:right="0" w:rightChars="0" w:firstLine="0" w:firstLineChars="0"/>
              <w:jc w:val="left"/>
              <w:rPr>
                <w:rFonts w:hint="eastAsia" w:ascii="宋体" w:hAnsi="宋体" w:eastAsia="宋体" w:cs="宋体"/>
                <w:color w:val="auto"/>
                <w:kern w:val="2"/>
                <w:sz w:val="21"/>
                <w:szCs w:val="21"/>
                <w:highlight w:val="none"/>
                <w:lang w:bidi="ar"/>
              </w:rPr>
            </w:pPr>
            <w:r>
              <w:rPr>
                <w:rFonts w:hint="eastAsia" w:ascii="宋体" w:hAnsi="宋体" w:eastAsia="宋体" w:cs="宋体"/>
                <w:bCs w:val="0"/>
                <w:snapToGrid/>
                <w:color w:val="auto"/>
                <w:spacing w:val="0"/>
                <w:kern w:val="2"/>
                <w:sz w:val="21"/>
                <w:szCs w:val="21"/>
                <w:highlight w:val="none"/>
                <w:lang w:val="en-US" w:eastAsia="zh-CN" w:bidi="ar"/>
              </w:rPr>
              <w:t>机电工程师</w:t>
            </w:r>
          </w:p>
        </w:tc>
        <w:tc>
          <w:tcPr>
            <w:tcW w:w="743" w:type="dxa"/>
            <w:tcBorders>
              <w:top w:val="single" w:color="auto" w:sz="4" w:space="0"/>
              <w:left w:val="nil"/>
              <w:bottom w:val="single" w:color="auto" w:sz="4" w:space="0"/>
              <w:right w:val="single" w:color="auto" w:sz="4" w:space="0"/>
            </w:tcBorders>
            <w:shd w:val="clear" w:color="auto" w:fill="auto"/>
            <w:vAlign w:val="center"/>
          </w:tcPr>
          <w:p w14:paraId="7D80E679">
            <w:pPr>
              <w:keepNext w:val="0"/>
              <w:keepLines w:val="0"/>
              <w:widowControl w:val="0"/>
              <w:suppressLineNumbers w:val="0"/>
              <w:topLinePunct/>
              <w:adjustRightInd w:val="0"/>
              <w:snapToGrid w:val="0"/>
              <w:spacing w:before="0" w:beforeAutospacing="0" w:after="0" w:afterAutospacing="0" w:line="360" w:lineRule="auto"/>
              <w:ind w:left="0" w:leftChars="0" w:right="0" w:rightChars="0"/>
              <w:jc w:val="center"/>
              <w:rPr>
                <w:rFonts w:hint="eastAsia" w:ascii="宋体" w:hAnsi="宋体" w:eastAsia="宋体" w:cs="宋体"/>
                <w:color w:val="auto"/>
                <w:kern w:val="2"/>
                <w:sz w:val="21"/>
                <w:szCs w:val="21"/>
                <w:highlight w:val="none"/>
                <w:u w:val="none"/>
                <w:lang w:bidi="ar"/>
              </w:rPr>
            </w:pPr>
            <w:r>
              <w:rPr>
                <w:rFonts w:hint="eastAsia" w:ascii="宋体" w:hAnsi="宋体" w:eastAsia="宋体" w:cs="宋体"/>
                <w:color w:val="auto"/>
                <w:kern w:val="2"/>
                <w:sz w:val="21"/>
                <w:szCs w:val="21"/>
                <w:highlight w:val="none"/>
                <w:u w:val="none"/>
                <w:lang w:bidi="ar"/>
              </w:rPr>
              <w:t>2</w:t>
            </w:r>
          </w:p>
        </w:tc>
        <w:tc>
          <w:tcPr>
            <w:tcW w:w="2909" w:type="dxa"/>
            <w:tcBorders>
              <w:top w:val="single" w:color="auto" w:sz="4" w:space="0"/>
              <w:left w:val="nil"/>
              <w:bottom w:val="single" w:color="auto" w:sz="4" w:space="0"/>
              <w:right w:val="single" w:color="auto" w:sz="4" w:space="0"/>
            </w:tcBorders>
            <w:shd w:val="clear" w:color="auto" w:fill="auto"/>
            <w:vAlign w:val="top"/>
          </w:tcPr>
          <w:p w14:paraId="16C3861B">
            <w:pPr>
              <w:keepNext w:val="0"/>
              <w:keepLines w:val="0"/>
              <w:widowControl w:val="0"/>
              <w:suppressLineNumbers w:val="0"/>
              <w:topLinePunct/>
              <w:adjustRightInd w:val="0"/>
              <w:snapToGrid w:val="0"/>
              <w:spacing w:before="0" w:beforeAutospacing="0" w:after="0" w:afterAutospacing="0" w:line="360" w:lineRule="auto"/>
              <w:ind w:left="0" w:right="0" w:firstLine="0" w:firstLineChars="0"/>
              <w:jc w:val="left"/>
              <w:rPr>
                <w:rFonts w:hint="eastAsia" w:ascii="宋体" w:hAnsi="宋体" w:eastAsia="宋体" w:cs="宋体"/>
                <w:color w:val="auto"/>
                <w:kern w:val="2"/>
                <w:sz w:val="21"/>
                <w:szCs w:val="21"/>
                <w:highlight w:val="none"/>
                <w:lang w:bidi="ar"/>
              </w:rPr>
            </w:pPr>
            <w:r>
              <w:rPr>
                <w:rFonts w:hint="eastAsia" w:ascii="宋体" w:hAnsi="宋体" w:eastAsia="宋体" w:cs="宋体"/>
                <w:bCs w:val="0"/>
                <w:snapToGrid/>
                <w:color w:val="auto"/>
                <w:spacing w:val="0"/>
                <w:kern w:val="2"/>
                <w:sz w:val="21"/>
                <w:szCs w:val="21"/>
                <w:highlight w:val="none"/>
                <w:lang w:val="en-US" w:eastAsia="zh-CN" w:bidi="ar"/>
              </w:rPr>
              <w:t>具备中级或以上技术职称。所学专业或职称为机电工程类相关专业</w:t>
            </w:r>
          </w:p>
        </w:tc>
        <w:tc>
          <w:tcPr>
            <w:tcW w:w="1335" w:type="dxa"/>
            <w:tcBorders>
              <w:top w:val="single" w:color="auto" w:sz="4" w:space="0"/>
              <w:left w:val="nil"/>
              <w:bottom w:val="single" w:color="auto" w:sz="4" w:space="0"/>
              <w:right w:val="single" w:color="auto" w:sz="4" w:space="0"/>
            </w:tcBorders>
            <w:shd w:val="clear" w:color="auto" w:fill="auto"/>
            <w:vAlign w:val="top"/>
          </w:tcPr>
          <w:p w14:paraId="232CBD90">
            <w:pPr>
              <w:keepNext w:val="0"/>
              <w:keepLines w:val="0"/>
              <w:widowControl w:val="0"/>
              <w:suppressLineNumbers w:val="0"/>
              <w:topLinePunct/>
              <w:adjustRightInd w:val="0"/>
              <w:snapToGrid w:val="0"/>
              <w:spacing w:before="0" w:beforeAutospacing="0" w:after="0" w:afterAutospacing="0" w:line="360" w:lineRule="auto"/>
              <w:ind w:left="0" w:right="0"/>
              <w:jc w:val="left"/>
              <w:rPr>
                <w:rFonts w:hint="eastAsia" w:ascii="宋体" w:hAnsi="宋体" w:eastAsia="宋体" w:cs="宋体"/>
                <w:color w:val="auto"/>
                <w:kern w:val="2"/>
                <w:sz w:val="21"/>
                <w:szCs w:val="21"/>
                <w:highlight w:val="none"/>
                <w:u w:val="none"/>
                <w:lang w:bidi="ar"/>
              </w:rPr>
            </w:pPr>
            <w:r>
              <w:rPr>
                <w:rFonts w:hint="eastAsia" w:ascii="宋体" w:hAnsi="宋体" w:eastAsia="宋体" w:cs="宋体"/>
                <w:bCs w:val="0"/>
                <w:snapToGrid/>
                <w:color w:val="auto"/>
                <w:spacing w:val="0"/>
                <w:kern w:val="2"/>
                <w:sz w:val="21"/>
                <w:szCs w:val="21"/>
                <w:highlight w:val="none"/>
                <w:u w:val="none"/>
                <w:lang w:val="en-US" w:eastAsia="zh-CN" w:bidi="ar"/>
              </w:rPr>
              <w:t>须提供毕业证、职称证书扫描件</w:t>
            </w:r>
          </w:p>
        </w:tc>
      </w:tr>
      <w:tr w14:paraId="46DA5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657A7252">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7</w:t>
            </w:r>
          </w:p>
        </w:tc>
        <w:tc>
          <w:tcPr>
            <w:tcW w:w="420" w:type="dxa"/>
            <w:tcBorders>
              <w:top w:val="single" w:color="auto" w:sz="4" w:space="0"/>
              <w:left w:val="nil"/>
              <w:bottom w:val="single" w:color="auto" w:sz="4" w:space="0"/>
              <w:right w:val="single" w:color="auto" w:sz="4" w:space="0"/>
            </w:tcBorders>
            <w:shd w:val="clear" w:color="auto" w:fill="auto"/>
            <w:vAlign w:val="center"/>
          </w:tcPr>
          <w:p w14:paraId="44DB4A15">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21"/>
                <w:szCs w:val="21"/>
                <w:highlight w:val="none"/>
              </w:rPr>
            </w:pPr>
          </w:p>
        </w:tc>
        <w:tc>
          <w:tcPr>
            <w:tcW w:w="458" w:type="dxa"/>
            <w:tcBorders>
              <w:top w:val="single" w:color="auto" w:sz="4" w:space="0"/>
              <w:left w:val="nil"/>
              <w:bottom w:val="single" w:color="auto" w:sz="4" w:space="0"/>
              <w:right w:val="single" w:color="auto" w:sz="4" w:space="0"/>
            </w:tcBorders>
            <w:shd w:val="clear" w:color="auto" w:fill="auto"/>
            <w:vAlign w:val="top"/>
          </w:tcPr>
          <w:p w14:paraId="5F64483D">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356" w:type="dxa"/>
            <w:tcBorders>
              <w:top w:val="single" w:color="auto" w:sz="4" w:space="0"/>
              <w:left w:val="nil"/>
              <w:bottom w:val="single" w:color="auto" w:sz="4" w:space="0"/>
              <w:right w:val="single" w:color="auto" w:sz="4" w:space="0"/>
            </w:tcBorders>
            <w:shd w:val="clear" w:color="auto" w:fill="auto"/>
            <w:vAlign w:val="top"/>
          </w:tcPr>
          <w:p w14:paraId="6C0B43E0">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644" w:type="dxa"/>
            <w:tcBorders>
              <w:top w:val="single" w:color="auto" w:sz="4" w:space="0"/>
              <w:left w:val="nil"/>
              <w:bottom w:val="single" w:color="auto" w:sz="4" w:space="0"/>
              <w:right w:val="single" w:color="auto" w:sz="4" w:space="0"/>
            </w:tcBorders>
            <w:shd w:val="clear" w:color="auto" w:fill="auto"/>
            <w:vAlign w:val="top"/>
          </w:tcPr>
          <w:p w14:paraId="30EC09D3">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25" w:type="dxa"/>
            <w:tcBorders>
              <w:top w:val="single" w:color="auto" w:sz="4" w:space="0"/>
              <w:left w:val="nil"/>
              <w:bottom w:val="single" w:color="auto" w:sz="4" w:space="0"/>
              <w:right w:val="single" w:color="auto" w:sz="4" w:space="0"/>
            </w:tcBorders>
            <w:shd w:val="clear" w:color="auto" w:fill="auto"/>
            <w:vAlign w:val="center"/>
          </w:tcPr>
          <w:p w14:paraId="20E1FD79">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46" w:type="dxa"/>
            <w:tcBorders>
              <w:top w:val="single" w:color="auto" w:sz="4" w:space="0"/>
              <w:left w:val="nil"/>
              <w:bottom w:val="single" w:color="auto" w:sz="4" w:space="0"/>
              <w:right w:val="single" w:color="auto" w:sz="4" w:space="0"/>
            </w:tcBorders>
            <w:shd w:val="clear" w:color="auto" w:fill="auto"/>
            <w:vAlign w:val="top"/>
          </w:tcPr>
          <w:p w14:paraId="596FEA64">
            <w:pPr>
              <w:keepNext w:val="0"/>
              <w:keepLines w:val="0"/>
              <w:widowControl w:val="0"/>
              <w:suppressLineNumbers w:val="0"/>
              <w:spacing w:before="0" w:beforeAutospacing="0" w:after="0" w:afterAutospacing="0" w:line="240" w:lineRule="exact"/>
              <w:ind w:left="0" w:right="0"/>
              <w:jc w:val="both"/>
              <w:rPr>
                <w:rFonts w:hint="default" w:ascii="宋体" w:hAnsi="宋体" w:eastAsia="宋体" w:cs="宋体"/>
                <w:color w:val="auto"/>
                <w:kern w:val="2"/>
                <w:sz w:val="21"/>
                <w:szCs w:val="21"/>
                <w:highlight w:val="none"/>
              </w:rPr>
            </w:pPr>
          </w:p>
        </w:tc>
        <w:tc>
          <w:tcPr>
            <w:tcW w:w="1353" w:type="dxa"/>
            <w:tcBorders>
              <w:top w:val="single" w:color="auto" w:sz="4" w:space="0"/>
              <w:left w:val="nil"/>
              <w:bottom w:val="single" w:color="auto" w:sz="4" w:space="0"/>
              <w:right w:val="single" w:color="auto" w:sz="4" w:space="0"/>
            </w:tcBorders>
            <w:shd w:val="clear" w:color="auto" w:fill="auto"/>
            <w:vAlign w:val="center"/>
          </w:tcPr>
          <w:p w14:paraId="4D374C4A">
            <w:pPr>
              <w:keepNext w:val="0"/>
              <w:keepLines w:val="0"/>
              <w:widowControl w:val="0"/>
              <w:suppressLineNumbers w:val="0"/>
              <w:topLinePunct/>
              <w:adjustRightInd w:val="0"/>
              <w:snapToGrid w:val="0"/>
              <w:spacing w:before="0" w:beforeAutospacing="0" w:after="0" w:afterAutospacing="0" w:line="360" w:lineRule="auto"/>
              <w:ind w:left="0" w:leftChars="0" w:right="0" w:rightChars="0" w:firstLine="0" w:firstLineChars="0"/>
              <w:jc w:val="left"/>
              <w:rPr>
                <w:rFonts w:hint="eastAsia" w:ascii="宋体" w:hAnsi="宋体" w:eastAsia="宋体" w:cs="宋体"/>
                <w:color w:val="auto"/>
                <w:kern w:val="2"/>
                <w:sz w:val="21"/>
                <w:szCs w:val="21"/>
                <w:highlight w:val="none"/>
                <w:lang w:bidi="ar"/>
              </w:rPr>
            </w:pPr>
            <w:r>
              <w:rPr>
                <w:rFonts w:hint="eastAsia" w:ascii="宋体" w:hAnsi="宋体" w:eastAsia="宋体" w:cs="宋体"/>
                <w:bCs w:val="0"/>
                <w:snapToGrid/>
                <w:color w:val="auto"/>
                <w:spacing w:val="0"/>
                <w:kern w:val="2"/>
                <w:sz w:val="21"/>
                <w:szCs w:val="21"/>
                <w:highlight w:val="none"/>
                <w:lang w:val="en-US" w:eastAsia="zh-CN" w:bidi="ar"/>
              </w:rPr>
              <w:t>造价工程师</w:t>
            </w:r>
          </w:p>
        </w:tc>
        <w:tc>
          <w:tcPr>
            <w:tcW w:w="743" w:type="dxa"/>
            <w:tcBorders>
              <w:top w:val="single" w:color="auto" w:sz="4" w:space="0"/>
              <w:left w:val="nil"/>
              <w:bottom w:val="single" w:color="auto" w:sz="4" w:space="0"/>
              <w:right w:val="single" w:color="auto" w:sz="4" w:space="0"/>
            </w:tcBorders>
            <w:shd w:val="clear" w:color="auto" w:fill="auto"/>
            <w:vAlign w:val="center"/>
          </w:tcPr>
          <w:p w14:paraId="3AAB7A75">
            <w:pPr>
              <w:keepNext w:val="0"/>
              <w:keepLines w:val="0"/>
              <w:widowControl w:val="0"/>
              <w:suppressLineNumbers w:val="0"/>
              <w:topLinePunct/>
              <w:adjustRightInd w:val="0"/>
              <w:snapToGrid w:val="0"/>
              <w:spacing w:before="0" w:beforeAutospacing="0" w:after="0" w:afterAutospacing="0" w:line="360" w:lineRule="auto"/>
              <w:ind w:left="0" w:leftChars="0" w:right="0" w:rightChars="0"/>
              <w:jc w:val="left"/>
              <w:rPr>
                <w:rFonts w:hint="eastAsia" w:ascii="宋体" w:hAnsi="宋体" w:eastAsia="宋体" w:cs="宋体"/>
                <w:color w:val="auto"/>
                <w:kern w:val="2"/>
                <w:sz w:val="21"/>
                <w:szCs w:val="21"/>
                <w:highlight w:val="none"/>
                <w:u w:val="none"/>
                <w:lang w:bidi="ar"/>
              </w:rPr>
            </w:pPr>
            <w:r>
              <w:rPr>
                <w:rFonts w:hint="eastAsia" w:ascii="宋体" w:hAnsi="宋体" w:eastAsia="宋体" w:cs="宋体"/>
                <w:color w:val="auto"/>
                <w:kern w:val="2"/>
                <w:sz w:val="21"/>
                <w:szCs w:val="21"/>
                <w:highlight w:val="none"/>
                <w:u w:val="none"/>
                <w:lang w:bidi="ar"/>
              </w:rPr>
              <w:t>2</w:t>
            </w:r>
          </w:p>
        </w:tc>
        <w:tc>
          <w:tcPr>
            <w:tcW w:w="2909" w:type="dxa"/>
            <w:tcBorders>
              <w:top w:val="single" w:color="auto" w:sz="4" w:space="0"/>
              <w:left w:val="nil"/>
              <w:bottom w:val="single" w:color="auto" w:sz="4" w:space="0"/>
              <w:right w:val="single" w:color="auto" w:sz="4" w:space="0"/>
            </w:tcBorders>
            <w:shd w:val="clear" w:color="auto" w:fill="auto"/>
            <w:vAlign w:val="top"/>
          </w:tcPr>
          <w:p w14:paraId="5775E4F6">
            <w:pPr>
              <w:keepNext w:val="0"/>
              <w:keepLines w:val="0"/>
              <w:widowControl w:val="0"/>
              <w:suppressLineNumbers w:val="0"/>
              <w:topLinePunct/>
              <w:adjustRightInd w:val="0"/>
              <w:snapToGrid w:val="0"/>
              <w:spacing w:before="0" w:beforeAutospacing="0" w:after="0" w:afterAutospacing="0" w:line="360" w:lineRule="auto"/>
              <w:ind w:left="0" w:right="0" w:firstLine="0" w:firstLineChars="0"/>
              <w:jc w:val="left"/>
              <w:rPr>
                <w:rFonts w:hint="eastAsia" w:ascii="宋体" w:hAnsi="宋体" w:eastAsia="宋体" w:cs="宋体"/>
                <w:color w:val="auto"/>
                <w:kern w:val="2"/>
                <w:sz w:val="21"/>
                <w:szCs w:val="21"/>
                <w:highlight w:val="none"/>
                <w:lang w:bidi="ar"/>
              </w:rPr>
            </w:pPr>
            <w:r>
              <w:rPr>
                <w:rFonts w:hint="eastAsia" w:ascii="宋体" w:hAnsi="宋体" w:eastAsia="宋体" w:cs="宋体"/>
                <w:bCs w:val="0"/>
                <w:snapToGrid/>
                <w:color w:val="auto"/>
                <w:spacing w:val="0"/>
                <w:kern w:val="2"/>
                <w:sz w:val="21"/>
                <w:szCs w:val="21"/>
                <w:highlight w:val="none"/>
                <w:lang w:val="en-US" w:eastAsia="zh-CN" w:bidi="ar"/>
              </w:rPr>
              <w:t>具有工程造价类相关专业中级或以上职称，或二级或以上注册造价工程师。</w:t>
            </w:r>
          </w:p>
        </w:tc>
        <w:tc>
          <w:tcPr>
            <w:tcW w:w="1335" w:type="dxa"/>
            <w:tcBorders>
              <w:top w:val="single" w:color="auto" w:sz="4" w:space="0"/>
              <w:left w:val="nil"/>
              <w:bottom w:val="single" w:color="auto" w:sz="4" w:space="0"/>
              <w:right w:val="single" w:color="auto" w:sz="4" w:space="0"/>
            </w:tcBorders>
            <w:shd w:val="clear" w:color="auto" w:fill="auto"/>
            <w:vAlign w:val="top"/>
          </w:tcPr>
          <w:p w14:paraId="53214439">
            <w:pPr>
              <w:keepNext w:val="0"/>
              <w:keepLines w:val="0"/>
              <w:widowControl w:val="0"/>
              <w:suppressLineNumbers w:val="0"/>
              <w:topLinePunct/>
              <w:adjustRightInd w:val="0"/>
              <w:snapToGrid w:val="0"/>
              <w:spacing w:before="0" w:beforeAutospacing="0" w:after="0" w:afterAutospacing="0" w:line="360" w:lineRule="auto"/>
              <w:ind w:left="0" w:right="0" w:firstLine="0" w:firstLineChars="0"/>
              <w:jc w:val="left"/>
              <w:rPr>
                <w:rFonts w:hint="eastAsia" w:ascii="宋体" w:hAnsi="宋体" w:eastAsia="宋体" w:cs="宋体"/>
                <w:color w:val="auto"/>
                <w:kern w:val="2"/>
                <w:sz w:val="21"/>
                <w:szCs w:val="21"/>
                <w:highlight w:val="none"/>
                <w:u w:val="none"/>
                <w:lang w:bidi="ar"/>
              </w:rPr>
            </w:pPr>
            <w:r>
              <w:rPr>
                <w:rFonts w:hint="eastAsia" w:ascii="宋体" w:hAnsi="宋体" w:eastAsia="宋体" w:cs="宋体"/>
                <w:bCs w:val="0"/>
                <w:snapToGrid/>
                <w:color w:val="auto"/>
                <w:spacing w:val="0"/>
                <w:kern w:val="2"/>
                <w:sz w:val="21"/>
                <w:szCs w:val="21"/>
                <w:highlight w:val="none"/>
                <w:lang w:val="en-US" w:eastAsia="zh-CN" w:bidi="ar"/>
              </w:rPr>
              <w:t>提供职称证书或，二级或以上注册造价工程师证扫描件</w:t>
            </w:r>
          </w:p>
        </w:tc>
      </w:tr>
      <w:tr w14:paraId="6596B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6F773915">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8</w:t>
            </w:r>
          </w:p>
        </w:tc>
        <w:tc>
          <w:tcPr>
            <w:tcW w:w="420" w:type="dxa"/>
            <w:tcBorders>
              <w:top w:val="single" w:color="auto" w:sz="4" w:space="0"/>
              <w:left w:val="nil"/>
              <w:bottom w:val="single" w:color="auto" w:sz="4" w:space="0"/>
              <w:right w:val="single" w:color="auto" w:sz="4" w:space="0"/>
            </w:tcBorders>
            <w:shd w:val="clear" w:color="auto" w:fill="auto"/>
            <w:vAlign w:val="center"/>
          </w:tcPr>
          <w:p w14:paraId="4343ED3C">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21"/>
                <w:szCs w:val="21"/>
                <w:highlight w:val="none"/>
              </w:rPr>
            </w:pPr>
          </w:p>
        </w:tc>
        <w:tc>
          <w:tcPr>
            <w:tcW w:w="458" w:type="dxa"/>
            <w:tcBorders>
              <w:top w:val="single" w:color="auto" w:sz="4" w:space="0"/>
              <w:left w:val="nil"/>
              <w:bottom w:val="single" w:color="auto" w:sz="4" w:space="0"/>
              <w:right w:val="single" w:color="auto" w:sz="4" w:space="0"/>
            </w:tcBorders>
            <w:shd w:val="clear" w:color="auto" w:fill="auto"/>
            <w:vAlign w:val="top"/>
          </w:tcPr>
          <w:p w14:paraId="14663C4B">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356" w:type="dxa"/>
            <w:tcBorders>
              <w:top w:val="single" w:color="auto" w:sz="4" w:space="0"/>
              <w:left w:val="nil"/>
              <w:bottom w:val="single" w:color="auto" w:sz="4" w:space="0"/>
              <w:right w:val="single" w:color="auto" w:sz="4" w:space="0"/>
            </w:tcBorders>
            <w:shd w:val="clear" w:color="auto" w:fill="auto"/>
            <w:vAlign w:val="top"/>
          </w:tcPr>
          <w:p w14:paraId="2DD8D413">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644" w:type="dxa"/>
            <w:tcBorders>
              <w:top w:val="single" w:color="auto" w:sz="4" w:space="0"/>
              <w:left w:val="nil"/>
              <w:bottom w:val="single" w:color="auto" w:sz="4" w:space="0"/>
              <w:right w:val="single" w:color="auto" w:sz="4" w:space="0"/>
            </w:tcBorders>
            <w:shd w:val="clear" w:color="auto" w:fill="auto"/>
            <w:vAlign w:val="top"/>
          </w:tcPr>
          <w:p w14:paraId="3D0BCFD2">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25" w:type="dxa"/>
            <w:tcBorders>
              <w:top w:val="single" w:color="auto" w:sz="4" w:space="0"/>
              <w:left w:val="nil"/>
              <w:bottom w:val="single" w:color="auto" w:sz="4" w:space="0"/>
              <w:right w:val="single" w:color="auto" w:sz="4" w:space="0"/>
            </w:tcBorders>
            <w:shd w:val="clear" w:color="auto" w:fill="auto"/>
            <w:vAlign w:val="center"/>
          </w:tcPr>
          <w:p w14:paraId="30ECB61C">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46" w:type="dxa"/>
            <w:tcBorders>
              <w:top w:val="single" w:color="auto" w:sz="4" w:space="0"/>
              <w:left w:val="nil"/>
              <w:bottom w:val="single" w:color="auto" w:sz="4" w:space="0"/>
              <w:right w:val="single" w:color="auto" w:sz="4" w:space="0"/>
            </w:tcBorders>
            <w:shd w:val="clear" w:color="auto" w:fill="auto"/>
            <w:vAlign w:val="top"/>
          </w:tcPr>
          <w:p w14:paraId="3052F431">
            <w:pPr>
              <w:keepNext w:val="0"/>
              <w:keepLines w:val="0"/>
              <w:widowControl w:val="0"/>
              <w:suppressLineNumbers w:val="0"/>
              <w:topLinePunct/>
              <w:adjustRightInd w:val="0"/>
              <w:snapToGrid w:val="0"/>
              <w:spacing w:before="0" w:beforeAutospacing="0" w:after="0" w:afterAutospacing="0" w:line="360" w:lineRule="auto"/>
              <w:ind w:left="0" w:right="0"/>
              <w:jc w:val="left"/>
              <w:rPr>
                <w:rFonts w:hint="eastAsia" w:ascii="宋体" w:hAnsi="宋体" w:eastAsia="宋体" w:cs="宋体"/>
                <w:color w:val="auto"/>
                <w:kern w:val="2"/>
                <w:sz w:val="21"/>
                <w:szCs w:val="21"/>
                <w:highlight w:val="none"/>
                <w:lang w:bidi="ar"/>
              </w:rPr>
            </w:pPr>
          </w:p>
        </w:tc>
        <w:tc>
          <w:tcPr>
            <w:tcW w:w="1353" w:type="dxa"/>
            <w:tcBorders>
              <w:top w:val="single" w:color="auto" w:sz="4" w:space="0"/>
              <w:left w:val="nil"/>
              <w:bottom w:val="single" w:color="auto" w:sz="4" w:space="0"/>
              <w:right w:val="single" w:color="auto" w:sz="4" w:space="0"/>
            </w:tcBorders>
            <w:shd w:val="clear" w:color="auto" w:fill="auto"/>
            <w:vAlign w:val="center"/>
          </w:tcPr>
          <w:p w14:paraId="504FE6F9">
            <w:pPr>
              <w:keepNext w:val="0"/>
              <w:keepLines w:val="0"/>
              <w:widowControl w:val="0"/>
              <w:suppressLineNumbers w:val="0"/>
              <w:topLinePunct/>
              <w:adjustRightInd w:val="0"/>
              <w:snapToGrid w:val="0"/>
              <w:spacing w:before="0" w:beforeAutospacing="0" w:after="0" w:afterAutospacing="0" w:line="360" w:lineRule="auto"/>
              <w:ind w:left="0" w:leftChars="0" w:right="0" w:rightChars="0" w:firstLine="0" w:firstLineChars="0"/>
              <w:jc w:val="left"/>
              <w:rPr>
                <w:rFonts w:hint="eastAsia" w:ascii="宋体" w:hAnsi="宋体" w:eastAsia="宋体" w:cs="宋体"/>
                <w:color w:val="auto"/>
                <w:kern w:val="2"/>
                <w:sz w:val="21"/>
                <w:szCs w:val="21"/>
                <w:highlight w:val="none"/>
                <w:lang w:bidi="ar"/>
              </w:rPr>
            </w:pPr>
            <w:r>
              <w:rPr>
                <w:rFonts w:hint="eastAsia" w:ascii="宋体" w:hAnsi="宋体" w:eastAsia="宋体" w:cs="宋体"/>
                <w:bCs w:val="0"/>
                <w:snapToGrid/>
                <w:color w:val="auto"/>
                <w:spacing w:val="0"/>
                <w:kern w:val="2"/>
                <w:sz w:val="21"/>
                <w:szCs w:val="21"/>
                <w:highlight w:val="none"/>
                <w:lang w:val="en-US" w:eastAsia="zh-CN" w:bidi="ar"/>
              </w:rPr>
              <w:t>安全员</w:t>
            </w:r>
          </w:p>
        </w:tc>
        <w:tc>
          <w:tcPr>
            <w:tcW w:w="743" w:type="dxa"/>
            <w:tcBorders>
              <w:top w:val="single" w:color="auto" w:sz="4" w:space="0"/>
              <w:left w:val="nil"/>
              <w:bottom w:val="single" w:color="auto" w:sz="4" w:space="0"/>
              <w:right w:val="single" w:color="auto" w:sz="4" w:space="0"/>
            </w:tcBorders>
            <w:shd w:val="clear" w:color="auto" w:fill="auto"/>
            <w:vAlign w:val="center"/>
          </w:tcPr>
          <w:p w14:paraId="18197BE4">
            <w:pPr>
              <w:keepNext w:val="0"/>
              <w:keepLines w:val="0"/>
              <w:widowControl w:val="0"/>
              <w:suppressLineNumbers w:val="0"/>
              <w:topLinePunct/>
              <w:adjustRightInd w:val="0"/>
              <w:snapToGrid w:val="0"/>
              <w:spacing w:before="0" w:beforeAutospacing="0" w:after="0" w:afterAutospacing="0" w:line="360" w:lineRule="auto"/>
              <w:ind w:left="0" w:leftChars="0" w:right="0" w:rightChars="0"/>
              <w:jc w:val="left"/>
              <w:rPr>
                <w:rFonts w:hint="eastAsia" w:ascii="宋体" w:hAnsi="宋体" w:eastAsia="宋体" w:cs="宋体"/>
                <w:color w:val="auto"/>
                <w:kern w:val="2"/>
                <w:sz w:val="21"/>
                <w:szCs w:val="21"/>
                <w:highlight w:val="none"/>
                <w:u w:val="none"/>
                <w:lang w:bidi="ar"/>
              </w:rPr>
            </w:pPr>
            <w:r>
              <w:rPr>
                <w:rFonts w:hint="eastAsia" w:ascii="宋体" w:hAnsi="宋体" w:eastAsia="宋体" w:cs="宋体"/>
                <w:color w:val="auto"/>
                <w:kern w:val="2"/>
                <w:sz w:val="21"/>
                <w:szCs w:val="21"/>
                <w:highlight w:val="none"/>
                <w:u w:val="none"/>
                <w:lang w:bidi="ar"/>
              </w:rPr>
              <w:t>2</w:t>
            </w:r>
          </w:p>
        </w:tc>
        <w:tc>
          <w:tcPr>
            <w:tcW w:w="2909" w:type="dxa"/>
            <w:tcBorders>
              <w:top w:val="single" w:color="auto" w:sz="4" w:space="0"/>
              <w:left w:val="nil"/>
              <w:bottom w:val="single" w:color="auto" w:sz="4" w:space="0"/>
              <w:right w:val="single" w:color="auto" w:sz="4" w:space="0"/>
            </w:tcBorders>
            <w:shd w:val="clear" w:color="auto" w:fill="auto"/>
            <w:vAlign w:val="center"/>
          </w:tcPr>
          <w:p w14:paraId="4D3214EE">
            <w:pPr>
              <w:keepNext w:val="0"/>
              <w:keepLines w:val="0"/>
              <w:widowControl w:val="0"/>
              <w:suppressLineNumbers w:val="0"/>
              <w:topLinePunct/>
              <w:adjustRightInd w:val="0"/>
              <w:snapToGrid w:val="0"/>
              <w:spacing w:before="0" w:beforeAutospacing="0" w:after="0" w:afterAutospacing="0" w:line="360" w:lineRule="auto"/>
              <w:ind w:left="0" w:right="0" w:firstLine="0" w:firstLineChars="0"/>
              <w:jc w:val="left"/>
              <w:rPr>
                <w:rFonts w:hint="eastAsia" w:ascii="宋体" w:hAnsi="宋体" w:eastAsia="宋体" w:cs="宋体"/>
                <w:color w:val="auto"/>
                <w:kern w:val="2"/>
                <w:sz w:val="21"/>
                <w:szCs w:val="21"/>
                <w:highlight w:val="none"/>
                <w:lang w:bidi="ar"/>
              </w:rPr>
            </w:pPr>
            <w:r>
              <w:rPr>
                <w:rFonts w:hint="eastAsia" w:ascii="宋体" w:hAnsi="宋体" w:eastAsia="宋体" w:cs="宋体"/>
                <w:bCs w:val="0"/>
                <w:snapToGrid/>
                <w:color w:val="auto"/>
                <w:spacing w:val="0"/>
                <w:kern w:val="2"/>
                <w:sz w:val="21"/>
                <w:szCs w:val="21"/>
                <w:highlight w:val="none"/>
                <w:lang w:val="en-US" w:eastAsia="zh-CN" w:bidi="ar"/>
              </w:rPr>
              <w:t>具有安全生产考核合格证（C类）或建筑施工企业专职安全生产管理人员安全生产考核合格证书（C3）。</w:t>
            </w:r>
          </w:p>
        </w:tc>
        <w:tc>
          <w:tcPr>
            <w:tcW w:w="1335" w:type="dxa"/>
            <w:tcBorders>
              <w:top w:val="single" w:color="auto" w:sz="4" w:space="0"/>
              <w:left w:val="nil"/>
              <w:bottom w:val="single" w:color="auto" w:sz="4" w:space="0"/>
              <w:right w:val="single" w:color="auto" w:sz="4" w:space="0"/>
            </w:tcBorders>
            <w:shd w:val="clear" w:color="auto" w:fill="auto"/>
            <w:vAlign w:val="top"/>
          </w:tcPr>
          <w:p w14:paraId="4C64F7A5">
            <w:pPr>
              <w:keepNext w:val="0"/>
              <w:keepLines w:val="0"/>
              <w:widowControl w:val="0"/>
              <w:suppressLineNumbers w:val="0"/>
              <w:topLinePunct/>
              <w:adjustRightInd w:val="0"/>
              <w:snapToGrid w:val="0"/>
              <w:spacing w:before="0" w:beforeAutospacing="0" w:after="0" w:afterAutospacing="0" w:line="360" w:lineRule="auto"/>
              <w:ind w:left="0" w:right="0" w:firstLine="0" w:firstLineChars="0"/>
              <w:jc w:val="left"/>
              <w:rPr>
                <w:rFonts w:hint="eastAsia" w:ascii="宋体" w:hAnsi="宋体" w:eastAsia="宋体" w:cs="宋体"/>
                <w:color w:val="auto"/>
                <w:kern w:val="2"/>
                <w:sz w:val="21"/>
                <w:szCs w:val="21"/>
                <w:highlight w:val="none"/>
                <w:u w:val="none"/>
                <w:lang w:bidi="ar"/>
              </w:rPr>
            </w:pPr>
            <w:r>
              <w:rPr>
                <w:rFonts w:hint="eastAsia" w:ascii="宋体" w:hAnsi="宋体" w:eastAsia="宋体" w:cs="宋体"/>
                <w:bCs w:val="0"/>
                <w:snapToGrid/>
                <w:color w:val="auto"/>
                <w:spacing w:val="0"/>
                <w:kern w:val="2"/>
                <w:sz w:val="21"/>
                <w:szCs w:val="21"/>
                <w:highlight w:val="none"/>
                <w:lang w:val="en-US" w:eastAsia="zh-CN" w:bidi="ar"/>
              </w:rPr>
              <w:t>须提供安全生产考核合格证（C类）或建筑施工企业专职安全生产管理人员安全生产考核合格证书（C3）扫描件</w:t>
            </w:r>
          </w:p>
        </w:tc>
      </w:tr>
      <w:tr w14:paraId="14E3C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5F393C9D">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9</w:t>
            </w:r>
          </w:p>
        </w:tc>
        <w:tc>
          <w:tcPr>
            <w:tcW w:w="420" w:type="dxa"/>
            <w:tcBorders>
              <w:top w:val="single" w:color="auto" w:sz="4" w:space="0"/>
              <w:left w:val="nil"/>
              <w:bottom w:val="single" w:color="auto" w:sz="4" w:space="0"/>
              <w:right w:val="single" w:color="auto" w:sz="4" w:space="0"/>
            </w:tcBorders>
            <w:shd w:val="clear" w:color="auto" w:fill="auto"/>
            <w:vAlign w:val="center"/>
          </w:tcPr>
          <w:p w14:paraId="49D1D839">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21"/>
                <w:szCs w:val="21"/>
                <w:highlight w:val="none"/>
              </w:rPr>
            </w:pPr>
          </w:p>
        </w:tc>
        <w:tc>
          <w:tcPr>
            <w:tcW w:w="458" w:type="dxa"/>
            <w:tcBorders>
              <w:top w:val="single" w:color="auto" w:sz="4" w:space="0"/>
              <w:left w:val="nil"/>
              <w:bottom w:val="single" w:color="auto" w:sz="4" w:space="0"/>
              <w:right w:val="single" w:color="auto" w:sz="4" w:space="0"/>
            </w:tcBorders>
            <w:shd w:val="clear" w:color="auto" w:fill="auto"/>
            <w:vAlign w:val="top"/>
          </w:tcPr>
          <w:p w14:paraId="74A765C0">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356" w:type="dxa"/>
            <w:tcBorders>
              <w:top w:val="single" w:color="auto" w:sz="4" w:space="0"/>
              <w:left w:val="nil"/>
              <w:bottom w:val="single" w:color="auto" w:sz="4" w:space="0"/>
              <w:right w:val="single" w:color="auto" w:sz="4" w:space="0"/>
            </w:tcBorders>
            <w:shd w:val="clear" w:color="auto" w:fill="auto"/>
            <w:vAlign w:val="top"/>
          </w:tcPr>
          <w:p w14:paraId="68D590A1">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644" w:type="dxa"/>
            <w:tcBorders>
              <w:top w:val="single" w:color="auto" w:sz="4" w:space="0"/>
              <w:left w:val="nil"/>
              <w:bottom w:val="single" w:color="auto" w:sz="4" w:space="0"/>
              <w:right w:val="single" w:color="auto" w:sz="4" w:space="0"/>
            </w:tcBorders>
            <w:shd w:val="clear" w:color="auto" w:fill="auto"/>
            <w:vAlign w:val="top"/>
          </w:tcPr>
          <w:p w14:paraId="37B4B60C">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25" w:type="dxa"/>
            <w:tcBorders>
              <w:top w:val="single" w:color="auto" w:sz="4" w:space="0"/>
              <w:left w:val="nil"/>
              <w:bottom w:val="single" w:color="auto" w:sz="4" w:space="0"/>
              <w:right w:val="single" w:color="auto" w:sz="4" w:space="0"/>
            </w:tcBorders>
            <w:shd w:val="clear" w:color="auto" w:fill="auto"/>
            <w:vAlign w:val="center"/>
          </w:tcPr>
          <w:p w14:paraId="3A2F835F">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46" w:type="dxa"/>
            <w:tcBorders>
              <w:top w:val="single" w:color="auto" w:sz="4" w:space="0"/>
              <w:left w:val="nil"/>
              <w:bottom w:val="single" w:color="auto" w:sz="4" w:space="0"/>
              <w:right w:val="single" w:color="auto" w:sz="4" w:space="0"/>
            </w:tcBorders>
            <w:shd w:val="clear" w:color="auto" w:fill="auto"/>
            <w:vAlign w:val="top"/>
          </w:tcPr>
          <w:p w14:paraId="1745460F">
            <w:pPr>
              <w:keepNext w:val="0"/>
              <w:keepLines w:val="0"/>
              <w:widowControl w:val="0"/>
              <w:suppressLineNumbers w:val="0"/>
              <w:topLinePunct/>
              <w:adjustRightInd w:val="0"/>
              <w:snapToGrid w:val="0"/>
              <w:spacing w:before="0" w:beforeAutospacing="0" w:after="0" w:afterAutospacing="0" w:line="360" w:lineRule="auto"/>
              <w:ind w:left="0" w:right="0"/>
              <w:jc w:val="left"/>
              <w:rPr>
                <w:rFonts w:hint="eastAsia" w:ascii="宋体" w:hAnsi="宋体" w:eastAsia="宋体" w:cs="宋体"/>
                <w:color w:val="auto"/>
                <w:kern w:val="2"/>
                <w:sz w:val="21"/>
                <w:szCs w:val="21"/>
                <w:highlight w:val="none"/>
                <w:lang w:bidi="ar"/>
              </w:rPr>
            </w:pPr>
          </w:p>
        </w:tc>
        <w:tc>
          <w:tcPr>
            <w:tcW w:w="1353" w:type="dxa"/>
            <w:tcBorders>
              <w:top w:val="single" w:color="auto" w:sz="4" w:space="0"/>
              <w:left w:val="nil"/>
              <w:bottom w:val="single" w:color="auto" w:sz="4" w:space="0"/>
              <w:right w:val="single" w:color="auto" w:sz="4" w:space="0"/>
            </w:tcBorders>
            <w:shd w:val="clear" w:color="auto" w:fill="auto"/>
            <w:vAlign w:val="center"/>
          </w:tcPr>
          <w:p w14:paraId="7DB3CC6F">
            <w:pPr>
              <w:keepNext w:val="0"/>
              <w:keepLines w:val="0"/>
              <w:widowControl w:val="0"/>
              <w:suppressLineNumbers w:val="0"/>
              <w:topLinePunct/>
              <w:adjustRightInd w:val="0"/>
              <w:snapToGrid w:val="0"/>
              <w:spacing w:before="0" w:beforeAutospacing="0" w:after="0" w:afterAutospacing="0" w:line="360" w:lineRule="auto"/>
              <w:ind w:left="0" w:leftChars="0" w:right="0" w:rightChars="0" w:firstLine="0" w:firstLineChars="0"/>
              <w:jc w:val="left"/>
              <w:rPr>
                <w:rFonts w:hint="eastAsia" w:ascii="宋体" w:hAnsi="宋体" w:eastAsia="宋体" w:cs="宋体"/>
                <w:color w:val="auto"/>
                <w:kern w:val="2"/>
                <w:sz w:val="21"/>
                <w:szCs w:val="21"/>
                <w:highlight w:val="none"/>
                <w:lang w:bidi="ar"/>
              </w:rPr>
            </w:pPr>
            <w:r>
              <w:rPr>
                <w:rFonts w:hint="eastAsia" w:ascii="宋体" w:hAnsi="宋体" w:eastAsia="宋体" w:cs="宋体"/>
                <w:bCs w:val="0"/>
                <w:snapToGrid/>
                <w:color w:val="auto"/>
                <w:spacing w:val="0"/>
                <w:kern w:val="2"/>
                <w:sz w:val="21"/>
                <w:szCs w:val="21"/>
                <w:highlight w:val="none"/>
                <w:lang w:val="en-US" w:eastAsia="zh-CN" w:bidi="ar"/>
              </w:rPr>
              <w:t>施工员</w:t>
            </w:r>
          </w:p>
        </w:tc>
        <w:tc>
          <w:tcPr>
            <w:tcW w:w="743" w:type="dxa"/>
            <w:tcBorders>
              <w:top w:val="single" w:color="auto" w:sz="4" w:space="0"/>
              <w:left w:val="nil"/>
              <w:bottom w:val="single" w:color="auto" w:sz="4" w:space="0"/>
              <w:right w:val="single" w:color="auto" w:sz="4" w:space="0"/>
            </w:tcBorders>
            <w:shd w:val="clear" w:color="auto" w:fill="auto"/>
            <w:vAlign w:val="center"/>
          </w:tcPr>
          <w:p w14:paraId="34539E9E">
            <w:pPr>
              <w:keepNext w:val="0"/>
              <w:keepLines w:val="0"/>
              <w:widowControl w:val="0"/>
              <w:suppressLineNumbers w:val="0"/>
              <w:topLinePunct/>
              <w:adjustRightInd w:val="0"/>
              <w:snapToGrid w:val="0"/>
              <w:spacing w:before="0" w:beforeAutospacing="0" w:after="0" w:afterAutospacing="0" w:line="360" w:lineRule="auto"/>
              <w:ind w:left="0" w:leftChars="0" w:right="0" w:rightChars="0"/>
              <w:jc w:val="left"/>
              <w:rPr>
                <w:rFonts w:hint="eastAsia" w:ascii="宋体" w:hAnsi="宋体" w:eastAsia="宋体" w:cs="宋体"/>
                <w:color w:val="auto"/>
                <w:kern w:val="2"/>
                <w:sz w:val="21"/>
                <w:szCs w:val="21"/>
                <w:highlight w:val="none"/>
                <w:u w:val="none"/>
                <w:lang w:bidi="ar"/>
              </w:rPr>
            </w:pPr>
            <w:r>
              <w:rPr>
                <w:rFonts w:hint="eastAsia" w:ascii="宋体" w:hAnsi="宋体" w:eastAsia="宋体" w:cs="宋体"/>
                <w:color w:val="auto"/>
                <w:kern w:val="2"/>
                <w:sz w:val="21"/>
                <w:szCs w:val="21"/>
                <w:highlight w:val="none"/>
                <w:u w:val="none"/>
                <w:lang w:bidi="ar"/>
              </w:rPr>
              <w:t>4</w:t>
            </w:r>
          </w:p>
        </w:tc>
        <w:tc>
          <w:tcPr>
            <w:tcW w:w="2909" w:type="dxa"/>
            <w:tcBorders>
              <w:top w:val="single" w:color="auto" w:sz="4" w:space="0"/>
              <w:left w:val="nil"/>
              <w:bottom w:val="single" w:color="auto" w:sz="4" w:space="0"/>
              <w:right w:val="single" w:color="auto" w:sz="4" w:space="0"/>
            </w:tcBorders>
            <w:shd w:val="clear" w:color="auto" w:fill="auto"/>
            <w:vAlign w:val="center"/>
          </w:tcPr>
          <w:p w14:paraId="45126793">
            <w:pPr>
              <w:keepNext w:val="0"/>
              <w:keepLines w:val="0"/>
              <w:widowControl w:val="0"/>
              <w:suppressLineNumbers w:val="0"/>
              <w:topLinePunct/>
              <w:adjustRightInd w:val="0"/>
              <w:snapToGrid w:val="0"/>
              <w:spacing w:before="0" w:beforeAutospacing="0" w:after="0" w:afterAutospacing="0" w:line="360" w:lineRule="auto"/>
              <w:ind w:left="0" w:right="0" w:firstLine="0" w:firstLineChars="0"/>
              <w:jc w:val="left"/>
              <w:rPr>
                <w:rFonts w:hint="eastAsia" w:ascii="宋体" w:hAnsi="宋体" w:eastAsia="宋体" w:cs="宋体"/>
                <w:color w:val="auto"/>
                <w:kern w:val="2"/>
                <w:sz w:val="21"/>
                <w:szCs w:val="21"/>
                <w:highlight w:val="none"/>
                <w:lang w:bidi="ar"/>
              </w:rPr>
            </w:pPr>
            <w:r>
              <w:rPr>
                <w:rFonts w:hint="eastAsia" w:ascii="宋体" w:hAnsi="宋体" w:eastAsia="宋体" w:cs="宋体"/>
                <w:bCs w:val="0"/>
                <w:snapToGrid/>
                <w:color w:val="auto"/>
                <w:spacing w:val="0"/>
                <w:kern w:val="2"/>
                <w:sz w:val="21"/>
                <w:szCs w:val="21"/>
                <w:highlight w:val="none"/>
                <w:lang w:val="en-US" w:eastAsia="zh-CN" w:bidi="ar"/>
              </w:rPr>
              <w:t>具备建筑工程类或机电工程类相关专业大专或以上学历，且具有建设行政主管部门或行业协会颁发的施工员岗位证书或上岗证或培训证。</w:t>
            </w:r>
          </w:p>
        </w:tc>
        <w:tc>
          <w:tcPr>
            <w:tcW w:w="1335" w:type="dxa"/>
            <w:tcBorders>
              <w:top w:val="single" w:color="auto" w:sz="4" w:space="0"/>
              <w:left w:val="nil"/>
              <w:bottom w:val="single" w:color="auto" w:sz="4" w:space="0"/>
              <w:right w:val="single" w:color="auto" w:sz="4" w:space="0"/>
            </w:tcBorders>
            <w:shd w:val="clear" w:color="auto" w:fill="auto"/>
            <w:vAlign w:val="top"/>
          </w:tcPr>
          <w:p w14:paraId="3DE798BD">
            <w:pPr>
              <w:keepNext w:val="0"/>
              <w:keepLines w:val="0"/>
              <w:widowControl w:val="0"/>
              <w:suppressLineNumbers w:val="0"/>
              <w:topLinePunct/>
              <w:adjustRightInd w:val="0"/>
              <w:snapToGrid w:val="0"/>
              <w:spacing w:before="0" w:beforeAutospacing="0" w:after="0" w:afterAutospacing="0" w:line="360" w:lineRule="auto"/>
              <w:ind w:left="0" w:right="0" w:firstLine="0" w:firstLineChars="0"/>
              <w:jc w:val="left"/>
              <w:rPr>
                <w:rFonts w:hint="eastAsia" w:ascii="宋体" w:hAnsi="宋体" w:eastAsia="宋体" w:cs="宋体"/>
                <w:color w:val="auto"/>
                <w:kern w:val="2"/>
                <w:sz w:val="21"/>
                <w:szCs w:val="21"/>
                <w:highlight w:val="none"/>
                <w:u w:val="none"/>
                <w:lang w:bidi="ar"/>
              </w:rPr>
            </w:pPr>
            <w:r>
              <w:rPr>
                <w:rFonts w:hint="eastAsia" w:ascii="宋体" w:hAnsi="宋体" w:eastAsia="宋体" w:cs="宋体"/>
                <w:bCs w:val="0"/>
                <w:snapToGrid/>
                <w:color w:val="auto"/>
                <w:spacing w:val="0"/>
                <w:kern w:val="2"/>
                <w:sz w:val="21"/>
                <w:szCs w:val="21"/>
                <w:highlight w:val="none"/>
                <w:u w:val="none"/>
                <w:lang w:val="en-US" w:eastAsia="zh-CN" w:bidi="ar"/>
              </w:rPr>
              <w:t>须提供毕业证、岗位证书或上岗证或培训证扫描件</w:t>
            </w:r>
          </w:p>
        </w:tc>
      </w:tr>
      <w:tr w14:paraId="01F9C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430AD840">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10</w:t>
            </w:r>
          </w:p>
        </w:tc>
        <w:tc>
          <w:tcPr>
            <w:tcW w:w="420" w:type="dxa"/>
            <w:tcBorders>
              <w:top w:val="single" w:color="auto" w:sz="4" w:space="0"/>
              <w:left w:val="nil"/>
              <w:bottom w:val="single" w:color="auto" w:sz="4" w:space="0"/>
              <w:right w:val="single" w:color="auto" w:sz="4" w:space="0"/>
            </w:tcBorders>
            <w:shd w:val="clear" w:color="auto" w:fill="auto"/>
            <w:vAlign w:val="center"/>
          </w:tcPr>
          <w:p w14:paraId="1F897C1A">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21"/>
                <w:szCs w:val="21"/>
                <w:highlight w:val="none"/>
              </w:rPr>
            </w:pPr>
          </w:p>
        </w:tc>
        <w:tc>
          <w:tcPr>
            <w:tcW w:w="458" w:type="dxa"/>
            <w:tcBorders>
              <w:top w:val="single" w:color="auto" w:sz="4" w:space="0"/>
              <w:left w:val="nil"/>
              <w:bottom w:val="single" w:color="auto" w:sz="4" w:space="0"/>
              <w:right w:val="single" w:color="auto" w:sz="4" w:space="0"/>
            </w:tcBorders>
            <w:shd w:val="clear" w:color="auto" w:fill="auto"/>
            <w:vAlign w:val="top"/>
          </w:tcPr>
          <w:p w14:paraId="4489D217">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356" w:type="dxa"/>
            <w:tcBorders>
              <w:top w:val="single" w:color="auto" w:sz="4" w:space="0"/>
              <w:left w:val="nil"/>
              <w:bottom w:val="single" w:color="auto" w:sz="4" w:space="0"/>
              <w:right w:val="single" w:color="auto" w:sz="4" w:space="0"/>
            </w:tcBorders>
            <w:shd w:val="clear" w:color="auto" w:fill="auto"/>
            <w:vAlign w:val="top"/>
          </w:tcPr>
          <w:p w14:paraId="50550413">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644" w:type="dxa"/>
            <w:tcBorders>
              <w:top w:val="single" w:color="auto" w:sz="4" w:space="0"/>
              <w:left w:val="nil"/>
              <w:bottom w:val="single" w:color="auto" w:sz="4" w:space="0"/>
              <w:right w:val="single" w:color="auto" w:sz="4" w:space="0"/>
            </w:tcBorders>
            <w:shd w:val="clear" w:color="auto" w:fill="auto"/>
            <w:vAlign w:val="top"/>
          </w:tcPr>
          <w:p w14:paraId="44A33746">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25" w:type="dxa"/>
            <w:tcBorders>
              <w:top w:val="single" w:color="auto" w:sz="4" w:space="0"/>
              <w:left w:val="nil"/>
              <w:bottom w:val="single" w:color="auto" w:sz="4" w:space="0"/>
              <w:right w:val="single" w:color="auto" w:sz="4" w:space="0"/>
            </w:tcBorders>
            <w:shd w:val="clear" w:color="auto" w:fill="auto"/>
            <w:vAlign w:val="center"/>
          </w:tcPr>
          <w:p w14:paraId="534E0509">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46" w:type="dxa"/>
            <w:tcBorders>
              <w:top w:val="single" w:color="auto" w:sz="4" w:space="0"/>
              <w:left w:val="nil"/>
              <w:bottom w:val="single" w:color="auto" w:sz="4" w:space="0"/>
              <w:right w:val="single" w:color="auto" w:sz="4" w:space="0"/>
            </w:tcBorders>
            <w:shd w:val="clear" w:color="auto" w:fill="auto"/>
            <w:vAlign w:val="top"/>
          </w:tcPr>
          <w:p w14:paraId="78832723">
            <w:pPr>
              <w:keepNext w:val="0"/>
              <w:keepLines w:val="0"/>
              <w:widowControl w:val="0"/>
              <w:suppressLineNumbers w:val="0"/>
              <w:topLinePunct/>
              <w:adjustRightInd w:val="0"/>
              <w:snapToGrid w:val="0"/>
              <w:spacing w:before="0" w:beforeAutospacing="0" w:after="0" w:afterAutospacing="0" w:line="360" w:lineRule="auto"/>
              <w:ind w:left="0" w:right="0"/>
              <w:jc w:val="left"/>
              <w:rPr>
                <w:rFonts w:hint="eastAsia" w:ascii="宋体" w:hAnsi="宋体" w:eastAsia="宋体" w:cs="宋体"/>
                <w:color w:val="auto"/>
                <w:kern w:val="2"/>
                <w:sz w:val="21"/>
                <w:szCs w:val="21"/>
                <w:highlight w:val="none"/>
                <w:lang w:bidi="ar"/>
              </w:rPr>
            </w:pPr>
          </w:p>
        </w:tc>
        <w:tc>
          <w:tcPr>
            <w:tcW w:w="1353" w:type="dxa"/>
            <w:tcBorders>
              <w:top w:val="single" w:color="auto" w:sz="4" w:space="0"/>
              <w:left w:val="nil"/>
              <w:bottom w:val="single" w:color="auto" w:sz="4" w:space="0"/>
              <w:right w:val="single" w:color="auto" w:sz="4" w:space="0"/>
            </w:tcBorders>
            <w:shd w:val="clear" w:color="auto" w:fill="auto"/>
            <w:vAlign w:val="center"/>
          </w:tcPr>
          <w:p w14:paraId="2BC88729">
            <w:pPr>
              <w:keepNext w:val="0"/>
              <w:keepLines w:val="0"/>
              <w:widowControl w:val="0"/>
              <w:suppressLineNumbers w:val="0"/>
              <w:topLinePunct/>
              <w:adjustRightInd w:val="0"/>
              <w:snapToGrid w:val="0"/>
              <w:spacing w:before="0" w:beforeAutospacing="0" w:after="0" w:afterAutospacing="0" w:line="360" w:lineRule="auto"/>
              <w:ind w:left="0" w:leftChars="0" w:right="0" w:rightChars="0" w:firstLine="0" w:firstLineChars="0"/>
              <w:jc w:val="left"/>
              <w:rPr>
                <w:rFonts w:hint="eastAsia" w:ascii="宋体" w:hAnsi="宋体" w:eastAsia="宋体" w:cs="宋体"/>
                <w:color w:val="auto"/>
                <w:kern w:val="2"/>
                <w:sz w:val="21"/>
                <w:szCs w:val="21"/>
                <w:highlight w:val="none"/>
                <w:lang w:bidi="ar"/>
              </w:rPr>
            </w:pPr>
            <w:r>
              <w:rPr>
                <w:rFonts w:hint="eastAsia" w:ascii="宋体" w:hAnsi="宋体" w:eastAsia="宋体" w:cs="宋体"/>
                <w:bCs w:val="0"/>
                <w:snapToGrid/>
                <w:color w:val="auto"/>
                <w:spacing w:val="0"/>
                <w:kern w:val="2"/>
                <w:sz w:val="21"/>
                <w:szCs w:val="21"/>
                <w:highlight w:val="none"/>
                <w:lang w:val="en-US" w:eastAsia="zh-CN" w:bidi="ar"/>
              </w:rPr>
              <w:t>资料员</w:t>
            </w:r>
          </w:p>
        </w:tc>
        <w:tc>
          <w:tcPr>
            <w:tcW w:w="743" w:type="dxa"/>
            <w:tcBorders>
              <w:top w:val="single" w:color="auto" w:sz="4" w:space="0"/>
              <w:left w:val="nil"/>
              <w:bottom w:val="single" w:color="auto" w:sz="4" w:space="0"/>
              <w:right w:val="single" w:color="auto" w:sz="4" w:space="0"/>
            </w:tcBorders>
            <w:shd w:val="clear" w:color="auto" w:fill="auto"/>
            <w:vAlign w:val="center"/>
          </w:tcPr>
          <w:p w14:paraId="2FB74CE9">
            <w:pPr>
              <w:keepNext w:val="0"/>
              <w:keepLines w:val="0"/>
              <w:widowControl w:val="0"/>
              <w:suppressLineNumbers w:val="0"/>
              <w:topLinePunct/>
              <w:adjustRightInd w:val="0"/>
              <w:snapToGrid w:val="0"/>
              <w:spacing w:before="0" w:beforeAutospacing="0" w:after="0" w:afterAutospacing="0" w:line="360" w:lineRule="auto"/>
              <w:ind w:left="0" w:leftChars="0" w:right="0" w:rightChars="0"/>
              <w:jc w:val="left"/>
              <w:rPr>
                <w:rFonts w:hint="eastAsia" w:ascii="宋体" w:hAnsi="宋体" w:eastAsia="宋体" w:cs="宋体"/>
                <w:color w:val="auto"/>
                <w:kern w:val="2"/>
                <w:sz w:val="21"/>
                <w:szCs w:val="21"/>
                <w:highlight w:val="none"/>
                <w:u w:val="none"/>
                <w:lang w:bidi="ar"/>
              </w:rPr>
            </w:pPr>
            <w:r>
              <w:rPr>
                <w:rFonts w:hint="eastAsia" w:ascii="宋体" w:hAnsi="宋体" w:eastAsia="宋体" w:cs="宋体"/>
                <w:color w:val="auto"/>
                <w:kern w:val="2"/>
                <w:sz w:val="21"/>
                <w:szCs w:val="21"/>
                <w:highlight w:val="none"/>
                <w:u w:val="none"/>
                <w:lang w:bidi="ar"/>
              </w:rPr>
              <w:t>2</w:t>
            </w:r>
          </w:p>
        </w:tc>
        <w:tc>
          <w:tcPr>
            <w:tcW w:w="2909" w:type="dxa"/>
            <w:tcBorders>
              <w:top w:val="single" w:color="auto" w:sz="4" w:space="0"/>
              <w:left w:val="nil"/>
              <w:bottom w:val="single" w:color="auto" w:sz="4" w:space="0"/>
              <w:right w:val="single" w:color="auto" w:sz="4" w:space="0"/>
            </w:tcBorders>
            <w:shd w:val="clear" w:color="auto" w:fill="auto"/>
            <w:vAlign w:val="center"/>
          </w:tcPr>
          <w:p w14:paraId="3DA2FBF5">
            <w:pPr>
              <w:keepNext w:val="0"/>
              <w:keepLines w:val="0"/>
              <w:widowControl w:val="0"/>
              <w:suppressLineNumbers w:val="0"/>
              <w:topLinePunct/>
              <w:adjustRightInd w:val="0"/>
              <w:snapToGrid w:val="0"/>
              <w:spacing w:before="0" w:beforeAutospacing="0" w:after="0" w:afterAutospacing="0" w:line="360" w:lineRule="auto"/>
              <w:ind w:left="0" w:right="0" w:firstLine="0" w:firstLineChars="0"/>
              <w:jc w:val="left"/>
              <w:rPr>
                <w:rFonts w:hint="eastAsia" w:ascii="宋体" w:hAnsi="宋体" w:eastAsia="宋体" w:cs="宋体"/>
                <w:color w:val="auto"/>
                <w:kern w:val="2"/>
                <w:sz w:val="21"/>
                <w:szCs w:val="21"/>
                <w:highlight w:val="none"/>
                <w:lang w:bidi="ar"/>
              </w:rPr>
            </w:pPr>
            <w:r>
              <w:rPr>
                <w:rFonts w:hint="eastAsia" w:ascii="宋体" w:hAnsi="宋体" w:eastAsia="宋体" w:cs="宋体"/>
                <w:bCs w:val="0"/>
                <w:snapToGrid/>
                <w:color w:val="auto"/>
                <w:spacing w:val="0"/>
                <w:kern w:val="2"/>
                <w:sz w:val="21"/>
                <w:szCs w:val="21"/>
                <w:highlight w:val="none"/>
                <w:lang w:val="en-US" w:eastAsia="zh-CN" w:bidi="ar"/>
              </w:rPr>
              <w:t>具有建设行政主管部门或行业协会颁发的资料员岗位证书或上岗证或培训证。</w:t>
            </w:r>
          </w:p>
        </w:tc>
        <w:tc>
          <w:tcPr>
            <w:tcW w:w="1335" w:type="dxa"/>
            <w:tcBorders>
              <w:top w:val="single" w:color="auto" w:sz="4" w:space="0"/>
              <w:left w:val="nil"/>
              <w:bottom w:val="single" w:color="auto" w:sz="4" w:space="0"/>
              <w:right w:val="single" w:color="auto" w:sz="4" w:space="0"/>
            </w:tcBorders>
            <w:shd w:val="clear" w:color="auto" w:fill="auto"/>
            <w:vAlign w:val="top"/>
          </w:tcPr>
          <w:p w14:paraId="31E04425">
            <w:pPr>
              <w:keepNext w:val="0"/>
              <w:keepLines w:val="0"/>
              <w:widowControl w:val="0"/>
              <w:suppressLineNumbers w:val="0"/>
              <w:topLinePunct/>
              <w:adjustRightInd w:val="0"/>
              <w:snapToGrid w:val="0"/>
              <w:spacing w:before="0" w:beforeAutospacing="0" w:after="0" w:afterAutospacing="0" w:line="360" w:lineRule="auto"/>
              <w:ind w:left="0" w:right="0" w:firstLine="0" w:firstLineChars="0"/>
              <w:jc w:val="left"/>
              <w:rPr>
                <w:rFonts w:hint="eastAsia" w:ascii="宋体" w:hAnsi="宋体" w:eastAsia="宋体" w:cs="宋体"/>
                <w:color w:val="auto"/>
                <w:kern w:val="2"/>
                <w:sz w:val="21"/>
                <w:szCs w:val="21"/>
                <w:highlight w:val="none"/>
                <w:u w:val="none"/>
                <w:lang w:bidi="ar"/>
              </w:rPr>
            </w:pPr>
            <w:r>
              <w:rPr>
                <w:rFonts w:hint="eastAsia" w:ascii="宋体" w:hAnsi="宋体" w:eastAsia="宋体" w:cs="宋体"/>
                <w:bCs w:val="0"/>
                <w:snapToGrid/>
                <w:color w:val="auto"/>
                <w:spacing w:val="0"/>
                <w:kern w:val="2"/>
                <w:sz w:val="21"/>
                <w:szCs w:val="21"/>
                <w:highlight w:val="none"/>
                <w:u w:val="none"/>
                <w:lang w:val="en-US" w:eastAsia="zh-CN" w:bidi="ar"/>
              </w:rPr>
              <w:t>须提供毕业证、岗位证书或上岗证或培训证扫描件</w:t>
            </w:r>
          </w:p>
        </w:tc>
      </w:tr>
    </w:tbl>
    <w:p w14:paraId="132B2337">
      <w:pPr>
        <w:keepNext w:val="0"/>
        <w:keepLines w:val="0"/>
        <w:widowControl/>
        <w:suppressLineNumbers w:val="0"/>
        <w:shd w:val="clear" w:fill="FFFFFF"/>
        <w:adjustRightInd w:val="0"/>
        <w:spacing w:before="0" w:beforeAutospacing="0" w:after="0" w:afterAutospacing="0"/>
        <w:ind w:left="0" w:right="0" w:firstLine="361" w:firstLineChars="200"/>
        <w:jc w:val="left"/>
        <w:rPr>
          <w:rFonts w:hint="eastAsia" w:ascii="宋体" w:hAnsi="宋体" w:eastAsia="宋体" w:cs="Times New Roman"/>
          <w:color w:val="auto"/>
          <w:kern w:val="2"/>
          <w:sz w:val="18"/>
          <w:szCs w:val="18"/>
          <w:highlight w:val="none"/>
          <w:shd w:val="clear" w:fill="FFFFFF"/>
        </w:rPr>
      </w:pPr>
      <w:r>
        <w:rPr>
          <w:rFonts w:hint="eastAsia" w:ascii="宋体" w:hAnsi="宋体" w:eastAsia="宋体" w:cs="宋体"/>
          <w:b/>
          <w:bCs w:val="0"/>
          <w:color w:val="auto"/>
          <w:kern w:val="0"/>
          <w:sz w:val="18"/>
          <w:szCs w:val="18"/>
          <w:highlight w:val="none"/>
          <w:shd w:val="clear" w:fill="FFFFFF"/>
          <w:lang w:val="en-US" w:eastAsia="zh-CN" w:bidi="ar"/>
        </w:rPr>
        <w:t>备注</w:t>
      </w:r>
      <w:r>
        <w:rPr>
          <w:rFonts w:hint="eastAsia" w:ascii="宋体" w:hAnsi="宋体" w:eastAsia="宋体" w:cs="宋体"/>
          <w:color w:val="auto"/>
          <w:kern w:val="0"/>
          <w:sz w:val="18"/>
          <w:szCs w:val="18"/>
          <w:highlight w:val="none"/>
          <w:shd w:val="clear" w:fill="FFFFFF"/>
          <w:lang w:val="en-US" w:eastAsia="zh-CN" w:bidi="ar"/>
        </w:rPr>
        <w:t>：1、本表为项目经理部主要人员的基本要求，投标单位可根据自身情况增加专业技术管理人员，</w:t>
      </w:r>
      <w:r>
        <w:rPr>
          <w:rFonts w:hint="eastAsia" w:ascii="宋体" w:hAnsi="宋体" w:eastAsia="宋体" w:cs="宋体"/>
          <w:color w:val="auto"/>
          <w:kern w:val="2"/>
          <w:sz w:val="18"/>
          <w:szCs w:val="18"/>
          <w:highlight w:val="none"/>
          <w:shd w:val="clear" w:fill="FFFFFF"/>
          <w:lang w:val="en-US" w:eastAsia="zh-CN" w:bidi="ar"/>
        </w:rPr>
        <w:t>各岗位人员不得相互兼职。</w:t>
      </w:r>
    </w:p>
    <w:p w14:paraId="476AE318">
      <w:pPr>
        <w:keepNext w:val="0"/>
        <w:keepLines w:val="0"/>
        <w:widowControl/>
        <w:suppressLineNumbers w:val="0"/>
        <w:shd w:val="clear" w:fill="FFFFFF"/>
        <w:adjustRightInd w:val="0"/>
        <w:spacing w:before="0" w:beforeAutospacing="0" w:after="0" w:afterAutospacing="0"/>
        <w:ind w:left="0" w:right="0" w:firstLine="360" w:firstLineChars="200"/>
        <w:jc w:val="left"/>
        <w:rPr>
          <w:rFonts w:hint="eastAsia" w:ascii="宋体" w:hAnsi="宋体" w:eastAsia="宋体" w:cs="宋体"/>
          <w:color w:val="auto"/>
          <w:kern w:val="0"/>
          <w:sz w:val="18"/>
          <w:szCs w:val="18"/>
          <w:highlight w:val="none"/>
          <w:shd w:val="clear" w:fill="FFFFFF"/>
        </w:rPr>
      </w:pPr>
      <w:r>
        <w:rPr>
          <w:rFonts w:hint="eastAsia" w:ascii="宋体" w:hAnsi="宋体" w:eastAsia="宋体" w:cs="宋体"/>
          <w:color w:val="auto"/>
          <w:kern w:val="0"/>
          <w:sz w:val="18"/>
          <w:szCs w:val="18"/>
          <w:highlight w:val="none"/>
          <w:shd w:val="clear" w:fill="FFFFFF"/>
          <w:lang w:val="en-US" w:eastAsia="zh-CN" w:bidi="ar"/>
        </w:rPr>
        <w:t>2、本表项目经理部主要人员需提供</w:t>
      </w:r>
      <w:r>
        <w:rPr>
          <w:rFonts w:hint="eastAsia" w:ascii="宋体" w:hAnsi="宋体" w:eastAsia="宋体" w:cs="宋体"/>
          <w:b/>
          <w:color w:val="auto"/>
          <w:kern w:val="0"/>
          <w:sz w:val="18"/>
          <w:szCs w:val="18"/>
          <w:highlight w:val="none"/>
          <w:u w:val="single"/>
          <w:lang w:val="en-US" w:eastAsia="zh-CN" w:bidi="ar"/>
        </w:rPr>
        <w:t>2024年8月</w:t>
      </w:r>
      <w:r>
        <w:rPr>
          <w:rFonts w:hint="eastAsia" w:ascii="宋体" w:hAnsi="宋体" w:eastAsia="宋体" w:cs="宋体"/>
          <w:color w:val="auto"/>
          <w:kern w:val="0"/>
          <w:sz w:val="18"/>
          <w:szCs w:val="18"/>
          <w:highlight w:val="none"/>
          <w:shd w:val="clear" w:fill="FFFFFF"/>
          <w:lang w:val="en-US" w:eastAsia="zh-CN" w:bidi="ar"/>
        </w:rPr>
        <w:t>的社保证明文件扫描件，项目经理部主要人员需提供的其他证明文件详见基本要求及备注。</w:t>
      </w:r>
    </w:p>
    <w:p w14:paraId="3F5F1A86">
      <w:pPr>
        <w:keepNext w:val="0"/>
        <w:keepLines w:val="0"/>
        <w:widowControl/>
        <w:suppressLineNumbers w:val="0"/>
        <w:shd w:val="clear" w:fill="FFFFFF"/>
        <w:adjustRightInd w:val="0"/>
        <w:spacing w:before="0" w:beforeAutospacing="0" w:after="0" w:afterAutospacing="0"/>
        <w:ind w:left="0" w:right="0" w:firstLine="360" w:firstLineChars="200"/>
        <w:jc w:val="left"/>
        <w:rPr>
          <w:rFonts w:hint="eastAsia" w:ascii="宋体" w:hAnsi="宋体" w:eastAsia="宋体" w:cs="宋体"/>
          <w:color w:val="auto"/>
          <w:kern w:val="0"/>
          <w:sz w:val="18"/>
          <w:szCs w:val="18"/>
          <w:highlight w:val="none"/>
          <w:shd w:val="clear" w:fill="FFFFFF"/>
        </w:rPr>
      </w:pPr>
      <w:r>
        <w:rPr>
          <w:rFonts w:hint="eastAsia" w:ascii="宋体" w:hAnsi="宋体" w:eastAsia="宋体" w:cs="宋体"/>
          <w:color w:val="auto"/>
          <w:kern w:val="0"/>
          <w:sz w:val="18"/>
          <w:szCs w:val="18"/>
          <w:highlight w:val="none"/>
          <w:shd w:val="clear" w:fill="FFFFFF"/>
          <w:lang w:val="en-US" w:eastAsia="zh-CN" w:bidi="ar"/>
        </w:rPr>
        <w:t>3、人员仅指投标人自身人员，如投标申请人为集团公司，则不含集团下属具有独立法人的子公司的人员，但包含非独立法人的分公司人员；同样下属具有独立法人的子公司也不得使用集团公司的人员。</w:t>
      </w:r>
    </w:p>
    <w:p w14:paraId="636F0709">
      <w:pPr>
        <w:keepNext w:val="0"/>
        <w:keepLines w:val="0"/>
        <w:widowControl/>
        <w:suppressLineNumbers w:val="0"/>
        <w:shd w:val="clear" w:fill="FFFFFF"/>
        <w:adjustRightInd w:val="0"/>
        <w:spacing w:before="0" w:beforeAutospacing="0" w:after="0" w:afterAutospacing="0"/>
        <w:ind w:left="0" w:right="0" w:firstLine="360" w:firstLineChars="200"/>
        <w:jc w:val="left"/>
        <w:rPr>
          <w:rFonts w:hint="eastAsia" w:ascii="宋体" w:hAnsi="宋体" w:eastAsia="宋体" w:cs="宋体"/>
          <w:color w:val="auto"/>
          <w:kern w:val="0"/>
          <w:sz w:val="18"/>
          <w:szCs w:val="18"/>
          <w:highlight w:val="none"/>
          <w:shd w:val="clear" w:fill="FFFFFF"/>
        </w:rPr>
      </w:pPr>
      <w:r>
        <w:rPr>
          <w:rFonts w:hint="eastAsia" w:ascii="宋体" w:hAnsi="宋体" w:eastAsia="宋体" w:cs="宋体"/>
          <w:color w:val="auto"/>
          <w:kern w:val="0"/>
          <w:sz w:val="18"/>
          <w:szCs w:val="18"/>
          <w:highlight w:val="none"/>
          <w:shd w:val="clear" w:fill="FFFFFF"/>
          <w:lang w:val="en-US" w:eastAsia="zh-CN" w:bidi="ar"/>
        </w:rPr>
        <w:t>4、拟投入的项目部人员，未经招标人同意，中标后不得更换，否则按合同约定承担违约责任。</w:t>
      </w:r>
    </w:p>
    <w:p w14:paraId="3C726F55">
      <w:pPr>
        <w:keepNext w:val="0"/>
        <w:keepLines w:val="0"/>
        <w:widowControl/>
        <w:suppressLineNumbers w:val="0"/>
        <w:shd w:val="clear" w:fill="FFFFFF"/>
        <w:adjustRightInd w:val="0"/>
        <w:spacing w:before="0" w:beforeAutospacing="0" w:after="0" w:afterAutospacing="0"/>
        <w:ind w:left="0" w:right="0" w:firstLine="360" w:firstLineChars="200"/>
        <w:jc w:val="left"/>
        <w:rPr>
          <w:rFonts w:hint="eastAsia" w:ascii="宋体" w:hAnsi="宋体" w:eastAsia="宋体" w:cs="宋体"/>
          <w:color w:val="auto"/>
          <w:kern w:val="0"/>
          <w:sz w:val="18"/>
          <w:szCs w:val="18"/>
          <w:highlight w:val="none"/>
          <w:shd w:val="clear" w:fill="FFFFFF"/>
        </w:rPr>
      </w:pPr>
      <w:r>
        <w:rPr>
          <w:rFonts w:hint="eastAsia" w:ascii="宋体" w:hAnsi="宋体" w:eastAsia="宋体" w:cs="宋体"/>
          <w:color w:val="auto"/>
          <w:kern w:val="0"/>
          <w:sz w:val="18"/>
          <w:szCs w:val="18"/>
          <w:highlight w:val="none"/>
          <w:shd w:val="clear" w:fill="FFFFFF"/>
          <w:lang w:val="en-US" w:eastAsia="zh-CN" w:bidi="ar"/>
        </w:rPr>
        <w:t>5、一级注册造价工程师是指根据住房城乡建设部、交通运输部、水利部、人力资源社会保障部发布的《造价工程师职业资格制度规定》、《造价工程师职业资格考试实施办法》（建人［2018］67号）取得的一级造价工程师职业资格，并经注册且在有效期内。根据原人事部、原建设部发布的《造价工程师执业资格制度暂行规定》（人发[1996]77号)取得的造价工程师执业资格，并经注册且在有效期内的，等同于一级注册造价工程师。</w:t>
      </w:r>
    </w:p>
    <w:p w14:paraId="13A8B467">
      <w:pPr>
        <w:keepNext w:val="0"/>
        <w:keepLines w:val="0"/>
        <w:widowControl/>
        <w:suppressLineNumbers w:val="0"/>
        <w:shd w:val="clear" w:fill="FFFFFF"/>
        <w:adjustRightInd w:val="0"/>
        <w:spacing w:before="0" w:beforeAutospacing="0" w:after="0" w:afterAutospacing="0"/>
        <w:ind w:left="0" w:right="0" w:firstLine="360" w:firstLineChars="200"/>
        <w:jc w:val="left"/>
        <w:rPr>
          <w:rFonts w:hint="eastAsia" w:ascii="宋体" w:hAnsi="宋体" w:eastAsia="宋体" w:cs="宋体"/>
          <w:color w:val="auto"/>
          <w:spacing w:val="0"/>
          <w:kern w:val="0"/>
          <w:sz w:val="18"/>
          <w:szCs w:val="18"/>
          <w:highlight w:val="none"/>
          <w:shd w:val="clear" w:fill="FFFFFF"/>
        </w:rPr>
      </w:pPr>
      <w:r>
        <w:rPr>
          <w:rFonts w:hint="eastAsia" w:ascii="宋体" w:hAnsi="宋体" w:eastAsia="宋体" w:cs="宋体"/>
          <w:color w:val="auto"/>
          <w:kern w:val="0"/>
          <w:sz w:val="18"/>
          <w:szCs w:val="18"/>
          <w:highlight w:val="none"/>
          <w:shd w:val="clear" w:fill="FFFFFF"/>
          <w:lang w:val="en-US" w:eastAsia="zh-CN" w:bidi="ar"/>
        </w:rPr>
        <w:t>6、</w:t>
      </w:r>
      <w:r>
        <w:rPr>
          <w:rFonts w:hint="eastAsia" w:ascii="宋体" w:hAnsi="宋体" w:eastAsia="宋体" w:cs="宋体"/>
          <w:color w:val="auto"/>
          <w:spacing w:val="0"/>
          <w:kern w:val="0"/>
          <w:sz w:val="18"/>
          <w:szCs w:val="18"/>
          <w:highlight w:val="none"/>
          <w:shd w:val="clear" w:fill="FFFFFF"/>
          <w:lang w:val="en-US" w:eastAsia="zh-CN" w:bidi="ar"/>
        </w:rPr>
        <w:t>本表中投标人提供的“项目负责人、技术负责人、专职安全员”需满足招标公告要求，其余人员不全或未满足招标文件要求的，中标后须按招标文件的要求补充完善并报发包人审批同意；涉及违约的，还需按合同约定承担相应的违约责任。</w:t>
      </w:r>
    </w:p>
    <w:p w14:paraId="04904FF5">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40753DD4">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投标人：  （盖章）</w:t>
      </w:r>
    </w:p>
    <w:p w14:paraId="317417B0">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法定代表人或授权代理人(签字或盖章)：</w:t>
      </w:r>
    </w:p>
    <w:p w14:paraId="0D7A0251">
      <w:pPr>
        <w:keepNext w:val="0"/>
        <w:keepLines w:val="0"/>
        <w:widowControl w:val="0"/>
        <w:suppressLineNumbers w:val="0"/>
        <w:spacing w:before="0" w:beforeAutospacing="0" w:after="0" w:afterAutospacing="0"/>
        <w:ind w:left="0" w:right="0" w:firstLine="3600" w:firstLineChars="15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日</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期：</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年</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月</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日</w:t>
      </w:r>
    </w:p>
    <w:p w14:paraId="5272D085">
      <w:pPr>
        <w:keepNext w:val="0"/>
        <w:keepLines w:val="0"/>
        <w:widowControl w:val="0"/>
        <w:suppressLineNumbers w:val="0"/>
        <w:spacing w:before="0" w:beforeAutospacing="0" w:after="0" w:afterAutospacing="0"/>
        <w:ind w:left="0" w:right="0" w:firstLine="3600" w:firstLineChars="1500"/>
        <w:jc w:val="both"/>
        <w:rPr>
          <w:rFonts w:hint="eastAsia" w:ascii="宋体" w:hAnsi="宋体" w:eastAsia="宋体" w:cs="宋体"/>
          <w:color w:val="auto"/>
          <w:kern w:val="2"/>
          <w:sz w:val="24"/>
          <w:szCs w:val="24"/>
          <w:highlight w:val="none"/>
          <w:lang w:val="en-US" w:eastAsia="zh-CN" w:bidi="ar"/>
        </w:rPr>
      </w:pPr>
    </w:p>
    <w:p w14:paraId="57EB9EDF">
      <w:pPr>
        <w:keepNext w:val="0"/>
        <w:keepLines w:val="0"/>
        <w:widowControl w:val="0"/>
        <w:suppressLineNumbers w:val="0"/>
        <w:spacing w:before="0" w:beforeAutospacing="0" w:after="0" w:afterAutospacing="0"/>
        <w:ind w:left="0" w:right="0" w:firstLine="3600" w:firstLineChars="1500"/>
        <w:jc w:val="both"/>
        <w:rPr>
          <w:rFonts w:hint="eastAsia" w:ascii="宋体" w:hAnsi="宋体" w:eastAsia="宋体" w:cs="宋体"/>
          <w:color w:val="auto"/>
          <w:kern w:val="2"/>
          <w:sz w:val="24"/>
          <w:szCs w:val="24"/>
          <w:highlight w:val="none"/>
          <w:lang w:val="en-US" w:eastAsia="zh-CN" w:bidi="ar"/>
        </w:rPr>
      </w:pPr>
    </w:p>
    <w:p w14:paraId="4A580BE5">
      <w:pPr>
        <w:keepNext w:val="0"/>
        <w:keepLines w:val="0"/>
        <w:widowControl/>
        <w:suppressLineNumbers w:val="0"/>
        <w:topLinePunct w:val="0"/>
        <w:adjustRightInd/>
        <w:snapToGrid/>
        <w:spacing w:before="0" w:beforeAutospacing="0" w:after="0" w:afterAutospacing="0" w:line="240" w:lineRule="auto"/>
        <w:ind w:left="0" w:right="0"/>
        <w:jc w:val="left"/>
        <w:rPr>
          <w:rFonts w:hint="eastAsia" w:ascii="宋体" w:hAnsi="宋体" w:eastAsia="宋体" w:cs="宋体"/>
          <w:b/>
          <w:bCs w:val="0"/>
          <w:color w:val="auto"/>
          <w:spacing w:val="4"/>
          <w:kern w:val="0"/>
          <w:sz w:val="32"/>
          <w:szCs w:val="32"/>
          <w:highlight w:val="none"/>
          <w:lang w:val="en-US" w:eastAsia="zh-CN" w:bidi="ar"/>
        </w:rPr>
      </w:pPr>
      <w:r>
        <w:rPr>
          <w:rFonts w:hint="eastAsia" w:ascii="宋体" w:hAnsi="宋体" w:eastAsia="宋体" w:cs="宋体"/>
          <w:b/>
          <w:bCs w:val="0"/>
          <w:color w:val="auto"/>
          <w:spacing w:val="4"/>
          <w:kern w:val="0"/>
          <w:sz w:val="32"/>
          <w:szCs w:val="32"/>
          <w:highlight w:val="none"/>
          <w:lang w:val="en-US" w:eastAsia="zh-CN" w:bidi="ar"/>
        </w:rPr>
        <w:br w:type="page"/>
      </w:r>
    </w:p>
    <w:p w14:paraId="73CD2422">
      <w:pPr>
        <w:keepNext w:val="0"/>
        <w:keepLines w:val="0"/>
        <w:widowControl w:val="0"/>
        <w:suppressLineNumbers w:val="0"/>
        <w:topLinePunct/>
        <w:adjustRightInd w:val="0"/>
        <w:snapToGrid w:val="0"/>
        <w:spacing w:before="0" w:beforeAutospacing="0" w:after="0" w:afterAutospacing="0" w:line="360" w:lineRule="auto"/>
        <w:ind w:left="0" w:right="0"/>
        <w:jc w:val="both"/>
        <w:rPr>
          <w:rFonts w:hint="default" w:ascii="宋体" w:hAnsi="宋体" w:eastAsia="宋体" w:cs="Times New Roman"/>
          <w:b/>
          <w:bCs w:val="0"/>
          <w:color w:val="auto"/>
          <w:spacing w:val="4"/>
          <w:kern w:val="0"/>
          <w:sz w:val="32"/>
          <w:szCs w:val="32"/>
          <w:highlight w:val="none"/>
        </w:rPr>
      </w:pPr>
      <w:r>
        <w:rPr>
          <w:rFonts w:hint="eastAsia" w:ascii="宋体" w:hAnsi="宋体" w:eastAsia="宋体" w:cs="宋体"/>
          <w:b/>
          <w:bCs w:val="0"/>
          <w:color w:val="auto"/>
          <w:spacing w:val="4"/>
          <w:kern w:val="0"/>
          <w:sz w:val="32"/>
          <w:szCs w:val="32"/>
          <w:highlight w:val="none"/>
          <w:lang w:val="en-US" w:eastAsia="zh-CN" w:bidi="ar"/>
        </w:rPr>
        <w:t>投入主要人员汇总表</w:t>
      </w:r>
      <w:r>
        <w:rPr>
          <w:rFonts w:hint="default" w:ascii="宋体" w:hAnsi="宋体" w:eastAsia="宋体" w:cs="宋体"/>
          <w:b/>
          <w:bCs w:val="0"/>
          <w:color w:val="auto"/>
          <w:spacing w:val="4"/>
          <w:kern w:val="0"/>
          <w:sz w:val="32"/>
          <w:szCs w:val="32"/>
          <w:highlight w:val="none"/>
          <w:lang w:eastAsia="zh-CN" w:bidi="ar"/>
        </w:rPr>
        <w:t>（</w:t>
      </w:r>
      <w:r>
        <w:rPr>
          <w:rFonts w:hint="default" w:ascii="宋体" w:hAnsi="宋体" w:eastAsia="宋体" w:cs="宋体"/>
          <w:b/>
          <w:bCs w:val="0"/>
          <w:color w:val="auto"/>
          <w:spacing w:val="4"/>
          <w:kern w:val="0"/>
          <w:sz w:val="32"/>
          <w:szCs w:val="32"/>
          <w:highlight w:val="none"/>
          <w:lang w:val="en-US" w:eastAsia="zh-CN" w:bidi="ar"/>
        </w:rPr>
        <w:t>广州天河体育中心篮球城维修改造项目、广州市羽毛球运动管理中心训练馆改造项目、广州天河体育中心田径副场改造项目</w:t>
      </w:r>
      <w:r>
        <w:rPr>
          <w:rFonts w:hint="default" w:ascii="宋体" w:hAnsi="宋体" w:eastAsia="宋体" w:cs="宋体"/>
          <w:b/>
          <w:bCs w:val="0"/>
          <w:color w:val="auto"/>
          <w:spacing w:val="4"/>
          <w:kern w:val="0"/>
          <w:sz w:val="32"/>
          <w:szCs w:val="32"/>
          <w:highlight w:val="none"/>
          <w:lang w:eastAsia="zh-CN" w:bidi="ar"/>
        </w:rPr>
        <w:t>）</w:t>
      </w:r>
    </w:p>
    <w:tbl>
      <w:tblPr>
        <w:tblStyle w:val="17"/>
        <w:tblW w:w="97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35"/>
        <w:gridCol w:w="420"/>
        <w:gridCol w:w="458"/>
        <w:gridCol w:w="356"/>
        <w:gridCol w:w="644"/>
        <w:gridCol w:w="425"/>
        <w:gridCol w:w="446"/>
        <w:gridCol w:w="1353"/>
        <w:gridCol w:w="743"/>
        <w:gridCol w:w="2909"/>
        <w:gridCol w:w="1335"/>
      </w:tblGrid>
      <w:tr w14:paraId="230CD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57E8DD8E">
            <w:pPr>
              <w:pStyle w:val="14"/>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eastAsia" w:ascii="宋体" w:hAnsi="宋体" w:eastAsia="宋体" w:cs="宋体"/>
                <w:b/>
                <w:bCs w:val="0"/>
                <w:color w:val="auto"/>
                <w:kern w:val="2"/>
                <w:sz w:val="21"/>
                <w:szCs w:val="21"/>
                <w:highlight w:val="none"/>
                <w:lang w:val="en-US" w:eastAsia="zh-CN" w:bidi="ar"/>
              </w:rPr>
              <w:t>序号</w:t>
            </w:r>
          </w:p>
        </w:tc>
        <w:tc>
          <w:tcPr>
            <w:tcW w:w="420" w:type="dxa"/>
            <w:tcBorders>
              <w:top w:val="single" w:color="auto" w:sz="4" w:space="0"/>
              <w:left w:val="nil"/>
              <w:bottom w:val="single" w:color="auto" w:sz="4" w:space="0"/>
              <w:right w:val="single" w:color="auto" w:sz="4" w:space="0"/>
            </w:tcBorders>
            <w:shd w:val="clear" w:color="auto" w:fill="auto"/>
            <w:vAlign w:val="center"/>
          </w:tcPr>
          <w:p w14:paraId="4B121C89">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姓名</w:t>
            </w:r>
          </w:p>
        </w:tc>
        <w:tc>
          <w:tcPr>
            <w:tcW w:w="458" w:type="dxa"/>
            <w:tcBorders>
              <w:top w:val="single" w:color="auto" w:sz="4" w:space="0"/>
              <w:left w:val="nil"/>
              <w:bottom w:val="single" w:color="auto" w:sz="4" w:space="0"/>
              <w:right w:val="single" w:color="auto" w:sz="4" w:space="0"/>
            </w:tcBorders>
            <w:shd w:val="clear" w:color="auto" w:fill="auto"/>
            <w:vAlign w:val="center"/>
          </w:tcPr>
          <w:p w14:paraId="4566FF56">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年龄</w:t>
            </w:r>
          </w:p>
        </w:tc>
        <w:tc>
          <w:tcPr>
            <w:tcW w:w="356" w:type="dxa"/>
            <w:tcBorders>
              <w:top w:val="single" w:color="auto" w:sz="4" w:space="0"/>
              <w:left w:val="nil"/>
              <w:bottom w:val="single" w:color="auto" w:sz="4" w:space="0"/>
              <w:right w:val="single" w:color="auto" w:sz="4" w:space="0"/>
            </w:tcBorders>
            <w:shd w:val="clear" w:color="auto" w:fill="auto"/>
            <w:vAlign w:val="center"/>
          </w:tcPr>
          <w:p w14:paraId="0385AA1A">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工作年限</w:t>
            </w:r>
          </w:p>
        </w:tc>
        <w:tc>
          <w:tcPr>
            <w:tcW w:w="644" w:type="dxa"/>
            <w:tcBorders>
              <w:top w:val="single" w:color="auto" w:sz="4" w:space="0"/>
              <w:left w:val="nil"/>
              <w:bottom w:val="single" w:color="auto" w:sz="4" w:space="0"/>
              <w:right w:val="single" w:color="auto" w:sz="4" w:space="0"/>
            </w:tcBorders>
            <w:shd w:val="clear" w:color="auto" w:fill="auto"/>
            <w:vAlign w:val="center"/>
          </w:tcPr>
          <w:p w14:paraId="508B51C5">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所学专业</w:t>
            </w:r>
          </w:p>
        </w:tc>
        <w:tc>
          <w:tcPr>
            <w:tcW w:w="425" w:type="dxa"/>
            <w:tcBorders>
              <w:top w:val="single" w:color="auto" w:sz="4" w:space="0"/>
              <w:left w:val="nil"/>
              <w:bottom w:val="single" w:color="auto" w:sz="4" w:space="0"/>
              <w:right w:val="single" w:color="auto" w:sz="4" w:space="0"/>
            </w:tcBorders>
            <w:shd w:val="clear" w:color="auto" w:fill="auto"/>
            <w:vAlign w:val="center"/>
          </w:tcPr>
          <w:p w14:paraId="70F46820">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职称、资格证书</w:t>
            </w:r>
          </w:p>
        </w:tc>
        <w:tc>
          <w:tcPr>
            <w:tcW w:w="446" w:type="dxa"/>
            <w:tcBorders>
              <w:top w:val="single" w:color="auto" w:sz="4" w:space="0"/>
              <w:left w:val="nil"/>
              <w:bottom w:val="single" w:color="auto" w:sz="4" w:space="0"/>
              <w:right w:val="single" w:color="auto" w:sz="4" w:space="0"/>
            </w:tcBorders>
            <w:shd w:val="clear" w:color="auto" w:fill="auto"/>
            <w:vAlign w:val="center"/>
          </w:tcPr>
          <w:p w14:paraId="35875ABF">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原任职务</w:t>
            </w:r>
          </w:p>
        </w:tc>
        <w:tc>
          <w:tcPr>
            <w:tcW w:w="1353" w:type="dxa"/>
            <w:tcBorders>
              <w:top w:val="single" w:color="auto" w:sz="4" w:space="0"/>
              <w:left w:val="nil"/>
              <w:bottom w:val="single" w:color="auto" w:sz="4" w:space="0"/>
              <w:right w:val="single" w:color="auto" w:sz="4" w:space="0"/>
            </w:tcBorders>
            <w:shd w:val="clear" w:color="auto" w:fill="auto"/>
            <w:vAlign w:val="center"/>
          </w:tcPr>
          <w:p w14:paraId="55A1F5F3">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在本项目任职</w:t>
            </w:r>
          </w:p>
        </w:tc>
        <w:tc>
          <w:tcPr>
            <w:tcW w:w="743" w:type="dxa"/>
            <w:tcBorders>
              <w:top w:val="single" w:color="auto" w:sz="4" w:space="0"/>
              <w:left w:val="nil"/>
              <w:bottom w:val="single" w:color="auto" w:sz="4" w:space="0"/>
              <w:right w:val="single" w:color="auto" w:sz="4" w:space="0"/>
            </w:tcBorders>
            <w:shd w:val="clear" w:color="auto" w:fill="auto"/>
            <w:vAlign w:val="center"/>
          </w:tcPr>
          <w:p w14:paraId="13334A5B">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数量</w:t>
            </w:r>
          </w:p>
        </w:tc>
        <w:tc>
          <w:tcPr>
            <w:tcW w:w="2909" w:type="dxa"/>
            <w:tcBorders>
              <w:top w:val="single" w:color="auto" w:sz="4" w:space="0"/>
              <w:left w:val="nil"/>
              <w:bottom w:val="single" w:color="auto" w:sz="4" w:space="0"/>
              <w:right w:val="single" w:color="auto" w:sz="4" w:space="0"/>
            </w:tcBorders>
            <w:shd w:val="clear" w:color="auto" w:fill="auto"/>
            <w:vAlign w:val="center"/>
          </w:tcPr>
          <w:p w14:paraId="52825DEB">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基本要求</w:t>
            </w:r>
          </w:p>
        </w:tc>
        <w:tc>
          <w:tcPr>
            <w:tcW w:w="1335" w:type="dxa"/>
            <w:tcBorders>
              <w:top w:val="single" w:color="auto" w:sz="4" w:space="0"/>
              <w:left w:val="nil"/>
              <w:bottom w:val="single" w:color="auto" w:sz="4" w:space="0"/>
              <w:right w:val="single" w:color="auto" w:sz="4" w:space="0"/>
            </w:tcBorders>
            <w:shd w:val="clear" w:color="auto" w:fill="auto"/>
            <w:vAlign w:val="center"/>
          </w:tcPr>
          <w:p w14:paraId="7D3FFEC4">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备注</w:t>
            </w:r>
          </w:p>
        </w:tc>
      </w:tr>
      <w:tr w14:paraId="42556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0F6288C7">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p>
        </w:tc>
        <w:tc>
          <w:tcPr>
            <w:tcW w:w="420" w:type="dxa"/>
            <w:tcBorders>
              <w:top w:val="single" w:color="auto" w:sz="4" w:space="0"/>
              <w:left w:val="nil"/>
              <w:bottom w:val="single" w:color="auto" w:sz="4" w:space="0"/>
              <w:right w:val="single" w:color="auto" w:sz="4" w:space="0"/>
            </w:tcBorders>
            <w:shd w:val="clear" w:color="auto" w:fill="auto"/>
            <w:vAlign w:val="center"/>
          </w:tcPr>
          <w:p w14:paraId="7E7115D9">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21"/>
                <w:szCs w:val="21"/>
                <w:highlight w:val="none"/>
              </w:rPr>
            </w:pPr>
          </w:p>
        </w:tc>
        <w:tc>
          <w:tcPr>
            <w:tcW w:w="458" w:type="dxa"/>
            <w:tcBorders>
              <w:top w:val="single" w:color="auto" w:sz="4" w:space="0"/>
              <w:left w:val="nil"/>
              <w:bottom w:val="single" w:color="auto" w:sz="4" w:space="0"/>
              <w:right w:val="single" w:color="auto" w:sz="4" w:space="0"/>
            </w:tcBorders>
            <w:shd w:val="clear" w:color="auto" w:fill="auto"/>
            <w:vAlign w:val="top"/>
          </w:tcPr>
          <w:p w14:paraId="7AA62225">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356" w:type="dxa"/>
            <w:tcBorders>
              <w:top w:val="single" w:color="auto" w:sz="4" w:space="0"/>
              <w:left w:val="nil"/>
              <w:bottom w:val="single" w:color="auto" w:sz="4" w:space="0"/>
              <w:right w:val="single" w:color="auto" w:sz="4" w:space="0"/>
            </w:tcBorders>
            <w:shd w:val="clear" w:color="auto" w:fill="auto"/>
            <w:vAlign w:val="top"/>
          </w:tcPr>
          <w:p w14:paraId="19F14F21">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644" w:type="dxa"/>
            <w:tcBorders>
              <w:top w:val="single" w:color="auto" w:sz="4" w:space="0"/>
              <w:left w:val="nil"/>
              <w:bottom w:val="single" w:color="auto" w:sz="4" w:space="0"/>
              <w:right w:val="single" w:color="auto" w:sz="4" w:space="0"/>
            </w:tcBorders>
            <w:shd w:val="clear" w:color="auto" w:fill="auto"/>
            <w:vAlign w:val="top"/>
          </w:tcPr>
          <w:p w14:paraId="49736637">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25" w:type="dxa"/>
            <w:tcBorders>
              <w:top w:val="single" w:color="auto" w:sz="4" w:space="0"/>
              <w:left w:val="nil"/>
              <w:bottom w:val="single" w:color="auto" w:sz="4" w:space="0"/>
              <w:right w:val="single" w:color="auto" w:sz="4" w:space="0"/>
            </w:tcBorders>
            <w:shd w:val="clear" w:color="auto" w:fill="auto"/>
            <w:vAlign w:val="center"/>
          </w:tcPr>
          <w:p w14:paraId="759A9ED2">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46" w:type="dxa"/>
            <w:tcBorders>
              <w:top w:val="single" w:color="auto" w:sz="4" w:space="0"/>
              <w:left w:val="nil"/>
              <w:bottom w:val="single" w:color="auto" w:sz="4" w:space="0"/>
              <w:right w:val="single" w:color="auto" w:sz="4" w:space="0"/>
            </w:tcBorders>
            <w:shd w:val="clear" w:color="auto" w:fill="auto"/>
            <w:vAlign w:val="top"/>
          </w:tcPr>
          <w:p w14:paraId="64F4EB79">
            <w:pPr>
              <w:keepNext w:val="0"/>
              <w:keepLines w:val="0"/>
              <w:widowControl w:val="0"/>
              <w:suppressLineNumbers w:val="0"/>
              <w:spacing w:before="0" w:beforeAutospacing="0" w:after="0" w:afterAutospacing="0" w:line="240" w:lineRule="exact"/>
              <w:ind w:left="0" w:right="0"/>
              <w:jc w:val="both"/>
              <w:rPr>
                <w:rFonts w:hint="default" w:ascii="宋体" w:hAnsi="宋体" w:eastAsia="宋体" w:cs="宋体"/>
                <w:color w:val="auto"/>
                <w:kern w:val="2"/>
                <w:sz w:val="21"/>
                <w:szCs w:val="21"/>
                <w:highlight w:val="none"/>
              </w:rPr>
            </w:pPr>
          </w:p>
        </w:tc>
        <w:tc>
          <w:tcPr>
            <w:tcW w:w="1353" w:type="dxa"/>
            <w:tcBorders>
              <w:top w:val="single" w:color="auto" w:sz="4" w:space="0"/>
              <w:left w:val="nil"/>
              <w:bottom w:val="single" w:color="auto" w:sz="4" w:space="0"/>
              <w:right w:val="single" w:color="auto" w:sz="4" w:space="0"/>
            </w:tcBorders>
            <w:shd w:val="clear" w:color="auto" w:fill="auto"/>
            <w:vAlign w:val="center"/>
          </w:tcPr>
          <w:p w14:paraId="2093E33B">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项目指挥长</w:t>
            </w:r>
          </w:p>
        </w:tc>
        <w:tc>
          <w:tcPr>
            <w:tcW w:w="743" w:type="dxa"/>
            <w:tcBorders>
              <w:top w:val="single" w:color="auto" w:sz="4" w:space="0"/>
              <w:left w:val="nil"/>
              <w:bottom w:val="single" w:color="auto" w:sz="4" w:space="0"/>
              <w:right w:val="single" w:color="auto" w:sz="4" w:space="0"/>
            </w:tcBorders>
            <w:shd w:val="clear" w:color="auto" w:fill="auto"/>
            <w:vAlign w:val="center"/>
          </w:tcPr>
          <w:p w14:paraId="4D95F7B4">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Times New Roman"/>
                <w:color w:val="auto"/>
                <w:kern w:val="2"/>
                <w:sz w:val="21"/>
                <w:szCs w:val="21"/>
                <w:highlight w:val="none"/>
                <w:u w:val="single"/>
              </w:rPr>
            </w:pPr>
            <w:r>
              <w:rPr>
                <w:rFonts w:hint="default" w:ascii="宋体" w:hAnsi="宋体" w:eastAsia="宋体" w:cs="Times New Roman"/>
                <w:color w:val="auto"/>
                <w:kern w:val="2"/>
                <w:sz w:val="21"/>
                <w:szCs w:val="21"/>
                <w:highlight w:val="none"/>
                <w:u w:val="single"/>
              </w:rPr>
              <w:t>1</w:t>
            </w:r>
          </w:p>
        </w:tc>
        <w:tc>
          <w:tcPr>
            <w:tcW w:w="2909" w:type="dxa"/>
            <w:tcBorders>
              <w:top w:val="single" w:color="auto" w:sz="4" w:space="0"/>
              <w:left w:val="nil"/>
              <w:bottom w:val="single" w:color="auto" w:sz="4" w:space="0"/>
              <w:right w:val="single" w:color="auto" w:sz="4" w:space="0"/>
            </w:tcBorders>
            <w:shd w:val="clear" w:color="auto" w:fill="auto"/>
            <w:vAlign w:val="center"/>
          </w:tcPr>
          <w:p w14:paraId="40BF4DBE">
            <w:pPr>
              <w:keepNext w:val="0"/>
              <w:keepLines w:val="0"/>
              <w:widowControl w:val="0"/>
              <w:suppressLineNumbers w:val="0"/>
              <w:adjustRightInd w:val="0"/>
              <w:snapToGrid w:val="0"/>
              <w:spacing w:before="0" w:beforeAutospacing="0" w:after="0" w:afterAutospacing="0" w:line="360" w:lineRule="auto"/>
              <w:ind w:left="0" w:right="0"/>
              <w:jc w:val="left"/>
              <w:rPr>
                <w:rFonts w:hint="default"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由投标人现任副总经理（或总工程师）或以上行政职务担任，且应已任该职满半年或以上的领导担任，负责项目的总协调。</w:t>
            </w:r>
          </w:p>
        </w:tc>
        <w:tc>
          <w:tcPr>
            <w:tcW w:w="1335" w:type="dxa"/>
            <w:tcBorders>
              <w:top w:val="single" w:color="auto" w:sz="4" w:space="0"/>
              <w:left w:val="nil"/>
              <w:bottom w:val="single" w:color="auto" w:sz="4" w:space="0"/>
              <w:right w:val="single" w:color="auto" w:sz="4" w:space="0"/>
            </w:tcBorders>
            <w:shd w:val="clear" w:color="auto" w:fill="auto"/>
            <w:vAlign w:val="top"/>
          </w:tcPr>
          <w:p w14:paraId="749C5AAB">
            <w:pPr>
              <w:keepNext w:val="0"/>
              <w:keepLines w:val="0"/>
              <w:widowControl w:val="0"/>
              <w:suppressLineNumbers w:val="0"/>
              <w:adjustRightInd w:val="0"/>
              <w:snapToGrid w:val="0"/>
              <w:spacing w:before="0" w:beforeAutospacing="0" w:after="0" w:afterAutospacing="0" w:line="360" w:lineRule="auto"/>
              <w:ind w:left="0" w:right="0"/>
              <w:jc w:val="both"/>
              <w:rPr>
                <w:rFonts w:hint="default" w:ascii="宋体" w:hAnsi="宋体" w:eastAsia="宋体" w:cs="宋体"/>
                <w:color w:val="auto"/>
                <w:kern w:val="0"/>
                <w:sz w:val="21"/>
                <w:szCs w:val="21"/>
                <w:highlight w:val="none"/>
                <w:u w:val="single"/>
                <w:lang w:bidi="ar"/>
              </w:rPr>
            </w:pPr>
            <w:r>
              <w:rPr>
                <w:rFonts w:hint="eastAsia" w:ascii="宋体" w:hAnsi="宋体" w:eastAsia="宋体" w:cs="宋体"/>
                <w:color w:val="auto"/>
                <w:kern w:val="0"/>
                <w:sz w:val="21"/>
                <w:szCs w:val="21"/>
                <w:highlight w:val="none"/>
                <w:u w:val="single"/>
                <w:lang w:val="en-US" w:eastAsia="zh-CN" w:bidi="ar"/>
              </w:rPr>
              <w:t>提供任职证明</w:t>
            </w:r>
          </w:p>
        </w:tc>
      </w:tr>
      <w:tr w14:paraId="63188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5EE436EA">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w:t>
            </w:r>
          </w:p>
        </w:tc>
        <w:tc>
          <w:tcPr>
            <w:tcW w:w="420" w:type="dxa"/>
            <w:tcBorders>
              <w:top w:val="single" w:color="auto" w:sz="4" w:space="0"/>
              <w:left w:val="nil"/>
              <w:bottom w:val="single" w:color="auto" w:sz="4" w:space="0"/>
              <w:right w:val="single" w:color="auto" w:sz="4" w:space="0"/>
            </w:tcBorders>
            <w:shd w:val="clear" w:color="auto" w:fill="auto"/>
            <w:vAlign w:val="center"/>
          </w:tcPr>
          <w:p w14:paraId="7E580DB6">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21"/>
                <w:szCs w:val="21"/>
                <w:highlight w:val="none"/>
              </w:rPr>
            </w:pPr>
          </w:p>
        </w:tc>
        <w:tc>
          <w:tcPr>
            <w:tcW w:w="458" w:type="dxa"/>
            <w:tcBorders>
              <w:top w:val="single" w:color="auto" w:sz="4" w:space="0"/>
              <w:left w:val="nil"/>
              <w:bottom w:val="single" w:color="auto" w:sz="4" w:space="0"/>
              <w:right w:val="single" w:color="auto" w:sz="4" w:space="0"/>
            </w:tcBorders>
            <w:shd w:val="clear" w:color="auto" w:fill="auto"/>
            <w:vAlign w:val="top"/>
          </w:tcPr>
          <w:p w14:paraId="33E760BB">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356" w:type="dxa"/>
            <w:tcBorders>
              <w:top w:val="single" w:color="auto" w:sz="4" w:space="0"/>
              <w:left w:val="nil"/>
              <w:bottom w:val="single" w:color="auto" w:sz="4" w:space="0"/>
              <w:right w:val="single" w:color="auto" w:sz="4" w:space="0"/>
            </w:tcBorders>
            <w:shd w:val="clear" w:color="auto" w:fill="auto"/>
            <w:vAlign w:val="top"/>
          </w:tcPr>
          <w:p w14:paraId="492626D5">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644" w:type="dxa"/>
            <w:tcBorders>
              <w:top w:val="single" w:color="auto" w:sz="4" w:space="0"/>
              <w:left w:val="nil"/>
              <w:bottom w:val="single" w:color="auto" w:sz="4" w:space="0"/>
              <w:right w:val="single" w:color="auto" w:sz="4" w:space="0"/>
            </w:tcBorders>
            <w:shd w:val="clear" w:color="auto" w:fill="auto"/>
            <w:vAlign w:val="top"/>
          </w:tcPr>
          <w:p w14:paraId="6A056B3C">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25" w:type="dxa"/>
            <w:tcBorders>
              <w:top w:val="single" w:color="auto" w:sz="4" w:space="0"/>
              <w:left w:val="nil"/>
              <w:bottom w:val="single" w:color="auto" w:sz="4" w:space="0"/>
              <w:right w:val="single" w:color="auto" w:sz="4" w:space="0"/>
            </w:tcBorders>
            <w:shd w:val="clear" w:color="auto" w:fill="auto"/>
            <w:vAlign w:val="center"/>
          </w:tcPr>
          <w:p w14:paraId="21EAB695">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46" w:type="dxa"/>
            <w:tcBorders>
              <w:top w:val="single" w:color="auto" w:sz="4" w:space="0"/>
              <w:left w:val="nil"/>
              <w:bottom w:val="single" w:color="auto" w:sz="4" w:space="0"/>
              <w:right w:val="single" w:color="auto" w:sz="4" w:space="0"/>
            </w:tcBorders>
            <w:shd w:val="clear" w:color="auto" w:fill="auto"/>
            <w:vAlign w:val="top"/>
          </w:tcPr>
          <w:p w14:paraId="387F50FA">
            <w:pPr>
              <w:keepNext w:val="0"/>
              <w:keepLines w:val="0"/>
              <w:widowControl w:val="0"/>
              <w:suppressLineNumbers w:val="0"/>
              <w:spacing w:before="0" w:beforeAutospacing="0" w:after="0" w:afterAutospacing="0" w:line="240" w:lineRule="exact"/>
              <w:ind w:left="0" w:right="0"/>
              <w:jc w:val="both"/>
              <w:rPr>
                <w:rFonts w:hint="default" w:ascii="宋体" w:hAnsi="宋体" w:eastAsia="宋体" w:cs="宋体"/>
                <w:color w:val="auto"/>
                <w:kern w:val="2"/>
                <w:sz w:val="21"/>
                <w:szCs w:val="21"/>
                <w:highlight w:val="none"/>
              </w:rPr>
            </w:pPr>
          </w:p>
        </w:tc>
        <w:tc>
          <w:tcPr>
            <w:tcW w:w="1353" w:type="dxa"/>
            <w:tcBorders>
              <w:top w:val="single" w:color="auto" w:sz="4" w:space="0"/>
              <w:left w:val="nil"/>
              <w:bottom w:val="single" w:color="auto" w:sz="4" w:space="0"/>
              <w:right w:val="single" w:color="auto" w:sz="4" w:space="0"/>
            </w:tcBorders>
            <w:shd w:val="clear" w:color="auto" w:fill="auto"/>
            <w:vAlign w:val="center"/>
          </w:tcPr>
          <w:p w14:paraId="0D3A5619">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宋体" w:hAnsi="宋体" w:eastAsia="宋体" w:cs="Times New Roman"/>
                <w:color w:val="auto"/>
                <w:kern w:val="2"/>
                <w:sz w:val="21"/>
                <w:szCs w:val="21"/>
                <w:highlight w:val="none"/>
                <w:lang w:val="en-US"/>
              </w:rPr>
            </w:pPr>
            <w:r>
              <w:rPr>
                <w:rFonts w:hint="eastAsia" w:ascii="宋体" w:hAnsi="宋体" w:eastAsia="宋体" w:cs="宋体"/>
                <w:color w:val="auto"/>
                <w:kern w:val="2"/>
                <w:sz w:val="21"/>
                <w:szCs w:val="21"/>
                <w:highlight w:val="none"/>
                <w:lang w:val="en-US" w:eastAsia="zh-CN" w:bidi="ar"/>
              </w:rPr>
              <w:t>项目负责人</w:t>
            </w:r>
          </w:p>
        </w:tc>
        <w:tc>
          <w:tcPr>
            <w:tcW w:w="743" w:type="dxa"/>
            <w:tcBorders>
              <w:top w:val="single" w:color="auto" w:sz="4" w:space="0"/>
              <w:left w:val="nil"/>
              <w:bottom w:val="single" w:color="auto" w:sz="4" w:space="0"/>
              <w:right w:val="single" w:color="auto" w:sz="4" w:space="0"/>
            </w:tcBorders>
            <w:shd w:val="clear" w:color="auto" w:fill="auto"/>
            <w:vAlign w:val="center"/>
          </w:tcPr>
          <w:p w14:paraId="0BDA38A7">
            <w:pPr>
              <w:keepNext w:val="0"/>
              <w:keepLines w:val="0"/>
              <w:widowControl w:val="0"/>
              <w:suppressLineNumbers w:val="0"/>
              <w:adjustRightInd w:val="0"/>
              <w:snapToGrid w:val="0"/>
              <w:spacing w:before="0" w:beforeAutospacing="0" w:after="0" w:afterAutospacing="0"/>
              <w:ind w:left="0" w:right="0"/>
              <w:jc w:val="center"/>
              <w:rPr>
                <w:rFonts w:hint="default" w:ascii="宋体" w:hAnsi="宋体" w:eastAsia="宋体" w:cs="Times New Roman"/>
                <w:color w:val="auto"/>
                <w:kern w:val="2"/>
                <w:sz w:val="21"/>
                <w:szCs w:val="21"/>
                <w:highlight w:val="none"/>
                <w:u w:val="single"/>
              </w:rPr>
            </w:pPr>
            <w:r>
              <w:rPr>
                <w:rFonts w:hint="default" w:ascii="宋体" w:hAnsi="宋体" w:eastAsia="宋体" w:cs="Times New Roman"/>
                <w:color w:val="auto"/>
                <w:kern w:val="2"/>
                <w:sz w:val="21"/>
                <w:szCs w:val="21"/>
                <w:highlight w:val="none"/>
                <w:u w:val="single"/>
              </w:rPr>
              <w:t>1</w:t>
            </w:r>
          </w:p>
        </w:tc>
        <w:tc>
          <w:tcPr>
            <w:tcW w:w="2909" w:type="dxa"/>
            <w:tcBorders>
              <w:top w:val="single" w:color="auto" w:sz="4" w:space="0"/>
              <w:left w:val="nil"/>
              <w:bottom w:val="single" w:color="auto" w:sz="4" w:space="0"/>
              <w:right w:val="single" w:color="auto" w:sz="4" w:space="0"/>
            </w:tcBorders>
            <w:shd w:val="clear" w:color="auto" w:fill="auto"/>
            <w:vAlign w:val="center"/>
          </w:tcPr>
          <w:p w14:paraId="417361E2">
            <w:pPr>
              <w:keepNext w:val="0"/>
              <w:keepLines w:val="0"/>
              <w:widowControl w:val="0"/>
              <w:suppressLineNumbers w:val="0"/>
              <w:adjustRightInd w:val="0"/>
              <w:snapToGrid w:val="0"/>
              <w:spacing w:before="0" w:beforeAutospacing="0" w:after="0" w:afterAutospacing="0"/>
              <w:ind w:left="0" w:right="0"/>
              <w:jc w:val="both"/>
              <w:rPr>
                <w:rFonts w:hint="default"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按招标公告要求。</w:t>
            </w:r>
          </w:p>
        </w:tc>
        <w:tc>
          <w:tcPr>
            <w:tcW w:w="1335" w:type="dxa"/>
            <w:tcBorders>
              <w:top w:val="single" w:color="auto" w:sz="4" w:space="0"/>
              <w:left w:val="nil"/>
              <w:bottom w:val="single" w:color="auto" w:sz="4" w:space="0"/>
              <w:right w:val="single" w:color="auto" w:sz="4" w:space="0"/>
            </w:tcBorders>
            <w:shd w:val="clear" w:color="auto" w:fill="auto"/>
            <w:vAlign w:val="center"/>
          </w:tcPr>
          <w:p w14:paraId="64DF19E5">
            <w:pPr>
              <w:keepNext w:val="0"/>
              <w:keepLines w:val="0"/>
              <w:widowControl w:val="0"/>
              <w:suppressLineNumbers w:val="0"/>
              <w:adjustRightInd w:val="0"/>
              <w:snapToGrid w:val="0"/>
              <w:spacing w:before="0" w:beforeAutospacing="0" w:after="0" w:afterAutospacing="0" w:line="360" w:lineRule="auto"/>
              <w:ind w:left="0" w:right="0"/>
              <w:jc w:val="both"/>
              <w:rPr>
                <w:rFonts w:hint="default" w:ascii="宋体" w:hAnsi="宋体" w:eastAsia="宋体" w:cs="宋体"/>
                <w:color w:val="auto"/>
                <w:kern w:val="0"/>
                <w:sz w:val="21"/>
                <w:szCs w:val="21"/>
                <w:highlight w:val="none"/>
                <w:u w:val="none"/>
                <w:lang w:bidi="ar"/>
              </w:rPr>
            </w:pPr>
            <w:r>
              <w:rPr>
                <w:rFonts w:hint="eastAsia" w:ascii="宋体" w:hAnsi="宋体" w:eastAsia="宋体" w:cs="宋体"/>
                <w:color w:val="auto"/>
                <w:kern w:val="0"/>
                <w:sz w:val="21"/>
                <w:szCs w:val="21"/>
                <w:highlight w:val="none"/>
                <w:u w:val="none"/>
                <w:lang w:val="en-US" w:eastAsia="zh-CN" w:bidi="ar"/>
              </w:rPr>
              <w:t>按招标公告提供资料</w:t>
            </w:r>
          </w:p>
        </w:tc>
      </w:tr>
      <w:tr w14:paraId="77FBE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034E8590">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3</w:t>
            </w:r>
          </w:p>
        </w:tc>
        <w:tc>
          <w:tcPr>
            <w:tcW w:w="420" w:type="dxa"/>
            <w:tcBorders>
              <w:top w:val="single" w:color="auto" w:sz="4" w:space="0"/>
              <w:left w:val="nil"/>
              <w:bottom w:val="single" w:color="auto" w:sz="4" w:space="0"/>
              <w:right w:val="single" w:color="auto" w:sz="4" w:space="0"/>
            </w:tcBorders>
            <w:shd w:val="clear" w:color="auto" w:fill="auto"/>
            <w:vAlign w:val="center"/>
          </w:tcPr>
          <w:p w14:paraId="3871E235">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21"/>
                <w:szCs w:val="21"/>
                <w:highlight w:val="none"/>
              </w:rPr>
            </w:pPr>
          </w:p>
        </w:tc>
        <w:tc>
          <w:tcPr>
            <w:tcW w:w="458" w:type="dxa"/>
            <w:tcBorders>
              <w:top w:val="single" w:color="auto" w:sz="4" w:space="0"/>
              <w:left w:val="nil"/>
              <w:bottom w:val="single" w:color="auto" w:sz="4" w:space="0"/>
              <w:right w:val="single" w:color="auto" w:sz="4" w:space="0"/>
            </w:tcBorders>
            <w:shd w:val="clear" w:color="auto" w:fill="auto"/>
            <w:vAlign w:val="top"/>
          </w:tcPr>
          <w:p w14:paraId="7A3C1FDD">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356" w:type="dxa"/>
            <w:tcBorders>
              <w:top w:val="single" w:color="auto" w:sz="4" w:space="0"/>
              <w:left w:val="nil"/>
              <w:bottom w:val="single" w:color="auto" w:sz="4" w:space="0"/>
              <w:right w:val="single" w:color="auto" w:sz="4" w:space="0"/>
            </w:tcBorders>
            <w:shd w:val="clear" w:color="auto" w:fill="auto"/>
            <w:vAlign w:val="top"/>
          </w:tcPr>
          <w:p w14:paraId="1CDC6AE8">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644" w:type="dxa"/>
            <w:tcBorders>
              <w:top w:val="single" w:color="auto" w:sz="4" w:space="0"/>
              <w:left w:val="nil"/>
              <w:bottom w:val="single" w:color="auto" w:sz="4" w:space="0"/>
              <w:right w:val="single" w:color="auto" w:sz="4" w:space="0"/>
            </w:tcBorders>
            <w:shd w:val="clear" w:color="auto" w:fill="auto"/>
            <w:vAlign w:val="top"/>
          </w:tcPr>
          <w:p w14:paraId="7A2313B0">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25" w:type="dxa"/>
            <w:tcBorders>
              <w:top w:val="single" w:color="auto" w:sz="4" w:space="0"/>
              <w:left w:val="nil"/>
              <w:bottom w:val="single" w:color="auto" w:sz="4" w:space="0"/>
              <w:right w:val="single" w:color="auto" w:sz="4" w:space="0"/>
            </w:tcBorders>
            <w:shd w:val="clear" w:color="auto" w:fill="auto"/>
            <w:vAlign w:val="center"/>
          </w:tcPr>
          <w:p w14:paraId="06313841">
            <w:pPr>
              <w:keepNext w:val="0"/>
              <w:keepLines w:val="0"/>
              <w:widowControl w:val="0"/>
              <w:suppressLineNumbers w:val="0"/>
              <w:adjustRightInd w:val="0"/>
              <w:snapToGrid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46" w:type="dxa"/>
            <w:tcBorders>
              <w:top w:val="single" w:color="auto" w:sz="4" w:space="0"/>
              <w:left w:val="nil"/>
              <w:bottom w:val="single" w:color="auto" w:sz="4" w:space="0"/>
              <w:right w:val="single" w:color="auto" w:sz="4" w:space="0"/>
            </w:tcBorders>
            <w:shd w:val="clear" w:color="auto" w:fill="auto"/>
            <w:vAlign w:val="top"/>
          </w:tcPr>
          <w:p w14:paraId="55F85959">
            <w:pPr>
              <w:keepNext w:val="0"/>
              <w:keepLines w:val="0"/>
              <w:widowControl w:val="0"/>
              <w:suppressLineNumbers w:val="0"/>
              <w:spacing w:before="0" w:beforeAutospacing="0" w:after="0" w:afterAutospacing="0" w:line="240" w:lineRule="exact"/>
              <w:ind w:left="0" w:right="0"/>
              <w:jc w:val="both"/>
              <w:rPr>
                <w:rFonts w:hint="default" w:ascii="宋体" w:hAnsi="宋体" w:eastAsia="宋体" w:cs="宋体"/>
                <w:color w:val="auto"/>
                <w:kern w:val="2"/>
                <w:sz w:val="21"/>
                <w:szCs w:val="21"/>
                <w:highlight w:val="none"/>
              </w:rPr>
            </w:pPr>
          </w:p>
        </w:tc>
        <w:tc>
          <w:tcPr>
            <w:tcW w:w="1353" w:type="dxa"/>
            <w:tcBorders>
              <w:top w:val="single" w:color="auto" w:sz="4" w:space="0"/>
              <w:left w:val="nil"/>
              <w:bottom w:val="single" w:color="auto" w:sz="4" w:space="0"/>
              <w:right w:val="single" w:color="auto" w:sz="4" w:space="0"/>
            </w:tcBorders>
            <w:shd w:val="clear" w:color="auto" w:fill="auto"/>
            <w:vAlign w:val="center"/>
          </w:tcPr>
          <w:p w14:paraId="0A3B73B0">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技术负责人</w:t>
            </w:r>
          </w:p>
        </w:tc>
        <w:tc>
          <w:tcPr>
            <w:tcW w:w="743" w:type="dxa"/>
            <w:tcBorders>
              <w:top w:val="single" w:color="auto" w:sz="4" w:space="0"/>
              <w:left w:val="nil"/>
              <w:bottom w:val="single" w:color="auto" w:sz="4" w:space="0"/>
              <w:right w:val="single" w:color="auto" w:sz="4" w:space="0"/>
            </w:tcBorders>
            <w:shd w:val="clear" w:color="auto" w:fill="auto"/>
            <w:vAlign w:val="center"/>
          </w:tcPr>
          <w:p w14:paraId="6117B4B3">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宋体" w:hAnsi="宋体" w:eastAsia="宋体" w:cs="Times New Roman"/>
                <w:color w:val="auto"/>
                <w:kern w:val="2"/>
                <w:sz w:val="21"/>
                <w:szCs w:val="21"/>
                <w:highlight w:val="none"/>
                <w:u w:val="single"/>
                <w:lang w:val="en-US" w:eastAsia="zh-CN" w:bidi="ar-SA"/>
              </w:rPr>
            </w:pPr>
            <w:r>
              <w:rPr>
                <w:rFonts w:hint="default" w:ascii="宋体" w:hAnsi="宋体" w:eastAsia="宋体" w:cs="Times New Roman"/>
                <w:color w:val="auto"/>
                <w:kern w:val="2"/>
                <w:sz w:val="21"/>
                <w:szCs w:val="21"/>
                <w:highlight w:val="none"/>
                <w:u w:val="single"/>
              </w:rPr>
              <w:t>1</w:t>
            </w:r>
          </w:p>
        </w:tc>
        <w:tc>
          <w:tcPr>
            <w:tcW w:w="2909" w:type="dxa"/>
            <w:tcBorders>
              <w:top w:val="single" w:color="auto" w:sz="4" w:space="0"/>
              <w:left w:val="nil"/>
              <w:bottom w:val="single" w:color="auto" w:sz="4" w:space="0"/>
              <w:right w:val="single" w:color="auto" w:sz="4" w:space="0"/>
            </w:tcBorders>
            <w:shd w:val="clear" w:color="auto" w:fill="auto"/>
            <w:vAlign w:val="top"/>
          </w:tcPr>
          <w:p w14:paraId="5F883997">
            <w:pPr>
              <w:keepNext w:val="0"/>
              <w:keepLines w:val="0"/>
              <w:widowControl w:val="0"/>
              <w:suppressLineNumbers w:val="0"/>
              <w:adjustRightInd w:val="0"/>
              <w:snapToGrid w:val="0"/>
              <w:spacing w:before="0" w:beforeAutospacing="0" w:after="0" w:afterAutospacing="0" w:line="360" w:lineRule="auto"/>
              <w:ind w:left="0" w:leftChars="0" w:right="0" w:rightChars="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按招标公告要求。</w:t>
            </w:r>
          </w:p>
        </w:tc>
        <w:tc>
          <w:tcPr>
            <w:tcW w:w="1335" w:type="dxa"/>
            <w:tcBorders>
              <w:top w:val="single" w:color="auto" w:sz="4" w:space="0"/>
              <w:left w:val="nil"/>
              <w:bottom w:val="single" w:color="auto" w:sz="4" w:space="0"/>
              <w:right w:val="single" w:color="auto" w:sz="4" w:space="0"/>
            </w:tcBorders>
            <w:shd w:val="clear" w:color="auto" w:fill="auto"/>
            <w:vAlign w:val="center"/>
          </w:tcPr>
          <w:p w14:paraId="119F2D72">
            <w:pPr>
              <w:keepNext w:val="0"/>
              <w:keepLines w:val="0"/>
              <w:widowControl w:val="0"/>
              <w:suppressLineNumbers w:val="0"/>
              <w:adjustRightInd w:val="0"/>
              <w:snapToGrid w:val="0"/>
              <w:spacing w:before="0" w:beforeAutospacing="0" w:after="0" w:afterAutospacing="0" w:line="360" w:lineRule="auto"/>
              <w:ind w:left="0" w:leftChars="0" w:right="0" w:rightChars="0"/>
              <w:jc w:val="both"/>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u w:val="none"/>
                <w:lang w:val="en-US" w:eastAsia="zh-CN" w:bidi="ar"/>
              </w:rPr>
              <w:t>按招标公告提供资料</w:t>
            </w:r>
          </w:p>
        </w:tc>
      </w:tr>
      <w:tr w14:paraId="07DD6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63FAE5C6">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4</w:t>
            </w:r>
          </w:p>
        </w:tc>
        <w:tc>
          <w:tcPr>
            <w:tcW w:w="420" w:type="dxa"/>
            <w:tcBorders>
              <w:top w:val="single" w:color="auto" w:sz="4" w:space="0"/>
              <w:left w:val="nil"/>
              <w:bottom w:val="single" w:color="auto" w:sz="4" w:space="0"/>
              <w:right w:val="single" w:color="auto" w:sz="4" w:space="0"/>
            </w:tcBorders>
            <w:shd w:val="clear" w:color="auto" w:fill="auto"/>
            <w:vAlign w:val="center"/>
          </w:tcPr>
          <w:p w14:paraId="0CD7F361">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21"/>
                <w:szCs w:val="21"/>
                <w:highlight w:val="none"/>
              </w:rPr>
            </w:pPr>
          </w:p>
        </w:tc>
        <w:tc>
          <w:tcPr>
            <w:tcW w:w="458" w:type="dxa"/>
            <w:tcBorders>
              <w:top w:val="single" w:color="auto" w:sz="4" w:space="0"/>
              <w:left w:val="nil"/>
              <w:bottom w:val="single" w:color="auto" w:sz="4" w:space="0"/>
              <w:right w:val="single" w:color="auto" w:sz="4" w:space="0"/>
            </w:tcBorders>
            <w:shd w:val="clear" w:color="auto" w:fill="auto"/>
            <w:vAlign w:val="top"/>
          </w:tcPr>
          <w:p w14:paraId="052093DC">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356" w:type="dxa"/>
            <w:tcBorders>
              <w:top w:val="single" w:color="auto" w:sz="4" w:space="0"/>
              <w:left w:val="nil"/>
              <w:bottom w:val="single" w:color="auto" w:sz="4" w:space="0"/>
              <w:right w:val="single" w:color="auto" w:sz="4" w:space="0"/>
            </w:tcBorders>
            <w:shd w:val="clear" w:color="auto" w:fill="auto"/>
            <w:vAlign w:val="top"/>
          </w:tcPr>
          <w:p w14:paraId="1BCAECE9">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644" w:type="dxa"/>
            <w:tcBorders>
              <w:top w:val="single" w:color="auto" w:sz="4" w:space="0"/>
              <w:left w:val="nil"/>
              <w:bottom w:val="single" w:color="auto" w:sz="4" w:space="0"/>
              <w:right w:val="single" w:color="auto" w:sz="4" w:space="0"/>
            </w:tcBorders>
            <w:shd w:val="clear" w:color="auto" w:fill="auto"/>
            <w:vAlign w:val="top"/>
          </w:tcPr>
          <w:p w14:paraId="3DF8B528">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25" w:type="dxa"/>
            <w:tcBorders>
              <w:top w:val="single" w:color="auto" w:sz="4" w:space="0"/>
              <w:left w:val="nil"/>
              <w:bottom w:val="single" w:color="auto" w:sz="4" w:space="0"/>
              <w:right w:val="single" w:color="auto" w:sz="4" w:space="0"/>
            </w:tcBorders>
            <w:shd w:val="clear" w:color="auto" w:fill="auto"/>
            <w:vAlign w:val="center"/>
          </w:tcPr>
          <w:p w14:paraId="6DCA5286">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46" w:type="dxa"/>
            <w:tcBorders>
              <w:top w:val="single" w:color="auto" w:sz="4" w:space="0"/>
              <w:left w:val="nil"/>
              <w:bottom w:val="single" w:color="auto" w:sz="4" w:space="0"/>
              <w:right w:val="single" w:color="auto" w:sz="4" w:space="0"/>
            </w:tcBorders>
            <w:shd w:val="clear" w:color="auto" w:fill="auto"/>
            <w:vAlign w:val="top"/>
          </w:tcPr>
          <w:p w14:paraId="090A2ED4">
            <w:pPr>
              <w:keepNext w:val="0"/>
              <w:keepLines w:val="0"/>
              <w:widowControl w:val="0"/>
              <w:suppressLineNumbers w:val="0"/>
              <w:spacing w:before="0" w:beforeAutospacing="0" w:after="0" w:afterAutospacing="0" w:line="240" w:lineRule="exact"/>
              <w:ind w:left="0" w:right="0"/>
              <w:jc w:val="both"/>
              <w:rPr>
                <w:rFonts w:hint="default" w:ascii="宋体" w:hAnsi="宋体" w:eastAsia="宋体" w:cs="宋体"/>
                <w:color w:val="auto"/>
                <w:kern w:val="2"/>
                <w:sz w:val="21"/>
                <w:szCs w:val="21"/>
                <w:highlight w:val="none"/>
              </w:rPr>
            </w:pPr>
          </w:p>
        </w:tc>
        <w:tc>
          <w:tcPr>
            <w:tcW w:w="1353" w:type="dxa"/>
            <w:tcBorders>
              <w:top w:val="single" w:color="auto" w:sz="4" w:space="0"/>
              <w:left w:val="nil"/>
              <w:bottom w:val="single" w:color="auto" w:sz="4" w:space="0"/>
              <w:right w:val="single" w:color="auto" w:sz="4" w:space="0"/>
            </w:tcBorders>
            <w:shd w:val="clear" w:color="auto" w:fill="auto"/>
            <w:vAlign w:val="center"/>
          </w:tcPr>
          <w:p w14:paraId="68577C60">
            <w:pPr>
              <w:keepNext w:val="0"/>
              <w:keepLines w:val="0"/>
              <w:widowControl w:val="0"/>
              <w:suppressLineNumbers w:val="0"/>
              <w:topLinePunct/>
              <w:adjustRightInd w:val="0"/>
              <w:snapToGrid w:val="0"/>
              <w:spacing w:before="0" w:beforeAutospacing="0" w:after="0" w:afterAutospacing="0" w:line="360" w:lineRule="auto"/>
              <w:ind w:left="0" w:leftChars="0" w:right="0" w:rightChars="0" w:firstLine="0" w:firstLineChars="0"/>
              <w:jc w:val="left"/>
              <w:rPr>
                <w:rFonts w:hint="default"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专职安全员</w:t>
            </w:r>
          </w:p>
        </w:tc>
        <w:tc>
          <w:tcPr>
            <w:tcW w:w="743" w:type="dxa"/>
            <w:tcBorders>
              <w:top w:val="single" w:color="auto" w:sz="4" w:space="0"/>
              <w:left w:val="nil"/>
              <w:bottom w:val="single" w:color="auto" w:sz="4" w:space="0"/>
              <w:right w:val="single" w:color="auto" w:sz="4" w:space="0"/>
            </w:tcBorders>
            <w:shd w:val="clear" w:color="auto" w:fill="auto"/>
            <w:vAlign w:val="center"/>
          </w:tcPr>
          <w:p w14:paraId="06E992A5">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default" w:ascii="宋体" w:hAnsi="宋体" w:eastAsia="宋体" w:cs="Times New Roman"/>
                <w:color w:val="auto"/>
                <w:kern w:val="2"/>
                <w:sz w:val="21"/>
                <w:szCs w:val="21"/>
                <w:highlight w:val="none"/>
                <w:u w:val="single"/>
              </w:rPr>
            </w:pPr>
            <w:r>
              <w:rPr>
                <w:rFonts w:hint="default" w:ascii="宋体" w:hAnsi="宋体" w:eastAsia="宋体" w:cs="Times New Roman"/>
                <w:color w:val="auto"/>
                <w:kern w:val="2"/>
                <w:sz w:val="21"/>
                <w:szCs w:val="21"/>
                <w:highlight w:val="none"/>
                <w:u w:val="single"/>
              </w:rPr>
              <w:t>1</w:t>
            </w:r>
          </w:p>
        </w:tc>
        <w:tc>
          <w:tcPr>
            <w:tcW w:w="2909" w:type="dxa"/>
            <w:tcBorders>
              <w:top w:val="single" w:color="auto" w:sz="4" w:space="0"/>
              <w:left w:val="nil"/>
              <w:bottom w:val="single" w:color="auto" w:sz="4" w:space="0"/>
              <w:right w:val="single" w:color="auto" w:sz="4" w:space="0"/>
            </w:tcBorders>
            <w:shd w:val="clear" w:color="auto" w:fill="auto"/>
            <w:vAlign w:val="top"/>
          </w:tcPr>
          <w:p w14:paraId="55E9D76C">
            <w:pPr>
              <w:keepNext w:val="0"/>
              <w:keepLines w:val="0"/>
              <w:widowControl w:val="0"/>
              <w:suppressLineNumbers w:val="0"/>
              <w:adjustRightInd w:val="0"/>
              <w:snapToGrid w:val="0"/>
              <w:spacing w:before="0" w:beforeAutospacing="0" w:after="0" w:afterAutospacing="0" w:line="360" w:lineRule="auto"/>
              <w:ind w:left="0" w:leftChars="0" w:right="0" w:rightChars="0"/>
              <w:jc w:val="both"/>
              <w:rPr>
                <w:rFonts w:hint="default"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按招标公告要求。</w:t>
            </w:r>
          </w:p>
        </w:tc>
        <w:tc>
          <w:tcPr>
            <w:tcW w:w="1335" w:type="dxa"/>
            <w:tcBorders>
              <w:top w:val="single" w:color="auto" w:sz="4" w:space="0"/>
              <w:left w:val="nil"/>
              <w:bottom w:val="single" w:color="auto" w:sz="4" w:space="0"/>
              <w:right w:val="single" w:color="auto" w:sz="4" w:space="0"/>
            </w:tcBorders>
            <w:shd w:val="clear" w:color="auto" w:fill="auto"/>
            <w:vAlign w:val="center"/>
          </w:tcPr>
          <w:p w14:paraId="12B3F7C7">
            <w:pPr>
              <w:keepNext w:val="0"/>
              <w:keepLines w:val="0"/>
              <w:widowControl w:val="0"/>
              <w:suppressLineNumbers w:val="0"/>
              <w:adjustRightInd w:val="0"/>
              <w:snapToGrid w:val="0"/>
              <w:spacing w:before="0" w:beforeAutospacing="0" w:after="0" w:afterAutospacing="0" w:line="360" w:lineRule="auto"/>
              <w:ind w:left="0" w:leftChars="0" w:right="0" w:rightChars="0"/>
              <w:jc w:val="both"/>
              <w:rPr>
                <w:rFonts w:hint="default" w:ascii="宋体" w:hAnsi="宋体" w:eastAsia="宋体" w:cs="宋体"/>
                <w:color w:val="auto"/>
                <w:kern w:val="0"/>
                <w:sz w:val="21"/>
                <w:szCs w:val="21"/>
                <w:highlight w:val="none"/>
                <w:u w:val="none"/>
                <w:lang w:bidi="ar"/>
              </w:rPr>
            </w:pPr>
            <w:r>
              <w:rPr>
                <w:rFonts w:hint="eastAsia" w:ascii="宋体" w:hAnsi="宋体" w:eastAsia="宋体" w:cs="宋体"/>
                <w:color w:val="auto"/>
                <w:kern w:val="0"/>
                <w:sz w:val="21"/>
                <w:szCs w:val="21"/>
                <w:highlight w:val="none"/>
                <w:u w:val="none"/>
                <w:lang w:val="en-US" w:eastAsia="zh-CN" w:bidi="ar"/>
              </w:rPr>
              <w:t>按招标公告提供资料</w:t>
            </w:r>
          </w:p>
        </w:tc>
      </w:tr>
      <w:tr w14:paraId="2940F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71891C45">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5</w:t>
            </w:r>
          </w:p>
        </w:tc>
        <w:tc>
          <w:tcPr>
            <w:tcW w:w="420" w:type="dxa"/>
            <w:tcBorders>
              <w:top w:val="single" w:color="auto" w:sz="4" w:space="0"/>
              <w:left w:val="nil"/>
              <w:bottom w:val="single" w:color="auto" w:sz="4" w:space="0"/>
              <w:right w:val="single" w:color="auto" w:sz="4" w:space="0"/>
            </w:tcBorders>
            <w:shd w:val="clear" w:color="auto" w:fill="auto"/>
            <w:vAlign w:val="center"/>
          </w:tcPr>
          <w:p w14:paraId="067D2F1E">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21"/>
                <w:szCs w:val="21"/>
                <w:highlight w:val="none"/>
              </w:rPr>
            </w:pPr>
          </w:p>
        </w:tc>
        <w:tc>
          <w:tcPr>
            <w:tcW w:w="458" w:type="dxa"/>
            <w:tcBorders>
              <w:top w:val="single" w:color="auto" w:sz="4" w:space="0"/>
              <w:left w:val="nil"/>
              <w:bottom w:val="single" w:color="auto" w:sz="4" w:space="0"/>
              <w:right w:val="single" w:color="auto" w:sz="4" w:space="0"/>
            </w:tcBorders>
            <w:shd w:val="clear" w:color="auto" w:fill="auto"/>
            <w:vAlign w:val="top"/>
          </w:tcPr>
          <w:p w14:paraId="2492BB5F">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356" w:type="dxa"/>
            <w:tcBorders>
              <w:top w:val="single" w:color="auto" w:sz="4" w:space="0"/>
              <w:left w:val="nil"/>
              <w:bottom w:val="single" w:color="auto" w:sz="4" w:space="0"/>
              <w:right w:val="single" w:color="auto" w:sz="4" w:space="0"/>
            </w:tcBorders>
            <w:shd w:val="clear" w:color="auto" w:fill="auto"/>
            <w:vAlign w:val="top"/>
          </w:tcPr>
          <w:p w14:paraId="714A25BE">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644" w:type="dxa"/>
            <w:tcBorders>
              <w:top w:val="single" w:color="auto" w:sz="4" w:space="0"/>
              <w:left w:val="nil"/>
              <w:bottom w:val="single" w:color="auto" w:sz="4" w:space="0"/>
              <w:right w:val="single" w:color="auto" w:sz="4" w:space="0"/>
            </w:tcBorders>
            <w:shd w:val="clear" w:color="auto" w:fill="auto"/>
            <w:vAlign w:val="top"/>
          </w:tcPr>
          <w:p w14:paraId="20316A7D">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25" w:type="dxa"/>
            <w:tcBorders>
              <w:top w:val="single" w:color="auto" w:sz="4" w:space="0"/>
              <w:left w:val="nil"/>
              <w:bottom w:val="single" w:color="auto" w:sz="4" w:space="0"/>
              <w:right w:val="single" w:color="auto" w:sz="4" w:space="0"/>
            </w:tcBorders>
            <w:shd w:val="clear" w:color="auto" w:fill="auto"/>
            <w:vAlign w:val="center"/>
          </w:tcPr>
          <w:p w14:paraId="488E6C33">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46" w:type="dxa"/>
            <w:tcBorders>
              <w:top w:val="single" w:color="auto" w:sz="4" w:space="0"/>
              <w:left w:val="nil"/>
              <w:bottom w:val="single" w:color="auto" w:sz="4" w:space="0"/>
              <w:right w:val="single" w:color="auto" w:sz="4" w:space="0"/>
            </w:tcBorders>
            <w:shd w:val="clear" w:color="auto" w:fill="auto"/>
            <w:vAlign w:val="top"/>
          </w:tcPr>
          <w:p w14:paraId="616C4BDF">
            <w:pPr>
              <w:keepNext w:val="0"/>
              <w:keepLines w:val="0"/>
              <w:widowControl w:val="0"/>
              <w:suppressLineNumbers w:val="0"/>
              <w:spacing w:before="0" w:beforeAutospacing="0" w:after="0" w:afterAutospacing="0" w:line="240" w:lineRule="exact"/>
              <w:ind w:left="0" w:right="0"/>
              <w:jc w:val="both"/>
              <w:rPr>
                <w:rFonts w:hint="default" w:ascii="宋体" w:hAnsi="宋体" w:eastAsia="宋体" w:cs="宋体"/>
                <w:color w:val="auto"/>
                <w:kern w:val="2"/>
                <w:sz w:val="21"/>
                <w:szCs w:val="21"/>
                <w:highlight w:val="none"/>
              </w:rPr>
            </w:pPr>
          </w:p>
        </w:tc>
        <w:tc>
          <w:tcPr>
            <w:tcW w:w="1353" w:type="dxa"/>
            <w:tcBorders>
              <w:top w:val="single" w:color="auto" w:sz="4" w:space="0"/>
              <w:left w:val="nil"/>
              <w:bottom w:val="single" w:color="auto" w:sz="4" w:space="0"/>
              <w:right w:val="single" w:color="auto" w:sz="4" w:space="0"/>
            </w:tcBorders>
            <w:shd w:val="clear" w:color="auto" w:fill="auto"/>
            <w:vAlign w:val="center"/>
          </w:tcPr>
          <w:p w14:paraId="486299A6">
            <w:pPr>
              <w:keepNext w:val="0"/>
              <w:keepLines w:val="0"/>
              <w:widowControl w:val="0"/>
              <w:suppressLineNumbers w:val="0"/>
              <w:topLinePunct/>
              <w:adjustRightInd w:val="0"/>
              <w:snapToGrid w:val="0"/>
              <w:spacing w:before="0" w:beforeAutospacing="0" w:after="0" w:afterAutospacing="0" w:line="360" w:lineRule="auto"/>
              <w:ind w:left="0" w:leftChars="0" w:right="0" w:rightChars="0" w:firstLine="0" w:firstLineChars="0"/>
              <w:jc w:val="left"/>
              <w:rPr>
                <w:rFonts w:hint="eastAsia" w:ascii="宋体" w:hAnsi="宋体" w:eastAsia="宋体" w:cs="宋体"/>
                <w:color w:val="auto"/>
                <w:kern w:val="2"/>
                <w:sz w:val="21"/>
                <w:szCs w:val="21"/>
                <w:highlight w:val="none"/>
                <w:lang w:bidi="ar"/>
              </w:rPr>
            </w:pPr>
            <w:r>
              <w:rPr>
                <w:rFonts w:hint="eastAsia" w:ascii="宋体" w:hAnsi="宋体" w:eastAsia="宋体" w:cs="宋体"/>
                <w:bCs w:val="0"/>
                <w:snapToGrid/>
                <w:color w:val="auto"/>
                <w:spacing w:val="0"/>
                <w:kern w:val="2"/>
                <w:sz w:val="21"/>
                <w:szCs w:val="21"/>
                <w:highlight w:val="none"/>
                <w:lang w:val="en-US" w:eastAsia="zh-CN" w:bidi="ar"/>
              </w:rPr>
              <w:t>土建工程师</w:t>
            </w:r>
          </w:p>
        </w:tc>
        <w:tc>
          <w:tcPr>
            <w:tcW w:w="743" w:type="dxa"/>
            <w:tcBorders>
              <w:top w:val="single" w:color="auto" w:sz="4" w:space="0"/>
              <w:left w:val="nil"/>
              <w:bottom w:val="single" w:color="auto" w:sz="4" w:space="0"/>
              <w:right w:val="single" w:color="auto" w:sz="4" w:space="0"/>
            </w:tcBorders>
            <w:shd w:val="clear" w:color="auto" w:fill="auto"/>
            <w:vAlign w:val="center"/>
          </w:tcPr>
          <w:p w14:paraId="29F257D9">
            <w:pPr>
              <w:keepNext w:val="0"/>
              <w:keepLines w:val="0"/>
              <w:widowControl w:val="0"/>
              <w:suppressLineNumbers w:val="0"/>
              <w:topLinePunct/>
              <w:adjustRightInd w:val="0"/>
              <w:snapToGrid w:val="0"/>
              <w:spacing w:before="0" w:beforeAutospacing="0" w:after="0" w:afterAutospacing="0" w:line="360" w:lineRule="auto"/>
              <w:ind w:left="0" w:leftChars="0" w:right="0" w:rightChars="0"/>
              <w:jc w:val="center"/>
              <w:rPr>
                <w:rFonts w:hint="eastAsia" w:ascii="宋体" w:hAnsi="宋体" w:eastAsia="宋体" w:cs="宋体"/>
                <w:color w:val="auto"/>
                <w:kern w:val="2"/>
                <w:sz w:val="21"/>
                <w:szCs w:val="21"/>
                <w:highlight w:val="none"/>
                <w:u w:val="none"/>
                <w:lang w:val="en-US" w:bidi="ar"/>
              </w:rPr>
            </w:pPr>
            <w:r>
              <w:rPr>
                <w:rFonts w:hint="eastAsia" w:ascii="宋体" w:hAnsi="宋体" w:eastAsia="宋体" w:cs="宋体"/>
                <w:color w:val="auto"/>
                <w:kern w:val="2"/>
                <w:sz w:val="21"/>
                <w:szCs w:val="21"/>
                <w:highlight w:val="none"/>
                <w:u w:val="none"/>
                <w:lang w:val="en-US" w:bidi="ar"/>
              </w:rPr>
              <w:t>2</w:t>
            </w:r>
          </w:p>
        </w:tc>
        <w:tc>
          <w:tcPr>
            <w:tcW w:w="2909" w:type="dxa"/>
            <w:tcBorders>
              <w:top w:val="single" w:color="auto" w:sz="4" w:space="0"/>
              <w:left w:val="nil"/>
              <w:bottom w:val="single" w:color="auto" w:sz="4" w:space="0"/>
              <w:right w:val="single" w:color="auto" w:sz="4" w:space="0"/>
            </w:tcBorders>
            <w:shd w:val="clear" w:color="auto" w:fill="auto"/>
            <w:vAlign w:val="top"/>
          </w:tcPr>
          <w:p w14:paraId="5B6662E2">
            <w:pPr>
              <w:keepNext w:val="0"/>
              <w:keepLines w:val="0"/>
              <w:widowControl w:val="0"/>
              <w:suppressLineNumbers w:val="0"/>
              <w:topLinePunct/>
              <w:adjustRightInd w:val="0"/>
              <w:snapToGrid w:val="0"/>
              <w:spacing w:before="0" w:beforeAutospacing="0" w:after="0" w:afterAutospacing="0" w:line="360" w:lineRule="auto"/>
              <w:ind w:left="0" w:right="0" w:firstLine="0" w:firstLineChars="0"/>
              <w:jc w:val="left"/>
              <w:rPr>
                <w:rFonts w:hint="eastAsia" w:ascii="宋体" w:hAnsi="宋体" w:eastAsia="宋体" w:cs="宋体"/>
                <w:color w:val="auto"/>
                <w:kern w:val="2"/>
                <w:sz w:val="21"/>
                <w:szCs w:val="21"/>
                <w:highlight w:val="none"/>
                <w:lang w:bidi="ar"/>
              </w:rPr>
            </w:pPr>
            <w:r>
              <w:rPr>
                <w:rFonts w:hint="eastAsia" w:ascii="宋体" w:hAnsi="宋体" w:eastAsia="宋体" w:cs="宋体"/>
                <w:bCs w:val="0"/>
                <w:snapToGrid/>
                <w:color w:val="auto"/>
                <w:spacing w:val="0"/>
                <w:kern w:val="2"/>
                <w:sz w:val="21"/>
                <w:szCs w:val="21"/>
                <w:highlight w:val="none"/>
                <w:lang w:val="en-US" w:eastAsia="zh-CN" w:bidi="ar"/>
              </w:rPr>
              <w:t>具备中级或以上技术职称。所学专业或职称为建筑工程类相关专业</w:t>
            </w:r>
          </w:p>
        </w:tc>
        <w:tc>
          <w:tcPr>
            <w:tcW w:w="1335" w:type="dxa"/>
            <w:tcBorders>
              <w:top w:val="single" w:color="auto" w:sz="4" w:space="0"/>
              <w:left w:val="nil"/>
              <w:bottom w:val="single" w:color="auto" w:sz="4" w:space="0"/>
              <w:right w:val="single" w:color="auto" w:sz="4" w:space="0"/>
            </w:tcBorders>
            <w:shd w:val="clear" w:color="auto" w:fill="auto"/>
            <w:vAlign w:val="center"/>
          </w:tcPr>
          <w:p w14:paraId="516C7593">
            <w:pPr>
              <w:keepNext w:val="0"/>
              <w:keepLines w:val="0"/>
              <w:widowControl w:val="0"/>
              <w:suppressLineNumbers w:val="0"/>
              <w:topLinePunct/>
              <w:adjustRightInd w:val="0"/>
              <w:snapToGrid w:val="0"/>
              <w:spacing w:before="0" w:beforeAutospacing="0" w:after="0" w:afterAutospacing="0" w:line="360" w:lineRule="auto"/>
              <w:ind w:left="0" w:leftChars="0" w:right="0" w:rightChars="0" w:firstLine="0" w:firstLineChars="0"/>
              <w:jc w:val="left"/>
              <w:rPr>
                <w:rFonts w:hint="eastAsia" w:ascii="宋体" w:hAnsi="宋体" w:eastAsia="宋体" w:cs="宋体"/>
                <w:color w:val="auto"/>
                <w:kern w:val="2"/>
                <w:sz w:val="21"/>
                <w:szCs w:val="21"/>
                <w:highlight w:val="none"/>
                <w:u w:val="none"/>
                <w:lang w:bidi="ar"/>
              </w:rPr>
            </w:pPr>
            <w:r>
              <w:rPr>
                <w:rFonts w:hint="eastAsia" w:ascii="宋体" w:hAnsi="宋体" w:eastAsia="宋体" w:cs="宋体"/>
                <w:bCs w:val="0"/>
                <w:snapToGrid/>
                <w:color w:val="auto"/>
                <w:spacing w:val="0"/>
                <w:kern w:val="2"/>
                <w:sz w:val="21"/>
                <w:szCs w:val="21"/>
                <w:highlight w:val="none"/>
                <w:u w:val="none"/>
                <w:lang w:val="en-US" w:eastAsia="zh-CN" w:bidi="ar"/>
              </w:rPr>
              <w:t>须提供毕业证、职称证书扫描件</w:t>
            </w:r>
          </w:p>
        </w:tc>
      </w:tr>
      <w:tr w14:paraId="35031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0FE04155">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6</w:t>
            </w:r>
          </w:p>
        </w:tc>
        <w:tc>
          <w:tcPr>
            <w:tcW w:w="420" w:type="dxa"/>
            <w:tcBorders>
              <w:top w:val="single" w:color="auto" w:sz="4" w:space="0"/>
              <w:left w:val="nil"/>
              <w:bottom w:val="single" w:color="auto" w:sz="4" w:space="0"/>
              <w:right w:val="single" w:color="auto" w:sz="4" w:space="0"/>
            </w:tcBorders>
            <w:shd w:val="clear" w:color="auto" w:fill="auto"/>
            <w:vAlign w:val="center"/>
          </w:tcPr>
          <w:p w14:paraId="4CE8E4F0">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21"/>
                <w:szCs w:val="21"/>
                <w:highlight w:val="none"/>
              </w:rPr>
            </w:pPr>
          </w:p>
        </w:tc>
        <w:tc>
          <w:tcPr>
            <w:tcW w:w="458" w:type="dxa"/>
            <w:tcBorders>
              <w:top w:val="single" w:color="auto" w:sz="4" w:space="0"/>
              <w:left w:val="nil"/>
              <w:bottom w:val="single" w:color="auto" w:sz="4" w:space="0"/>
              <w:right w:val="single" w:color="auto" w:sz="4" w:space="0"/>
            </w:tcBorders>
            <w:shd w:val="clear" w:color="auto" w:fill="auto"/>
            <w:vAlign w:val="top"/>
          </w:tcPr>
          <w:p w14:paraId="07AA6788">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356" w:type="dxa"/>
            <w:tcBorders>
              <w:top w:val="single" w:color="auto" w:sz="4" w:space="0"/>
              <w:left w:val="nil"/>
              <w:bottom w:val="single" w:color="auto" w:sz="4" w:space="0"/>
              <w:right w:val="single" w:color="auto" w:sz="4" w:space="0"/>
            </w:tcBorders>
            <w:shd w:val="clear" w:color="auto" w:fill="auto"/>
            <w:vAlign w:val="top"/>
          </w:tcPr>
          <w:p w14:paraId="0DB73921">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644" w:type="dxa"/>
            <w:tcBorders>
              <w:top w:val="single" w:color="auto" w:sz="4" w:space="0"/>
              <w:left w:val="nil"/>
              <w:bottom w:val="single" w:color="auto" w:sz="4" w:space="0"/>
              <w:right w:val="single" w:color="auto" w:sz="4" w:space="0"/>
            </w:tcBorders>
            <w:shd w:val="clear" w:color="auto" w:fill="auto"/>
            <w:vAlign w:val="top"/>
          </w:tcPr>
          <w:p w14:paraId="5BC4AA0A">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25" w:type="dxa"/>
            <w:tcBorders>
              <w:top w:val="single" w:color="auto" w:sz="4" w:space="0"/>
              <w:left w:val="nil"/>
              <w:bottom w:val="single" w:color="auto" w:sz="4" w:space="0"/>
              <w:right w:val="single" w:color="auto" w:sz="4" w:space="0"/>
            </w:tcBorders>
            <w:shd w:val="clear" w:color="auto" w:fill="auto"/>
            <w:vAlign w:val="center"/>
          </w:tcPr>
          <w:p w14:paraId="7235DB76">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46" w:type="dxa"/>
            <w:tcBorders>
              <w:top w:val="single" w:color="auto" w:sz="4" w:space="0"/>
              <w:left w:val="nil"/>
              <w:bottom w:val="single" w:color="auto" w:sz="4" w:space="0"/>
              <w:right w:val="single" w:color="auto" w:sz="4" w:space="0"/>
            </w:tcBorders>
            <w:shd w:val="clear" w:color="auto" w:fill="auto"/>
            <w:vAlign w:val="top"/>
          </w:tcPr>
          <w:p w14:paraId="229251CA">
            <w:pPr>
              <w:keepNext w:val="0"/>
              <w:keepLines w:val="0"/>
              <w:widowControl w:val="0"/>
              <w:suppressLineNumbers w:val="0"/>
              <w:spacing w:before="0" w:beforeAutospacing="0" w:after="0" w:afterAutospacing="0" w:line="240" w:lineRule="exact"/>
              <w:ind w:left="0" w:right="0"/>
              <w:jc w:val="both"/>
              <w:rPr>
                <w:rFonts w:hint="default" w:ascii="宋体" w:hAnsi="宋体" w:eastAsia="宋体" w:cs="宋体"/>
                <w:color w:val="auto"/>
                <w:kern w:val="2"/>
                <w:sz w:val="21"/>
                <w:szCs w:val="21"/>
                <w:highlight w:val="none"/>
              </w:rPr>
            </w:pPr>
          </w:p>
        </w:tc>
        <w:tc>
          <w:tcPr>
            <w:tcW w:w="1353" w:type="dxa"/>
            <w:tcBorders>
              <w:top w:val="single" w:color="auto" w:sz="4" w:space="0"/>
              <w:left w:val="nil"/>
              <w:bottom w:val="single" w:color="auto" w:sz="4" w:space="0"/>
              <w:right w:val="single" w:color="auto" w:sz="4" w:space="0"/>
            </w:tcBorders>
            <w:shd w:val="clear" w:color="auto" w:fill="auto"/>
            <w:vAlign w:val="center"/>
          </w:tcPr>
          <w:p w14:paraId="0BA62A94">
            <w:pPr>
              <w:keepNext w:val="0"/>
              <w:keepLines w:val="0"/>
              <w:widowControl w:val="0"/>
              <w:suppressLineNumbers w:val="0"/>
              <w:topLinePunct/>
              <w:adjustRightInd w:val="0"/>
              <w:snapToGrid w:val="0"/>
              <w:spacing w:before="0" w:beforeAutospacing="0" w:after="0" w:afterAutospacing="0" w:line="360" w:lineRule="auto"/>
              <w:ind w:left="0" w:leftChars="0" w:right="0" w:rightChars="0" w:firstLine="0" w:firstLineChars="0"/>
              <w:jc w:val="left"/>
              <w:rPr>
                <w:rFonts w:hint="eastAsia" w:ascii="宋体" w:hAnsi="宋体" w:eastAsia="宋体" w:cs="宋体"/>
                <w:color w:val="auto"/>
                <w:kern w:val="2"/>
                <w:sz w:val="21"/>
                <w:szCs w:val="21"/>
                <w:highlight w:val="none"/>
                <w:lang w:bidi="ar"/>
              </w:rPr>
            </w:pPr>
            <w:r>
              <w:rPr>
                <w:rFonts w:hint="eastAsia" w:ascii="宋体" w:hAnsi="宋体" w:eastAsia="宋体" w:cs="宋体"/>
                <w:bCs w:val="0"/>
                <w:snapToGrid/>
                <w:color w:val="auto"/>
                <w:spacing w:val="0"/>
                <w:kern w:val="2"/>
                <w:sz w:val="21"/>
                <w:szCs w:val="21"/>
                <w:highlight w:val="none"/>
                <w:lang w:val="en-US" w:eastAsia="zh-CN" w:bidi="ar"/>
              </w:rPr>
              <w:t>机电工程师</w:t>
            </w:r>
          </w:p>
        </w:tc>
        <w:tc>
          <w:tcPr>
            <w:tcW w:w="743" w:type="dxa"/>
            <w:tcBorders>
              <w:top w:val="single" w:color="auto" w:sz="4" w:space="0"/>
              <w:left w:val="nil"/>
              <w:bottom w:val="single" w:color="auto" w:sz="4" w:space="0"/>
              <w:right w:val="single" w:color="auto" w:sz="4" w:space="0"/>
            </w:tcBorders>
            <w:shd w:val="clear" w:color="auto" w:fill="auto"/>
            <w:vAlign w:val="center"/>
          </w:tcPr>
          <w:p w14:paraId="087E8D26">
            <w:pPr>
              <w:keepNext w:val="0"/>
              <w:keepLines w:val="0"/>
              <w:widowControl w:val="0"/>
              <w:suppressLineNumbers w:val="0"/>
              <w:topLinePunct/>
              <w:adjustRightInd w:val="0"/>
              <w:snapToGrid w:val="0"/>
              <w:spacing w:before="0" w:beforeAutospacing="0" w:after="0" w:afterAutospacing="0" w:line="360" w:lineRule="auto"/>
              <w:ind w:left="0" w:leftChars="0" w:right="0" w:rightChars="0"/>
              <w:jc w:val="center"/>
              <w:rPr>
                <w:rFonts w:hint="eastAsia" w:ascii="宋体" w:hAnsi="宋体" w:eastAsia="宋体" w:cs="宋体"/>
                <w:color w:val="auto"/>
                <w:kern w:val="2"/>
                <w:sz w:val="21"/>
                <w:szCs w:val="21"/>
                <w:highlight w:val="none"/>
                <w:u w:val="none"/>
                <w:lang w:val="en-US" w:bidi="ar"/>
              </w:rPr>
            </w:pPr>
            <w:r>
              <w:rPr>
                <w:rFonts w:hint="eastAsia" w:ascii="宋体" w:hAnsi="宋体" w:eastAsia="宋体" w:cs="宋体"/>
                <w:color w:val="auto"/>
                <w:kern w:val="2"/>
                <w:sz w:val="21"/>
                <w:szCs w:val="21"/>
                <w:highlight w:val="none"/>
                <w:u w:val="none"/>
                <w:lang w:val="en-US" w:bidi="ar"/>
              </w:rPr>
              <w:t>2</w:t>
            </w:r>
          </w:p>
        </w:tc>
        <w:tc>
          <w:tcPr>
            <w:tcW w:w="2909" w:type="dxa"/>
            <w:tcBorders>
              <w:top w:val="single" w:color="auto" w:sz="4" w:space="0"/>
              <w:left w:val="nil"/>
              <w:bottom w:val="single" w:color="auto" w:sz="4" w:space="0"/>
              <w:right w:val="single" w:color="auto" w:sz="4" w:space="0"/>
            </w:tcBorders>
            <w:shd w:val="clear" w:color="auto" w:fill="auto"/>
            <w:vAlign w:val="top"/>
          </w:tcPr>
          <w:p w14:paraId="7095AE8A">
            <w:pPr>
              <w:keepNext w:val="0"/>
              <w:keepLines w:val="0"/>
              <w:widowControl w:val="0"/>
              <w:suppressLineNumbers w:val="0"/>
              <w:topLinePunct/>
              <w:adjustRightInd w:val="0"/>
              <w:snapToGrid w:val="0"/>
              <w:spacing w:before="0" w:beforeAutospacing="0" w:after="0" w:afterAutospacing="0" w:line="360" w:lineRule="auto"/>
              <w:ind w:left="0" w:right="0" w:firstLine="0" w:firstLineChars="0"/>
              <w:jc w:val="left"/>
              <w:rPr>
                <w:rFonts w:hint="eastAsia" w:ascii="宋体" w:hAnsi="宋体" w:eastAsia="宋体" w:cs="宋体"/>
                <w:color w:val="auto"/>
                <w:kern w:val="2"/>
                <w:sz w:val="21"/>
                <w:szCs w:val="21"/>
                <w:highlight w:val="none"/>
                <w:lang w:bidi="ar"/>
              </w:rPr>
            </w:pPr>
            <w:r>
              <w:rPr>
                <w:rFonts w:hint="eastAsia" w:ascii="宋体" w:hAnsi="宋体" w:eastAsia="宋体" w:cs="宋体"/>
                <w:bCs w:val="0"/>
                <w:snapToGrid/>
                <w:color w:val="auto"/>
                <w:spacing w:val="0"/>
                <w:kern w:val="2"/>
                <w:sz w:val="21"/>
                <w:szCs w:val="21"/>
                <w:highlight w:val="none"/>
                <w:lang w:val="en-US" w:eastAsia="zh-CN" w:bidi="ar"/>
              </w:rPr>
              <w:t>具备中级或以上技术职称。所学专业或职称为机电工程类相关专业</w:t>
            </w:r>
          </w:p>
        </w:tc>
        <w:tc>
          <w:tcPr>
            <w:tcW w:w="1335" w:type="dxa"/>
            <w:tcBorders>
              <w:top w:val="single" w:color="auto" w:sz="4" w:space="0"/>
              <w:left w:val="nil"/>
              <w:bottom w:val="single" w:color="auto" w:sz="4" w:space="0"/>
              <w:right w:val="single" w:color="auto" w:sz="4" w:space="0"/>
            </w:tcBorders>
            <w:shd w:val="clear" w:color="auto" w:fill="auto"/>
            <w:vAlign w:val="top"/>
          </w:tcPr>
          <w:p w14:paraId="0B6ADE56">
            <w:pPr>
              <w:keepNext w:val="0"/>
              <w:keepLines w:val="0"/>
              <w:widowControl w:val="0"/>
              <w:suppressLineNumbers w:val="0"/>
              <w:topLinePunct/>
              <w:adjustRightInd w:val="0"/>
              <w:snapToGrid w:val="0"/>
              <w:spacing w:before="0" w:beforeAutospacing="0" w:after="0" w:afterAutospacing="0" w:line="360" w:lineRule="auto"/>
              <w:ind w:left="0" w:right="0"/>
              <w:jc w:val="left"/>
              <w:rPr>
                <w:rFonts w:hint="eastAsia" w:ascii="宋体" w:hAnsi="宋体" w:eastAsia="宋体" w:cs="宋体"/>
                <w:color w:val="auto"/>
                <w:kern w:val="2"/>
                <w:sz w:val="21"/>
                <w:szCs w:val="21"/>
                <w:highlight w:val="none"/>
                <w:u w:val="none"/>
                <w:lang w:bidi="ar"/>
              </w:rPr>
            </w:pPr>
            <w:r>
              <w:rPr>
                <w:rFonts w:hint="eastAsia" w:ascii="宋体" w:hAnsi="宋体" w:eastAsia="宋体" w:cs="宋体"/>
                <w:bCs w:val="0"/>
                <w:snapToGrid/>
                <w:color w:val="auto"/>
                <w:spacing w:val="0"/>
                <w:kern w:val="2"/>
                <w:sz w:val="21"/>
                <w:szCs w:val="21"/>
                <w:highlight w:val="none"/>
                <w:u w:val="none"/>
                <w:lang w:val="en-US" w:eastAsia="zh-CN" w:bidi="ar"/>
              </w:rPr>
              <w:t>须提供毕业证、职称证书扫描件</w:t>
            </w:r>
          </w:p>
        </w:tc>
      </w:tr>
      <w:tr w14:paraId="4CC22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54FE271F">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7</w:t>
            </w:r>
          </w:p>
        </w:tc>
        <w:tc>
          <w:tcPr>
            <w:tcW w:w="420" w:type="dxa"/>
            <w:tcBorders>
              <w:top w:val="single" w:color="auto" w:sz="4" w:space="0"/>
              <w:left w:val="nil"/>
              <w:bottom w:val="single" w:color="auto" w:sz="4" w:space="0"/>
              <w:right w:val="single" w:color="auto" w:sz="4" w:space="0"/>
            </w:tcBorders>
            <w:shd w:val="clear" w:color="auto" w:fill="auto"/>
            <w:vAlign w:val="center"/>
          </w:tcPr>
          <w:p w14:paraId="7711BB89">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21"/>
                <w:szCs w:val="21"/>
                <w:highlight w:val="none"/>
              </w:rPr>
            </w:pPr>
          </w:p>
        </w:tc>
        <w:tc>
          <w:tcPr>
            <w:tcW w:w="458" w:type="dxa"/>
            <w:tcBorders>
              <w:top w:val="single" w:color="auto" w:sz="4" w:space="0"/>
              <w:left w:val="nil"/>
              <w:bottom w:val="single" w:color="auto" w:sz="4" w:space="0"/>
              <w:right w:val="single" w:color="auto" w:sz="4" w:space="0"/>
            </w:tcBorders>
            <w:shd w:val="clear" w:color="auto" w:fill="auto"/>
            <w:vAlign w:val="top"/>
          </w:tcPr>
          <w:p w14:paraId="68DEA6AE">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356" w:type="dxa"/>
            <w:tcBorders>
              <w:top w:val="single" w:color="auto" w:sz="4" w:space="0"/>
              <w:left w:val="nil"/>
              <w:bottom w:val="single" w:color="auto" w:sz="4" w:space="0"/>
              <w:right w:val="single" w:color="auto" w:sz="4" w:space="0"/>
            </w:tcBorders>
            <w:shd w:val="clear" w:color="auto" w:fill="auto"/>
            <w:vAlign w:val="top"/>
          </w:tcPr>
          <w:p w14:paraId="4FBA71E7">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644" w:type="dxa"/>
            <w:tcBorders>
              <w:top w:val="single" w:color="auto" w:sz="4" w:space="0"/>
              <w:left w:val="nil"/>
              <w:bottom w:val="single" w:color="auto" w:sz="4" w:space="0"/>
              <w:right w:val="single" w:color="auto" w:sz="4" w:space="0"/>
            </w:tcBorders>
            <w:shd w:val="clear" w:color="auto" w:fill="auto"/>
            <w:vAlign w:val="top"/>
          </w:tcPr>
          <w:p w14:paraId="592AAEB9">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25" w:type="dxa"/>
            <w:tcBorders>
              <w:top w:val="single" w:color="auto" w:sz="4" w:space="0"/>
              <w:left w:val="nil"/>
              <w:bottom w:val="single" w:color="auto" w:sz="4" w:space="0"/>
              <w:right w:val="single" w:color="auto" w:sz="4" w:space="0"/>
            </w:tcBorders>
            <w:shd w:val="clear" w:color="auto" w:fill="auto"/>
            <w:vAlign w:val="center"/>
          </w:tcPr>
          <w:p w14:paraId="38DF7BD6">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46" w:type="dxa"/>
            <w:tcBorders>
              <w:top w:val="single" w:color="auto" w:sz="4" w:space="0"/>
              <w:left w:val="nil"/>
              <w:bottom w:val="single" w:color="auto" w:sz="4" w:space="0"/>
              <w:right w:val="single" w:color="auto" w:sz="4" w:space="0"/>
            </w:tcBorders>
            <w:shd w:val="clear" w:color="auto" w:fill="auto"/>
            <w:vAlign w:val="top"/>
          </w:tcPr>
          <w:p w14:paraId="61603379">
            <w:pPr>
              <w:keepNext w:val="0"/>
              <w:keepLines w:val="0"/>
              <w:widowControl w:val="0"/>
              <w:suppressLineNumbers w:val="0"/>
              <w:spacing w:before="0" w:beforeAutospacing="0" w:after="0" w:afterAutospacing="0" w:line="240" w:lineRule="exact"/>
              <w:ind w:left="0" w:right="0"/>
              <w:jc w:val="both"/>
              <w:rPr>
                <w:rFonts w:hint="default" w:ascii="宋体" w:hAnsi="宋体" w:eastAsia="宋体" w:cs="宋体"/>
                <w:color w:val="auto"/>
                <w:kern w:val="2"/>
                <w:sz w:val="21"/>
                <w:szCs w:val="21"/>
                <w:highlight w:val="none"/>
              </w:rPr>
            </w:pPr>
          </w:p>
        </w:tc>
        <w:tc>
          <w:tcPr>
            <w:tcW w:w="1353" w:type="dxa"/>
            <w:tcBorders>
              <w:top w:val="single" w:color="auto" w:sz="4" w:space="0"/>
              <w:left w:val="nil"/>
              <w:bottom w:val="single" w:color="auto" w:sz="4" w:space="0"/>
              <w:right w:val="single" w:color="auto" w:sz="4" w:space="0"/>
            </w:tcBorders>
            <w:shd w:val="clear" w:color="auto" w:fill="auto"/>
            <w:vAlign w:val="center"/>
          </w:tcPr>
          <w:p w14:paraId="09B5878F">
            <w:pPr>
              <w:keepNext w:val="0"/>
              <w:keepLines w:val="0"/>
              <w:widowControl w:val="0"/>
              <w:suppressLineNumbers w:val="0"/>
              <w:topLinePunct/>
              <w:adjustRightInd w:val="0"/>
              <w:snapToGrid w:val="0"/>
              <w:spacing w:before="0" w:beforeAutospacing="0" w:after="0" w:afterAutospacing="0" w:line="360" w:lineRule="auto"/>
              <w:ind w:left="0" w:leftChars="0" w:right="0" w:rightChars="0" w:firstLine="0" w:firstLineChars="0"/>
              <w:jc w:val="left"/>
              <w:rPr>
                <w:rFonts w:hint="eastAsia" w:ascii="宋体" w:hAnsi="宋体" w:eastAsia="宋体" w:cs="宋体"/>
                <w:color w:val="auto"/>
                <w:kern w:val="2"/>
                <w:sz w:val="21"/>
                <w:szCs w:val="21"/>
                <w:highlight w:val="none"/>
                <w:lang w:bidi="ar"/>
              </w:rPr>
            </w:pPr>
            <w:r>
              <w:rPr>
                <w:rFonts w:hint="eastAsia" w:ascii="宋体" w:hAnsi="宋体" w:eastAsia="宋体" w:cs="宋体"/>
                <w:bCs w:val="0"/>
                <w:snapToGrid/>
                <w:color w:val="auto"/>
                <w:spacing w:val="0"/>
                <w:kern w:val="2"/>
                <w:sz w:val="21"/>
                <w:szCs w:val="21"/>
                <w:highlight w:val="none"/>
                <w:lang w:val="en-US" w:eastAsia="zh-CN" w:bidi="ar"/>
              </w:rPr>
              <w:t>造价工程师</w:t>
            </w:r>
          </w:p>
        </w:tc>
        <w:tc>
          <w:tcPr>
            <w:tcW w:w="743" w:type="dxa"/>
            <w:tcBorders>
              <w:top w:val="single" w:color="auto" w:sz="4" w:space="0"/>
              <w:left w:val="nil"/>
              <w:bottom w:val="single" w:color="auto" w:sz="4" w:space="0"/>
              <w:right w:val="single" w:color="auto" w:sz="4" w:space="0"/>
            </w:tcBorders>
            <w:shd w:val="clear" w:color="auto" w:fill="auto"/>
            <w:vAlign w:val="center"/>
          </w:tcPr>
          <w:p w14:paraId="193D112D">
            <w:pPr>
              <w:keepNext w:val="0"/>
              <w:keepLines w:val="0"/>
              <w:widowControl w:val="0"/>
              <w:suppressLineNumbers w:val="0"/>
              <w:topLinePunct/>
              <w:adjustRightInd w:val="0"/>
              <w:snapToGrid w:val="0"/>
              <w:spacing w:before="0" w:beforeAutospacing="0" w:after="0" w:afterAutospacing="0" w:line="360" w:lineRule="auto"/>
              <w:ind w:left="0" w:leftChars="0" w:right="0" w:rightChars="0"/>
              <w:jc w:val="left"/>
              <w:rPr>
                <w:rFonts w:hint="eastAsia" w:ascii="宋体" w:hAnsi="宋体" w:eastAsia="宋体" w:cs="宋体"/>
                <w:color w:val="auto"/>
                <w:kern w:val="2"/>
                <w:sz w:val="21"/>
                <w:szCs w:val="21"/>
                <w:highlight w:val="none"/>
                <w:u w:val="none"/>
                <w:lang w:val="en-US" w:bidi="ar"/>
              </w:rPr>
            </w:pPr>
            <w:r>
              <w:rPr>
                <w:rFonts w:hint="eastAsia" w:ascii="宋体" w:hAnsi="宋体" w:eastAsia="宋体" w:cs="宋体"/>
                <w:color w:val="auto"/>
                <w:kern w:val="2"/>
                <w:sz w:val="21"/>
                <w:szCs w:val="21"/>
                <w:highlight w:val="none"/>
                <w:u w:val="none"/>
                <w:lang w:val="en-US" w:bidi="ar"/>
              </w:rPr>
              <w:t>2</w:t>
            </w:r>
          </w:p>
        </w:tc>
        <w:tc>
          <w:tcPr>
            <w:tcW w:w="2909" w:type="dxa"/>
            <w:tcBorders>
              <w:top w:val="single" w:color="auto" w:sz="4" w:space="0"/>
              <w:left w:val="nil"/>
              <w:bottom w:val="single" w:color="auto" w:sz="4" w:space="0"/>
              <w:right w:val="single" w:color="auto" w:sz="4" w:space="0"/>
            </w:tcBorders>
            <w:shd w:val="clear" w:color="auto" w:fill="auto"/>
            <w:vAlign w:val="top"/>
          </w:tcPr>
          <w:p w14:paraId="620E27FF">
            <w:pPr>
              <w:keepNext w:val="0"/>
              <w:keepLines w:val="0"/>
              <w:widowControl w:val="0"/>
              <w:suppressLineNumbers w:val="0"/>
              <w:topLinePunct/>
              <w:adjustRightInd w:val="0"/>
              <w:snapToGrid w:val="0"/>
              <w:spacing w:before="0" w:beforeAutospacing="0" w:after="0" w:afterAutospacing="0" w:line="360" w:lineRule="auto"/>
              <w:ind w:left="0" w:right="0" w:firstLine="0" w:firstLineChars="0"/>
              <w:jc w:val="left"/>
              <w:rPr>
                <w:rFonts w:hint="eastAsia" w:ascii="宋体" w:hAnsi="宋体" w:eastAsia="宋体" w:cs="宋体"/>
                <w:color w:val="auto"/>
                <w:kern w:val="2"/>
                <w:sz w:val="21"/>
                <w:szCs w:val="21"/>
                <w:highlight w:val="none"/>
                <w:lang w:bidi="ar"/>
              </w:rPr>
            </w:pPr>
            <w:r>
              <w:rPr>
                <w:rFonts w:hint="eastAsia" w:ascii="宋体" w:hAnsi="宋体" w:eastAsia="宋体" w:cs="宋体"/>
                <w:bCs w:val="0"/>
                <w:snapToGrid/>
                <w:color w:val="auto"/>
                <w:spacing w:val="0"/>
                <w:kern w:val="2"/>
                <w:sz w:val="21"/>
                <w:szCs w:val="21"/>
                <w:highlight w:val="none"/>
                <w:lang w:val="en-US" w:eastAsia="zh-CN" w:bidi="ar"/>
              </w:rPr>
              <w:t>具有工程造价类相关专业中级或以上职称，或二级或以上注册造价工程师。</w:t>
            </w:r>
          </w:p>
        </w:tc>
        <w:tc>
          <w:tcPr>
            <w:tcW w:w="1335" w:type="dxa"/>
            <w:tcBorders>
              <w:top w:val="single" w:color="auto" w:sz="4" w:space="0"/>
              <w:left w:val="nil"/>
              <w:bottom w:val="single" w:color="auto" w:sz="4" w:space="0"/>
              <w:right w:val="single" w:color="auto" w:sz="4" w:space="0"/>
            </w:tcBorders>
            <w:shd w:val="clear" w:color="auto" w:fill="auto"/>
            <w:vAlign w:val="top"/>
          </w:tcPr>
          <w:p w14:paraId="1F07DDE0">
            <w:pPr>
              <w:keepNext w:val="0"/>
              <w:keepLines w:val="0"/>
              <w:widowControl w:val="0"/>
              <w:suppressLineNumbers w:val="0"/>
              <w:topLinePunct/>
              <w:adjustRightInd w:val="0"/>
              <w:snapToGrid w:val="0"/>
              <w:spacing w:before="0" w:beforeAutospacing="0" w:after="0" w:afterAutospacing="0" w:line="360" w:lineRule="auto"/>
              <w:ind w:left="0" w:right="0" w:firstLine="0" w:firstLineChars="0"/>
              <w:jc w:val="left"/>
              <w:rPr>
                <w:rFonts w:hint="eastAsia" w:ascii="宋体" w:hAnsi="宋体" w:eastAsia="宋体" w:cs="宋体"/>
                <w:color w:val="auto"/>
                <w:kern w:val="2"/>
                <w:sz w:val="21"/>
                <w:szCs w:val="21"/>
                <w:highlight w:val="none"/>
                <w:u w:val="none"/>
                <w:lang w:bidi="ar"/>
              </w:rPr>
            </w:pPr>
            <w:r>
              <w:rPr>
                <w:rFonts w:hint="eastAsia" w:ascii="宋体" w:hAnsi="宋体" w:eastAsia="宋体" w:cs="宋体"/>
                <w:bCs w:val="0"/>
                <w:snapToGrid/>
                <w:color w:val="auto"/>
                <w:spacing w:val="0"/>
                <w:kern w:val="2"/>
                <w:sz w:val="21"/>
                <w:szCs w:val="21"/>
                <w:highlight w:val="none"/>
                <w:lang w:val="en-US" w:eastAsia="zh-CN" w:bidi="ar"/>
              </w:rPr>
              <w:t>提供职称证书或，二级或以上注册造价工程师证扫描件</w:t>
            </w:r>
          </w:p>
        </w:tc>
      </w:tr>
      <w:tr w14:paraId="7E8A9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43D710A5">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8</w:t>
            </w:r>
          </w:p>
        </w:tc>
        <w:tc>
          <w:tcPr>
            <w:tcW w:w="420" w:type="dxa"/>
            <w:tcBorders>
              <w:top w:val="single" w:color="auto" w:sz="4" w:space="0"/>
              <w:left w:val="nil"/>
              <w:bottom w:val="single" w:color="auto" w:sz="4" w:space="0"/>
              <w:right w:val="single" w:color="auto" w:sz="4" w:space="0"/>
            </w:tcBorders>
            <w:shd w:val="clear" w:color="auto" w:fill="auto"/>
            <w:vAlign w:val="center"/>
          </w:tcPr>
          <w:p w14:paraId="16F0676B">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21"/>
                <w:szCs w:val="21"/>
                <w:highlight w:val="none"/>
              </w:rPr>
            </w:pPr>
          </w:p>
        </w:tc>
        <w:tc>
          <w:tcPr>
            <w:tcW w:w="458" w:type="dxa"/>
            <w:tcBorders>
              <w:top w:val="single" w:color="auto" w:sz="4" w:space="0"/>
              <w:left w:val="nil"/>
              <w:bottom w:val="single" w:color="auto" w:sz="4" w:space="0"/>
              <w:right w:val="single" w:color="auto" w:sz="4" w:space="0"/>
            </w:tcBorders>
            <w:shd w:val="clear" w:color="auto" w:fill="auto"/>
            <w:vAlign w:val="top"/>
          </w:tcPr>
          <w:p w14:paraId="71F16630">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356" w:type="dxa"/>
            <w:tcBorders>
              <w:top w:val="single" w:color="auto" w:sz="4" w:space="0"/>
              <w:left w:val="nil"/>
              <w:bottom w:val="single" w:color="auto" w:sz="4" w:space="0"/>
              <w:right w:val="single" w:color="auto" w:sz="4" w:space="0"/>
            </w:tcBorders>
            <w:shd w:val="clear" w:color="auto" w:fill="auto"/>
            <w:vAlign w:val="top"/>
          </w:tcPr>
          <w:p w14:paraId="4CA16D73">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644" w:type="dxa"/>
            <w:tcBorders>
              <w:top w:val="single" w:color="auto" w:sz="4" w:space="0"/>
              <w:left w:val="nil"/>
              <w:bottom w:val="single" w:color="auto" w:sz="4" w:space="0"/>
              <w:right w:val="single" w:color="auto" w:sz="4" w:space="0"/>
            </w:tcBorders>
            <w:shd w:val="clear" w:color="auto" w:fill="auto"/>
            <w:vAlign w:val="top"/>
          </w:tcPr>
          <w:p w14:paraId="2E16CA08">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25" w:type="dxa"/>
            <w:tcBorders>
              <w:top w:val="single" w:color="auto" w:sz="4" w:space="0"/>
              <w:left w:val="nil"/>
              <w:bottom w:val="single" w:color="auto" w:sz="4" w:space="0"/>
              <w:right w:val="single" w:color="auto" w:sz="4" w:space="0"/>
            </w:tcBorders>
            <w:shd w:val="clear" w:color="auto" w:fill="auto"/>
            <w:vAlign w:val="center"/>
          </w:tcPr>
          <w:p w14:paraId="390AAD23">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46" w:type="dxa"/>
            <w:tcBorders>
              <w:top w:val="single" w:color="auto" w:sz="4" w:space="0"/>
              <w:left w:val="nil"/>
              <w:bottom w:val="single" w:color="auto" w:sz="4" w:space="0"/>
              <w:right w:val="single" w:color="auto" w:sz="4" w:space="0"/>
            </w:tcBorders>
            <w:shd w:val="clear" w:color="auto" w:fill="auto"/>
            <w:vAlign w:val="top"/>
          </w:tcPr>
          <w:p w14:paraId="361A34C8">
            <w:pPr>
              <w:keepNext w:val="0"/>
              <w:keepLines w:val="0"/>
              <w:widowControl w:val="0"/>
              <w:suppressLineNumbers w:val="0"/>
              <w:topLinePunct/>
              <w:adjustRightInd w:val="0"/>
              <w:snapToGrid w:val="0"/>
              <w:spacing w:before="0" w:beforeAutospacing="0" w:after="0" w:afterAutospacing="0" w:line="360" w:lineRule="auto"/>
              <w:ind w:left="0" w:right="0"/>
              <w:jc w:val="left"/>
              <w:rPr>
                <w:rFonts w:hint="eastAsia" w:ascii="宋体" w:hAnsi="宋体" w:eastAsia="宋体" w:cs="宋体"/>
                <w:color w:val="auto"/>
                <w:kern w:val="2"/>
                <w:sz w:val="21"/>
                <w:szCs w:val="21"/>
                <w:highlight w:val="none"/>
                <w:lang w:bidi="ar"/>
              </w:rPr>
            </w:pPr>
          </w:p>
        </w:tc>
        <w:tc>
          <w:tcPr>
            <w:tcW w:w="1353" w:type="dxa"/>
            <w:tcBorders>
              <w:top w:val="single" w:color="auto" w:sz="4" w:space="0"/>
              <w:left w:val="nil"/>
              <w:bottom w:val="single" w:color="auto" w:sz="4" w:space="0"/>
              <w:right w:val="single" w:color="auto" w:sz="4" w:space="0"/>
            </w:tcBorders>
            <w:shd w:val="clear" w:color="auto" w:fill="auto"/>
            <w:vAlign w:val="center"/>
          </w:tcPr>
          <w:p w14:paraId="36685914">
            <w:pPr>
              <w:keepNext w:val="0"/>
              <w:keepLines w:val="0"/>
              <w:widowControl w:val="0"/>
              <w:suppressLineNumbers w:val="0"/>
              <w:topLinePunct/>
              <w:adjustRightInd w:val="0"/>
              <w:snapToGrid w:val="0"/>
              <w:spacing w:before="0" w:beforeAutospacing="0" w:after="0" w:afterAutospacing="0" w:line="360" w:lineRule="auto"/>
              <w:ind w:left="0" w:leftChars="0" w:right="0" w:rightChars="0" w:firstLine="0" w:firstLineChars="0"/>
              <w:jc w:val="left"/>
              <w:rPr>
                <w:rFonts w:hint="eastAsia" w:ascii="宋体" w:hAnsi="宋体" w:eastAsia="宋体" w:cs="宋体"/>
                <w:color w:val="auto"/>
                <w:kern w:val="2"/>
                <w:sz w:val="21"/>
                <w:szCs w:val="21"/>
                <w:highlight w:val="none"/>
                <w:lang w:bidi="ar"/>
              </w:rPr>
            </w:pPr>
            <w:r>
              <w:rPr>
                <w:rFonts w:hint="eastAsia" w:ascii="宋体" w:hAnsi="宋体" w:eastAsia="宋体" w:cs="宋体"/>
                <w:bCs w:val="0"/>
                <w:snapToGrid/>
                <w:color w:val="auto"/>
                <w:spacing w:val="0"/>
                <w:kern w:val="2"/>
                <w:sz w:val="21"/>
                <w:szCs w:val="21"/>
                <w:highlight w:val="none"/>
                <w:lang w:val="en-US" w:eastAsia="zh-CN" w:bidi="ar"/>
              </w:rPr>
              <w:t>安全员</w:t>
            </w:r>
          </w:p>
        </w:tc>
        <w:tc>
          <w:tcPr>
            <w:tcW w:w="743" w:type="dxa"/>
            <w:tcBorders>
              <w:top w:val="single" w:color="auto" w:sz="4" w:space="0"/>
              <w:left w:val="nil"/>
              <w:bottom w:val="single" w:color="auto" w:sz="4" w:space="0"/>
              <w:right w:val="single" w:color="auto" w:sz="4" w:space="0"/>
            </w:tcBorders>
            <w:shd w:val="clear" w:color="auto" w:fill="auto"/>
            <w:vAlign w:val="center"/>
          </w:tcPr>
          <w:p w14:paraId="24097A85">
            <w:pPr>
              <w:keepNext w:val="0"/>
              <w:keepLines w:val="0"/>
              <w:widowControl w:val="0"/>
              <w:suppressLineNumbers w:val="0"/>
              <w:topLinePunct/>
              <w:adjustRightInd w:val="0"/>
              <w:snapToGrid w:val="0"/>
              <w:spacing w:before="0" w:beforeAutospacing="0" w:after="0" w:afterAutospacing="0" w:line="360" w:lineRule="auto"/>
              <w:ind w:left="0" w:leftChars="0" w:right="0" w:rightChars="0"/>
              <w:jc w:val="left"/>
              <w:rPr>
                <w:rFonts w:hint="default" w:ascii="宋体" w:hAnsi="宋体" w:eastAsia="宋体" w:cs="宋体"/>
                <w:color w:val="auto"/>
                <w:kern w:val="2"/>
                <w:sz w:val="21"/>
                <w:szCs w:val="21"/>
                <w:highlight w:val="none"/>
                <w:u w:val="none"/>
                <w:lang w:bidi="ar"/>
              </w:rPr>
            </w:pPr>
            <w:r>
              <w:rPr>
                <w:rFonts w:hint="default" w:ascii="宋体" w:hAnsi="宋体" w:eastAsia="宋体" w:cs="宋体"/>
                <w:color w:val="auto"/>
                <w:kern w:val="2"/>
                <w:sz w:val="21"/>
                <w:szCs w:val="21"/>
                <w:highlight w:val="none"/>
                <w:u w:val="none"/>
                <w:lang w:bidi="ar"/>
              </w:rPr>
              <w:t>1</w:t>
            </w:r>
          </w:p>
        </w:tc>
        <w:tc>
          <w:tcPr>
            <w:tcW w:w="2909" w:type="dxa"/>
            <w:tcBorders>
              <w:top w:val="single" w:color="auto" w:sz="4" w:space="0"/>
              <w:left w:val="nil"/>
              <w:bottom w:val="single" w:color="auto" w:sz="4" w:space="0"/>
              <w:right w:val="single" w:color="auto" w:sz="4" w:space="0"/>
            </w:tcBorders>
            <w:shd w:val="clear" w:color="auto" w:fill="auto"/>
            <w:vAlign w:val="center"/>
          </w:tcPr>
          <w:p w14:paraId="4C62FFCB">
            <w:pPr>
              <w:keepNext w:val="0"/>
              <w:keepLines w:val="0"/>
              <w:widowControl w:val="0"/>
              <w:suppressLineNumbers w:val="0"/>
              <w:topLinePunct/>
              <w:adjustRightInd w:val="0"/>
              <w:snapToGrid w:val="0"/>
              <w:spacing w:before="0" w:beforeAutospacing="0" w:after="0" w:afterAutospacing="0" w:line="360" w:lineRule="auto"/>
              <w:ind w:left="0" w:right="0" w:firstLine="0" w:firstLineChars="0"/>
              <w:jc w:val="left"/>
              <w:rPr>
                <w:rFonts w:hint="eastAsia" w:ascii="宋体" w:hAnsi="宋体" w:eastAsia="宋体" w:cs="宋体"/>
                <w:color w:val="auto"/>
                <w:kern w:val="2"/>
                <w:sz w:val="21"/>
                <w:szCs w:val="21"/>
                <w:highlight w:val="none"/>
                <w:lang w:bidi="ar"/>
              </w:rPr>
            </w:pPr>
            <w:r>
              <w:rPr>
                <w:rFonts w:hint="eastAsia" w:ascii="宋体" w:hAnsi="宋体" w:eastAsia="宋体" w:cs="宋体"/>
                <w:bCs w:val="0"/>
                <w:snapToGrid/>
                <w:color w:val="auto"/>
                <w:spacing w:val="0"/>
                <w:kern w:val="2"/>
                <w:sz w:val="21"/>
                <w:szCs w:val="21"/>
                <w:highlight w:val="none"/>
                <w:lang w:val="en-US" w:eastAsia="zh-CN" w:bidi="ar"/>
              </w:rPr>
              <w:t>具有安全生产考核合格证（C类）或建筑施工企业专职安全生产管理人员安全生产考核合格证书（C3）。</w:t>
            </w:r>
          </w:p>
        </w:tc>
        <w:tc>
          <w:tcPr>
            <w:tcW w:w="1335" w:type="dxa"/>
            <w:tcBorders>
              <w:top w:val="single" w:color="auto" w:sz="4" w:space="0"/>
              <w:left w:val="nil"/>
              <w:bottom w:val="single" w:color="auto" w:sz="4" w:space="0"/>
              <w:right w:val="single" w:color="auto" w:sz="4" w:space="0"/>
            </w:tcBorders>
            <w:shd w:val="clear" w:color="auto" w:fill="auto"/>
            <w:vAlign w:val="top"/>
          </w:tcPr>
          <w:p w14:paraId="517593BA">
            <w:pPr>
              <w:keepNext w:val="0"/>
              <w:keepLines w:val="0"/>
              <w:widowControl w:val="0"/>
              <w:suppressLineNumbers w:val="0"/>
              <w:topLinePunct/>
              <w:adjustRightInd w:val="0"/>
              <w:snapToGrid w:val="0"/>
              <w:spacing w:before="0" w:beforeAutospacing="0" w:after="0" w:afterAutospacing="0" w:line="360" w:lineRule="auto"/>
              <w:ind w:left="0" w:right="0" w:firstLine="0" w:firstLineChars="0"/>
              <w:jc w:val="left"/>
              <w:rPr>
                <w:rFonts w:hint="eastAsia" w:ascii="宋体" w:hAnsi="宋体" w:eastAsia="宋体" w:cs="宋体"/>
                <w:color w:val="auto"/>
                <w:kern w:val="2"/>
                <w:sz w:val="21"/>
                <w:szCs w:val="21"/>
                <w:highlight w:val="none"/>
                <w:u w:val="none"/>
                <w:lang w:bidi="ar"/>
              </w:rPr>
            </w:pPr>
            <w:r>
              <w:rPr>
                <w:rFonts w:hint="eastAsia" w:ascii="宋体" w:hAnsi="宋体" w:eastAsia="宋体" w:cs="宋体"/>
                <w:bCs w:val="0"/>
                <w:snapToGrid/>
                <w:color w:val="auto"/>
                <w:spacing w:val="0"/>
                <w:kern w:val="2"/>
                <w:sz w:val="21"/>
                <w:szCs w:val="21"/>
                <w:highlight w:val="none"/>
                <w:lang w:val="en-US" w:eastAsia="zh-CN" w:bidi="ar"/>
              </w:rPr>
              <w:t>须提供安全生产考核合格证（C类）或建筑施工企业专职安全生产管理人员安全生产考核合格证书（C3）扫描件</w:t>
            </w:r>
          </w:p>
        </w:tc>
      </w:tr>
      <w:tr w14:paraId="7C99B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5C47E061">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9</w:t>
            </w:r>
          </w:p>
        </w:tc>
        <w:tc>
          <w:tcPr>
            <w:tcW w:w="420" w:type="dxa"/>
            <w:tcBorders>
              <w:top w:val="single" w:color="auto" w:sz="4" w:space="0"/>
              <w:left w:val="nil"/>
              <w:bottom w:val="single" w:color="auto" w:sz="4" w:space="0"/>
              <w:right w:val="single" w:color="auto" w:sz="4" w:space="0"/>
            </w:tcBorders>
            <w:shd w:val="clear" w:color="auto" w:fill="auto"/>
            <w:vAlign w:val="center"/>
          </w:tcPr>
          <w:p w14:paraId="72471B95">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21"/>
                <w:szCs w:val="21"/>
                <w:highlight w:val="none"/>
              </w:rPr>
            </w:pPr>
          </w:p>
        </w:tc>
        <w:tc>
          <w:tcPr>
            <w:tcW w:w="458" w:type="dxa"/>
            <w:tcBorders>
              <w:top w:val="single" w:color="auto" w:sz="4" w:space="0"/>
              <w:left w:val="nil"/>
              <w:bottom w:val="single" w:color="auto" w:sz="4" w:space="0"/>
              <w:right w:val="single" w:color="auto" w:sz="4" w:space="0"/>
            </w:tcBorders>
            <w:shd w:val="clear" w:color="auto" w:fill="auto"/>
            <w:vAlign w:val="top"/>
          </w:tcPr>
          <w:p w14:paraId="2FB6FFD4">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356" w:type="dxa"/>
            <w:tcBorders>
              <w:top w:val="single" w:color="auto" w:sz="4" w:space="0"/>
              <w:left w:val="nil"/>
              <w:bottom w:val="single" w:color="auto" w:sz="4" w:space="0"/>
              <w:right w:val="single" w:color="auto" w:sz="4" w:space="0"/>
            </w:tcBorders>
            <w:shd w:val="clear" w:color="auto" w:fill="auto"/>
            <w:vAlign w:val="top"/>
          </w:tcPr>
          <w:p w14:paraId="79CCB339">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644" w:type="dxa"/>
            <w:tcBorders>
              <w:top w:val="single" w:color="auto" w:sz="4" w:space="0"/>
              <w:left w:val="nil"/>
              <w:bottom w:val="single" w:color="auto" w:sz="4" w:space="0"/>
              <w:right w:val="single" w:color="auto" w:sz="4" w:space="0"/>
            </w:tcBorders>
            <w:shd w:val="clear" w:color="auto" w:fill="auto"/>
            <w:vAlign w:val="top"/>
          </w:tcPr>
          <w:p w14:paraId="083121EF">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25" w:type="dxa"/>
            <w:tcBorders>
              <w:top w:val="single" w:color="auto" w:sz="4" w:space="0"/>
              <w:left w:val="nil"/>
              <w:bottom w:val="single" w:color="auto" w:sz="4" w:space="0"/>
              <w:right w:val="single" w:color="auto" w:sz="4" w:space="0"/>
            </w:tcBorders>
            <w:shd w:val="clear" w:color="auto" w:fill="auto"/>
            <w:vAlign w:val="center"/>
          </w:tcPr>
          <w:p w14:paraId="7EE8046C">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46" w:type="dxa"/>
            <w:tcBorders>
              <w:top w:val="single" w:color="auto" w:sz="4" w:space="0"/>
              <w:left w:val="nil"/>
              <w:bottom w:val="single" w:color="auto" w:sz="4" w:space="0"/>
              <w:right w:val="single" w:color="auto" w:sz="4" w:space="0"/>
            </w:tcBorders>
            <w:shd w:val="clear" w:color="auto" w:fill="auto"/>
            <w:vAlign w:val="top"/>
          </w:tcPr>
          <w:p w14:paraId="564ECA6B">
            <w:pPr>
              <w:keepNext w:val="0"/>
              <w:keepLines w:val="0"/>
              <w:widowControl w:val="0"/>
              <w:suppressLineNumbers w:val="0"/>
              <w:topLinePunct/>
              <w:adjustRightInd w:val="0"/>
              <w:snapToGrid w:val="0"/>
              <w:spacing w:before="0" w:beforeAutospacing="0" w:after="0" w:afterAutospacing="0" w:line="360" w:lineRule="auto"/>
              <w:ind w:left="0" w:right="0"/>
              <w:jc w:val="left"/>
              <w:rPr>
                <w:rFonts w:hint="eastAsia" w:ascii="宋体" w:hAnsi="宋体" w:eastAsia="宋体" w:cs="宋体"/>
                <w:color w:val="auto"/>
                <w:kern w:val="2"/>
                <w:sz w:val="21"/>
                <w:szCs w:val="21"/>
                <w:highlight w:val="none"/>
                <w:lang w:bidi="ar"/>
              </w:rPr>
            </w:pPr>
          </w:p>
        </w:tc>
        <w:tc>
          <w:tcPr>
            <w:tcW w:w="1353" w:type="dxa"/>
            <w:tcBorders>
              <w:top w:val="single" w:color="auto" w:sz="4" w:space="0"/>
              <w:left w:val="nil"/>
              <w:bottom w:val="single" w:color="auto" w:sz="4" w:space="0"/>
              <w:right w:val="single" w:color="auto" w:sz="4" w:space="0"/>
            </w:tcBorders>
            <w:shd w:val="clear" w:color="auto" w:fill="auto"/>
            <w:vAlign w:val="center"/>
          </w:tcPr>
          <w:p w14:paraId="5C82F1F8">
            <w:pPr>
              <w:keepNext w:val="0"/>
              <w:keepLines w:val="0"/>
              <w:widowControl w:val="0"/>
              <w:suppressLineNumbers w:val="0"/>
              <w:topLinePunct/>
              <w:adjustRightInd w:val="0"/>
              <w:snapToGrid w:val="0"/>
              <w:spacing w:before="0" w:beforeAutospacing="0" w:after="0" w:afterAutospacing="0" w:line="360" w:lineRule="auto"/>
              <w:ind w:left="0" w:leftChars="0" w:right="0" w:rightChars="0" w:firstLine="0" w:firstLineChars="0"/>
              <w:jc w:val="left"/>
              <w:rPr>
                <w:rFonts w:hint="eastAsia" w:ascii="宋体" w:hAnsi="宋体" w:eastAsia="宋体" w:cs="宋体"/>
                <w:color w:val="auto"/>
                <w:kern w:val="2"/>
                <w:sz w:val="21"/>
                <w:szCs w:val="21"/>
                <w:highlight w:val="none"/>
                <w:lang w:bidi="ar"/>
              </w:rPr>
            </w:pPr>
            <w:r>
              <w:rPr>
                <w:rFonts w:hint="eastAsia" w:ascii="宋体" w:hAnsi="宋体" w:eastAsia="宋体" w:cs="宋体"/>
                <w:bCs w:val="0"/>
                <w:snapToGrid/>
                <w:color w:val="auto"/>
                <w:spacing w:val="0"/>
                <w:kern w:val="2"/>
                <w:sz w:val="21"/>
                <w:szCs w:val="21"/>
                <w:highlight w:val="none"/>
                <w:lang w:val="en-US" w:eastAsia="zh-CN" w:bidi="ar"/>
              </w:rPr>
              <w:t>施工员</w:t>
            </w:r>
          </w:p>
        </w:tc>
        <w:tc>
          <w:tcPr>
            <w:tcW w:w="743" w:type="dxa"/>
            <w:tcBorders>
              <w:top w:val="single" w:color="auto" w:sz="4" w:space="0"/>
              <w:left w:val="nil"/>
              <w:bottom w:val="single" w:color="auto" w:sz="4" w:space="0"/>
              <w:right w:val="single" w:color="auto" w:sz="4" w:space="0"/>
            </w:tcBorders>
            <w:shd w:val="clear" w:color="auto" w:fill="auto"/>
            <w:vAlign w:val="center"/>
          </w:tcPr>
          <w:p w14:paraId="3F3DB978">
            <w:pPr>
              <w:keepNext w:val="0"/>
              <w:keepLines w:val="0"/>
              <w:widowControl w:val="0"/>
              <w:suppressLineNumbers w:val="0"/>
              <w:topLinePunct/>
              <w:adjustRightInd w:val="0"/>
              <w:snapToGrid w:val="0"/>
              <w:spacing w:before="0" w:beforeAutospacing="0" w:after="0" w:afterAutospacing="0" w:line="360" w:lineRule="auto"/>
              <w:ind w:left="0" w:leftChars="0" w:right="0" w:rightChars="0"/>
              <w:jc w:val="left"/>
              <w:rPr>
                <w:rFonts w:hint="eastAsia" w:ascii="宋体" w:hAnsi="宋体" w:eastAsia="宋体" w:cs="宋体"/>
                <w:color w:val="auto"/>
                <w:kern w:val="2"/>
                <w:sz w:val="21"/>
                <w:szCs w:val="21"/>
                <w:highlight w:val="none"/>
                <w:u w:val="none"/>
                <w:lang w:val="en-US" w:bidi="ar"/>
              </w:rPr>
            </w:pPr>
            <w:r>
              <w:rPr>
                <w:rFonts w:hint="eastAsia" w:ascii="宋体" w:hAnsi="宋体" w:eastAsia="宋体" w:cs="宋体"/>
                <w:color w:val="auto"/>
                <w:kern w:val="2"/>
                <w:sz w:val="21"/>
                <w:szCs w:val="21"/>
                <w:highlight w:val="none"/>
                <w:u w:val="none"/>
                <w:lang w:val="en-US" w:bidi="ar"/>
              </w:rPr>
              <w:t>4</w:t>
            </w:r>
          </w:p>
        </w:tc>
        <w:tc>
          <w:tcPr>
            <w:tcW w:w="2909" w:type="dxa"/>
            <w:tcBorders>
              <w:top w:val="single" w:color="auto" w:sz="4" w:space="0"/>
              <w:left w:val="nil"/>
              <w:bottom w:val="single" w:color="auto" w:sz="4" w:space="0"/>
              <w:right w:val="single" w:color="auto" w:sz="4" w:space="0"/>
            </w:tcBorders>
            <w:shd w:val="clear" w:color="auto" w:fill="auto"/>
            <w:vAlign w:val="center"/>
          </w:tcPr>
          <w:p w14:paraId="44990692">
            <w:pPr>
              <w:keepNext w:val="0"/>
              <w:keepLines w:val="0"/>
              <w:widowControl w:val="0"/>
              <w:suppressLineNumbers w:val="0"/>
              <w:topLinePunct/>
              <w:adjustRightInd w:val="0"/>
              <w:snapToGrid w:val="0"/>
              <w:spacing w:before="0" w:beforeAutospacing="0" w:after="0" w:afterAutospacing="0" w:line="360" w:lineRule="auto"/>
              <w:ind w:left="0" w:right="0" w:firstLine="0" w:firstLineChars="0"/>
              <w:jc w:val="left"/>
              <w:rPr>
                <w:rFonts w:hint="eastAsia" w:ascii="宋体" w:hAnsi="宋体" w:eastAsia="宋体" w:cs="宋体"/>
                <w:color w:val="auto"/>
                <w:kern w:val="2"/>
                <w:sz w:val="21"/>
                <w:szCs w:val="21"/>
                <w:highlight w:val="none"/>
                <w:lang w:bidi="ar"/>
              </w:rPr>
            </w:pPr>
            <w:r>
              <w:rPr>
                <w:rFonts w:hint="eastAsia" w:ascii="宋体" w:hAnsi="宋体" w:eastAsia="宋体" w:cs="宋体"/>
                <w:bCs w:val="0"/>
                <w:snapToGrid/>
                <w:color w:val="auto"/>
                <w:spacing w:val="0"/>
                <w:kern w:val="2"/>
                <w:sz w:val="21"/>
                <w:szCs w:val="21"/>
                <w:highlight w:val="none"/>
                <w:lang w:val="en-US" w:eastAsia="zh-CN" w:bidi="ar"/>
              </w:rPr>
              <w:t>具备建筑工程类或机电工程类相关专业大专或以上学历，且具有建设行政主管部门或行业协会颁发的施工员岗位证书或上岗证或培训证。</w:t>
            </w:r>
          </w:p>
        </w:tc>
        <w:tc>
          <w:tcPr>
            <w:tcW w:w="1335" w:type="dxa"/>
            <w:tcBorders>
              <w:top w:val="single" w:color="auto" w:sz="4" w:space="0"/>
              <w:left w:val="nil"/>
              <w:bottom w:val="single" w:color="auto" w:sz="4" w:space="0"/>
              <w:right w:val="single" w:color="auto" w:sz="4" w:space="0"/>
            </w:tcBorders>
            <w:shd w:val="clear" w:color="auto" w:fill="auto"/>
            <w:vAlign w:val="top"/>
          </w:tcPr>
          <w:p w14:paraId="1D79EE7A">
            <w:pPr>
              <w:keepNext w:val="0"/>
              <w:keepLines w:val="0"/>
              <w:widowControl w:val="0"/>
              <w:suppressLineNumbers w:val="0"/>
              <w:topLinePunct/>
              <w:adjustRightInd w:val="0"/>
              <w:snapToGrid w:val="0"/>
              <w:spacing w:before="0" w:beforeAutospacing="0" w:after="0" w:afterAutospacing="0" w:line="360" w:lineRule="auto"/>
              <w:ind w:left="0" w:right="0" w:firstLine="0" w:firstLineChars="0"/>
              <w:jc w:val="left"/>
              <w:rPr>
                <w:rFonts w:hint="eastAsia" w:ascii="宋体" w:hAnsi="宋体" w:eastAsia="宋体" w:cs="宋体"/>
                <w:color w:val="auto"/>
                <w:kern w:val="2"/>
                <w:sz w:val="21"/>
                <w:szCs w:val="21"/>
                <w:highlight w:val="none"/>
                <w:u w:val="none"/>
                <w:lang w:bidi="ar"/>
              </w:rPr>
            </w:pPr>
            <w:r>
              <w:rPr>
                <w:rFonts w:hint="eastAsia" w:ascii="宋体" w:hAnsi="宋体" w:eastAsia="宋体" w:cs="宋体"/>
                <w:bCs w:val="0"/>
                <w:snapToGrid/>
                <w:color w:val="auto"/>
                <w:spacing w:val="0"/>
                <w:kern w:val="2"/>
                <w:sz w:val="21"/>
                <w:szCs w:val="21"/>
                <w:highlight w:val="none"/>
                <w:u w:val="none"/>
                <w:lang w:val="en-US" w:eastAsia="zh-CN" w:bidi="ar"/>
              </w:rPr>
              <w:t>须提供毕业证、岗位证书或上岗证或培训证扫描件</w:t>
            </w:r>
          </w:p>
        </w:tc>
      </w:tr>
      <w:tr w14:paraId="00F7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shd w:val="clear" w:color="auto" w:fill="auto"/>
            <w:vAlign w:val="center"/>
          </w:tcPr>
          <w:p w14:paraId="5AB81003">
            <w:pPr>
              <w:keepNext w:val="0"/>
              <w:keepLines w:val="0"/>
              <w:widowControl w:val="0"/>
              <w:suppressLineNumbers w:val="0"/>
              <w:adjustRightInd w:val="0"/>
              <w:snapToGrid w:val="0"/>
              <w:spacing w:before="0" w:beforeAutospacing="0" w:after="0" w:afterAutospacing="0" w:line="360" w:lineRule="auto"/>
              <w:ind w:left="0" w:leftChars="0" w:right="0" w:rightChars="0"/>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10</w:t>
            </w:r>
          </w:p>
        </w:tc>
        <w:tc>
          <w:tcPr>
            <w:tcW w:w="420" w:type="dxa"/>
            <w:tcBorders>
              <w:top w:val="single" w:color="auto" w:sz="4" w:space="0"/>
              <w:left w:val="nil"/>
              <w:bottom w:val="single" w:color="auto" w:sz="4" w:space="0"/>
              <w:right w:val="single" w:color="auto" w:sz="4" w:space="0"/>
            </w:tcBorders>
            <w:shd w:val="clear" w:color="auto" w:fill="auto"/>
            <w:vAlign w:val="center"/>
          </w:tcPr>
          <w:p w14:paraId="1ABB5045">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21"/>
                <w:szCs w:val="21"/>
                <w:highlight w:val="none"/>
              </w:rPr>
            </w:pPr>
          </w:p>
        </w:tc>
        <w:tc>
          <w:tcPr>
            <w:tcW w:w="458" w:type="dxa"/>
            <w:tcBorders>
              <w:top w:val="single" w:color="auto" w:sz="4" w:space="0"/>
              <w:left w:val="nil"/>
              <w:bottom w:val="single" w:color="auto" w:sz="4" w:space="0"/>
              <w:right w:val="single" w:color="auto" w:sz="4" w:space="0"/>
            </w:tcBorders>
            <w:shd w:val="clear" w:color="auto" w:fill="auto"/>
            <w:vAlign w:val="top"/>
          </w:tcPr>
          <w:p w14:paraId="3D81F19E">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356" w:type="dxa"/>
            <w:tcBorders>
              <w:top w:val="single" w:color="auto" w:sz="4" w:space="0"/>
              <w:left w:val="nil"/>
              <w:bottom w:val="single" w:color="auto" w:sz="4" w:space="0"/>
              <w:right w:val="single" w:color="auto" w:sz="4" w:space="0"/>
            </w:tcBorders>
            <w:shd w:val="clear" w:color="auto" w:fill="auto"/>
            <w:vAlign w:val="top"/>
          </w:tcPr>
          <w:p w14:paraId="5EEA2477">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644" w:type="dxa"/>
            <w:tcBorders>
              <w:top w:val="single" w:color="auto" w:sz="4" w:space="0"/>
              <w:left w:val="nil"/>
              <w:bottom w:val="single" w:color="auto" w:sz="4" w:space="0"/>
              <w:right w:val="single" w:color="auto" w:sz="4" w:space="0"/>
            </w:tcBorders>
            <w:shd w:val="clear" w:color="auto" w:fill="auto"/>
            <w:vAlign w:val="top"/>
          </w:tcPr>
          <w:p w14:paraId="0A5EEEA1">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25" w:type="dxa"/>
            <w:tcBorders>
              <w:top w:val="single" w:color="auto" w:sz="4" w:space="0"/>
              <w:left w:val="nil"/>
              <w:bottom w:val="single" w:color="auto" w:sz="4" w:space="0"/>
              <w:right w:val="single" w:color="auto" w:sz="4" w:space="0"/>
            </w:tcBorders>
            <w:shd w:val="clear" w:color="auto" w:fill="auto"/>
            <w:vAlign w:val="center"/>
          </w:tcPr>
          <w:p w14:paraId="76699566">
            <w:pPr>
              <w:keepNext w:val="0"/>
              <w:keepLines w:val="0"/>
              <w:widowControl w:val="0"/>
              <w:suppressLineNumbers w:val="0"/>
              <w:spacing w:before="0" w:beforeAutospacing="0" w:after="0" w:afterAutospacing="0" w:line="240" w:lineRule="exact"/>
              <w:ind w:left="0" w:right="0"/>
              <w:jc w:val="center"/>
              <w:rPr>
                <w:rFonts w:hint="default" w:ascii="宋体" w:hAnsi="宋体" w:eastAsia="宋体" w:cs="宋体"/>
                <w:color w:val="auto"/>
                <w:kern w:val="2"/>
                <w:sz w:val="21"/>
                <w:szCs w:val="21"/>
                <w:highlight w:val="none"/>
              </w:rPr>
            </w:pPr>
          </w:p>
        </w:tc>
        <w:tc>
          <w:tcPr>
            <w:tcW w:w="446" w:type="dxa"/>
            <w:tcBorders>
              <w:top w:val="single" w:color="auto" w:sz="4" w:space="0"/>
              <w:left w:val="nil"/>
              <w:bottom w:val="single" w:color="auto" w:sz="4" w:space="0"/>
              <w:right w:val="single" w:color="auto" w:sz="4" w:space="0"/>
            </w:tcBorders>
            <w:shd w:val="clear" w:color="auto" w:fill="auto"/>
            <w:vAlign w:val="top"/>
          </w:tcPr>
          <w:p w14:paraId="6A7782D4">
            <w:pPr>
              <w:keepNext w:val="0"/>
              <w:keepLines w:val="0"/>
              <w:widowControl w:val="0"/>
              <w:suppressLineNumbers w:val="0"/>
              <w:topLinePunct/>
              <w:adjustRightInd w:val="0"/>
              <w:snapToGrid w:val="0"/>
              <w:spacing w:before="0" w:beforeAutospacing="0" w:after="0" w:afterAutospacing="0" w:line="360" w:lineRule="auto"/>
              <w:ind w:left="0" w:right="0"/>
              <w:jc w:val="left"/>
              <w:rPr>
                <w:rFonts w:hint="eastAsia" w:ascii="宋体" w:hAnsi="宋体" w:eastAsia="宋体" w:cs="宋体"/>
                <w:color w:val="auto"/>
                <w:kern w:val="2"/>
                <w:sz w:val="21"/>
                <w:szCs w:val="21"/>
                <w:highlight w:val="none"/>
                <w:lang w:bidi="ar"/>
              </w:rPr>
            </w:pPr>
          </w:p>
        </w:tc>
        <w:tc>
          <w:tcPr>
            <w:tcW w:w="1353" w:type="dxa"/>
            <w:tcBorders>
              <w:top w:val="single" w:color="auto" w:sz="4" w:space="0"/>
              <w:left w:val="nil"/>
              <w:bottom w:val="single" w:color="auto" w:sz="4" w:space="0"/>
              <w:right w:val="single" w:color="auto" w:sz="4" w:space="0"/>
            </w:tcBorders>
            <w:shd w:val="clear" w:color="auto" w:fill="auto"/>
            <w:vAlign w:val="center"/>
          </w:tcPr>
          <w:p w14:paraId="0C8E8F2F">
            <w:pPr>
              <w:keepNext w:val="0"/>
              <w:keepLines w:val="0"/>
              <w:widowControl w:val="0"/>
              <w:suppressLineNumbers w:val="0"/>
              <w:topLinePunct/>
              <w:adjustRightInd w:val="0"/>
              <w:snapToGrid w:val="0"/>
              <w:spacing w:before="0" w:beforeAutospacing="0" w:after="0" w:afterAutospacing="0" w:line="360" w:lineRule="auto"/>
              <w:ind w:left="0" w:leftChars="0" w:right="0" w:rightChars="0" w:firstLine="0" w:firstLineChars="0"/>
              <w:jc w:val="left"/>
              <w:rPr>
                <w:rFonts w:hint="eastAsia" w:ascii="宋体" w:hAnsi="宋体" w:eastAsia="宋体" w:cs="宋体"/>
                <w:color w:val="auto"/>
                <w:kern w:val="2"/>
                <w:sz w:val="21"/>
                <w:szCs w:val="21"/>
                <w:highlight w:val="none"/>
                <w:lang w:bidi="ar"/>
              </w:rPr>
            </w:pPr>
            <w:r>
              <w:rPr>
                <w:rFonts w:hint="eastAsia" w:ascii="宋体" w:hAnsi="宋体" w:eastAsia="宋体" w:cs="宋体"/>
                <w:bCs w:val="0"/>
                <w:snapToGrid/>
                <w:color w:val="auto"/>
                <w:spacing w:val="0"/>
                <w:kern w:val="2"/>
                <w:sz w:val="21"/>
                <w:szCs w:val="21"/>
                <w:highlight w:val="none"/>
                <w:lang w:val="en-US" w:eastAsia="zh-CN" w:bidi="ar"/>
              </w:rPr>
              <w:t>资料员</w:t>
            </w:r>
          </w:p>
        </w:tc>
        <w:tc>
          <w:tcPr>
            <w:tcW w:w="743" w:type="dxa"/>
            <w:tcBorders>
              <w:top w:val="single" w:color="auto" w:sz="4" w:space="0"/>
              <w:left w:val="nil"/>
              <w:bottom w:val="single" w:color="auto" w:sz="4" w:space="0"/>
              <w:right w:val="single" w:color="auto" w:sz="4" w:space="0"/>
            </w:tcBorders>
            <w:shd w:val="clear" w:color="auto" w:fill="auto"/>
            <w:vAlign w:val="center"/>
          </w:tcPr>
          <w:p w14:paraId="420A4343">
            <w:pPr>
              <w:keepNext w:val="0"/>
              <w:keepLines w:val="0"/>
              <w:widowControl w:val="0"/>
              <w:suppressLineNumbers w:val="0"/>
              <w:topLinePunct/>
              <w:adjustRightInd w:val="0"/>
              <w:snapToGrid w:val="0"/>
              <w:spacing w:before="0" w:beforeAutospacing="0" w:after="0" w:afterAutospacing="0" w:line="360" w:lineRule="auto"/>
              <w:ind w:left="0" w:leftChars="0" w:right="0" w:rightChars="0"/>
              <w:jc w:val="left"/>
              <w:rPr>
                <w:rFonts w:hint="eastAsia" w:ascii="宋体" w:hAnsi="宋体" w:eastAsia="宋体" w:cs="宋体"/>
                <w:color w:val="auto"/>
                <w:kern w:val="2"/>
                <w:sz w:val="21"/>
                <w:szCs w:val="21"/>
                <w:highlight w:val="none"/>
                <w:u w:val="none"/>
                <w:lang w:val="en-US" w:bidi="ar"/>
              </w:rPr>
            </w:pPr>
            <w:r>
              <w:rPr>
                <w:rFonts w:hint="eastAsia" w:ascii="宋体" w:hAnsi="宋体" w:eastAsia="宋体" w:cs="宋体"/>
                <w:color w:val="auto"/>
                <w:kern w:val="2"/>
                <w:sz w:val="21"/>
                <w:szCs w:val="21"/>
                <w:highlight w:val="none"/>
                <w:u w:val="none"/>
                <w:lang w:val="en-US" w:bidi="ar"/>
              </w:rPr>
              <w:t>2</w:t>
            </w:r>
          </w:p>
        </w:tc>
        <w:tc>
          <w:tcPr>
            <w:tcW w:w="2909" w:type="dxa"/>
            <w:tcBorders>
              <w:top w:val="single" w:color="auto" w:sz="4" w:space="0"/>
              <w:left w:val="nil"/>
              <w:bottom w:val="single" w:color="auto" w:sz="4" w:space="0"/>
              <w:right w:val="single" w:color="auto" w:sz="4" w:space="0"/>
            </w:tcBorders>
            <w:shd w:val="clear" w:color="auto" w:fill="auto"/>
            <w:vAlign w:val="center"/>
          </w:tcPr>
          <w:p w14:paraId="1968EA16">
            <w:pPr>
              <w:keepNext w:val="0"/>
              <w:keepLines w:val="0"/>
              <w:widowControl w:val="0"/>
              <w:suppressLineNumbers w:val="0"/>
              <w:topLinePunct/>
              <w:adjustRightInd w:val="0"/>
              <w:snapToGrid w:val="0"/>
              <w:spacing w:before="0" w:beforeAutospacing="0" w:after="0" w:afterAutospacing="0" w:line="360" w:lineRule="auto"/>
              <w:ind w:left="0" w:right="0" w:firstLine="0" w:firstLineChars="0"/>
              <w:jc w:val="left"/>
              <w:rPr>
                <w:rFonts w:hint="eastAsia" w:ascii="宋体" w:hAnsi="宋体" w:eastAsia="宋体" w:cs="宋体"/>
                <w:color w:val="auto"/>
                <w:kern w:val="2"/>
                <w:sz w:val="21"/>
                <w:szCs w:val="21"/>
                <w:highlight w:val="none"/>
                <w:lang w:bidi="ar"/>
              </w:rPr>
            </w:pPr>
            <w:r>
              <w:rPr>
                <w:rFonts w:hint="eastAsia" w:ascii="宋体" w:hAnsi="宋体" w:eastAsia="宋体" w:cs="宋体"/>
                <w:bCs w:val="0"/>
                <w:snapToGrid/>
                <w:color w:val="auto"/>
                <w:spacing w:val="0"/>
                <w:kern w:val="2"/>
                <w:sz w:val="21"/>
                <w:szCs w:val="21"/>
                <w:highlight w:val="none"/>
                <w:lang w:val="en-US" w:eastAsia="zh-CN" w:bidi="ar"/>
              </w:rPr>
              <w:t>具有建设行政主管部门或行业协会颁发的资料员岗位证书或上岗证或培训证。</w:t>
            </w:r>
          </w:p>
        </w:tc>
        <w:tc>
          <w:tcPr>
            <w:tcW w:w="1335" w:type="dxa"/>
            <w:tcBorders>
              <w:top w:val="single" w:color="auto" w:sz="4" w:space="0"/>
              <w:left w:val="nil"/>
              <w:bottom w:val="single" w:color="auto" w:sz="4" w:space="0"/>
              <w:right w:val="single" w:color="auto" w:sz="4" w:space="0"/>
            </w:tcBorders>
            <w:shd w:val="clear" w:color="auto" w:fill="auto"/>
            <w:vAlign w:val="top"/>
          </w:tcPr>
          <w:p w14:paraId="1ED026C5">
            <w:pPr>
              <w:keepNext w:val="0"/>
              <w:keepLines w:val="0"/>
              <w:widowControl w:val="0"/>
              <w:suppressLineNumbers w:val="0"/>
              <w:topLinePunct/>
              <w:adjustRightInd w:val="0"/>
              <w:snapToGrid w:val="0"/>
              <w:spacing w:before="0" w:beforeAutospacing="0" w:after="0" w:afterAutospacing="0" w:line="360" w:lineRule="auto"/>
              <w:ind w:left="0" w:right="0" w:firstLine="0" w:firstLineChars="0"/>
              <w:jc w:val="left"/>
              <w:rPr>
                <w:rFonts w:hint="eastAsia" w:ascii="宋体" w:hAnsi="宋体" w:eastAsia="宋体" w:cs="宋体"/>
                <w:color w:val="auto"/>
                <w:kern w:val="2"/>
                <w:sz w:val="21"/>
                <w:szCs w:val="21"/>
                <w:highlight w:val="none"/>
                <w:u w:val="none"/>
                <w:lang w:bidi="ar"/>
              </w:rPr>
            </w:pPr>
            <w:r>
              <w:rPr>
                <w:rFonts w:hint="eastAsia" w:ascii="宋体" w:hAnsi="宋体" w:eastAsia="宋体" w:cs="宋体"/>
                <w:bCs w:val="0"/>
                <w:snapToGrid/>
                <w:color w:val="auto"/>
                <w:spacing w:val="0"/>
                <w:kern w:val="2"/>
                <w:sz w:val="21"/>
                <w:szCs w:val="21"/>
                <w:highlight w:val="none"/>
                <w:u w:val="none"/>
                <w:lang w:val="en-US" w:eastAsia="zh-CN" w:bidi="ar"/>
              </w:rPr>
              <w:t>须提供毕业证、岗位证书或上岗证或培训证扫描件</w:t>
            </w:r>
          </w:p>
        </w:tc>
      </w:tr>
    </w:tbl>
    <w:p w14:paraId="26FBCA40">
      <w:pPr>
        <w:keepNext w:val="0"/>
        <w:keepLines w:val="0"/>
        <w:widowControl/>
        <w:suppressLineNumbers w:val="0"/>
        <w:shd w:val="clear" w:fill="FFFFFF"/>
        <w:adjustRightInd w:val="0"/>
        <w:spacing w:before="0" w:beforeAutospacing="0" w:after="0" w:afterAutospacing="0"/>
        <w:ind w:left="0" w:right="0" w:firstLine="361" w:firstLineChars="200"/>
        <w:jc w:val="left"/>
        <w:rPr>
          <w:rFonts w:hint="eastAsia" w:ascii="宋体" w:hAnsi="宋体" w:eastAsia="宋体" w:cs="Times New Roman"/>
          <w:color w:val="auto"/>
          <w:kern w:val="2"/>
          <w:sz w:val="18"/>
          <w:szCs w:val="18"/>
          <w:highlight w:val="none"/>
          <w:shd w:val="clear" w:fill="FFFFFF"/>
        </w:rPr>
      </w:pPr>
      <w:r>
        <w:rPr>
          <w:rFonts w:hint="eastAsia" w:ascii="宋体" w:hAnsi="宋体" w:eastAsia="宋体" w:cs="宋体"/>
          <w:b/>
          <w:bCs w:val="0"/>
          <w:color w:val="auto"/>
          <w:kern w:val="0"/>
          <w:sz w:val="18"/>
          <w:szCs w:val="18"/>
          <w:highlight w:val="none"/>
          <w:shd w:val="clear" w:fill="FFFFFF"/>
          <w:lang w:val="en-US" w:eastAsia="zh-CN" w:bidi="ar"/>
        </w:rPr>
        <w:t>备注</w:t>
      </w:r>
      <w:r>
        <w:rPr>
          <w:rFonts w:hint="eastAsia" w:ascii="宋体" w:hAnsi="宋体" w:eastAsia="宋体" w:cs="宋体"/>
          <w:color w:val="auto"/>
          <w:kern w:val="0"/>
          <w:sz w:val="18"/>
          <w:szCs w:val="18"/>
          <w:highlight w:val="none"/>
          <w:shd w:val="clear" w:fill="FFFFFF"/>
          <w:lang w:val="en-US" w:eastAsia="zh-CN" w:bidi="ar"/>
        </w:rPr>
        <w:t>：1、本表为项目经理部主要人员的基本要求，投标单位可根据自身情况增加专业技术管理人员，</w:t>
      </w:r>
      <w:r>
        <w:rPr>
          <w:rFonts w:hint="eastAsia" w:ascii="宋体" w:hAnsi="宋体" w:eastAsia="宋体" w:cs="宋体"/>
          <w:color w:val="auto"/>
          <w:kern w:val="2"/>
          <w:sz w:val="18"/>
          <w:szCs w:val="18"/>
          <w:highlight w:val="none"/>
          <w:shd w:val="clear" w:fill="FFFFFF"/>
          <w:lang w:val="en-US" w:eastAsia="zh-CN" w:bidi="ar"/>
        </w:rPr>
        <w:t>各岗位人员不得相互兼职。</w:t>
      </w:r>
    </w:p>
    <w:p w14:paraId="10E95A87">
      <w:pPr>
        <w:keepNext w:val="0"/>
        <w:keepLines w:val="0"/>
        <w:widowControl/>
        <w:suppressLineNumbers w:val="0"/>
        <w:shd w:val="clear" w:fill="FFFFFF"/>
        <w:adjustRightInd w:val="0"/>
        <w:spacing w:before="0" w:beforeAutospacing="0" w:after="0" w:afterAutospacing="0"/>
        <w:ind w:left="0" w:right="0" w:firstLine="360" w:firstLineChars="200"/>
        <w:jc w:val="left"/>
        <w:rPr>
          <w:rFonts w:hint="eastAsia" w:ascii="宋体" w:hAnsi="宋体" w:eastAsia="宋体" w:cs="宋体"/>
          <w:color w:val="auto"/>
          <w:kern w:val="0"/>
          <w:sz w:val="18"/>
          <w:szCs w:val="18"/>
          <w:highlight w:val="none"/>
          <w:shd w:val="clear" w:fill="FFFFFF"/>
        </w:rPr>
      </w:pPr>
      <w:r>
        <w:rPr>
          <w:rFonts w:hint="eastAsia" w:ascii="宋体" w:hAnsi="宋体" w:eastAsia="宋体" w:cs="宋体"/>
          <w:color w:val="auto"/>
          <w:kern w:val="0"/>
          <w:sz w:val="18"/>
          <w:szCs w:val="18"/>
          <w:highlight w:val="none"/>
          <w:shd w:val="clear" w:fill="FFFFFF"/>
          <w:lang w:val="en-US" w:eastAsia="zh-CN" w:bidi="ar"/>
        </w:rPr>
        <w:t>2、本表项目经理部主要人员需提供</w:t>
      </w:r>
      <w:r>
        <w:rPr>
          <w:rFonts w:hint="eastAsia" w:ascii="宋体" w:hAnsi="宋体" w:eastAsia="宋体" w:cs="宋体"/>
          <w:b/>
          <w:color w:val="auto"/>
          <w:kern w:val="0"/>
          <w:sz w:val="18"/>
          <w:szCs w:val="18"/>
          <w:highlight w:val="none"/>
          <w:u w:val="single"/>
          <w:lang w:val="en-US" w:eastAsia="zh-CN" w:bidi="ar"/>
        </w:rPr>
        <w:t>2024年8月</w:t>
      </w:r>
      <w:r>
        <w:rPr>
          <w:rFonts w:hint="eastAsia" w:ascii="宋体" w:hAnsi="宋体" w:eastAsia="宋体" w:cs="宋体"/>
          <w:color w:val="auto"/>
          <w:kern w:val="0"/>
          <w:sz w:val="18"/>
          <w:szCs w:val="18"/>
          <w:highlight w:val="none"/>
          <w:shd w:val="clear" w:fill="FFFFFF"/>
          <w:lang w:val="en-US" w:eastAsia="zh-CN" w:bidi="ar"/>
        </w:rPr>
        <w:t>的社保证明文件扫描件，项目经理部主要人员需提供的其他证明文件详见基本要求及备注。</w:t>
      </w:r>
    </w:p>
    <w:p w14:paraId="08DFAA8E">
      <w:pPr>
        <w:keepNext w:val="0"/>
        <w:keepLines w:val="0"/>
        <w:widowControl/>
        <w:suppressLineNumbers w:val="0"/>
        <w:shd w:val="clear" w:fill="FFFFFF"/>
        <w:adjustRightInd w:val="0"/>
        <w:spacing w:before="0" w:beforeAutospacing="0" w:after="0" w:afterAutospacing="0"/>
        <w:ind w:left="0" w:right="0" w:firstLine="360" w:firstLineChars="200"/>
        <w:jc w:val="left"/>
        <w:rPr>
          <w:rFonts w:hint="eastAsia" w:ascii="宋体" w:hAnsi="宋体" w:eastAsia="宋体" w:cs="宋体"/>
          <w:color w:val="auto"/>
          <w:kern w:val="0"/>
          <w:sz w:val="18"/>
          <w:szCs w:val="18"/>
          <w:highlight w:val="none"/>
          <w:shd w:val="clear" w:fill="FFFFFF"/>
        </w:rPr>
      </w:pPr>
      <w:r>
        <w:rPr>
          <w:rFonts w:hint="eastAsia" w:ascii="宋体" w:hAnsi="宋体" w:eastAsia="宋体" w:cs="宋体"/>
          <w:color w:val="auto"/>
          <w:kern w:val="0"/>
          <w:sz w:val="18"/>
          <w:szCs w:val="18"/>
          <w:highlight w:val="none"/>
          <w:shd w:val="clear" w:fill="FFFFFF"/>
          <w:lang w:val="en-US" w:eastAsia="zh-CN" w:bidi="ar"/>
        </w:rPr>
        <w:t>3、人员仅指投标人自身人员，如投标申请人为集团公司，则不含集团下属具有独立法人的子公司的人员，但包含非独立法人的分公司人员；同样下属具有独立法人的子公司也不得使用集团公司的人员。</w:t>
      </w:r>
    </w:p>
    <w:p w14:paraId="3BB1ED94">
      <w:pPr>
        <w:keepNext w:val="0"/>
        <w:keepLines w:val="0"/>
        <w:widowControl/>
        <w:suppressLineNumbers w:val="0"/>
        <w:shd w:val="clear" w:fill="FFFFFF"/>
        <w:adjustRightInd w:val="0"/>
        <w:spacing w:before="0" w:beforeAutospacing="0" w:after="0" w:afterAutospacing="0"/>
        <w:ind w:left="0" w:right="0" w:firstLine="360" w:firstLineChars="200"/>
        <w:jc w:val="left"/>
        <w:rPr>
          <w:rFonts w:hint="eastAsia" w:ascii="宋体" w:hAnsi="宋体" w:eastAsia="宋体" w:cs="宋体"/>
          <w:color w:val="auto"/>
          <w:kern w:val="0"/>
          <w:sz w:val="18"/>
          <w:szCs w:val="18"/>
          <w:highlight w:val="none"/>
          <w:shd w:val="clear" w:fill="FFFFFF"/>
        </w:rPr>
      </w:pPr>
      <w:r>
        <w:rPr>
          <w:rFonts w:hint="eastAsia" w:ascii="宋体" w:hAnsi="宋体" w:eastAsia="宋体" w:cs="宋体"/>
          <w:color w:val="auto"/>
          <w:kern w:val="0"/>
          <w:sz w:val="18"/>
          <w:szCs w:val="18"/>
          <w:highlight w:val="none"/>
          <w:shd w:val="clear" w:fill="FFFFFF"/>
          <w:lang w:val="en-US" w:eastAsia="zh-CN" w:bidi="ar"/>
        </w:rPr>
        <w:t>4、拟投入的项目部人员，未经招标人同意，中标后不得更换，否则按合同约定承担违约责任。</w:t>
      </w:r>
    </w:p>
    <w:p w14:paraId="0487216A">
      <w:pPr>
        <w:keepNext w:val="0"/>
        <w:keepLines w:val="0"/>
        <w:widowControl/>
        <w:suppressLineNumbers w:val="0"/>
        <w:shd w:val="clear" w:fill="FFFFFF"/>
        <w:adjustRightInd w:val="0"/>
        <w:spacing w:before="0" w:beforeAutospacing="0" w:after="0" w:afterAutospacing="0"/>
        <w:ind w:left="0" w:right="0" w:firstLine="360" w:firstLineChars="200"/>
        <w:jc w:val="left"/>
        <w:rPr>
          <w:rFonts w:hint="eastAsia" w:ascii="宋体" w:hAnsi="宋体" w:eastAsia="宋体" w:cs="宋体"/>
          <w:color w:val="auto"/>
          <w:kern w:val="0"/>
          <w:sz w:val="18"/>
          <w:szCs w:val="18"/>
          <w:highlight w:val="none"/>
          <w:shd w:val="clear" w:fill="FFFFFF"/>
        </w:rPr>
      </w:pPr>
      <w:r>
        <w:rPr>
          <w:rFonts w:hint="eastAsia" w:ascii="宋体" w:hAnsi="宋体" w:eastAsia="宋体" w:cs="宋体"/>
          <w:color w:val="auto"/>
          <w:kern w:val="0"/>
          <w:sz w:val="18"/>
          <w:szCs w:val="18"/>
          <w:highlight w:val="none"/>
          <w:shd w:val="clear" w:fill="FFFFFF"/>
          <w:lang w:val="en-US" w:eastAsia="zh-CN" w:bidi="ar"/>
        </w:rPr>
        <w:t>5、一级注册造价工程师是指根据住房城乡建设部、交通运输部、水利部、人力资源社会保障部发布的《造价工程师职业资格制度规定》、《造价工程师职业资格考试实施办法》（建人［2018］67号）取得的一级造价工程师职业资格，并经注册且在有效期内。根据原人事部、原建设部发布的《造价工程师执业资格制度暂行规定》（人发[1996]77号)取得的造价工程师执业资格，并经注册且在有效期内的，等同于一级注册造价工程师。</w:t>
      </w:r>
    </w:p>
    <w:p w14:paraId="79F3657C">
      <w:pPr>
        <w:keepNext w:val="0"/>
        <w:keepLines w:val="0"/>
        <w:widowControl/>
        <w:suppressLineNumbers w:val="0"/>
        <w:shd w:val="clear" w:fill="FFFFFF"/>
        <w:adjustRightInd w:val="0"/>
        <w:spacing w:before="0" w:beforeAutospacing="0" w:after="0" w:afterAutospacing="0"/>
        <w:ind w:left="0" w:right="0" w:firstLine="360" w:firstLineChars="200"/>
        <w:jc w:val="left"/>
        <w:rPr>
          <w:rFonts w:hint="eastAsia" w:ascii="宋体" w:hAnsi="宋体" w:eastAsia="宋体" w:cs="宋体"/>
          <w:color w:val="auto"/>
          <w:spacing w:val="0"/>
          <w:kern w:val="0"/>
          <w:sz w:val="18"/>
          <w:szCs w:val="18"/>
          <w:highlight w:val="none"/>
          <w:shd w:val="clear" w:fill="FFFFFF"/>
        </w:rPr>
      </w:pPr>
      <w:r>
        <w:rPr>
          <w:rFonts w:hint="eastAsia" w:ascii="宋体" w:hAnsi="宋体" w:eastAsia="宋体" w:cs="宋体"/>
          <w:color w:val="auto"/>
          <w:kern w:val="0"/>
          <w:sz w:val="18"/>
          <w:szCs w:val="18"/>
          <w:highlight w:val="none"/>
          <w:shd w:val="clear" w:fill="FFFFFF"/>
          <w:lang w:val="en-US" w:eastAsia="zh-CN" w:bidi="ar"/>
        </w:rPr>
        <w:t>6、</w:t>
      </w:r>
      <w:r>
        <w:rPr>
          <w:rFonts w:hint="eastAsia" w:ascii="宋体" w:hAnsi="宋体" w:eastAsia="宋体" w:cs="宋体"/>
          <w:color w:val="auto"/>
          <w:spacing w:val="0"/>
          <w:kern w:val="0"/>
          <w:sz w:val="18"/>
          <w:szCs w:val="18"/>
          <w:highlight w:val="none"/>
          <w:shd w:val="clear" w:fill="FFFFFF"/>
          <w:lang w:val="en-US" w:eastAsia="zh-CN" w:bidi="ar"/>
        </w:rPr>
        <w:t>本表中投标人提供的“项目负责人、技术负责人、专职安全员”需满足招标公告要求，其余人员不全或未满足招标文件要求的，中标后须按招标文件的要求补充完善并报发包人审批同意；涉及违约的，还需按合同约定承担相应的违约责任。</w:t>
      </w:r>
    </w:p>
    <w:p w14:paraId="36AF58D8">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01F3C4D4">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投标人：  （盖章）</w:t>
      </w:r>
    </w:p>
    <w:p w14:paraId="42E28A0E">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法定代表人或授权代理人(签字或盖章)：</w:t>
      </w:r>
    </w:p>
    <w:p w14:paraId="31DB1A89">
      <w:pPr>
        <w:keepNext w:val="0"/>
        <w:keepLines w:val="0"/>
        <w:widowControl w:val="0"/>
        <w:suppressLineNumbers w:val="0"/>
        <w:spacing w:before="0" w:beforeAutospacing="0" w:after="0" w:afterAutospacing="0"/>
        <w:ind w:left="0" w:right="0" w:firstLine="3600" w:firstLineChars="1500"/>
        <w:jc w:val="both"/>
        <w:rPr>
          <w:color w:val="auto"/>
          <w:highlight w:val="none"/>
        </w:rPr>
      </w:pPr>
      <w:r>
        <w:rPr>
          <w:rFonts w:hint="eastAsia" w:ascii="宋体" w:hAnsi="宋体" w:eastAsia="宋体" w:cs="宋体"/>
          <w:color w:val="auto"/>
          <w:kern w:val="2"/>
          <w:sz w:val="24"/>
          <w:szCs w:val="24"/>
          <w:highlight w:val="none"/>
          <w:lang w:val="en-US" w:eastAsia="zh-CN" w:bidi="ar"/>
        </w:rPr>
        <w:t>日</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期：</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年</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月</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日</w:t>
      </w:r>
    </w:p>
    <w:p w14:paraId="46980040">
      <w:pPr>
        <w:keepNext w:val="0"/>
        <w:keepLines w:val="0"/>
        <w:widowControl w:val="0"/>
        <w:suppressLineNumbers w:val="0"/>
        <w:spacing w:before="0" w:beforeAutospacing="0" w:after="0" w:afterAutospacing="0"/>
        <w:ind w:left="0" w:right="0" w:firstLine="3600" w:firstLineChars="1500"/>
        <w:jc w:val="both"/>
        <w:rPr>
          <w:rFonts w:hint="eastAsia" w:ascii="宋体" w:hAnsi="宋体" w:eastAsia="宋体" w:cs="宋体"/>
          <w:color w:val="auto"/>
          <w:kern w:val="2"/>
          <w:sz w:val="24"/>
          <w:szCs w:val="24"/>
          <w:highlight w:val="none"/>
          <w:lang w:val="en-US" w:eastAsia="zh-CN" w:bidi="ar"/>
        </w:rPr>
      </w:pPr>
    </w:p>
    <w:p w14:paraId="1B4F9A27">
      <w:pPr>
        <w:rPr>
          <w:rFonts w:hint="eastAsia" w:ascii="宋体" w:hAnsi="宋体" w:eastAsia="宋体" w:cs="Times New Roman"/>
          <w:color w:val="auto"/>
          <w:kern w:val="2"/>
          <w:sz w:val="24"/>
          <w:szCs w:val="24"/>
          <w:highlight w:val="none"/>
        </w:rPr>
        <w:sectPr>
          <w:pgSz w:w="11907" w:h="16840"/>
          <w:pgMar w:top="1418" w:right="1418" w:bottom="1418" w:left="1418" w:header="851" w:footer="851" w:gutter="0"/>
          <w:pgNumType w:fmt="decimal"/>
          <w:cols w:space="425" w:num="1"/>
          <w:docGrid w:type="lines" w:linePitch="312" w:charSpace="0"/>
        </w:sectPr>
      </w:pPr>
    </w:p>
    <w:p w14:paraId="6BDDBACC">
      <w:pPr>
        <w:keepNext w:val="0"/>
        <w:keepLines w:val="0"/>
        <w:widowControl/>
        <w:suppressLineNumbers w:val="0"/>
        <w:spacing w:before="0" w:beforeAutospacing="1" w:after="0" w:afterAutospacing="1"/>
        <w:ind w:left="0" w:right="0"/>
        <w:jc w:val="left"/>
        <w:outlineLvl w:val="2"/>
        <w:rPr>
          <w:rFonts w:hint="eastAsia" w:ascii="宋体" w:hAnsi="宋体" w:eastAsia="宋体" w:cs="Times New Roman"/>
          <w:b/>
          <w:color w:val="auto"/>
          <w:kern w:val="0"/>
          <w:sz w:val="24"/>
          <w:szCs w:val="24"/>
          <w:highlight w:val="none"/>
        </w:rPr>
      </w:pPr>
      <w:bookmarkStart w:id="123" w:name="_Toc14697663"/>
      <w:bookmarkEnd w:id="123"/>
      <w:bookmarkStart w:id="124" w:name="_Toc469"/>
      <w:r>
        <w:rPr>
          <w:rFonts w:hint="eastAsia" w:ascii="宋体" w:hAnsi="宋体" w:eastAsia="宋体" w:cs="宋体"/>
          <w:b/>
          <w:color w:val="auto"/>
          <w:kern w:val="0"/>
          <w:sz w:val="24"/>
          <w:szCs w:val="24"/>
          <w:highlight w:val="none"/>
          <w:lang w:val="en-US" w:eastAsia="zh-CN" w:bidi="ar"/>
        </w:rPr>
        <w:t>格式九：主要人员简历表</w:t>
      </w:r>
      <w:bookmarkEnd w:id="124"/>
    </w:p>
    <w:p w14:paraId="46FF31A7">
      <w:pPr>
        <w:keepNext w:val="0"/>
        <w:keepLines w:val="0"/>
        <w:widowControl w:val="0"/>
        <w:suppressLineNumbers w:val="0"/>
        <w:topLinePunct/>
        <w:adjustRightInd w:val="0"/>
        <w:snapToGrid w:val="0"/>
        <w:spacing w:before="156" w:beforeAutospacing="0" w:after="156" w:afterAutospacing="0" w:line="360" w:lineRule="auto"/>
        <w:ind w:left="0" w:right="0"/>
        <w:jc w:val="center"/>
        <w:rPr>
          <w:rFonts w:hint="eastAsia" w:ascii="宋体" w:hAnsi="宋体" w:eastAsia="宋体" w:cs="Times New Roman"/>
          <w:b/>
          <w:bCs w:val="0"/>
          <w:color w:val="auto"/>
          <w:spacing w:val="4"/>
          <w:kern w:val="0"/>
          <w:sz w:val="32"/>
          <w:szCs w:val="32"/>
          <w:highlight w:val="none"/>
        </w:rPr>
      </w:pPr>
      <w:r>
        <w:rPr>
          <w:rFonts w:hint="eastAsia" w:ascii="宋体" w:hAnsi="宋体" w:eastAsia="宋体" w:cs="宋体"/>
          <w:b/>
          <w:bCs w:val="0"/>
          <w:color w:val="auto"/>
          <w:spacing w:val="4"/>
          <w:kern w:val="0"/>
          <w:sz w:val="32"/>
          <w:szCs w:val="32"/>
          <w:highlight w:val="none"/>
          <w:lang w:val="en-US" w:eastAsia="zh-CN" w:bidi="ar"/>
        </w:rPr>
        <w:t>主要人员简历表</w:t>
      </w:r>
    </w:p>
    <w:tbl>
      <w:tblPr>
        <w:tblStyle w:val="17"/>
        <w:tblW w:w="9525"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26"/>
        <w:gridCol w:w="22"/>
        <w:gridCol w:w="1547"/>
        <w:gridCol w:w="557"/>
        <w:gridCol w:w="992"/>
        <w:gridCol w:w="378"/>
        <w:gridCol w:w="1405"/>
        <w:gridCol w:w="296"/>
        <w:gridCol w:w="1182"/>
        <w:gridCol w:w="69"/>
        <w:gridCol w:w="1551"/>
      </w:tblGrid>
      <w:tr w14:paraId="7BC32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14:paraId="2C27BD7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姓名</w:t>
            </w:r>
          </w:p>
        </w:tc>
        <w:tc>
          <w:tcPr>
            <w:tcW w:w="212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B28EC33">
            <w:pPr>
              <w:keepNext/>
              <w:keepLines/>
              <w:widowControl w:val="0"/>
              <w:suppressLineNumbers w:val="0"/>
              <w:topLinePunct/>
              <w:adjustRightInd w:val="0"/>
              <w:snapToGrid w:val="0"/>
              <w:spacing w:before="120" w:beforeAutospacing="0" w:after="120" w:afterAutospacing="0" w:line="360" w:lineRule="auto"/>
              <w:ind w:left="0" w:right="0"/>
              <w:jc w:val="center"/>
              <w:outlineLvl w:val="0"/>
              <w:rPr>
                <w:rFonts w:hint="eastAsia" w:ascii="宋体" w:hAnsi="宋体" w:eastAsia="宋体" w:cs="Times New Roman"/>
                <w:b/>
                <w:bCs w:val="0"/>
                <w:color w:val="auto"/>
                <w:spacing w:val="4"/>
                <w:kern w:val="0"/>
                <w:sz w:val="24"/>
                <w:szCs w:val="24"/>
                <w:highlight w:val="none"/>
              </w:rPr>
            </w:pPr>
          </w:p>
        </w:tc>
        <w:tc>
          <w:tcPr>
            <w:tcW w:w="137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4A5EAA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性别</w:t>
            </w:r>
          </w:p>
        </w:tc>
        <w:tc>
          <w:tcPr>
            <w:tcW w:w="17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CFDDB94">
            <w:pPr>
              <w:keepNext/>
              <w:keepLines/>
              <w:widowControl w:val="0"/>
              <w:suppressLineNumbers w:val="0"/>
              <w:topLinePunct/>
              <w:adjustRightInd w:val="0"/>
              <w:snapToGrid w:val="0"/>
              <w:spacing w:before="120" w:beforeAutospacing="0" w:after="120" w:afterAutospacing="0" w:line="360" w:lineRule="auto"/>
              <w:ind w:left="0" w:right="0"/>
              <w:jc w:val="center"/>
              <w:outlineLvl w:val="0"/>
              <w:rPr>
                <w:rFonts w:hint="eastAsia" w:ascii="宋体" w:hAnsi="宋体" w:eastAsia="宋体" w:cs="Times New Roman"/>
                <w:b/>
                <w:bCs w:val="0"/>
                <w:color w:val="auto"/>
                <w:spacing w:val="4"/>
                <w:kern w:val="0"/>
                <w:sz w:val="24"/>
                <w:szCs w:val="24"/>
                <w:highlight w:val="none"/>
              </w:rPr>
            </w:pPr>
          </w:p>
        </w:tc>
        <w:tc>
          <w:tcPr>
            <w:tcW w:w="1182" w:type="dxa"/>
            <w:tcBorders>
              <w:top w:val="single" w:color="auto" w:sz="4" w:space="0"/>
              <w:left w:val="single" w:color="auto" w:sz="4" w:space="0"/>
              <w:bottom w:val="single" w:color="auto" w:sz="4" w:space="0"/>
              <w:right w:val="single" w:color="auto" w:sz="4" w:space="0"/>
            </w:tcBorders>
            <w:shd w:val="clear" w:color="auto" w:fill="auto"/>
            <w:vAlign w:val="center"/>
          </w:tcPr>
          <w:p w14:paraId="0E4F6CE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年龄</w:t>
            </w:r>
          </w:p>
        </w:tc>
        <w:tc>
          <w:tcPr>
            <w:tcW w:w="16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72FA2F4">
            <w:pPr>
              <w:keepNext/>
              <w:keepLines/>
              <w:widowControl w:val="0"/>
              <w:suppressLineNumbers w:val="0"/>
              <w:topLinePunct/>
              <w:adjustRightInd w:val="0"/>
              <w:snapToGrid w:val="0"/>
              <w:spacing w:before="120" w:beforeAutospacing="0" w:after="120" w:afterAutospacing="0" w:line="360" w:lineRule="auto"/>
              <w:ind w:left="0" w:right="0"/>
              <w:jc w:val="center"/>
              <w:outlineLvl w:val="0"/>
              <w:rPr>
                <w:rFonts w:hint="eastAsia" w:ascii="宋体" w:hAnsi="宋体" w:eastAsia="宋体" w:cs="Times New Roman"/>
                <w:b/>
                <w:bCs w:val="0"/>
                <w:color w:val="auto"/>
                <w:spacing w:val="4"/>
                <w:kern w:val="0"/>
                <w:sz w:val="24"/>
                <w:szCs w:val="24"/>
                <w:highlight w:val="none"/>
              </w:rPr>
            </w:pPr>
          </w:p>
        </w:tc>
      </w:tr>
      <w:tr w14:paraId="171A3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14:paraId="5E4E0FC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r>
              <w:rPr>
                <w:rFonts w:hint="eastAsia" w:ascii="宋体" w:hAnsi="宋体" w:eastAsia="宋体" w:cs="宋体"/>
                <w:b/>
                <w:color w:val="auto"/>
                <w:kern w:val="2"/>
                <w:sz w:val="24"/>
                <w:szCs w:val="24"/>
                <w:highlight w:val="none"/>
                <w:lang w:val="en-US" w:eastAsia="zh-CN" w:bidi="ar"/>
              </w:rPr>
              <w:t>身份证号码</w:t>
            </w:r>
          </w:p>
        </w:tc>
        <w:tc>
          <w:tcPr>
            <w:tcW w:w="7999"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14:paraId="24C99054">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b/>
                <w:bCs w:val="0"/>
                <w:color w:val="auto"/>
                <w:spacing w:val="4"/>
                <w:kern w:val="0"/>
                <w:sz w:val="24"/>
                <w:szCs w:val="24"/>
                <w:highlight w:val="none"/>
              </w:rPr>
            </w:pPr>
          </w:p>
        </w:tc>
      </w:tr>
      <w:tr w14:paraId="61B17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14:paraId="0DDEB6E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在本项目任职</w:t>
            </w:r>
          </w:p>
        </w:tc>
        <w:tc>
          <w:tcPr>
            <w:tcW w:w="212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92F4268">
            <w:pPr>
              <w:keepNext/>
              <w:keepLines/>
              <w:widowControl w:val="0"/>
              <w:suppressLineNumbers w:val="0"/>
              <w:topLinePunct/>
              <w:adjustRightInd w:val="0"/>
              <w:snapToGrid w:val="0"/>
              <w:spacing w:before="120" w:beforeAutospacing="0" w:after="120" w:afterAutospacing="0" w:line="360" w:lineRule="auto"/>
              <w:ind w:left="0" w:right="0"/>
              <w:jc w:val="center"/>
              <w:outlineLvl w:val="0"/>
              <w:rPr>
                <w:rFonts w:hint="eastAsia" w:ascii="宋体" w:hAnsi="宋体" w:eastAsia="宋体" w:cs="Times New Roman"/>
                <w:b/>
                <w:bCs w:val="0"/>
                <w:color w:val="auto"/>
                <w:spacing w:val="4"/>
                <w:kern w:val="0"/>
                <w:sz w:val="24"/>
                <w:szCs w:val="24"/>
                <w:highlight w:val="none"/>
              </w:rPr>
            </w:pPr>
          </w:p>
        </w:tc>
        <w:tc>
          <w:tcPr>
            <w:tcW w:w="137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8D1B36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职称</w:t>
            </w:r>
          </w:p>
        </w:tc>
        <w:tc>
          <w:tcPr>
            <w:tcW w:w="17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5CABCA0">
            <w:pPr>
              <w:keepNext/>
              <w:keepLines/>
              <w:widowControl w:val="0"/>
              <w:suppressLineNumbers w:val="0"/>
              <w:topLinePunct/>
              <w:adjustRightInd w:val="0"/>
              <w:snapToGrid w:val="0"/>
              <w:spacing w:before="120" w:beforeAutospacing="0" w:after="120" w:afterAutospacing="0" w:line="360" w:lineRule="auto"/>
              <w:ind w:left="0" w:right="0"/>
              <w:jc w:val="center"/>
              <w:outlineLvl w:val="0"/>
              <w:rPr>
                <w:rFonts w:hint="eastAsia" w:ascii="宋体" w:hAnsi="宋体" w:eastAsia="宋体" w:cs="Times New Roman"/>
                <w:b/>
                <w:bCs w:val="0"/>
                <w:color w:val="auto"/>
                <w:spacing w:val="4"/>
                <w:kern w:val="0"/>
                <w:sz w:val="24"/>
                <w:szCs w:val="24"/>
                <w:highlight w:val="none"/>
              </w:rPr>
            </w:pPr>
          </w:p>
        </w:tc>
        <w:tc>
          <w:tcPr>
            <w:tcW w:w="1182" w:type="dxa"/>
            <w:tcBorders>
              <w:top w:val="single" w:color="auto" w:sz="4" w:space="0"/>
              <w:left w:val="single" w:color="auto" w:sz="4" w:space="0"/>
              <w:bottom w:val="single" w:color="auto" w:sz="4" w:space="0"/>
              <w:right w:val="single" w:color="auto" w:sz="4" w:space="0"/>
            </w:tcBorders>
            <w:shd w:val="clear" w:color="auto" w:fill="auto"/>
            <w:vAlign w:val="center"/>
          </w:tcPr>
          <w:p w14:paraId="45B0D7C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学历</w:t>
            </w:r>
          </w:p>
        </w:tc>
        <w:tc>
          <w:tcPr>
            <w:tcW w:w="16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F86EFDE">
            <w:pPr>
              <w:keepNext/>
              <w:keepLines/>
              <w:widowControl w:val="0"/>
              <w:suppressLineNumbers w:val="0"/>
              <w:topLinePunct/>
              <w:adjustRightInd w:val="0"/>
              <w:snapToGrid w:val="0"/>
              <w:spacing w:before="120" w:beforeAutospacing="0" w:after="120" w:afterAutospacing="0" w:line="360" w:lineRule="auto"/>
              <w:ind w:left="0" w:right="0"/>
              <w:jc w:val="center"/>
              <w:outlineLvl w:val="0"/>
              <w:rPr>
                <w:rFonts w:hint="eastAsia" w:ascii="宋体" w:hAnsi="宋体" w:eastAsia="宋体" w:cs="Times New Roman"/>
                <w:b/>
                <w:bCs w:val="0"/>
                <w:color w:val="auto"/>
                <w:spacing w:val="4"/>
                <w:kern w:val="0"/>
                <w:sz w:val="24"/>
                <w:szCs w:val="24"/>
                <w:highlight w:val="none"/>
              </w:rPr>
            </w:pPr>
          </w:p>
        </w:tc>
      </w:tr>
      <w:tr w14:paraId="2AB47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2" w:hRule="atLeast"/>
        </w:trPr>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14:paraId="7404AF6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参加工作</w:t>
            </w:r>
          </w:p>
          <w:p w14:paraId="257102B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年限</w:t>
            </w:r>
          </w:p>
        </w:tc>
        <w:tc>
          <w:tcPr>
            <w:tcW w:w="212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CF8BB00">
            <w:pPr>
              <w:keepNext/>
              <w:keepLines/>
              <w:widowControl w:val="0"/>
              <w:suppressLineNumbers w:val="0"/>
              <w:topLinePunct/>
              <w:adjustRightInd w:val="0"/>
              <w:snapToGrid w:val="0"/>
              <w:spacing w:before="120" w:beforeAutospacing="0" w:after="120" w:afterAutospacing="0" w:line="360" w:lineRule="auto"/>
              <w:ind w:left="0" w:right="0"/>
              <w:jc w:val="center"/>
              <w:outlineLvl w:val="0"/>
              <w:rPr>
                <w:rFonts w:hint="eastAsia" w:ascii="宋体" w:hAnsi="宋体" w:eastAsia="宋体" w:cs="Times New Roman"/>
                <w:b/>
                <w:bCs w:val="0"/>
                <w:color w:val="auto"/>
                <w:spacing w:val="4"/>
                <w:kern w:val="0"/>
                <w:sz w:val="24"/>
                <w:szCs w:val="24"/>
                <w:highlight w:val="none"/>
              </w:rPr>
            </w:pPr>
          </w:p>
        </w:tc>
        <w:tc>
          <w:tcPr>
            <w:tcW w:w="137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B45A0E4">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lang w:val="en-US" w:eastAsia="zh-CN" w:bidi="ar"/>
              </w:rPr>
              <w:t>担任相应职务年限</w:t>
            </w:r>
          </w:p>
        </w:tc>
        <w:tc>
          <w:tcPr>
            <w:tcW w:w="450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02FDDCB5">
            <w:pPr>
              <w:keepNext/>
              <w:keepLines/>
              <w:widowControl w:val="0"/>
              <w:suppressLineNumbers w:val="0"/>
              <w:topLinePunct/>
              <w:adjustRightInd w:val="0"/>
              <w:snapToGrid w:val="0"/>
              <w:spacing w:before="120" w:beforeAutospacing="0" w:after="120" w:afterAutospacing="0" w:line="360" w:lineRule="auto"/>
              <w:ind w:left="0" w:right="0"/>
              <w:jc w:val="center"/>
              <w:outlineLvl w:val="0"/>
              <w:rPr>
                <w:rFonts w:hint="eastAsia" w:ascii="宋体" w:hAnsi="宋体" w:eastAsia="宋体" w:cs="Times New Roman"/>
                <w:b/>
                <w:bCs w:val="0"/>
                <w:color w:val="auto"/>
                <w:spacing w:val="4"/>
                <w:kern w:val="0"/>
                <w:sz w:val="24"/>
                <w:szCs w:val="24"/>
                <w:highlight w:val="none"/>
              </w:rPr>
            </w:pPr>
          </w:p>
        </w:tc>
      </w:tr>
      <w:tr w14:paraId="31304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14:paraId="35729ED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资格证书号</w:t>
            </w:r>
          </w:p>
        </w:tc>
        <w:tc>
          <w:tcPr>
            <w:tcW w:w="7999"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14:paraId="256F94F7">
            <w:pPr>
              <w:keepNext/>
              <w:keepLines/>
              <w:widowControl w:val="0"/>
              <w:suppressLineNumbers w:val="0"/>
              <w:topLinePunct/>
              <w:adjustRightInd w:val="0"/>
              <w:snapToGrid w:val="0"/>
              <w:spacing w:before="120" w:beforeAutospacing="0" w:after="120" w:afterAutospacing="0" w:line="360" w:lineRule="auto"/>
              <w:ind w:left="0" w:right="0"/>
              <w:jc w:val="center"/>
              <w:outlineLvl w:val="0"/>
              <w:rPr>
                <w:rFonts w:hint="eastAsia" w:ascii="宋体" w:hAnsi="宋体" w:eastAsia="宋体" w:cs="Times New Roman"/>
                <w:b/>
                <w:bCs w:val="0"/>
                <w:color w:val="auto"/>
                <w:spacing w:val="4"/>
                <w:kern w:val="0"/>
                <w:sz w:val="24"/>
                <w:szCs w:val="24"/>
                <w:highlight w:val="none"/>
              </w:rPr>
            </w:pPr>
          </w:p>
        </w:tc>
      </w:tr>
      <w:tr w14:paraId="5ADA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9525" w:type="dxa"/>
            <w:gridSpan w:val="11"/>
            <w:tcBorders>
              <w:top w:val="single" w:color="auto" w:sz="4" w:space="0"/>
              <w:left w:val="single" w:color="auto" w:sz="4" w:space="0"/>
              <w:bottom w:val="single" w:color="auto" w:sz="4" w:space="0"/>
              <w:right w:val="single" w:color="auto" w:sz="4" w:space="0"/>
            </w:tcBorders>
            <w:shd w:val="clear" w:color="auto" w:fill="auto"/>
            <w:vAlign w:val="center"/>
          </w:tcPr>
          <w:p w14:paraId="210BE113">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lang w:val="en-US" w:eastAsia="zh-CN" w:bidi="ar"/>
              </w:rPr>
              <w:t>业绩简介</w:t>
            </w:r>
          </w:p>
        </w:tc>
      </w:tr>
      <w:tr w14:paraId="25DC2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154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A0A0CC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建设单位</w:t>
            </w: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14:paraId="07E3D9B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项目名称</w:t>
            </w:r>
          </w:p>
        </w:tc>
        <w:tc>
          <w:tcPr>
            <w:tcW w:w="15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20379B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建设规模</w:t>
            </w:r>
          </w:p>
        </w:tc>
        <w:tc>
          <w:tcPr>
            <w:tcW w:w="178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F9C7CD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开、竣工日期</w:t>
            </w:r>
          </w:p>
        </w:tc>
        <w:tc>
          <w:tcPr>
            <w:tcW w:w="154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487FD2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在建或已完</w:t>
            </w:r>
          </w:p>
        </w:tc>
        <w:tc>
          <w:tcPr>
            <w:tcW w:w="1551" w:type="dxa"/>
            <w:tcBorders>
              <w:top w:val="single" w:color="auto" w:sz="4" w:space="0"/>
              <w:left w:val="single" w:color="auto" w:sz="4" w:space="0"/>
              <w:bottom w:val="single" w:color="auto" w:sz="4" w:space="0"/>
              <w:right w:val="single" w:color="auto" w:sz="4" w:space="0"/>
            </w:tcBorders>
            <w:shd w:val="clear" w:color="auto" w:fill="auto"/>
            <w:vAlign w:val="center"/>
          </w:tcPr>
          <w:p w14:paraId="137A508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工程质量</w:t>
            </w:r>
          </w:p>
        </w:tc>
      </w:tr>
      <w:tr w14:paraId="0499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154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935DE35">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b/>
                <w:bCs w:val="0"/>
                <w:color w:val="auto"/>
                <w:spacing w:val="4"/>
                <w:kern w:val="0"/>
                <w:sz w:val="24"/>
                <w:szCs w:val="24"/>
                <w:highlight w:val="none"/>
              </w:rPr>
            </w:pP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14:paraId="0D5209D6">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b/>
                <w:bCs w:val="0"/>
                <w:color w:val="auto"/>
                <w:spacing w:val="4"/>
                <w:kern w:val="0"/>
                <w:sz w:val="24"/>
                <w:szCs w:val="24"/>
                <w:highlight w:val="none"/>
              </w:rPr>
            </w:pPr>
          </w:p>
        </w:tc>
        <w:tc>
          <w:tcPr>
            <w:tcW w:w="15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8CBF13F">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b/>
                <w:bCs w:val="0"/>
                <w:color w:val="auto"/>
                <w:spacing w:val="4"/>
                <w:kern w:val="0"/>
                <w:sz w:val="24"/>
                <w:szCs w:val="24"/>
                <w:highlight w:val="none"/>
              </w:rPr>
            </w:pPr>
          </w:p>
        </w:tc>
        <w:tc>
          <w:tcPr>
            <w:tcW w:w="178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E9EE51C">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b/>
                <w:bCs w:val="0"/>
                <w:color w:val="auto"/>
                <w:spacing w:val="4"/>
                <w:kern w:val="0"/>
                <w:sz w:val="24"/>
                <w:szCs w:val="24"/>
                <w:highlight w:val="none"/>
              </w:rPr>
            </w:pPr>
          </w:p>
        </w:tc>
        <w:tc>
          <w:tcPr>
            <w:tcW w:w="154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96CBD7B">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b/>
                <w:bCs w:val="0"/>
                <w:color w:val="auto"/>
                <w:spacing w:val="4"/>
                <w:kern w:val="0"/>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shd w:val="clear" w:color="auto" w:fill="auto"/>
            <w:vAlign w:val="center"/>
          </w:tcPr>
          <w:p w14:paraId="4756140A">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b/>
                <w:bCs w:val="0"/>
                <w:color w:val="auto"/>
                <w:spacing w:val="4"/>
                <w:kern w:val="0"/>
                <w:sz w:val="24"/>
                <w:szCs w:val="24"/>
                <w:highlight w:val="none"/>
              </w:rPr>
            </w:pPr>
          </w:p>
        </w:tc>
      </w:tr>
      <w:tr w14:paraId="17999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154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FF84D5F">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24"/>
                <w:szCs w:val="24"/>
                <w:highlight w:val="none"/>
              </w:rPr>
            </w:pP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14:paraId="13EC2735">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24"/>
                <w:szCs w:val="24"/>
                <w:highlight w:val="none"/>
              </w:rPr>
            </w:pPr>
          </w:p>
        </w:tc>
        <w:tc>
          <w:tcPr>
            <w:tcW w:w="15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81800DE">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24"/>
                <w:szCs w:val="24"/>
                <w:highlight w:val="none"/>
              </w:rPr>
            </w:pPr>
          </w:p>
        </w:tc>
        <w:tc>
          <w:tcPr>
            <w:tcW w:w="178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BE08E9C">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24"/>
                <w:szCs w:val="24"/>
                <w:highlight w:val="none"/>
              </w:rPr>
            </w:pPr>
          </w:p>
        </w:tc>
        <w:tc>
          <w:tcPr>
            <w:tcW w:w="154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CB2E48E">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shd w:val="clear" w:color="auto" w:fill="auto"/>
            <w:vAlign w:val="center"/>
          </w:tcPr>
          <w:p w14:paraId="5F056E97">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24"/>
                <w:szCs w:val="24"/>
                <w:highlight w:val="none"/>
              </w:rPr>
            </w:pPr>
          </w:p>
        </w:tc>
      </w:tr>
      <w:tr w14:paraId="3634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154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EED83D1">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24"/>
                <w:szCs w:val="24"/>
                <w:highlight w:val="none"/>
              </w:rPr>
            </w:pPr>
          </w:p>
        </w:tc>
        <w:tc>
          <w:tcPr>
            <w:tcW w:w="1547" w:type="dxa"/>
            <w:tcBorders>
              <w:top w:val="single" w:color="auto" w:sz="4" w:space="0"/>
              <w:left w:val="single" w:color="auto" w:sz="4" w:space="0"/>
              <w:bottom w:val="single" w:color="auto" w:sz="4" w:space="0"/>
              <w:right w:val="single" w:color="auto" w:sz="4" w:space="0"/>
            </w:tcBorders>
            <w:shd w:val="clear" w:color="auto" w:fill="auto"/>
            <w:vAlign w:val="center"/>
          </w:tcPr>
          <w:p w14:paraId="6C4A648F">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24"/>
                <w:szCs w:val="24"/>
                <w:highlight w:val="none"/>
              </w:rPr>
            </w:pPr>
          </w:p>
        </w:tc>
        <w:tc>
          <w:tcPr>
            <w:tcW w:w="15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B57498B">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24"/>
                <w:szCs w:val="24"/>
                <w:highlight w:val="none"/>
              </w:rPr>
            </w:pPr>
          </w:p>
        </w:tc>
        <w:tc>
          <w:tcPr>
            <w:tcW w:w="178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015B764">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24"/>
                <w:szCs w:val="24"/>
                <w:highlight w:val="none"/>
              </w:rPr>
            </w:pPr>
          </w:p>
        </w:tc>
        <w:tc>
          <w:tcPr>
            <w:tcW w:w="154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F4B8AE6">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shd w:val="clear" w:color="auto" w:fill="auto"/>
            <w:vAlign w:val="center"/>
          </w:tcPr>
          <w:p w14:paraId="63BC2078">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24"/>
                <w:szCs w:val="24"/>
                <w:highlight w:val="none"/>
              </w:rPr>
            </w:pPr>
          </w:p>
        </w:tc>
      </w:tr>
    </w:tbl>
    <w:p w14:paraId="279540D0">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15DB8851">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center"/>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投</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标</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人：（盖章）</w:t>
      </w:r>
    </w:p>
    <w:p w14:paraId="581265CB">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center"/>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法定代表人或授权代理人（签字或盖章）：</w:t>
      </w:r>
    </w:p>
    <w:p w14:paraId="354F490D">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center"/>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日</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期：</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年</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月</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日</w:t>
      </w:r>
      <w:r>
        <w:rPr>
          <w:rFonts w:hint="eastAsia" w:ascii="宋体" w:hAnsi="宋体" w:eastAsia="宋体" w:cs="Times New Roman"/>
          <w:color w:val="auto"/>
          <w:spacing w:val="4"/>
          <w:kern w:val="0"/>
          <w:sz w:val="24"/>
          <w:szCs w:val="24"/>
          <w:highlight w:val="none"/>
          <w:lang w:val="en-US" w:eastAsia="zh-CN" w:bidi="ar"/>
        </w:rPr>
        <w:t xml:space="preserve"> </w:t>
      </w:r>
    </w:p>
    <w:p w14:paraId="53CDA5D7">
      <w:pPr>
        <w:keepNext w:val="0"/>
        <w:keepLines w:val="0"/>
        <w:widowControl w:val="0"/>
        <w:suppressLineNumbers w:val="0"/>
        <w:topLinePunct/>
        <w:adjustRightInd w:val="0"/>
        <w:snapToGrid w:val="0"/>
        <w:spacing w:before="0" w:beforeAutospacing="0" w:after="0" w:afterAutospacing="0" w:line="360" w:lineRule="auto"/>
        <w:ind w:left="0" w:right="0" w:firstLine="691" w:firstLineChars="279"/>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230350A0">
      <w:pPr>
        <w:spacing w:line="360" w:lineRule="auto"/>
        <w:rPr>
          <w:rFonts w:hint="eastAsia" w:ascii="宋体" w:hAnsi="宋体" w:eastAsia="宋体" w:cs="Times New Roman"/>
          <w:color w:val="auto"/>
          <w:spacing w:val="4"/>
          <w:kern w:val="0"/>
          <w:sz w:val="24"/>
          <w:szCs w:val="24"/>
          <w:highlight w:val="none"/>
        </w:rPr>
        <w:sectPr>
          <w:pgSz w:w="11907" w:h="16840"/>
          <w:pgMar w:top="1418" w:right="1418" w:bottom="1418" w:left="1418" w:header="851" w:footer="851" w:gutter="0"/>
          <w:pgNumType w:fmt="decimal"/>
          <w:cols w:space="425" w:num="1"/>
          <w:docGrid w:type="lines" w:linePitch="312" w:charSpace="0"/>
        </w:sectPr>
      </w:pPr>
    </w:p>
    <w:p w14:paraId="34690406">
      <w:pPr>
        <w:keepNext w:val="0"/>
        <w:keepLines w:val="0"/>
        <w:widowControl w:val="0"/>
        <w:suppressLineNumbers w:val="0"/>
        <w:topLinePunct/>
        <w:adjustRightInd w:val="0"/>
        <w:snapToGrid w:val="0"/>
        <w:spacing w:before="0" w:beforeAutospacing="0" w:after="0" w:afterAutospacing="0"/>
        <w:ind w:left="0" w:right="0"/>
        <w:jc w:val="left"/>
        <w:outlineLvl w:val="2"/>
        <w:rPr>
          <w:rFonts w:hint="eastAsia" w:ascii="宋体" w:hAnsi="宋体" w:eastAsia="宋体" w:cs="Times New Roman"/>
          <w:color w:val="auto"/>
          <w:spacing w:val="4"/>
          <w:kern w:val="0"/>
          <w:sz w:val="24"/>
          <w:szCs w:val="24"/>
          <w:highlight w:val="none"/>
        </w:rPr>
      </w:pPr>
      <w:bookmarkStart w:id="125" w:name="_Toc8685"/>
      <w:bookmarkEnd w:id="125"/>
      <w:bookmarkStart w:id="126" w:name="_Toc14697664"/>
      <w:r>
        <w:rPr>
          <w:rFonts w:hint="eastAsia" w:ascii="宋体" w:hAnsi="宋体" w:eastAsia="宋体" w:cs="宋体"/>
          <w:color w:val="auto"/>
          <w:spacing w:val="4"/>
          <w:kern w:val="0"/>
          <w:sz w:val="24"/>
          <w:szCs w:val="24"/>
          <w:highlight w:val="none"/>
          <w:lang w:val="en-US" w:eastAsia="zh-CN" w:bidi="ar"/>
        </w:rPr>
        <w:t>格式十：已竣工验收的类似工程业绩表</w:t>
      </w:r>
      <w:bookmarkEnd w:id="126"/>
      <w:r>
        <w:rPr>
          <w:rFonts w:hint="eastAsia" w:ascii="宋体" w:hAnsi="宋体" w:eastAsia="宋体" w:cs="宋体"/>
          <w:color w:val="auto"/>
          <w:spacing w:val="4"/>
          <w:kern w:val="0"/>
          <w:sz w:val="24"/>
          <w:szCs w:val="24"/>
          <w:highlight w:val="none"/>
          <w:lang w:val="en-US" w:eastAsia="zh-CN" w:bidi="ar"/>
        </w:rPr>
        <w:t>、企业获奖业绩表</w:t>
      </w:r>
    </w:p>
    <w:p w14:paraId="76CA1BCB">
      <w:pPr>
        <w:keepNext w:val="0"/>
        <w:keepLines w:val="0"/>
        <w:widowControl w:val="0"/>
        <w:suppressLineNumbers w:val="0"/>
        <w:topLinePunct/>
        <w:adjustRightInd w:val="0"/>
        <w:snapToGrid w:val="0"/>
        <w:spacing w:before="156" w:beforeAutospacing="0" w:after="156" w:afterAutospacing="0" w:line="360" w:lineRule="auto"/>
        <w:ind w:left="0" w:right="0"/>
        <w:jc w:val="center"/>
        <w:rPr>
          <w:rFonts w:hint="eastAsia" w:ascii="宋体" w:hAnsi="宋体" w:eastAsia="宋体" w:cs="Times New Roman"/>
          <w:color w:val="auto"/>
          <w:spacing w:val="4"/>
          <w:kern w:val="0"/>
          <w:sz w:val="36"/>
          <w:szCs w:val="36"/>
          <w:highlight w:val="none"/>
        </w:rPr>
      </w:pPr>
      <w:r>
        <w:rPr>
          <w:rFonts w:hint="eastAsia" w:ascii="宋体" w:hAnsi="宋体" w:eastAsia="宋体" w:cs="宋体"/>
          <w:color w:val="auto"/>
          <w:spacing w:val="4"/>
          <w:kern w:val="0"/>
          <w:sz w:val="36"/>
          <w:szCs w:val="36"/>
          <w:highlight w:val="none"/>
          <w:lang w:val="en-US" w:eastAsia="zh-CN" w:bidi="ar"/>
        </w:rPr>
        <w:t>已竣工验收的类似工程业绩表</w:t>
      </w:r>
    </w:p>
    <w:tbl>
      <w:tblPr>
        <w:tblStyle w:val="17"/>
        <w:tblW w:w="8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61"/>
        <w:gridCol w:w="3698"/>
        <w:gridCol w:w="3019"/>
      </w:tblGrid>
      <w:tr w14:paraId="22026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2" w:hRule="atLeast"/>
          <w:jc w:val="center"/>
        </w:trPr>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14:paraId="7CE96493">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序号</w:t>
            </w:r>
          </w:p>
        </w:tc>
        <w:tc>
          <w:tcPr>
            <w:tcW w:w="3698" w:type="dxa"/>
            <w:tcBorders>
              <w:top w:val="single" w:color="auto" w:sz="4" w:space="0"/>
              <w:left w:val="single" w:color="auto" w:sz="4" w:space="0"/>
              <w:bottom w:val="single" w:color="auto" w:sz="4" w:space="0"/>
              <w:right w:val="single" w:color="auto" w:sz="4" w:space="0"/>
            </w:tcBorders>
            <w:shd w:val="clear" w:color="auto" w:fill="auto"/>
            <w:vAlign w:val="center"/>
          </w:tcPr>
          <w:p w14:paraId="39A7D8EC">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项目名称</w:t>
            </w:r>
          </w:p>
        </w:tc>
        <w:tc>
          <w:tcPr>
            <w:tcW w:w="3019" w:type="dxa"/>
            <w:tcBorders>
              <w:top w:val="single" w:color="auto" w:sz="4" w:space="0"/>
              <w:left w:val="single" w:color="auto" w:sz="4" w:space="0"/>
              <w:bottom w:val="single" w:color="auto" w:sz="4" w:space="0"/>
              <w:right w:val="single" w:color="auto" w:sz="4" w:space="0"/>
            </w:tcBorders>
            <w:shd w:val="clear" w:color="auto" w:fill="auto"/>
            <w:vAlign w:val="center"/>
          </w:tcPr>
          <w:p w14:paraId="28989DE6">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项目编号</w:t>
            </w:r>
          </w:p>
        </w:tc>
      </w:tr>
      <w:tr w14:paraId="28C4E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602" w:hRule="atLeast"/>
          <w:jc w:val="center"/>
        </w:trPr>
        <w:tc>
          <w:tcPr>
            <w:tcW w:w="1661" w:type="dxa"/>
            <w:tcBorders>
              <w:top w:val="single" w:color="auto" w:sz="4" w:space="0"/>
              <w:left w:val="single" w:color="auto" w:sz="4" w:space="0"/>
              <w:bottom w:val="single" w:color="auto" w:sz="4" w:space="0"/>
              <w:right w:val="single" w:color="auto" w:sz="4" w:space="0"/>
            </w:tcBorders>
            <w:shd w:val="clear" w:color="auto" w:fill="auto"/>
            <w:vAlign w:val="top"/>
          </w:tcPr>
          <w:p w14:paraId="4D743336">
            <w:pPr>
              <w:keepNext w:val="0"/>
              <w:keepLines w:val="0"/>
              <w:widowControl w:val="0"/>
              <w:suppressLineNumbers w:val="0"/>
              <w:spacing w:before="0" w:beforeAutospacing="0" w:after="0" w:afterAutospacing="0"/>
              <w:ind w:left="0" w:right="0"/>
              <w:jc w:val="center"/>
              <w:rPr>
                <w:rFonts w:hint="eastAsia" w:ascii="宋体" w:hAnsi="宋体" w:eastAsia="宋体" w:cs="Times New Roman"/>
                <w:b/>
                <w:bCs w:val="0"/>
                <w:color w:val="auto"/>
                <w:kern w:val="2"/>
                <w:sz w:val="24"/>
                <w:szCs w:val="24"/>
                <w:highlight w:val="none"/>
              </w:rPr>
            </w:pPr>
          </w:p>
        </w:tc>
        <w:tc>
          <w:tcPr>
            <w:tcW w:w="3698" w:type="dxa"/>
            <w:tcBorders>
              <w:top w:val="single" w:color="auto" w:sz="4" w:space="0"/>
              <w:left w:val="single" w:color="auto" w:sz="4" w:space="0"/>
              <w:bottom w:val="single" w:color="auto" w:sz="4" w:space="0"/>
              <w:right w:val="single" w:color="auto" w:sz="4" w:space="0"/>
            </w:tcBorders>
            <w:shd w:val="clear" w:color="auto" w:fill="auto"/>
            <w:vAlign w:val="top"/>
          </w:tcPr>
          <w:p w14:paraId="78060ABD">
            <w:pPr>
              <w:keepNext w:val="0"/>
              <w:keepLines w:val="0"/>
              <w:widowControl w:val="0"/>
              <w:suppressLineNumbers w:val="0"/>
              <w:spacing w:before="0" w:beforeAutospacing="0" w:after="0" w:afterAutospacing="0"/>
              <w:ind w:left="0" w:right="0"/>
              <w:jc w:val="center"/>
              <w:rPr>
                <w:rFonts w:hint="eastAsia" w:ascii="宋体" w:hAnsi="宋体" w:eastAsia="宋体" w:cs="Times New Roman"/>
                <w:b/>
                <w:bCs w:val="0"/>
                <w:color w:val="auto"/>
                <w:kern w:val="2"/>
                <w:sz w:val="24"/>
                <w:szCs w:val="24"/>
                <w:highlight w:val="none"/>
              </w:rPr>
            </w:pPr>
          </w:p>
        </w:tc>
        <w:tc>
          <w:tcPr>
            <w:tcW w:w="3019" w:type="dxa"/>
            <w:tcBorders>
              <w:top w:val="single" w:color="auto" w:sz="4" w:space="0"/>
              <w:left w:val="single" w:color="auto" w:sz="4" w:space="0"/>
              <w:bottom w:val="single" w:color="auto" w:sz="4" w:space="0"/>
              <w:right w:val="single" w:color="auto" w:sz="4" w:space="0"/>
            </w:tcBorders>
            <w:shd w:val="clear" w:color="auto" w:fill="auto"/>
            <w:vAlign w:val="top"/>
          </w:tcPr>
          <w:p w14:paraId="085285DA">
            <w:pPr>
              <w:keepNext w:val="0"/>
              <w:keepLines w:val="0"/>
              <w:widowControl w:val="0"/>
              <w:suppressLineNumbers w:val="0"/>
              <w:spacing w:before="0" w:beforeAutospacing="0" w:after="0" w:afterAutospacing="0"/>
              <w:ind w:left="0" w:right="0"/>
              <w:jc w:val="center"/>
              <w:rPr>
                <w:rFonts w:hint="eastAsia" w:ascii="宋体" w:hAnsi="宋体" w:eastAsia="宋体" w:cs="Times New Roman"/>
                <w:b/>
                <w:bCs w:val="0"/>
                <w:color w:val="auto"/>
                <w:kern w:val="2"/>
                <w:sz w:val="24"/>
                <w:szCs w:val="24"/>
                <w:highlight w:val="none"/>
              </w:rPr>
            </w:pPr>
          </w:p>
        </w:tc>
      </w:tr>
      <w:tr w14:paraId="06A05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1" w:hRule="atLeast"/>
          <w:jc w:val="center"/>
        </w:trPr>
        <w:tc>
          <w:tcPr>
            <w:tcW w:w="1661" w:type="dxa"/>
            <w:tcBorders>
              <w:top w:val="single" w:color="auto" w:sz="4" w:space="0"/>
              <w:left w:val="single" w:color="auto" w:sz="4" w:space="0"/>
              <w:bottom w:val="single" w:color="auto" w:sz="4" w:space="0"/>
              <w:right w:val="single" w:color="auto" w:sz="4" w:space="0"/>
            </w:tcBorders>
            <w:shd w:val="clear" w:color="auto" w:fill="auto"/>
            <w:vAlign w:val="top"/>
          </w:tcPr>
          <w:p w14:paraId="4074D0B0">
            <w:pPr>
              <w:keepNext w:val="0"/>
              <w:keepLines w:val="0"/>
              <w:widowControl w:val="0"/>
              <w:suppressLineNumbers w:val="0"/>
              <w:spacing w:before="0" w:beforeAutospacing="0" w:after="0" w:afterAutospacing="0"/>
              <w:ind w:left="0" w:right="0"/>
              <w:jc w:val="center"/>
              <w:rPr>
                <w:rFonts w:hint="eastAsia" w:ascii="宋体" w:hAnsi="宋体" w:eastAsia="宋体" w:cs="Times New Roman"/>
                <w:b/>
                <w:bCs w:val="0"/>
                <w:color w:val="auto"/>
                <w:kern w:val="2"/>
                <w:sz w:val="24"/>
                <w:szCs w:val="24"/>
                <w:highlight w:val="none"/>
              </w:rPr>
            </w:pPr>
          </w:p>
        </w:tc>
        <w:tc>
          <w:tcPr>
            <w:tcW w:w="3698" w:type="dxa"/>
            <w:tcBorders>
              <w:top w:val="single" w:color="auto" w:sz="4" w:space="0"/>
              <w:left w:val="single" w:color="auto" w:sz="4" w:space="0"/>
              <w:bottom w:val="single" w:color="auto" w:sz="4" w:space="0"/>
              <w:right w:val="single" w:color="auto" w:sz="4" w:space="0"/>
            </w:tcBorders>
            <w:shd w:val="clear" w:color="auto" w:fill="auto"/>
            <w:vAlign w:val="top"/>
          </w:tcPr>
          <w:p w14:paraId="2579BD4C">
            <w:pPr>
              <w:keepNext w:val="0"/>
              <w:keepLines w:val="0"/>
              <w:widowControl w:val="0"/>
              <w:suppressLineNumbers w:val="0"/>
              <w:spacing w:before="0" w:beforeAutospacing="0" w:after="0" w:afterAutospacing="0"/>
              <w:ind w:left="0" w:right="0"/>
              <w:jc w:val="center"/>
              <w:rPr>
                <w:rFonts w:hint="eastAsia" w:ascii="宋体" w:hAnsi="宋体" w:eastAsia="宋体" w:cs="Times New Roman"/>
                <w:b/>
                <w:bCs w:val="0"/>
                <w:color w:val="auto"/>
                <w:kern w:val="2"/>
                <w:sz w:val="24"/>
                <w:szCs w:val="24"/>
                <w:highlight w:val="none"/>
              </w:rPr>
            </w:pPr>
          </w:p>
        </w:tc>
        <w:tc>
          <w:tcPr>
            <w:tcW w:w="3019" w:type="dxa"/>
            <w:tcBorders>
              <w:top w:val="single" w:color="auto" w:sz="4" w:space="0"/>
              <w:left w:val="single" w:color="auto" w:sz="4" w:space="0"/>
              <w:bottom w:val="single" w:color="auto" w:sz="4" w:space="0"/>
              <w:right w:val="single" w:color="auto" w:sz="4" w:space="0"/>
            </w:tcBorders>
            <w:shd w:val="clear" w:color="auto" w:fill="auto"/>
            <w:vAlign w:val="top"/>
          </w:tcPr>
          <w:p w14:paraId="514E829A">
            <w:pPr>
              <w:keepNext w:val="0"/>
              <w:keepLines w:val="0"/>
              <w:widowControl w:val="0"/>
              <w:suppressLineNumbers w:val="0"/>
              <w:spacing w:before="0" w:beforeAutospacing="0" w:after="0" w:afterAutospacing="0"/>
              <w:ind w:left="0" w:right="0"/>
              <w:jc w:val="center"/>
              <w:rPr>
                <w:rFonts w:hint="eastAsia" w:ascii="宋体" w:hAnsi="宋体" w:eastAsia="宋体" w:cs="Times New Roman"/>
                <w:b/>
                <w:bCs w:val="0"/>
                <w:color w:val="auto"/>
                <w:kern w:val="2"/>
                <w:sz w:val="24"/>
                <w:szCs w:val="24"/>
                <w:highlight w:val="none"/>
              </w:rPr>
            </w:pPr>
          </w:p>
        </w:tc>
      </w:tr>
    </w:tbl>
    <w:p w14:paraId="44A9A191">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14:paraId="7B3B0613">
      <w:pPr>
        <w:keepNext w:val="0"/>
        <w:keepLines w:val="0"/>
        <w:widowControl w:val="0"/>
        <w:suppressLineNumbers w:val="0"/>
        <w:spacing w:before="0" w:beforeAutospacing="0" w:after="0" w:afterAutospacing="0" w:line="271" w:lineRule="auto"/>
        <w:ind w:left="0" w:right="0" w:firstLine="424" w:firstLineChars="202"/>
        <w:jc w:val="left"/>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注：按技术标详细审查的评审要求提供，如无已竣工验收的类似工程业绩的，在项目栏中填写“无”。</w:t>
      </w:r>
    </w:p>
    <w:p w14:paraId="42DFABB6">
      <w:pPr>
        <w:keepNext w:val="0"/>
        <w:keepLines w:val="0"/>
        <w:widowControl w:val="0"/>
        <w:suppressLineNumbers w:val="0"/>
        <w:spacing w:before="0" w:beforeAutospacing="0" w:after="0" w:afterAutospacing="0"/>
        <w:ind w:left="0" w:right="0"/>
        <w:jc w:val="left"/>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 xml:space="preserve"> </w:t>
      </w:r>
    </w:p>
    <w:p w14:paraId="175E6ADE">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3795861C">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投标人：  （盖章）</w:t>
      </w:r>
    </w:p>
    <w:p w14:paraId="50BCF3E8">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法定代表人或授权代理人(签字或盖章)：</w:t>
      </w:r>
    </w:p>
    <w:p w14:paraId="35C3A7BD">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日</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期：</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年</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月</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日</w:t>
      </w:r>
      <w:r>
        <w:rPr>
          <w:rFonts w:hint="eastAsia" w:ascii="宋体" w:hAnsi="宋体" w:eastAsia="宋体" w:cs="Times New Roman"/>
          <w:color w:val="auto"/>
          <w:spacing w:val="4"/>
          <w:kern w:val="0"/>
          <w:sz w:val="24"/>
          <w:szCs w:val="24"/>
          <w:highlight w:val="none"/>
          <w:lang w:val="en-US" w:eastAsia="zh-CN" w:bidi="ar"/>
        </w:rPr>
        <w:t xml:space="preserve"> </w:t>
      </w:r>
    </w:p>
    <w:p w14:paraId="163957EC">
      <w:pPr>
        <w:keepNext w:val="0"/>
        <w:keepLines w:val="0"/>
        <w:widowControl w:val="0"/>
        <w:suppressLineNumbers w:val="0"/>
        <w:topLinePunct/>
        <w:adjustRightInd w:val="0"/>
        <w:snapToGrid w:val="0"/>
        <w:spacing w:before="0" w:beforeAutospacing="0" w:after="0" w:afterAutospacing="0"/>
        <w:ind w:left="0" w:right="0"/>
        <w:jc w:val="left"/>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58C76D79">
      <w:pPr>
        <w:keepNext w:val="0"/>
        <w:keepLines w:val="0"/>
        <w:widowControl w:val="0"/>
        <w:suppressLineNumbers w:val="0"/>
        <w:topLinePunct/>
        <w:adjustRightInd w:val="0"/>
        <w:snapToGrid w:val="0"/>
        <w:spacing w:before="156" w:beforeLines="50" w:beforeAutospacing="0" w:after="156" w:afterLines="50" w:afterAutospacing="0"/>
        <w:ind w:left="0" w:right="0"/>
        <w:jc w:val="left"/>
        <w:rPr>
          <w:rFonts w:hint="eastAsia" w:ascii="宋体" w:hAnsi="宋体" w:eastAsia="宋体" w:cs="Times New Roman"/>
          <w:b/>
          <w:bCs w:val="0"/>
          <w:color w:val="auto"/>
          <w:spacing w:val="4"/>
          <w:kern w:val="0"/>
          <w:sz w:val="24"/>
          <w:szCs w:val="24"/>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14:paraId="7717C515">
      <w:pPr>
        <w:pStyle w:val="14"/>
        <w:keepNext w:val="0"/>
        <w:keepLines w:val="0"/>
        <w:widowControl w:val="0"/>
        <w:suppressLineNumbers w:val="0"/>
        <w:spacing w:before="0" w:beforeAutospacing="0" w:after="0" w:afterAutospacing="0"/>
        <w:ind w:left="0" w:right="0" w:firstLine="420"/>
        <w:jc w:val="both"/>
        <w:rPr>
          <w:rFonts w:hint="eastAsia" w:ascii="宋体" w:hAnsi="宋体" w:eastAsia="宋体" w:cs="Times New Roman"/>
          <w:b/>
          <w:bCs w:val="0"/>
          <w:color w:val="auto"/>
          <w:spacing w:val="4"/>
          <w:kern w:val="0"/>
          <w:sz w:val="24"/>
          <w:szCs w:val="24"/>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14:paraId="5F1B1E24">
      <w:pPr>
        <w:keepNext w:val="0"/>
        <w:keepLines w:val="0"/>
        <w:widowControl w:val="0"/>
        <w:suppressLineNumbers w:val="0"/>
        <w:spacing w:before="0" w:beforeAutospacing="0" w:after="0" w:afterAutospacing="0"/>
        <w:ind w:left="0" w:right="0"/>
        <w:jc w:val="both"/>
        <w:rPr>
          <w:rFonts w:hint="eastAsia" w:ascii="宋体" w:hAnsi="宋体" w:eastAsia="宋体" w:cs="Times New Roman"/>
          <w:b/>
          <w:bCs w:val="0"/>
          <w:color w:val="auto"/>
          <w:spacing w:val="4"/>
          <w:kern w:val="0"/>
          <w:sz w:val="24"/>
          <w:szCs w:val="24"/>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14:paraId="0A7CC73C">
      <w:pPr>
        <w:pStyle w:val="14"/>
        <w:keepNext w:val="0"/>
        <w:keepLines w:val="0"/>
        <w:widowControl w:val="0"/>
        <w:suppressLineNumbers w:val="0"/>
        <w:spacing w:before="0" w:beforeAutospacing="0" w:after="0" w:afterAutospacing="0"/>
        <w:ind w:left="0" w:right="0" w:firstLine="420"/>
        <w:jc w:val="both"/>
        <w:rPr>
          <w:rFonts w:hint="eastAsia" w:ascii="宋体" w:hAnsi="宋体" w:eastAsia="宋体" w:cs="Times New Roman"/>
          <w:b/>
          <w:bCs w:val="0"/>
          <w:color w:val="auto"/>
          <w:spacing w:val="4"/>
          <w:kern w:val="0"/>
          <w:sz w:val="24"/>
          <w:szCs w:val="24"/>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14:paraId="04B1585A">
      <w:pPr>
        <w:keepNext w:val="0"/>
        <w:keepLines w:val="0"/>
        <w:widowControl w:val="0"/>
        <w:suppressLineNumbers w:val="0"/>
        <w:spacing w:before="0" w:beforeAutospacing="0" w:after="0" w:afterAutospacing="0"/>
        <w:ind w:left="0" w:right="0"/>
        <w:jc w:val="both"/>
        <w:rPr>
          <w:rFonts w:hint="eastAsia" w:ascii="宋体" w:hAnsi="宋体" w:eastAsia="宋体" w:cs="Times New Roman"/>
          <w:b/>
          <w:bCs w:val="0"/>
          <w:color w:val="auto"/>
          <w:spacing w:val="4"/>
          <w:kern w:val="0"/>
          <w:sz w:val="24"/>
          <w:szCs w:val="24"/>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14:paraId="316D0F30">
      <w:pPr>
        <w:pStyle w:val="14"/>
        <w:keepNext w:val="0"/>
        <w:keepLines w:val="0"/>
        <w:widowControl w:val="0"/>
        <w:suppressLineNumbers w:val="0"/>
        <w:spacing w:before="0" w:beforeAutospacing="0" w:after="0" w:afterAutospacing="0"/>
        <w:ind w:left="0" w:right="0" w:firstLine="420"/>
        <w:jc w:val="both"/>
        <w:rPr>
          <w:rFonts w:hint="eastAsia" w:ascii="宋体" w:hAnsi="宋体" w:eastAsia="宋体" w:cs="Times New Roman"/>
          <w:b/>
          <w:bCs w:val="0"/>
          <w:color w:val="auto"/>
          <w:spacing w:val="4"/>
          <w:kern w:val="0"/>
          <w:sz w:val="24"/>
          <w:szCs w:val="24"/>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14:paraId="48436D15">
      <w:pPr>
        <w:keepNext w:val="0"/>
        <w:keepLines w:val="0"/>
        <w:widowControl w:val="0"/>
        <w:suppressLineNumbers w:val="0"/>
        <w:spacing w:before="0" w:beforeAutospacing="0" w:after="0" w:afterAutospacing="0"/>
        <w:ind w:left="0" w:right="0"/>
        <w:jc w:val="both"/>
        <w:rPr>
          <w:rFonts w:hint="eastAsia" w:ascii="宋体" w:hAnsi="宋体" w:eastAsia="宋体" w:cs="Times New Roman"/>
          <w:b/>
          <w:bCs w:val="0"/>
          <w:color w:val="auto"/>
          <w:spacing w:val="4"/>
          <w:kern w:val="0"/>
          <w:sz w:val="24"/>
          <w:szCs w:val="24"/>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14:paraId="375A5ED4">
      <w:pPr>
        <w:pStyle w:val="14"/>
        <w:keepNext w:val="0"/>
        <w:keepLines w:val="0"/>
        <w:widowControl w:val="0"/>
        <w:suppressLineNumbers w:val="0"/>
        <w:spacing w:before="0" w:beforeAutospacing="0" w:after="0" w:afterAutospacing="0"/>
        <w:ind w:left="0" w:right="0" w:firstLine="420"/>
        <w:jc w:val="both"/>
        <w:rPr>
          <w:rFonts w:hint="eastAsia" w:ascii="宋体" w:hAnsi="宋体" w:eastAsia="宋体" w:cs="Times New Roman"/>
          <w:b/>
          <w:bCs w:val="0"/>
          <w:color w:val="auto"/>
          <w:spacing w:val="4"/>
          <w:kern w:val="0"/>
          <w:sz w:val="24"/>
          <w:szCs w:val="24"/>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14:paraId="5142F718">
      <w:pPr>
        <w:keepNext w:val="0"/>
        <w:keepLines w:val="0"/>
        <w:widowControl w:val="0"/>
        <w:suppressLineNumbers w:val="0"/>
        <w:spacing w:before="0" w:beforeAutospacing="0" w:after="0" w:afterAutospacing="0"/>
        <w:ind w:left="0" w:right="0"/>
        <w:jc w:val="both"/>
        <w:rPr>
          <w:rFonts w:hint="eastAsia" w:ascii="宋体" w:hAnsi="宋体" w:eastAsia="宋体" w:cs="Times New Roman"/>
          <w:b/>
          <w:bCs w:val="0"/>
          <w:color w:val="auto"/>
          <w:spacing w:val="4"/>
          <w:kern w:val="0"/>
          <w:sz w:val="24"/>
          <w:szCs w:val="24"/>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14:paraId="4A62D475">
      <w:pPr>
        <w:pStyle w:val="14"/>
        <w:keepNext w:val="0"/>
        <w:keepLines w:val="0"/>
        <w:widowControl w:val="0"/>
        <w:suppressLineNumbers w:val="0"/>
        <w:spacing w:before="0" w:beforeAutospacing="0" w:after="0" w:afterAutospacing="0"/>
        <w:ind w:left="0" w:right="0" w:firstLine="420"/>
        <w:jc w:val="both"/>
        <w:rPr>
          <w:rFonts w:hint="eastAsia" w:ascii="宋体" w:hAnsi="宋体" w:eastAsia="宋体" w:cs="Times New Roman"/>
          <w:b/>
          <w:bCs w:val="0"/>
          <w:color w:val="auto"/>
          <w:spacing w:val="4"/>
          <w:kern w:val="0"/>
          <w:sz w:val="24"/>
          <w:szCs w:val="24"/>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14:paraId="23D0C940">
      <w:pPr>
        <w:keepNext w:val="0"/>
        <w:keepLines w:val="0"/>
        <w:widowControl w:val="0"/>
        <w:suppressLineNumbers w:val="0"/>
        <w:spacing w:before="0" w:beforeAutospacing="0" w:after="0" w:afterAutospacing="0"/>
        <w:ind w:left="0" w:right="0"/>
        <w:jc w:val="both"/>
        <w:rPr>
          <w:rFonts w:hint="eastAsia" w:ascii="宋体" w:hAnsi="宋体" w:eastAsia="宋体" w:cs="Times New Roman"/>
          <w:b/>
          <w:bCs w:val="0"/>
          <w:color w:val="auto"/>
          <w:spacing w:val="4"/>
          <w:kern w:val="0"/>
          <w:sz w:val="24"/>
          <w:szCs w:val="24"/>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14:paraId="0C4F26F4">
      <w:pPr>
        <w:pStyle w:val="14"/>
        <w:keepNext w:val="0"/>
        <w:keepLines w:val="0"/>
        <w:widowControl w:val="0"/>
        <w:suppressLineNumbers w:val="0"/>
        <w:spacing w:before="0" w:beforeAutospacing="0" w:after="0" w:afterAutospacing="0"/>
        <w:ind w:left="0" w:right="0" w:firstLine="420"/>
        <w:jc w:val="both"/>
        <w:rPr>
          <w:rFonts w:hint="eastAsia" w:ascii="宋体" w:hAnsi="宋体" w:eastAsia="宋体" w:cs="Times New Roman"/>
          <w:b/>
          <w:bCs w:val="0"/>
          <w:color w:val="auto"/>
          <w:spacing w:val="4"/>
          <w:kern w:val="0"/>
          <w:sz w:val="24"/>
          <w:szCs w:val="24"/>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14:paraId="6D5281F7">
      <w:pPr>
        <w:pStyle w:val="14"/>
        <w:keepNext w:val="0"/>
        <w:keepLines w:val="0"/>
        <w:widowControl w:val="0"/>
        <w:suppressLineNumbers w:val="0"/>
        <w:spacing w:before="0" w:beforeAutospacing="0" w:after="0" w:afterAutospacing="0"/>
        <w:ind w:left="0" w:right="0"/>
        <w:jc w:val="both"/>
        <w:rPr>
          <w:rFonts w:hint="eastAsia" w:ascii="宋体" w:hAnsi="Courier New" w:eastAsia="宋体" w:cs="Times New Roman"/>
          <w:color w:val="auto"/>
          <w:kern w:val="2"/>
          <w:sz w:val="21"/>
          <w:szCs w:val="21"/>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14:paraId="625CDC4B">
      <w:pPr>
        <w:keepNext w:val="0"/>
        <w:keepLines w:val="0"/>
        <w:widowControl w:val="0"/>
        <w:suppressLineNumbers w:val="0"/>
        <w:spacing w:before="0" w:beforeAutospacing="0" w:after="0" w:afterAutospacing="0" w:line="360" w:lineRule="auto"/>
        <w:ind w:left="0" w:right="0"/>
        <w:jc w:val="center"/>
        <w:rPr>
          <w:rFonts w:hint="default" w:ascii="黑体" w:hAnsi="宋体" w:eastAsia="黑体" w:cs="黑体"/>
          <w:color w:val="auto"/>
          <w:spacing w:val="4"/>
          <w:kern w:val="0"/>
          <w:sz w:val="36"/>
          <w:szCs w:val="36"/>
          <w:highlight w:val="none"/>
          <w:lang w:val="en-US" w:eastAsia="zh-CN" w:bidi="ar"/>
        </w:rPr>
      </w:pPr>
    </w:p>
    <w:p w14:paraId="0F427FFF">
      <w:pPr>
        <w:keepNext w:val="0"/>
        <w:keepLines w:val="0"/>
        <w:widowControl w:val="0"/>
        <w:suppressLineNumbers w:val="0"/>
        <w:spacing w:before="0" w:beforeAutospacing="0" w:after="0" w:afterAutospacing="0" w:line="360" w:lineRule="auto"/>
        <w:ind w:left="0" w:right="0"/>
        <w:jc w:val="center"/>
        <w:rPr>
          <w:rFonts w:hint="default" w:ascii="黑体" w:hAnsi="宋体" w:eastAsia="黑体" w:cs="黑体"/>
          <w:color w:val="auto"/>
          <w:spacing w:val="4"/>
          <w:kern w:val="0"/>
          <w:sz w:val="36"/>
          <w:szCs w:val="36"/>
          <w:highlight w:val="none"/>
          <w:lang w:val="en-US" w:eastAsia="zh-CN" w:bidi="ar"/>
        </w:rPr>
      </w:pPr>
    </w:p>
    <w:p w14:paraId="2910CC26">
      <w:pPr>
        <w:keepNext w:val="0"/>
        <w:keepLines w:val="0"/>
        <w:widowControl w:val="0"/>
        <w:suppressLineNumbers w:val="0"/>
        <w:spacing w:before="0" w:beforeAutospacing="0" w:after="0" w:afterAutospacing="0" w:line="360" w:lineRule="auto"/>
        <w:ind w:left="0" w:right="0"/>
        <w:jc w:val="center"/>
        <w:rPr>
          <w:rFonts w:hint="default" w:ascii="黑体" w:hAnsi="宋体" w:eastAsia="黑体" w:cs="黑体"/>
          <w:color w:val="auto"/>
          <w:spacing w:val="4"/>
          <w:kern w:val="0"/>
          <w:sz w:val="36"/>
          <w:szCs w:val="36"/>
          <w:highlight w:val="none"/>
          <w:lang w:val="en-US" w:eastAsia="zh-CN" w:bidi="ar"/>
        </w:rPr>
      </w:pPr>
    </w:p>
    <w:p w14:paraId="76213355">
      <w:pPr>
        <w:keepNext w:val="0"/>
        <w:keepLines w:val="0"/>
        <w:widowControl w:val="0"/>
        <w:suppressLineNumbers w:val="0"/>
        <w:spacing w:before="0" w:beforeAutospacing="0" w:after="0" w:afterAutospacing="0" w:line="360" w:lineRule="auto"/>
        <w:ind w:left="0" w:right="0"/>
        <w:jc w:val="center"/>
        <w:rPr>
          <w:rFonts w:hint="default" w:ascii="黑体" w:hAnsi="宋体" w:eastAsia="黑体" w:cs="黑体"/>
          <w:color w:val="auto"/>
          <w:spacing w:val="4"/>
          <w:kern w:val="0"/>
          <w:sz w:val="36"/>
          <w:szCs w:val="36"/>
          <w:highlight w:val="none"/>
          <w:lang w:val="en-US" w:eastAsia="zh-CN" w:bidi="ar"/>
        </w:rPr>
      </w:pPr>
    </w:p>
    <w:p w14:paraId="5569D306">
      <w:pPr>
        <w:keepNext w:val="0"/>
        <w:keepLines w:val="0"/>
        <w:widowControl w:val="0"/>
        <w:suppressLineNumbers w:val="0"/>
        <w:spacing w:before="0" w:beforeAutospacing="0" w:after="0" w:afterAutospacing="0" w:line="360" w:lineRule="auto"/>
        <w:ind w:left="0" w:right="0"/>
        <w:jc w:val="center"/>
        <w:rPr>
          <w:rFonts w:hint="default" w:ascii="黑体" w:hAnsi="宋体" w:eastAsia="黑体" w:cs="黑体"/>
          <w:color w:val="auto"/>
          <w:spacing w:val="4"/>
          <w:kern w:val="0"/>
          <w:sz w:val="36"/>
          <w:szCs w:val="36"/>
          <w:highlight w:val="none"/>
        </w:rPr>
      </w:pPr>
      <w:r>
        <w:rPr>
          <w:rFonts w:hint="default" w:ascii="黑体" w:hAnsi="宋体" w:eastAsia="黑体" w:cs="黑体"/>
          <w:color w:val="auto"/>
          <w:spacing w:val="4"/>
          <w:kern w:val="0"/>
          <w:sz w:val="36"/>
          <w:szCs w:val="36"/>
          <w:highlight w:val="none"/>
          <w:lang w:val="en-US" w:eastAsia="zh-CN" w:bidi="ar"/>
        </w:rPr>
        <w:t xml:space="preserve"> </w:t>
      </w:r>
    </w:p>
    <w:p w14:paraId="76B77964">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黑体" w:cs="Times New Roman"/>
          <w:color w:val="auto"/>
          <w:spacing w:val="4"/>
          <w:kern w:val="0"/>
          <w:sz w:val="36"/>
          <w:szCs w:val="36"/>
          <w:highlight w:val="none"/>
        </w:rPr>
      </w:pPr>
      <w:r>
        <w:rPr>
          <w:rFonts w:hint="default" w:ascii="黑体" w:hAnsi="宋体" w:eastAsia="黑体" w:cs="黑体"/>
          <w:color w:val="auto"/>
          <w:spacing w:val="4"/>
          <w:kern w:val="0"/>
          <w:sz w:val="36"/>
          <w:szCs w:val="36"/>
          <w:highlight w:val="none"/>
          <w:lang w:val="en-US" w:eastAsia="zh-CN" w:bidi="ar"/>
        </w:rPr>
        <w:t>二、企业获奖业绩表</w:t>
      </w:r>
    </w:p>
    <w:tbl>
      <w:tblPr>
        <w:tblStyle w:val="17"/>
        <w:tblW w:w="9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10"/>
        <w:gridCol w:w="4681"/>
        <w:gridCol w:w="1502"/>
        <w:gridCol w:w="2226"/>
      </w:tblGrid>
      <w:tr w14:paraId="4DEB3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7"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14:paraId="17BCC47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序号</w:t>
            </w:r>
          </w:p>
        </w:tc>
        <w:tc>
          <w:tcPr>
            <w:tcW w:w="4681" w:type="dxa"/>
            <w:tcBorders>
              <w:top w:val="single" w:color="auto" w:sz="4" w:space="0"/>
              <w:left w:val="nil"/>
              <w:bottom w:val="single" w:color="auto" w:sz="4" w:space="0"/>
              <w:right w:val="single" w:color="auto" w:sz="4" w:space="0"/>
            </w:tcBorders>
            <w:shd w:val="clear" w:color="auto" w:fill="auto"/>
            <w:vAlign w:val="center"/>
          </w:tcPr>
          <w:p w14:paraId="044862FC">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项目名称</w:t>
            </w:r>
          </w:p>
        </w:tc>
        <w:tc>
          <w:tcPr>
            <w:tcW w:w="1502" w:type="dxa"/>
            <w:tcBorders>
              <w:top w:val="single" w:color="auto" w:sz="4" w:space="0"/>
              <w:left w:val="nil"/>
              <w:bottom w:val="single" w:color="auto" w:sz="4" w:space="0"/>
              <w:right w:val="single" w:color="auto" w:sz="4" w:space="0"/>
            </w:tcBorders>
            <w:shd w:val="clear" w:color="auto" w:fill="auto"/>
            <w:vAlign w:val="center"/>
          </w:tcPr>
          <w:p w14:paraId="27DB4C8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项目编号</w:t>
            </w:r>
          </w:p>
        </w:tc>
        <w:tc>
          <w:tcPr>
            <w:tcW w:w="2226" w:type="dxa"/>
            <w:tcBorders>
              <w:top w:val="single" w:color="auto" w:sz="4" w:space="0"/>
              <w:left w:val="nil"/>
              <w:bottom w:val="single" w:color="auto" w:sz="4" w:space="0"/>
              <w:right w:val="single" w:color="auto" w:sz="4" w:space="0"/>
            </w:tcBorders>
            <w:shd w:val="clear" w:color="auto" w:fill="auto"/>
            <w:vAlign w:val="center"/>
          </w:tcPr>
          <w:p w14:paraId="56B85A7E">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所获奖项</w:t>
            </w:r>
          </w:p>
        </w:tc>
      </w:tr>
      <w:tr w14:paraId="15537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7"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14:paraId="30891CA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p>
        </w:tc>
        <w:tc>
          <w:tcPr>
            <w:tcW w:w="4681" w:type="dxa"/>
            <w:tcBorders>
              <w:top w:val="single" w:color="auto" w:sz="4" w:space="0"/>
              <w:left w:val="nil"/>
              <w:bottom w:val="single" w:color="auto" w:sz="4" w:space="0"/>
              <w:right w:val="single" w:color="auto" w:sz="4" w:space="0"/>
            </w:tcBorders>
            <w:shd w:val="clear" w:color="auto" w:fill="auto"/>
            <w:vAlign w:val="center"/>
          </w:tcPr>
          <w:p w14:paraId="2F2BF1D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p>
        </w:tc>
        <w:tc>
          <w:tcPr>
            <w:tcW w:w="1502" w:type="dxa"/>
            <w:tcBorders>
              <w:top w:val="single" w:color="auto" w:sz="4" w:space="0"/>
              <w:left w:val="nil"/>
              <w:bottom w:val="single" w:color="auto" w:sz="4" w:space="0"/>
              <w:right w:val="single" w:color="auto" w:sz="4" w:space="0"/>
            </w:tcBorders>
            <w:shd w:val="clear" w:color="auto" w:fill="auto"/>
            <w:vAlign w:val="center"/>
          </w:tcPr>
          <w:p w14:paraId="05097AE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p>
        </w:tc>
        <w:tc>
          <w:tcPr>
            <w:tcW w:w="2226" w:type="dxa"/>
            <w:tcBorders>
              <w:top w:val="single" w:color="auto" w:sz="4" w:space="0"/>
              <w:left w:val="nil"/>
              <w:bottom w:val="single" w:color="auto" w:sz="4" w:space="0"/>
              <w:right w:val="single" w:color="auto" w:sz="4" w:space="0"/>
            </w:tcBorders>
            <w:shd w:val="clear" w:color="auto" w:fill="auto"/>
            <w:vAlign w:val="center"/>
          </w:tcPr>
          <w:p w14:paraId="131EDE3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p>
        </w:tc>
      </w:tr>
      <w:tr w14:paraId="06171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7"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14:paraId="501B7FD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p>
        </w:tc>
        <w:tc>
          <w:tcPr>
            <w:tcW w:w="4681" w:type="dxa"/>
            <w:tcBorders>
              <w:top w:val="single" w:color="auto" w:sz="4" w:space="0"/>
              <w:left w:val="nil"/>
              <w:bottom w:val="single" w:color="auto" w:sz="4" w:space="0"/>
              <w:right w:val="single" w:color="auto" w:sz="4" w:space="0"/>
            </w:tcBorders>
            <w:shd w:val="clear" w:color="auto" w:fill="auto"/>
            <w:vAlign w:val="center"/>
          </w:tcPr>
          <w:p w14:paraId="4C47415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p>
        </w:tc>
        <w:tc>
          <w:tcPr>
            <w:tcW w:w="1502" w:type="dxa"/>
            <w:tcBorders>
              <w:top w:val="single" w:color="auto" w:sz="4" w:space="0"/>
              <w:left w:val="nil"/>
              <w:bottom w:val="single" w:color="auto" w:sz="4" w:space="0"/>
              <w:right w:val="single" w:color="auto" w:sz="4" w:space="0"/>
            </w:tcBorders>
            <w:shd w:val="clear" w:color="auto" w:fill="auto"/>
            <w:vAlign w:val="center"/>
          </w:tcPr>
          <w:p w14:paraId="06887F1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p>
        </w:tc>
        <w:tc>
          <w:tcPr>
            <w:tcW w:w="2226" w:type="dxa"/>
            <w:tcBorders>
              <w:top w:val="single" w:color="auto" w:sz="4" w:space="0"/>
              <w:left w:val="nil"/>
              <w:bottom w:val="single" w:color="auto" w:sz="4" w:space="0"/>
              <w:right w:val="single" w:color="auto" w:sz="4" w:space="0"/>
            </w:tcBorders>
            <w:shd w:val="clear" w:color="auto" w:fill="auto"/>
            <w:vAlign w:val="center"/>
          </w:tcPr>
          <w:p w14:paraId="1055501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p>
        </w:tc>
      </w:tr>
      <w:tr w14:paraId="0F973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10" w:type="dxa"/>
            <w:tcBorders>
              <w:top w:val="single" w:color="auto" w:sz="4" w:space="0"/>
              <w:left w:val="single" w:color="auto" w:sz="4" w:space="0"/>
              <w:bottom w:val="single" w:color="auto" w:sz="4" w:space="0"/>
              <w:right w:val="single" w:color="auto" w:sz="4" w:space="0"/>
            </w:tcBorders>
            <w:shd w:val="clear" w:color="auto" w:fill="auto"/>
            <w:vAlign w:val="center"/>
          </w:tcPr>
          <w:p w14:paraId="29E8DEB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p>
        </w:tc>
        <w:tc>
          <w:tcPr>
            <w:tcW w:w="4681" w:type="dxa"/>
            <w:tcBorders>
              <w:top w:val="single" w:color="auto" w:sz="4" w:space="0"/>
              <w:left w:val="nil"/>
              <w:bottom w:val="single" w:color="auto" w:sz="4" w:space="0"/>
              <w:right w:val="single" w:color="auto" w:sz="4" w:space="0"/>
            </w:tcBorders>
            <w:shd w:val="clear" w:color="auto" w:fill="auto"/>
            <w:vAlign w:val="center"/>
          </w:tcPr>
          <w:p w14:paraId="4FEE6A5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p>
        </w:tc>
        <w:tc>
          <w:tcPr>
            <w:tcW w:w="1502" w:type="dxa"/>
            <w:tcBorders>
              <w:top w:val="single" w:color="auto" w:sz="4" w:space="0"/>
              <w:left w:val="nil"/>
              <w:bottom w:val="single" w:color="auto" w:sz="4" w:space="0"/>
              <w:right w:val="single" w:color="auto" w:sz="4" w:space="0"/>
            </w:tcBorders>
            <w:shd w:val="clear" w:color="auto" w:fill="auto"/>
            <w:vAlign w:val="center"/>
          </w:tcPr>
          <w:p w14:paraId="5270590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p>
        </w:tc>
        <w:tc>
          <w:tcPr>
            <w:tcW w:w="2226" w:type="dxa"/>
            <w:tcBorders>
              <w:top w:val="single" w:color="auto" w:sz="4" w:space="0"/>
              <w:left w:val="nil"/>
              <w:bottom w:val="single" w:color="auto" w:sz="4" w:space="0"/>
              <w:right w:val="single" w:color="auto" w:sz="4" w:space="0"/>
            </w:tcBorders>
            <w:shd w:val="clear" w:color="auto" w:fill="auto"/>
            <w:vAlign w:val="center"/>
          </w:tcPr>
          <w:p w14:paraId="3EF0939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p>
        </w:tc>
      </w:tr>
    </w:tbl>
    <w:p w14:paraId="481016BB">
      <w:pPr>
        <w:keepNext w:val="0"/>
        <w:keepLines w:val="0"/>
        <w:widowControl w:val="0"/>
        <w:suppressLineNumbers w:val="0"/>
        <w:spacing w:before="0" w:beforeAutospacing="0" w:after="0" w:afterAutospacing="0" w:line="271" w:lineRule="auto"/>
        <w:ind w:left="0" w:right="0" w:firstLine="424" w:firstLineChars="202"/>
        <w:jc w:val="left"/>
        <w:rPr>
          <w:rFonts w:hint="default" w:ascii="Times New Roman" w:hAnsi="Times New Roman" w:eastAsia="宋体" w:cs="宋体"/>
          <w:color w:val="auto"/>
          <w:kern w:val="2"/>
          <w:sz w:val="21"/>
          <w:szCs w:val="21"/>
          <w:highlight w:val="none"/>
        </w:rPr>
      </w:pPr>
      <w:r>
        <w:rPr>
          <w:rFonts w:hint="eastAsia" w:ascii="Times New Roman" w:hAnsi="Times New Roman" w:eastAsia="宋体" w:cs="宋体"/>
          <w:color w:val="auto"/>
          <w:kern w:val="2"/>
          <w:sz w:val="21"/>
          <w:szCs w:val="21"/>
          <w:highlight w:val="none"/>
          <w:lang w:val="en-US" w:eastAsia="zh-CN" w:bidi="ar"/>
        </w:rPr>
        <w:t xml:space="preserve"> </w:t>
      </w:r>
    </w:p>
    <w:p w14:paraId="533B71D5">
      <w:pPr>
        <w:keepNext w:val="0"/>
        <w:keepLines w:val="0"/>
        <w:widowControl w:val="0"/>
        <w:suppressLineNumbers w:val="0"/>
        <w:spacing w:before="0" w:beforeAutospacing="0" w:after="0" w:afterAutospacing="0" w:line="271" w:lineRule="auto"/>
        <w:ind w:left="0" w:right="0" w:firstLine="424" w:firstLineChars="202"/>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注：（1）企业获奖取自取自广州市住建行业信用管理平台的提供。</w:t>
      </w:r>
    </w:p>
    <w:p w14:paraId="6DF63BE6">
      <w:pPr>
        <w:keepNext w:val="0"/>
        <w:keepLines w:val="0"/>
        <w:widowControl w:val="0"/>
        <w:suppressLineNumbers w:val="0"/>
        <w:spacing w:before="0" w:beforeAutospacing="0" w:after="0" w:afterAutospacing="0" w:line="271" w:lineRule="auto"/>
        <w:ind w:left="0" w:right="0" w:firstLine="632" w:firstLineChars="301"/>
        <w:jc w:val="left"/>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（2）按技术标详细审查的评审要求提供证明材料，如无符合要求的企业获奖业绩的，在项目栏中填写“无”。</w:t>
      </w:r>
    </w:p>
    <w:p w14:paraId="162A6C0E">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 xml:space="preserve"> </w:t>
      </w:r>
    </w:p>
    <w:p w14:paraId="74248D1E">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投标人：  （盖章）</w:t>
      </w:r>
    </w:p>
    <w:p w14:paraId="2F000549">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法定代表人或授权代理人(签字或盖章)：</w:t>
      </w:r>
    </w:p>
    <w:p w14:paraId="113C63C1">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日   期：     年    月    日</w:t>
      </w:r>
    </w:p>
    <w:p w14:paraId="0A1ED8C8">
      <w:pPr>
        <w:pStyle w:val="14"/>
        <w:keepNext w:val="0"/>
        <w:keepLines w:val="0"/>
        <w:widowControl w:val="0"/>
        <w:suppressLineNumbers w:val="0"/>
        <w:spacing w:before="0" w:beforeAutospacing="0" w:after="0" w:afterAutospacing="0"/>
        <w:ind w:left="0" w:right="0"/>
        <w:jc w:val="both"/>
        <w:rPr>
          <w:rFonts w:hint="eastAsia" w:ascii="宋体" w:hAnsi="Courier New" w:eastAsia="宋体" w:cs="Times New Roman"/>
          <w:color w:val="auto"/>
          <w:kern w:val="2"/>
          <w:sz w:val="21"/>
          <w:szCs w:val="21"/>
          <w:highlight w:val="none"/>
        </w:rPr>
      </w:pPr>
      <w:r>
        <w:rPr>
          <w:rFonts w:hint="eastAsia" w:ascii="宋体" w:hAnsi="Courier New" w:eastAsia="宋体" w:cs="Times New Roman"/>
          <w:color w:val="auto"/>
          <w:kern w:val="2"/>
          <w:sz w:val="21"/>
          <w:szCs w:val="21"/>
          <w:highlight w:val="none"/>
          <w:lang w:val="en-US" w:eastAsia="zh-CN" w:bidi="ar"/>
        </w:rPr>
        <w:t xml:space="preserve"> </w:t>
      </w:r>
    </w:p>
    <w:p w14:paraId="18440B4B">
      <w:pPr>
        <w:pStyle w:val="14"/>
        <w:keepNext w:val="0"/>
        <w:keepLines w:val="0"/>
        <w:widowControl w:val="0"/>
        <w:suppressLineNumbers w:val="0"/>
        <w:spacing w:before="0" w:beforeAutospacing="0" w:after="0" w:afterAutospacing="0"/>
        <w:ind w:left="0" w:right="0"/>
        <w:jc w:val="both"/>
        <w:rPr>
          <w:rFonts w:hint="eastAsia" w:ascii="宋体" w:hAnsi="Courier New" w:eastAsia="宋体" w:cs="Times New Roman"/>
          <w:color w:val="auto"/>
          <w:kern w:val="2"/>
          <w:sz w:val="21"/>
          <w:szCs w:val="21"/>
          <w:highlight w:val="none"/>
        </w:rPr>
      </w:pPr>
      <w:r>
        <w:rPr>
          <w:rFonts w:hint="eastAsia" w:ascii="宋体" w:hAnsi="Courier New" w:eastAsia="宋体" w:cs="Times New Roman"/>
          <w:color w:val="auto"/>
          <w:kern w:val="2"/>
          <w:sz w:val="21"/>
          <w:szCs w:val="21"/>
          <w:highlight w:val="none"/>
          <w:lang w:val="en-US" w:eastAsia="zh-CN" w:bidi="ar"/>
        </w:rPr>
        <w:t xml:space="preserve"> </w:t>
      </w:r>
    </w:p>
    <w:p w14:paraId="4B81AF2A">
      <w:pPr>
        <w:pStyle w:val="14"/>
        <w:keepNext w:val="0"/>
        <w:keepLines w:val="0"/>
        <w:widowControl w:val="0"/>
        <w:suppressLineNumbers w:val="0"/>
        <w:spacing w:before="0" w:beforeAutospacing="0" w:after="0" w:afterAutospacing="0"/>
        <w:ind w:left="0" w:right="0"/>
        <w:jc w:val="both"/>
        <w:rPr>
          <w:rFonts w:hint="eastAsia" w:ascii="宋体" w:hAnsi="Courier New" w:eastAsia="宋体" w:cs="Times New Roman"/>
          <w:color w:val="auto"/>
          <w:kern w:val="2"/>
          <w:sz w:val="21"/>
          <w:szCs w:val="21"/>
          <w:highlight w:val="none"/>
        </w:rPr>
      </w:pPr>
      <w:r>
        <w:rPr>
          <w:rFonts w:hint="eastAsia" w:ascii="宋体" w:hAnsi="Courier New" w:eastAsia="宋体" w:cs="Times New Roman"/>
          <w:color w:val="auto"/>
          <w:kern w:val="2"/>
          <w:sz w:val="21"/>
          <w:szCs w:val="21"/>
          <w:highlight w:val="none"/>
          <w:lang w:val="en-US" w:eastAsia="zh-CN" w:bidi="ar"/>
        </w:rPr>
        <w:t xml:space="preserve"> </w:t>
      </w:r>
    </w:p>
    <w:p w14:paraId="299DE512">
      <w:pPr>
        <w:pStyle w:val="14"/>
        <w:keepNext w:val="0"/>
        <w:keepLines w:val="0"/>
        <w:widowControl w:val="0"/>
        <w:suppressLineNumbers w:val="0"/>
        <w:spacing w:before="0" w:beforeAutospacing="0" w:after="0" w:afterAutospacing="0"/>
        <w:ind w:left="0" w:right="0"/>
        <w:jc w:val="both"/>
        <w:rPr>
          <w:rFonts w:hint="eastAsia" w:ascii="宋体" w:hAnsi="Courier New" w:eastAsia="宋体" w:cs="Times New Roman"/>
          <w:color w:val="auto"/>
          <w:kern w:val="2"/>
          <w:sz w:val="21"/>
          <w:szCs w:val="21"/>
          <w:highlight w:val="none"/>
        </w:rPr>
      </w:pPr>
      <w:r>
        <w:rPr>
          <w:rFonts w:hint="eastAsia" w:ascii="宋体" w:hAnsi="Courier New" w:eastAsia="宋体" w:cs="Times New Roman"/>
          <w:color w:val="auto"/>
          <w:kern w:val="2"/>
          <w:sz w:val="21"/>
          <w:szCs w:val="21"/>
          <w:highlight w:val="none"/>
          <w:lang w:val="en-US" w:eastAsia="zh-CN" w:bidi="ar"/>
        </w:rPr>
        <w:t xml:space="preserve"> </w:t>
      </w:r>
    </w:p>
    <w:p w14:paraId="4635E9D2">
      <w:pPr>
        <w:pStyle w:val="14"/>
        <w:keepNext w:val="0"/>
        <w:keepLines w:val="0"/>
        <w:widowControl w:val="0"/>
        <w:suppressLineNumbers w:val="0"/>
        <w:spacing w:before="0" w:beforeAutospacing="0" w:after="0" w:afterAutospacing="0"/>
        <w:ind w:left="0" w:right="0"/>
        <w:jc w:val="both"/>
        <w:rPr>
          <w:rFonts w:hint="eastAsia" w:ascii="宋体" w:hAnsi="Courier New" w:eastAsia="宋体" w:cs="Times New Roman"/>
          <w:color w:val="auto"/>
          <w:kern w:val="2"/>
          <w:sz w:val="21"/>
          <w:szCs w:val="21"/>
          <w:highlight w:val="none"/>
        </w:rPr>
      </w:pPr>
      <w:r>
        <w:rPr>
          <w:rFonts w:hint="eastAsia" w:ascii="宋体" w:hAnsi="Courier New" w:eastAsia="宋体" w:cs="Times New Roman"/>
          <w:color w:val="auto"/>
          <w:kern w:val="2"/>
          <w:sz w:val="21"/>
          <w:szCs w:val="21"/>
          <w:highlight w:val="none"/>
          <w:lang w:val="en-US" w:eastAsia="zh-CN" w:bidi="ar"/>
        </w:rPr>
        <w:t xml:space="preserve"> </w:t>
      </w:r>
    </w:p>
    <w:p w14:paraId="4911E0D4">
      <w:pPr>
        <w:keepNext w:val="0"/>
        <w:keepLines w:val="0"/>
        <w:widowControl w:val="0"/>
        <w:suppressLineNumbers w:val="0"/>
        <w:spacing w:before="0" w:beforeAutospacing="0" w:after="0" w:afterAutospacing="0"/>
        <w:ind w:left="0" w:right="0"/>
        <w:jc w:val="both"/>
        <w:outlineLvl w:val="2"/>
        <w:rPr>
          <w:rFonts w:hint="eastAsia" w:ascii="宋体" w:hAnsi="Calibri" w:eastAsia="宋体" w:cs="宋体"/>
          <w:b/>
          <w:bCs w:val="0"/>
          <w:color w:val="auto"/>
          <w:kern w:val="2"/>
          <w:sz w:val="24"/>
          <w:szCs w:val="24"/>
          <w:highlight w:val="none"/>
        </w:rPr>
      </w:pPr>
      <w:r>
        <w:rPr>
          <w:rFonts w:hint="eastAsia" w:ascii="宋体" w:hAnsi="宋体" w:eastAsia="黑体" w:cs="Times New Roman"/>
          <w:b/>
          <w:bCs w:val="0"/>
          <w:color w:val="auto"/>
          <w:spacing w:val="4"/>
          <w:kern w:val="0"/>
          <w:sz w:val="24"/>
          <w:szCs w:val="24"/>
          <w:highlight w:val="none"/>
          <w:lang w:val="en-US" w:eastAsia="zh-CN" w:bidi="ar"/>
        </w:rPr>
        <w:br w:type="page"/>
      </w:r>
      <w:bookmarkStart w:id="127" w:name="_Toc40024393"/>
      <w:bookmarkEnd w:id="127"/>
      <w:bookmarkStart w:id="128" w:name="_Toc29476919"/>
      <w:bookmarkEnd w:id="128"/>
      <w:bookmarkStart w:id="129" w:name="_Toc1902"/>
      <w:r>
        <w:rPr>
          <w:rFonts w:hint="default" w:ascii="Times New Roman" w:hAnsi="Times New Roman" w:eastAsia="宋体" w:cs="Times New Roman"/>
          <w:color w:val="auto"/>
          <w:spacing w:val="4"/>
          <w:kern w:val="0"/>
          <w:sz w:val="24"/>
          <w:szCs w:val="24"/>
          <w:highlight w:val="none"/>
          <w:lang w:val="en-US" w:eastAsia="zh-CN" w:bidi="ar"/>
        </w:rPr>
        <w:t xml:space="preserve"> </w:t>
      </w:r>
      <w:bookmarkEnd w:id="129"/>
      <w:r>
        <w:rPr>
          <w:rFonts w:hint="eastAsia" w:ascii="宋体" w:hAnsi="宋体" w:eastAsia="宋体" w:cs="宋体"/>
          <w:color w:val="auto"/>
          <w:spacing w:val="4"/>
          <w:kern w:val="0"/>
          <w:sz w:val="24"/>
          <w:szCs w:val="24"/>
          <w:highlight w:val="none"/>
          <w:lang w:val="en-US" w:eastAsia="zh-CN" w:bidi="ar"/>
        </w:rPr>
        <w:t>格式十一：</w:t>
      </w:r>
      <w:r>
        <w:rPr>
          <w:rFonts w:hint="eastAsia" w:ascii="宋体" w:hAnsi="宋体" w:eastAsia="宋体" w:cs="宋体"/>
          <w:b w:val="0"/>
          <w:bCs/>
          <w:color w:val="auto"/>
          <w:kern w:val="2"/>
          <w:sz w:val="24"/>
          <w:szCs w:val="24"/>
          <w:highlight w:val="none"/>
          <w:lang w:val="en-US" w:eastAsia="zh-CN" w:bidi="ar"/>
        </w:rPr>
        <w:t>响应招标文件所附施工组织设计要点的承诺书</w:t>
      </w:r>
    </w:p>
    <w:p w14:paraId="7C38D120">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Calibri" w:eastAsia="宋体" w:cs="宋体"/>
          <w:b/>
          <w:bCs w:val="0"/>
          <w:color w:val="auto"/>
          <w:kern w:val="2"/>
          <w:sz w:val="36"/>
          <w:szCs w:val="36"/>
          <w:highlight w:val="none"/>
        </w:rPr>
      </w:pPr>
      <w:r>
        <w:rPr>
          <w:rFonts w:hint="eastAsia" w:ascii="宋体" w:hAnsi="宋体" w:eastAsia="宋体" w:cs="宋体"/>
          <w:b/>
          <w:bCs w:val="0"/>
          <w:color w:val="auto"/>
          <w:kern w:val="2"/>
          <w:sz w:val="36"/>
          <w:szCs w:val="36"/>
          <w:highlight w:val="none"/>
          <w:lang w:val="en-US" w:eastAsia="zh-CN" w:bidi="ar"/>
        </w:rPr>
        <w:t xml:space="preserve"> </w:t>
      </w:r>
    </w:p>
    <w:p w14:paraId="53ED9748">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Calibri" w:eastAsia="宋体" w:cs="宋体"/>
          <w:b/>
          <w:bCs w:val="0"/>
          <w:color w:val="auto"/>
          <w:spacing w:val="4"/>
          <w:kern w:val="0"/>
          <w:sz w:val="32"/>
          <w:szCs w:val="32"/>
          <w:highlight w:val="none"/>
        </w:rPr>
      </w:pPr>
      <w:r>
        <w:rPr>
          <w:rFonts w:hint="eastAsia" w:ascii="宋体" w:hAnsi="宋体" w:eastAsia="宋体" w:cs="宋体"/>
          <w:b/>
          <w:bCs w:val="0"/>
          <w:color w:val="auto"/>
          <w:kern w:val="2"/>
          <w:sz w:val="36"/>
          <w:szCs w:val="36"/>
          <w:highlight w:val="none"/>
          <w:lang w:val="en-US" w:eastAsia="zh-CN" w:bidi="ar"/>
        </w:rPr>
        <w:t>响应招标文件所附施工组织设计要点的承诺书</w:t>
      </w:r>
    </w:p>
    <w:p w14:paraId="543F8AE6">
      <w:pPr>
        <w:keepNext w:val="0"/>
        <w:keepLines w:val="0"/>
        <w:widowControl w:val="0"/>
        <w:suppressLineNumbers w:val="0"/>
        <w:spacing w:before="312" w:beforeLines="100" w:beforeAutospacing="0" w:after="156" w:afterLines="50" w:afterAutospacing="0" w:line="400" w:lineRule="exact"/>
        <w:ind w:left="0" w:right="0"/>
        <w:jc w:val="both"/>
        <w:rPr>
          <w:rFonts w:hint="eastAsia" w:ascii="宋体" w:hAnsi="Calibri" w:eastAsia="宋体" w:cs="宋体"/>
          <w:color w:val="auto"/>
          <w:kern w:val="2"/>
          <w:sz w:val="24"/>
          <w:szCs w:val="24"/>
          <w:highlight w:val="none"/>
          <w:u w:val="single"/>
        </w:rPr>
      </w:pPr>
      <w:r>
        <w:rPr>
          <w:rFonts w:hint="eastAsia" w:ascii="宋体" w:hAnsi="宋体" w:eastAsia="宋体" w:cs="宋体"/>
          <w:color w:val="auto"/>
          <w:kern w:val="2"/>
          <w:sz w:val="24"/>
          <w:szCs w:val="24"/>
          <w:highlight w:val="none"/>
          <w:u w:val="single"/>
          <w:lang w:val="en-US" w:eastAsia="zh-CN" w:bidi="ar"/>
        </w:rPr>
        <w:t xml:space="preserve">          （招标人）</w:t>
      </w:r>
      <w:r>
        <w:rPr>
          <w:rFonts w:hint="eastAsia" w:ascii="宋体" w:hAnsi="宋体" w:eastAsia="宋体" w:cs="宋体"/>
          <w:color w:val="auto"/>
          <w:kern w:val="2"/>
          <w:sz w:val="24"/>
          <w:szCs w:val="24"/>
          <w:highlight w:val="none"/>
          <w:lang w:val="en-US" w:eastAsia="zh-CN" w:bidi="ar"/>
        </w:rPr>
        <w:t>：</w:t>
      </w:r>
    </w:p>
    <w:p w14:paraId="5FF21188">
      <w:pPr>
        <w:keepNext w:val="0"/>
        <w:keepLines w:val="0"/>
        <w:widowControl w:val="0"/>
        <w:suppressLineNumbers w:val="0"/>
        <w:spacing w:before="0" w:beforeAutospacing="0" w:after="0" w:afterAutospacing="0" w:line="400" w:lineRule="exact"/>
        <w:ind w:left="0" w:right="0" w:firstLine="480"/>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我方承诺，如中标承建</w:t>
      </w:r>
      <w:r>
        <w:rPr>
          <w:rFonts w:hint="eastAsia" w:ascii="宋体" w:hAnsi="宋体" w:eastAsia="宋体" w:cs="宋体"/>
          <w:color w:val="auto"/>
          <w:kern w:val="2"/>
          <w:sz w:val="24"/>
          <w:szCs w:val="24"/>
          <w:highlight w:val="none"/>
          <w:u w:val="single"/>
          <w:lang w:val="en-US" w:eastAsia="zh-CN" w:bidi="ar"/>
        </w:rPr>
        <w:t xml:space="preserve">         (项目名称)</w:t>
      </w:r>
      <w:r>
        <w:rPr>
          <w:rFonts w:hint="eastAsia" w:ascii="宋体" w:hAnsi="宋体" w:eastAsia="宋体" w:cs="宋体"/>
          <w:color w:val="auto"/>
          <w:kern w:val="2"/>
          <w:sz w:val="24"/>
          <w:szCs w:val="24"/>
          <w:highlight w:val="none"/>
          <w:lang w:val="en-US" w:eastAsia="zh-CN" w:bidi="ar"/>
        </w:rPr>
        <w:t>，将按招标文件所附的本工程</w:t>
      </w:r>
      <w:r>
        <w:rPr>
          <w:rFonts w:hint="eastAsia" w:ascii="宋体" w:hAnsi="宋体" w:eastAsia="宋体" w:cs="宋体"/>
          <w:color w:val="auto"/>
          <w:kern w:val="2"/>
          <w:sz w:val="24"/>
          <w:szCs w:val="24"/>
          <w:highlight w:val="none"/>
          <w:u w:val="single"/>
          <w:lang w:val="en-US" w:eastAsia="zh-CN" w:bidi="ar"/>
        </w:rPr>
        <w:t xml:space="preserve"> 施工组织设计要点 </w:t>
      </w:r>
      <w:r>
        <w:rPr>
          <w:rFonts w:hint="eastAsia" w:ascii="宋体" w:hAnsi="宋体" w:eastAsia="宋体" w:cs="宋体"/>
          <w:color w:val="auto"/>
          <w:kern w:val="2"/>
          <w:sz w:val="24"/>
          <w:szCs w:val="24"/>
          <w:highlight w:val="none"/>
          <w:lang w:val="en-US" w:eastAsia="zh-CN" w:bidi="ar"/>
        </w:rPr>
        <w:t>进行响应的基础上自行组织施工。并承诺在中标后按招标文件所附的</w:t>
      </w:r>
      <w:r>
        <w:rPr>
          <w:rFonts w:hint="eastAsia" w:ascii="宋体" w:hAnsi="宋体" w:eastAsia="宋体" w:cs="宋体"/>
          <w:color w:val="auto"/>
          <w:kern w:val="2"/>
          <w:sz w:val="24"/>
          <w:szCs w:val="24"/>
          <w:highlight w:val="none"/>
          <w:u w:val="single"/>
          <w:lang w:val="en-US" w:eastAsia="zh-CN" w:bidi="ar"/>
        </w:rPr>
        <w:t xml:space="preserve"> 施工组织设计要点 </w:t>
      </w:r>
      <w:r>
        <w:rPr>
          <w:rFonts w:hint="eastAsia" w:ascii="宋体" w:hAnsi="宋体" w:eastAsia="宋体" w:cs="宋体"/>
          <w:color w:val="auto"/>
          <w:kern w:val="2"/>
          <w:sz w:val="24"/>
          <w:szCs w:val="24"/>
          <w:highlight w:val="none"/>
          <w:lang w:val="en-US" w:eastAsia="zh-CN" w:bidi="ar"/>
        </w:rPr>
        <w:t>基础上编制详细的施工组织设计，并报经监理单位和建设单位审批后实施。</w:t>
      </w:r>
    </w:p>
    <w:p w14:paraId="5C19EE62">
      <w:pPr>
        <w:keepNext w:val="0"/>
        <w:keepLines w:val="0"/>
        <w:widowControl w:val="0"/>
        <w:suppressLineNumbers w:val="0"/>
        <w:spacing w:before="0" w:beforeAutospacing="0" w:after="0" w:afterAutospacing="0" w:line="400" w:lineRule="exact"/>
        <w:ind w:left="0" w:right="0"/>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1174545F">
      <w:pPr>
        <w:keepNext w:val="0"/>
        <w:keepLines w:val="0"/>
        <w:widowControl w:val="0"/>
        <w:suppressLineNumbers w:val="0"/>
        <w:spacing w:before="0" w:beforeAutospacing="0" w:after="0" w:afterAutospacing="0" w:line="400" w:lineRule="exact"/>
        <w:ind w:left="0" w:right="0"/>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7DEF44B9">
      <w:pPr>
        <w:keepNext w:val="0"/>
        <w:keepLines w:val="0"/>
        <w:widowControl w:val="0"/>
        <w:suppressLineNumbers w:val="0"/>
        <w:spacing w:before="0" w:beforeAutospacing="0" w:after="0" w:afterAutospacing="0" w:line="400" w:lineRule="exact"/>
        <w:ind w:left="0" w:right="0"/>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1533D819">
      <w:pPr>
        <w:keepNext w:val="0"/>
        <w:keepLines w:val="0"/>
        <w:widowControl w:val="0"/>
        <w:suppressLineNumbers w:val="0"/>
        <w:spacing w:before="0" w:beforeAutospacing="0" w:after="0" w:afterAutospacing="0" w:line="400" w:lineRule="exact"/>
        <w:ind w:left="0" w:right="0"/>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411D468C">
      <w:pPr>
        <w:keepNext w:val="0"/>
        <w:keepLines w:val="0"/>
        <w:widowControl w:val="0"/>
        <w:suppressLineNumbers w:val="0"/>
        <w:spacing w:before="0" w:beforeAutospacing="0" w:after="0" w:afterAutospacing="0" w:line="400" w:lineRule="exact"/>
        <w:ind w:left="0" w:right="0"/>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680FF344">
      <w:pPr>
        <w:keepNext w:val="0"/>
        <w:keepLines w:val="0"/>
        <w:widowControl w:val="0"/>
        <w:suppressLineNumbers w:val="0"/>
        <w:spacing w:before="0" w:beforeAutospacing="0" w:after="0" w:afterAutospacing="0" w:line="400" w:lineRule="exact"/>
        <w:ind w:left="0" w:right="0"/>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36AA3734">
      <w:pPr>
        <w:keepNext w:val="0"/>
        <w:keepLines w:val="0"/>
        <w:widowControl/>
        <w:suppressLineNumbers w:val="0"/>
        <w:topLinePunct/>
        <w:adjustRightInd w:val="0"/>
        <w:snapToGrid w:val="0"/>
        <w:spacing w:before="0" w:beforeAutospacing="0" w:after="200" w:afterAutospacing="0" w:line="360" w:lineRule="auto"/>
        <w:ind w:left="0" w:right="0" w:firstLine="3596" w:firstLineChars="1450"/>
        <w:jc w:val="left"/>
        <w:rPr>
          <w:rFonts w:hint="default" w:ascii="Times New Roman" w:hAnsi="Times New Roman"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投标人：  （盖章）</w:t>
      </w:r>
    </w:p>
    <w:p w14:paraId="2C58B8CC">
      <w:pPr>
        <w:keepNext w:val="0"/>
        <w:keepLines w:val="0"/>
        <w:widowControl/>
        <w:suppressLineNumbers w:val="0"/>
        <w:topLinePunct/>
        <w:adjustRightInd w:val="0"/>
        <w:snapToGrid w:val="0"/>
        <w:spacing w:before="0" w:beforeAutospacing="0" w:after="200" w:afterAutospacing="0" w:line="360" w:lineRule="auto"/>
        <w:ind w:left="0" w:right="0" w:firstLine="3596" w:firstLineChars="1450"/>
        <w:jc w:val="left"/>
        <w:rPr>
          <w:rFonts w:hint="default" w:ascii="Times New Roman" w:hAnsi="Times New Roman"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法定代表人或授权代理人</w:t>
      </w:r>
      <w:r>
        <w:rPr>
          <w:rFonts w:hint="default" w:ascii="Times New Roman" w:hAnsi="Times New Roman" w:eastAsia="宋体" w:cs="Times New Roman"/>
          <w:color w:val="auto"/>
          <w:spacing w:val="4"/>
          <w:kern w:val="0"/>
          <w:sz w:val="24"/>
          <w:szCs w:val="24"/>
          <w:highlight w:val="none"/>
          <w:lang w:val="en-US" w:eastAsia="zh-CN" w:bidi="ar"/>
        </w:rPr>
        <w:t>(</w:t>
      </w:r>
      <w:r>
        <w:rPr>
          <w:rFonts w:hint="eastAsia" w:ascii="宋体" w:hAnsi="宋体" w:eastAsia="宋体" w:cs="宋体"/>
          <w:color w:val="auto"/>
          <w:spacing w:val="4"/>
          <w:kern w:val="0"/>
          <w:sz w:val="24"/>
          <w:szCs w:val="24"/>
          <w:highlight w:val="none"/>
          <w:lang w:val="en-US" w:eastAsia="zh-CN" w:bidi="ar"/>
        </w:rPr>
        <w:t>签字或盖章</w:t>
      </w:r>
      <w:r>
        <w:rPr>
          <w:rFonts w:hint="default" w:ascii="Times New Roman" w:hAnsi="Times New Roman" w:eastAsia="宋体" w:cs="Times New Roman"/>
          <w:color w:val="auto"/>
          <w:spacing w:val="4"/>
          <w:kern w:val="0"/>
          <w:sz w:val="24"/>
          <w:szCs w:val="24"/>
          <w:highlight w:val="none"/>
          <w:lang w:val="en-US" w:eastAsia="zh-CN" w:bidi="ar"/>
        </w:rPr>
        <w:t>)</w:t>
      </w:r>
      <w:r>
        <w:rPr>
          <w:rFonts w:hint="eastAsia" w:ascii="宋体" w:hAnsi="宋体" w:eastAsia="宋体" w:cs="宋体"/>
          <w:color w:val="auto"/>
          <w:spacing w:val="4"/>
          <w:kern w:val="0"/>
          <w:sz w:val="24"/>
          <w:szCs w:val="24"/>
          <w:highlight w:val="none"/>
          <w:lang w:val="en-US" w:eastAsia="zh-CN" w:bidi="ar"/>
        </w:rPr>
        <w:t>：</w:t>
      </w:r>
    </w:p>
    <w:p w14:paraId="3C999E8F">
      <w:pPr>
        <w:keepNext w:val="0"/>
        <w:keepLines w:val="0"/>
        <w:widowControl/>
        <w:suppressLineNumbers w:val="0"/>
        <w:topLinePunct/>
        <w:adjustRightInd w:val="0"/>
        <w:snapToGrid w:val="0"/>
        <w:spacing w:before="0" w:beforeAutospacing="0" w:after="200" w:afterAutospacing="0" w:line="360" w:lineRule="auto"/>
        <w:ind w:left="0" w:right="0" w:firstLine="3596" w:firstLineChars="1450"/>
        <w:jc w:val="left"/>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日</w:t>
      </w:r>
      <w:r>
        <w:rPr>
          <w:rFonts w:hint="default" w:ascii="Times New Roman" w:hAnsi="Times New Roman"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期：</w:t>
      </w:r>
      <w:r>
        <w:rPr>
          <w:rFonts w:hint="default" w:ascii="Times New Roman" w:hAnsi="Times New Roman"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年</w:t>
      </w:r>
      <w:r>
        <w:rPr>
          <w:rFonts w:hint="default" w:ascii="Times New Roman" w:hAnsi="Times New Roman"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月</w:t>
      </w:r>
      <w:r>
        <w:rPr>
          <w:rFonts w:hint="default" w:ascii="Times New Roman" w:hAnsi="Times New Roman"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日</w:t>
      </w:r>
      <w:r>
        <w:rPr>
          <w:rFonts w:hint="default" w:ascii="Times New Roman" w:hAnsi="Times New Roman" w:eastAsia="宋体" w:cs="Times New Roman"/>
          <w:color w:val="auto"/>
          <w:spacing w:val="4"/>
          <w:kern w:val="0"/>
          <w:sz w:val="24"/>
          <w:szCs w:val="24"/>
          <w:highlight w:val="none"/>
          <w:lang w:val="en-US" w:eastAsia="zh-CN" w:bidi="ar"/>
        </w:rPr>
        <w:t xml:space="preserve"> </w:t>
      </w:r>
    </w:p>
    <w:p w14:paraId="66BA34CF">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default" w:ascii="Calibri" w:hAnsi="Calibri" w:eastAsia="黑体" w:cs="Times New Roman"/>
          <w:color w:val="auto"/>
          <w:spacing w:val="4"/>
          <w:kern w:val="2"/>
          <w:sz w:val="36"/>
          <w:szCs w:val="36"/>
          <w:highlight w:val="none"/>
        </w:rPr>
      </w:pPr>
      <w:r>
        <w:rPr>
          <w:rFonts w:hint="default" w:ascii="Calibri" w:hAnsi="Calibri" w:eastAsia="黑体" w:cs="Times New Roman"/>
          <w:color w:val="auto"/>
          <w:spacing w:val="4"/>
          <w:kern w:val="2"/>
          <w:sz w:val="36"/>
          <w:szCs w:val="36"/>
          <w:highlight w:val="none"/>
          <w:lang w:val="en-US" w:eastAsia="zh-CN" w:bidi="ar"/>
        </w:rPr>
        <w:t xml:space="preserve"> </w:t>
      </w:r>
    </w:p>
    <w:p w14:paraId="701BC213">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default" w:ascii="Calibri" w:hAnsi="Calibri" w:eastAsia="黑体" w:cs="Times New Roman"/>
          <w:color w:val="auto"/>
          <w:spacing w:val="4"/>
          <w:kern w:val="2"/>
          <w:sz w:val="36"/>
          <w:szCs w:val="36"/>
          <w:highlight w:val="none"/>
        </w:rPr>
      </w:pPr>
      <w:r>
        <w:rPr>
          <w:rFonts w:hint="default" w:ascii="Calibri" w:hAnsi="Calibri" w:eastAsia="黑体" w:cs="Times New Roman"/>
          <w:color w:val="auto"/>
          <w:spacing w:val="4"/>
          <w:kern w:val="2"/>
          <w:sz w:val="36"/>
          <w:szCs w:val="36"/>
          <w:highlight w:val="none"/>
          <w:lang w:val="en-US" w:eastAsia="zh-CN" w:bidi="ar"/>
        </w:rPr>
        <w:t xml:space="preserve"> </w:t>
      </w:r>
    </w:p>
    <w:p w14:paraId="0D3946D6">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default" w:ascii="Calibri" w:hAnsi="Calibri" w:eastAsia="黑体" w:cs="Times New Roman"/>
          <w:color w:val="auto"/>
          <w:spacing w:val="4"/>
          <w:kern w:val="2"/>
          <w:sz w:val="36"/>
          <w:szCs w:val="36"/>
          <w:highlight w:val="none"/>
        </w:rPr>
      </w:pPr>
      <w:r>
        <w:rPr>
          <w:rFonts w:hint="default" w:ascii="Calibri" w:hAnsi="Calibri" w:eastAsia="黑体" w:cs="Times New Roman"/>
          <w:color w:val="auto"/>
          <w:spacing w:val="4"/>
          <w:kern w:val="2"/>
          <w:sz w:val="36"/>
          <w:szCs w:val="36"/>
          <w:highlight w:val="none"/>
          <w:lang w:val="en-US" w:eastAsia="zh-CN" w:bidi="ar"/>
        </w:rPr>
        <w:t xml:space="preserve"> </w:t>
      </w:r>
    </w:p>
    <w:p w14:paraId="75182C44">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default" w:ascii="Calibri" w:hAnsi="Calibri" w:eastAsia="黑体" w:cs="Times New Roman"/>
          <w:color w:val="auto"/>
          <w:spacing w:val="4"/>
          <w:kern w:val="2"/>
          <w:sz w:val="36"/>
          <w:szCs w:val="36"/>
          <w:highlight w:val="none"/>
        </w:rPr>
      </w:pPr>
      <w:r>
        <w:rPr>
          <w:rFonts w:hint="default" w:ascii="Calibri" w:hAnsi="Calibri" w:eastAsia="黑体" w:cs="Times New Roman"/>
          <w:color w:val="auto"/>
          <w:spacing w:val="4"/>
          <w:kern w:val="2"/>
          <w:sz w:val="36"/>
          <w:szCs w:val="36"/>
          <w:highlight w:val="none"/>
          <w:lang w:val="en-US" w:eastAsia="zh-CN" w:bidi="ar"/>
        </w:rPr>
        <w:t xml:space="preserve"> </w:t>
      </w:r>
    </w:p>
    <w:p w14:paraId="3DEDE659">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default" w:ascii="Calibri" w:hAnsi="Calibri" w:eastAsia="黑体" w:cs="Times New Roman"/>
          <w:color w:val="auto"/>
          <w:spacing w:val="4"/>
          <w:kern w:val="2"/>
          <w:sz w:val="36"/>
          <w:szCs w:val="36"/>
          <w:highlight w:val="none"/>
        </w:rPr>
      </w:pPr>
      <w:r>
        <w:rPr>
          <w:rFonts w:hint="default" w:ascii="Calibri" w:hAnsi="Calibri" w:eastAsia="黑体" w:cs="Times New Roman"/>
          <w:color w:val="auto"/>
          <w:spacing w:val="4"/>
          <w:kern w:val="2"/>
          <w:sz w:val="36"/>
          <w:szCs w:val="36"/>
          <w:highlight w:val="none"/>
          <w:lang w:val="en-US" w:eastAsia="zh-CN" w:bidi="ar"/>
        </w:rPr>
        <w:t xml:space="preserve"> </w:t>
      </w:r>
    </w:p>
    <w:p w14:paraId="712590C8">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default" w:ascii="Calibri" w:hAnsi="Calibri" w:eastAsia="黑体" w:cs="Times New Roman"/>
          <w:color w:val="auto"/>
          <w:spacing w:val="4"/>
          <w:kern w:val="2"/>
          <w:sz w:val="36"/>
          <w:szCs w:val="36"/>
          <w:highlight w:val="none"/>
        </w:rPr>
      </w:pPr>
      <w:r>
        <w:rPr>
          <w:rFonts w:hint="default" w:ascii="Calibri" w:hAnsi="Calibri" w:eastAsia="黑体" w:cs="Times New Roman"/>
          <w:color w:val="auto"/>
          <w:spacing w:val="4"/>
          <w:kern w:val="2"/>
          <w:sz w:val="36"/>
          <w:szCs w:val="36"/>
          <w:highlight w:val="none"/>
          <w:lang w:val="en-US" w:eastAsia="zh-CN" w:bidi="ar"/>
        </w:rPr>
        <w:t xml:space="preserve"> </w:t>
      </w:r>
    </w:p>
    <w:p w14:paraId="3E8CC5B0">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default" w:ascii="Calibri" w:hAnsi="Calibri" w:eastAsia="黑体" w:cs="Times New Roman"/>
          <w:color w:val="auto"/>
          <w:spacing w:val="4"/>
          <w:kern w:val="2"/>
          <w:sz w:val="36"/>
          <w:szCs w:val="36"/>
          <w:highlight w:val="none"/>
        </w:rPr>
      </w:pPr>
      <w:r>
        <w:rPr>
          <w:rFonts w:hint="default" w:ascii="Calibri" w:hAnsi="Calibri" w:eastAsia="黑体" w:cs="Times New Roman"/>
          <w:color w:val="auto"/>
          <w:spacing w:val="4"/>
          <w:kern w:val="2"/>
          <w:sz w:val="36"/>
          <w:szCs w:val="36"/>
          <w:highlight w:val="none"/>
          <w:lang w:val="en-US" w:eastAsia="zh-CN" w:bidi="ar"/>
        </w:rPr>
        <w:t xml:space="preserve"> </w:t>
      </w:r>
    </w:p>
    <w:p w14:paraId="259739DF">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default" w:ascii="Calibri" w:hAnsi="Calibri" w:eastAsia="黑体" w:cs="Times New Roman"/>
          <w:color w:val="auto"/>
          <w:spacing w:val="4"/>
          <w:kern w:val="2"/>
          <w:sz w:val="36"/>
          <w:szCs w:val="36"/>
          <w:highlight w:val="none"/>
        </w:rPr>
      </w:pPr>
      <w:r>
        <w:rPr>
          <w:rFonts w:hint="default" w:ascii="Calibri" w:hAnsi="Calibri" w:eastAsia="黑体" w:cs="Times New Roman"/>
          <w:color w:val="auto"/>
          <w:spacing w:val="4"/>
          <w:kern w:val="2"/>
          <w:sz w:val="36"/>
          <w:szCs w:val="36"/>
          <w:highlight w:val="none"/>
          <w:lang w:val="en-US" w:eastAsia="zh-CN" w:bidi="ar"/>
        </w:rPr>
        <w:t xml:space="preserve"> </w:t>
      </w:r>
    </w:p>
    <w:p w14:paraId="7CC75E19">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default" w:ascii="Calibri" w:hAnsi="Calibri" w:eastAsia="黑体" w:cs="Times New Roman"/>
          <w:color w:val="auto"/>
          <w:spacing w:val="4"/>
          <w:kern w:val="2"/>
          <w:sz w:val="36"/>
          <w:szCs w:val="36"/>
          <w:highlight w:val="none"/>
        </w:rPr>
      </w:pPr>
      <w:r>
        <w:rPr>
          <w:rFonts w:hint="default" w:ascii="Calibri" w:hAnsi="Calibri" w:eastAsia="黑体" w:cs="Times New Roman"/>
          <w:color w:val="auto"/>
          <w:spacing w:val="4"/>
          <w:kern w:val="2"/>
          <w:sz w:val="36"/>
          <w:szCs w:val="36"/>
          <w:highlight w:val="none"/>
          <w:lang w:val="en-US" w:eastAsia="zh-CN" w:bidi="ar"/>
        </w:rPr>
        <w:t xml:space="preserve"> </w:t>
      </w:r>
    </w:p>
    <w:p w14:paraId="7E86B0EC">
      <w:pPr>
        <w:keepNext w:val="0"/>
        <w:keepLines w:val="0"/>
        <w:widowControl w:val="0"/>
        <w:suppressLineNumbers w:val="0"/>
        <w:topLinePunct/>
        <w:adjustRightInd w:val="0"/>
        <w:snapToGrid w:val="0"/>
        <w:spacing w:before="0" w:beforeAutospacing="0" w:after="0" w:afterAutospacing="0" w:line="360" w:lineRule="auto"/>
        <w:ind w:left="0" w:right="0"/>
        <w:jc w:val="both"/>
        <w:rPr>
          <w:rFonts w:hint="default" w:ascii="Calibri" w:hAnsi="Calibri" w:eastAsia="黑体" w:cs="Times New Roman"/>
          <w:color w:val="auto"/>
          <w:spacing w:val="4"/>
          <w:kern w:val="2"/>
          <w:sz w:val="36"/>
          <w:szCs w:val="36"/>
          <w:highlight w:val="none"/>
        </w:rPr>
      </w:pPr>
      <w:r>
        <w:rPr>
          <w:rFonts w:hint="eastAsia" w:ascii="宋体" w:hAnsi="宋体" w:eastAsia="宋体" w:cs="宋体"/>
          <w:b/>
          <w:bCs w:val="0"/>
          <w:color w:val="auto"/>
          <w:spacing w:val="4"/>
          <w:kern w:val="0"/>
          <w:sz w:val="32"/>
          <w:szCs w:val="32"/>
          <w:highlight w:val="none"/>
          <w:lang w:val="en-US" w:eastAsia="zh-CN" w:bidi="ar"/>
        </w:rPr>
        <w:t>附：</w:t>
      </w:r>
      <w:r>
        <w:rPr>
          <w:rFonts w:hint="default" w:ascii="黑体" w:hAnsi="宋体" w:eastAsia="黑体" w:cs="黑体"/>
          <w:color w:val="auto"/>
          <w:spacing w:val="4"/>
          <w:kern w:val="2"/>
          <w:sz w:val="36"/>
          <w:szCs w:val="36"/>
          <w:highlight w:val="none"/>
          <w:lang w:val="en-US" w:eastAsia="zh-CN" w:bidi="ar"/>
        </w:rPr>
        <w:t>施工组织设计要点</w:t>
      </w:r>
    </w:p>
    <w:p w14:paraId="545DBFC8">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由投标人有针对性的描述，各部分文字直接简炼，不得出现大量宣传性及无实质性意义或直接引用范本照搬照套的文字。</w:t>
      </w:r>
    </w:p>
    <w:p w14:paraId="2E4DF2B4">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施工组织设计包括但不限于以下方面内容：</w:t>
      </w:r>
    </w:p>
    <w:p w14:paraId="2B7657C8">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（一）工程概况</w:t>
      </w:r>
    </w:p>
    <w:p w14:paraId="66F6EF4A">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（二）项目实施条件分析</w:t>
      </w:r>
    </w:p>
    <w:p w14:paraId="6B4A473A">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（三）项目管理目标</w:t>
      </w:r>
    </w:p>
    <w:p w14:paraId="5386E565">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（四）项目组织机构设置</w:t>
      </w:r>
    </w:p>
    <w:p w14:paraId="570E3289">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（五）现场管理和施工总平面图</w:t>
      </w:r>
    </w:p>
    <w:p w14:paraId="174A62D5">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（六）施工部署和施工准备工作</w:t>
      </w:r>
    </w:p>
    <w:p w14:paraId="201DC928">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1、项目管理总体安排；</w:t>
      </w:r>
    </w:p>
    <w:p w14:paraId="62C300B0">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2、施工和管理人员的准备和拟投入的最高人数和平均人数；</w:t>
      </w:r>
    </w:p>
    <w:p w14:paraId="446EBC42">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3、施工现场准备和施工程序；</w:t>
      </w:r>
    </w:p>
    <w:p w14:paraId="2F44A1B8">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4、施工准备工作组织和时间安排。</w:t>
      </w:r>
    </w:p>
    <w:p w14:paraId="32D3A94C">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（七）施工组织方案</w:t>
      </w:r>
    </w:p>
    <w:p w14:paraId="4F8CBDD1">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1、施工流向和施工顺序；</w:t>
      </w:r>
    </w:p>
    <w:p w14:paraId="05932B22">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2、施工阶段划分；</w:t>
      </w:r>
    </w:p>
    <w:p w14:paraId="758E2D76">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3、施工方法和施工机械选择；</w:t>
      </w:r>
    </w:p>
    <w:p w14:paraId="1C89CCFA">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4、安全生产和文明施工设计；</w:t>
      </w:r>
    </w:p>
    <w:p w14:paraId="191F561D">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5、环境管理；</w:t>
      </w:r>
    </w:p>
    <w:p w14:paraId="15BBD744">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6、报装、报建方案；</w:t>
      </w:r>
    </w:p>
    <w:p w14:paraId="55AC5882">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7、调试方案；</w:t>
      </w:r>
    </w:p>
    <w:p w14:paraId="5441CFED">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8、施工方案；</w:t>
      </w:r>
    </w:p>
    <w:p w14:paraId="7E0AD30E">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9、其他。</w:t>
      </w:r>
    </w:p>
    <w:p w14:paraId="093F381B">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（八）施工技术组织措施计划</w:t>
      </w:r>
    </w:p>
    <w:p w14:paraId="64F8566C">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1、施工总进度计划和单项工程施工进度计划（附表1）；</w:t>
      </w:r>
    </w:p>
    <w:p w14:paraId="74F08FD5">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2、保证进度的措施；</w:t>
      </w:r>
    </w:p>
    <w:p w14:paraId="0510B993">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3、保证质量的措施；</w:t>
      </w:r>
    </w:p>
    <w:p w14:paraId="1EEB477D">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4、保证安全生产和文明施工目标的措施；</w:t>
      </w:r>
    </w:p>
    <w:p w14:paraId="1450B484">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5、保证季节施工的措施；</w:t>
      </w:r>
    </w:p>
    <w:p w14:paraId="5FCF428C">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6、保证环境的措施；</w:t>
      </w:r>
    </w:p>
    <w:p w14:paraId="34F48847">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7、成品保护措施。</w:t>
      </w:r>
    </w:p>
    <w:p w14:paraId="1F8DFDC9">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以上各项措施应包括技术措施、组织措施、经济措施及合同措施。</w:t>
      </w:r>
    </w:p>
    <w:p w14:paraId="794B4EFC">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（九）资源供应保障计划</w:t>
      </w:r>
    </w:p>
    <w:p w14:paraId="04C2C168">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1、劳动力需求计划（附表2）；</w:t>
      </w:r>
    </w:p>
    <w:p w14:paraId="75A86316">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2、主要材料、设备采购计划表（附表3）；</w:t>
      </w:r>
    </w:p>
    <w:p w14:paraId="56033E37">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3、主要材料、设备选用表；</w:t>
      </w:r>
    </w:p>
    <w:p w14:paraId="06D4842E">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4、主要机械设备及大型工具、器具需求计划（附表4）；</w:t>
      </w:r>
    </w:p>
    <w:p w14:paraId="2FF982DE">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5、资金使用计划（附表5）；</w:t>
      </w:r>
    </w:p>
    <w:p w14:paraId="0E91D8E7">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6、材料设备供应保障措施。</w:t>
      </w:r>
    </w:p>
    <w:p w14:paraId="05643F12">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（十）项目风险预测和管理</w:t>
      </w:r>
    </w:p>
    <w:p w14:paraId="7C74A28C">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1、风险管理重点；</w:t>
      </w:r>
    </w:p>
    <w:p w14:paraId="192307B2">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2、风险防范对策；</w:t>
      </w:r>
    </w:p>
    <w:p w14:paraId="57722701">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3、风险管理责任。</w:t>
      </w:r>
    </w:p>
    <w:p w14:paraId="1974E102">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（十一）信息管理</w:t>
      </w:r>
    </w:p>
    <w:p w14:paraId="066FCFB7">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1、与项目组织相适应的信息流通系统；</w:t>
      </w:r>
    </w:p>
    <w:p w14:paraId="2269D570">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2、与招标人的项目信息管理处理系统软硬件相配套的资源配置；</w:t>
      </w:r>
    </w:p>
    <w:p w14:paraId="20BE0814">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3、信息管理实施规划。</w:t>
      </w:r>
    </w:p>
    <w:p w14:paraId="6F196936">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（十二）建筑垃圾处理方案</w:t>
      </w:r>
    </w:p>
    <w:p w14:paraId="552E1235">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1、工程概况和施工单位基本信息；</w:t>
      </w:r>
    </w:p>
    <w:p w14:paraId="54690C0E">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2、建筑垃圾产生量与种类；</w:t>
      </w:r>
    </w:p>
    <w:p w14:paraId="0FEC961B">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3、建筑垃圾源头减量、分类收集、综合利用、污染防治的措施和目标；</w:t>
      </w:r>
    </w:p>
    <w:p w14:paraId="5EBD68F6">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4、需要外运的建筑垃圾种类、数量与运输的时间、路线、方式和运输单位；</w:t>
      </w:r>
    </w:p>
    <w:p w14:paraId="19CDCDA0">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5、建筑垃圾回填、消纳、综合利用场所名称；</w:t>
      </w:r>
    </w:p>
    <w:p w14:paraId="23260963">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6、法律、法规规定的其他内容。</w:t>
      </w:r>
    </w:p>
    <w:p w14:paraId="22215719">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（十三）其它</w:t>
      </w:r>
    </w:p>
    <w:p w14:paraId="4FE81A93">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1、质保期服务方案；</w:t>
      </w:r>
    </w:p>
    <w:p w14:paraId="3A4623B1">
      <w:pPr>
        <w:keepNext w:val="0"/>
        <w:keepLines w:val="0"/>
        <w:widowControl w:val="0"/>
        <w:suppressLineNumbers w:val="0"/>
        <w:topLinePunct/>
        <w:adjustRightInd w:val="0"/>
        <w:snapToGrid w:val="0"/>
        <w:spacing w:before="0" w:beforeAutospacing="0" w:after="0" w:afterAutospacing="0" w:line="360" w:lineRule="auto"/>
        <w:ind w:left="0" w:right="0"/>
        <w:jc w:val="left"/>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2F7F4B5C">
      <w:pPr>
        <w:keepNext w:val="0"/>
        <w:keepLines w:val="0"/>
        <w:widowControl/>
        <w:suppressLineNumbers w:val="0"/>
        <w:spacing w:before="0" w:beforeAutospacing="0" w:after="0" w:afterAutospacing="0"/>
        <w:ind w:left="0" w:right="0"/>
        <w:jc w:val="left"/>
        <w:rPr>
          <w:rFonts w:hint="eastAsia" w:ascii="宋体" w:hAnsi="宋体"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lang w:val="en-US" w:eastAsia="zh-CN" w:bidi="ar"/>
        </w:rPr>
        <w:br w:type="page"/>
      </w:r>
    </w:p>
    <w:p w14:paraId="637902EF">
      <w:pPr>
        <w:keepNext w:val="0"/>
        <w:keepLines w:val="0"/>
        <w:widowControl w:val="0"/>
        <w:suppressLineNumbers w:val="0"/>
        <w:topLinePunct/>
        <w:adjustRightInd w:val="0"/>
        <w:snapToGrid w:val="0"/>
        <w:spacing w:before="0" w:beforeAutospacing="0" w:after="0" w:afterAutospacing="0" w:line="336" w:lineRule="auto"/>
        <w:ind w:left="0" w:right="0"/>
        <w:jc w:val="both"/>
        <w:outlineLvl w:val="3"/>
        <w:rPr>
          <w:rFonts w:hint="eastAsia" w:ascii="宋体" w:hAnsi="Calibri"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lang w:val="en-US" w:eastAsia="zh-CN" w:bidi="ar"/>
        </w:rPr>
        <w:t>附表1：施工进度计划表</w:t>
      </w:r>
    </w:p>
    <w:p w14:paraId="3B7D67BD">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Calibri" w:eastAsia="宋体" w:cs="宋体"/>
          <w:b/>
          <w:bCs w:val="0"/>
          <w:color w:val="auto"/>
          <w:spacing w:val="4"/>
          <w:kern w:val="0"/>
          <w:sz w:val="36"/>
          <w:szCs w:val="36"/>
          <w:highlight w:val="none"/>
        </w:rPr>
      </w:pPr>
      <w:r>
        <w:rPr>
          <w:rFonts w:hint="eastAsia" w:ascii="宋体" w:hAnsi="宋体" w:eastAsia="宋体" w:cs="宋体"/>
          <w:b/>
          <w:bCs w:val="0"/>
          <w:color w:val="auto"/>
          <w:spacing w:val="4"/>
          <w:kern w:val="0"/>
          <w:sz w:val="36"/>
          <w:szCs w:val="36"/>
          <w:highlight w:val="none"/>
          <w:lang w:val="en-US" w:eastAsia="zh-CN" w:bidi="ar"/>
        </w:rPr>
        <w:t>施工进度计划表</w:t>
      </w:r>
    </w:p>
    <w:tbl>
      <w:tblPr>
        <w:tblStyle w:val="17"/>
        <w:tblW w:w="9348"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48"/>
        <w:gridCol w:w="1468"/>
        <w:gridCol w:w="876"/>
        <w:gridCol w:w="720"/>
        <w:gridCol w:w="776"/>
        <w:gridCol w:w="540"/>
        <w:gridCol w:w="540"/>
        <w:gridCol w:w="540"/>
        <w:gridCol w:w="540"/>
        <w:gridCol w:w="540"/>
        <w:gridCol w:w="540"/>
        <w:gridCol w:w="540"/>
        <w:gridCol w:w="540"/>
        <w:gridCol w:w="540"/>
      </w:tblGrid>
      <w:tr w14:paraId="44F63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Pr>
        <w:tc>
          <w:tcPr>
            <w:tcW w:w="64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C873103">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序号</w:t>
            </w:r>
          </w:p>
        </w:tc>
        <w:tc>
          <w:tcPr>
            <w:tcW w:w="14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7AD4DA2">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工程项目</w:t>
            </w:r>
          </w:p>
        </w:tc>
        <w:tc>
          <w:tcPr>
            <w:tcW w:w="8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3B2CC7E">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工程量</w:t>
            </w:r>
          </w:p>
        </w:tc>
        <w:tc>
          <w:tcPr>
            <w:tcW w:w="7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30CBB7A">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开工时间</w:t>
            </w:r>
          </w:p>
        </w:tc>
        <w:tc>
          <w:tcPr>
            <w:tcW w:w="7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F0A8384">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完工时间</w:t>
            </w:r>
          </w:p>
        </w:tc>
        <w:tc>
          <w:tcPr>
            <w:tcW w:w="4860" w:type="dxa"/>
            <w:gridSpan w:val="9"/>
            <w:tcBorders>
              <w:top w:val="single" w:color="auto" w:sz="4" w:space="0"/>
              <w:left w:val="single" w:color="auto" w:sz="4" w:space="0"/>
              <w:bottom w:val="single" w:color="auto" w:sz="4" w:space="0"/>
              <w:right w:val="single" w:color="auto" w:sz="4" w:space="0"/>
            </w:tcBorders>
            <w:shd w:val="clear" w:color="auto" w:fill="auto"/>
            <w:vAlign w:val="center"/>
          </w:tcPr>
          <w:p w14:paraId="4D058CE6">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进度计划</w:t>
            </w:r>
          </w:p>
        </w:tc>
      </w:tr>
      <w:tr w14:paraId="3FF9B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996A18">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E66392">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8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379012">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74C7DA">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7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F00ABF">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4860" w:type="dxa"/>
            <w:gridSpan w:val="9"/>
            <w:tcBorders>
              <w:top w:val="single" w:color="auto" w:sz="4" w:space="0"/>
              <w:left w:val="single" w:color="auto" w:sz="4" w:space="0"/>
              <w:bottom w:val="single" w:color="auto" w:sz="4" w:space="0"/>
              <w:right w:val="single" w:color="auto" w:sz="4" w:space="0"/>
            </w:tcBorders>
            <w:shd w:val="clear" w:color="auto" w:fill="auto"/>
            <w:vAlign w:val="center"/>
          </w:tcPr>
          <w:p w14:paraId="1269DC00">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20</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年</w:t>
            </w:r>
          </w:p>
        </w:tc>
      </w:tr>
      <w:tr w14:paraId="2D703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trPr>
        <w:tc>
          <w:tcPr>
            <w:tcW w:w="6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67E8E8">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4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6C9E16">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8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13F400">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A27A80">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7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8D182E4">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D7FC2A2">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8807255">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EC8C025">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3B05F280">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6294E4D">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883FE9B">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C2AC49A">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D54BF5E">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C289AEE">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p>
        </w:tc>
      </w:tr>
      <w:tr w14:paraId="4FE90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794FAAD1">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14:paraId="53F3B99E">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施工准备</w:t>
            </w:r>
          </w:p>
        </w:tc>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14:paraId="6F24299F">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15CC4BC">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2C0CCAA3">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C0917AA">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7A6291B">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D569791">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691FF44">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7D133EEF">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BAAE12B">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4D1C313">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FEE06CC">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39BF5B0">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14:paraId="3EFB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40EF5E67">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14:paraId="67F4F97C">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w:t>
            </w:r>
          </w:p>
        </w:tc>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14:paraId="50AE526D">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32177A1">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755600AE">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12EB63B">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7580B9BF">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84D889C">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B6E7A7A">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70781BAB">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B894D87">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7EB86D8">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7FA3AD92">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666713B">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14:paraId="2062F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47B417A8">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14:paraId="244BF21F">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w:t>
            </w:r>
          </w:p>
        </w:tc>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14:paraId="62488562">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F55C9DA">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51F6F1A3">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3B89664">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7BEC7C31">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FEADA94">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3992456">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71431BDE">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760E23EC">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0EA75E6">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BF8EE46">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F6FD097">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14:paraId="7A333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13719998">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14:paraId="1252063D">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w:t>
            </w:r>
          </w:p>
        </w:tc>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14:paraId="5515067B">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08156A3">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313050F8">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93D038B">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8D92815">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25D2C70">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15C15C7">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7C8DC20">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B0B6D33">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B563F31">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94AB97E">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85FB9B3">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14:paraId="1D0D3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6665DF18">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14:paraId="5BC7776B">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w:t>
            </w:r>
          </w:p>
        </w:tc>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14:paraId="57FCC295">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2EF4821B">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7F01D698">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1D91A6D">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F3F1C30">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DEC0FDA">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8F17972">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CD2B0E7">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78BDF840">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D9CC373">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0D607BD">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9B51D6B">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14:paraId="0695E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2F51632F">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14:paraId="64853016">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14:paraId="6EA165C6">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9C97EA3">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04147D77">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3EE51B38">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B4E27BE">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493B937">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13D4950">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5BE545B">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0262570">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987CAB7">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7D080D56">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389561D0">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14:paraId="2A5C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3447CF85">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7</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14:paraId="4512E787">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14:paraId="16C29097">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FCB1725">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13305136">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909ABA3">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D693892">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9BD990D">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CEA6584">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9EBF2D2">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53C813D">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5D22722">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D48ED07">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7320CDE5">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14:paraId="7D541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61399A48">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8</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14:paraId="4AFB1B18">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14:paraId="7DB7D2FB">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DB54DF0">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04688828">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30D59BD">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613B431">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6ADAA62">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E3D3B50">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7DB4071">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D4D37A7">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9750BE3">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FF55F34">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EAC3494">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14:paraId="15970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1AA52A1F">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9</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14:paraId="6CB547D2">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14:paraId="48769A0B">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C6D40D8">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156E7381">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66FFD3F">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AB35A75">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47AFD99">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1BBB6C6">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1E5ED82">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51F31ED">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97C7B70">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7885FC0">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76B799F">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14:paraId="74F4F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52037C81">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10</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14:paraId="224145F5">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14:paraId="19F68653">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CD59AF1">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685BA420">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446B9C0">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78604C5">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991FA77">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1F3A952">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7C8A1FFF">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BBBA6A9">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C77E56F">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49929C6">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DDA9E1B">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14:paraId="3C2BE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3BA9FA3F">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11</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14:paraId="28B106D9">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14:paraId="73FCC868">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D5C2E01">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4B9B318A">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44C4E1C">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3F37A179">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793A448E">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F09F2F7">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326C34F1">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6A4E876">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0D5E51C">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A7C996B">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00D0827">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14:paraId="2E14F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14:paraId="2EAD626E">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12</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14:paraId="5B385224">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p>
        </w:tc>
        <w:tc>
          <w:tcPr>
            <w:tcW w:w="876" w:type="dxa"/>
            <w:tcBorders>
              <w:top w:val="single" w:color="auto" w:sz="4" w:space="0"/>
              <w:left w:val="single" w:color="auto" w:sz="4" w:space="0"/>
              <w:bottom w:val="single" w:color="auto" w:sz="4" w:space="0"/>
              <w:right w:val="single" w:color="auto" w:sz="4" w:space="0"/>
            </w:tcBorders>
            <w:shd w:val="clear" w:color="auto" w:fill="auto"/>
            <w:vAlign w:val="center"/>
          </w:tcPr>
          <w:p w14:paraId="10253A86">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4700E4F">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776" w:type="dxa"/>
            <w:tcBorders>
              <w:top w:val="single" w:color="auto" w:sz="4" w:space="0"/>
              <w:left w:val="single" w:color="auto" w:sz="4" w:space="0"/>
              <w:bottom w:val="single" w:color="auto" w:sz="4" w:space="0"/>
              <w:right w:val="single" w:color="auto" w:sz="4" w:space="0"/>
            </w:tcBorders>
            <w:shd w:val="clear" w:color="auto" w:fill="auto"/>
            <w:vAlign w:val="center"/>
          </w:tcPr>
          <w:p w14:paraId="519D3A57">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08170B9">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A7672B4">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137178C">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C9D0E51">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E08973B">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4FE27E3">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90CC06F">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022DAC9">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5645864">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bl>
    <w:p w14:paraId="242CD000">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 xml:space="preserve"> </w:t>
      </w:r>
    </w:p>
    <w:p w14:paraId="2C154D07">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 xml:space="preserve"> </w:t>
      </w:r>
    </w:p>
    <w:p w14:paraId="634983BC">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投标人：  （盖章）</w:t>
      </w:r>
    </w:p>
    <w:p w14:paraId="4FE9C6E9">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法定代表人或授权代理人（签字或盖章）：</w:t>
      </w:r>
    </w:p>
    <w:p w14:paraId="1D4E0EFE">
      <w:pPr>
        <w:keepNext w:val="0"/>
        <w:keepLines w:val="0"/>
        <w:widowControl w:val="0"/>
        <w:suppressLineNumbers w:val="0"/>
        <w:topLinePunct/>
        <w:adjustRightInd w:val="0"/>
        <w:snapToGrid w:val="0"/>
        <w:spacing w:before="0" w:beforeAutospacing="0" w:after="0" w:afterAutospacing="0" w:line="360" w:lineRule="auto"/>
        <w:ind w:left="0" w:right="0" w:firstLine="199" w:firstLineChars="80"/>
        <w:jc w:val="both"/>
        <w:outlineLvl w:val="3"/>
        <w:rPr>
          <w:rFonts w:hint="eastAsia" w:ascii="宋体" w:hAnsi="Calibri" w:eastAsia="宋体" w:cs="宋体"/>
          <w:b/>
          <w:bCs w:val="0"/>
          <w:color w:val="auto"/>
          <w:spacing w:val="4"/>
          <w:kern w:val="0"/>
          <w:sz w:val="24"/>
          <w:szCs w:val="24"/>
          <w:highlight w:val="none"/>
        </w:rPr>
      </w:pPr>
      <w:r>
        <w:rPr>
          <w:rFonts w:hint="eastAsia" w:ascii="宋体" w:hAnsi="Calibri" w:eastAsia="宋体" w:cs="宋体"/>
          <w:b/>
          <w:bCs w:val="0"/>
          <w:color w:val="auto"/>
          <w:spacing w:val="4"/>
          <w:kern w:val="0"/>
          <w:sz w:val="24"/>
          <w:szCs w:val="24"/>
          <w:highlight w:val="none"/>
          <w:lang w:val="en-US" w:eastAsia="zh-CN" w:bidi="ar"/>
        </w:rPr>
        <w:br w:type="page"/>
      </w:r>
      <w:r>
        <w:rPr>
          <w:rFonts w:hint="eastAsia" w:ascii="宋体" w:hAnsi="宋体" w:eastAsia="宋体" w:cs="宋体"/>
          <w:b/>
          <w:bCs w:val="0"/>
          <w:color w:val="auto"/>
          <w:spacing w:val="4"/>
          <w:kern w:val="0"/>
          <w:sz w:val="24"/>
          <w:szCs w:val="24"/>
          <w:highlight w:val="none"/>
          <w:lang w:val="en-US" w:eastAsia="zh-CN" w:bidi="ar"/>
        </w:rPr>
        <w:t>附表2：投入劳动力计划表</w:t>
      </w:r>
    </w:p>
    <w:p w14:paraId="17BC9B8C">
      <w:pPr>
        <w:keepNext w:val="0"/>
        <w:keepLines w:val="0"/>
        <w:widowControl w:val="0"/>
        <w:suppressLineNumbers w:val="0"/>
        <w:topLinePunct/>
        <w:adjustRightInd w:val="0"/>
        <w:snapToGrid w:val="0"/>
        <w:spacing w:before="312" w:beforeLines="100" w:beforeAutospacing="0" w:after="0" w:afterAutospacing="0" w:line="360" w:lineRule="auto"/>
        <w:ind w:left="0" w:right="0"/>
        <w:jc w:val="center"/>
        <w:rPr>
          <w:rFonts w:hint="eastAsia" w:ascii="宋体" w:hAnsi="Calibri" w:eastAsia="宋体" w:cs="宋体"/>
          <w:b/>
          <w:bCs w:val="0"/>
          <w:color w:val="auto"/>
          <w:spacing w:val="4"/>
          <w:kern w:val="0"/>
          <w:sz w:val="36"/>
          <w:szCs w:val="36"/>
          <w:highlight w:val="none"/>
        </w:rPr>
      </w:pPr>
      <w:r>
        <w:rPr>
          <w:rFonts w:hint="eastAsia" w:ascii="宋体" w:hAnsi="宋体" w:eastAsia="宋体" w:cs="宋体"/>
          <w:b/>
          <w:bCs w:val="0"/>
          <w:color w:val="auto"/>
          <w:spacing w:val="4"/>
          <w:kern w:val="0"/>
          <w:sz w:val="36"/>
          <w:szCs w:val="36"/>
          <w:highlight w:val="none"/>
          <w:lang w:val="en-US" w:eastAsia="zh-CN" w:bidi="ar"/>
        </w:rPr>
        <w:t>投入劳动力计划表</w:t>
      </w:r>
    </w:p>
    <w:tbl>
      <w:tblPr>
        <w:tblStyle w:val="17"/>
        <w:tblW w:w="9327"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67"/>
        <w:gridCol w:w="721"/>
        <w:gridCol w:w="1314"/>
        <w:gridCol w:w="1137"/>
        <w:gridCol w:w="1138"/>
        <w:gridCol w:w="1137"/>
        <w:gridCol w:w="1138"/>
        <w:gridCol w:w="1137"/>
        <w:gridCol w:w="1138"/>
      </w:tblGrid>
      <w:tr w14:paraId="664B5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8627BBD">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序号</w:t>
            </w:r>
          </w:p>
        </w:tc>
        <w:tc>
          <w:tcPr>
            <w:tcW w:w="72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9DBE1C1">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工种</w:t>
            </w:r>
          </w:p>
        </w:tc>
        <w:tc>
          <w:tcPr>
            <w:tcW w:w="13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120407D">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投入总数量</w:t>
            </w:r>
          </w:p>
        </w:tc>
        <w:tc>
          <w:tcPr>
            <w:tcW w:w="6825"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13BBE30F">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进场计划</w:t>
            </w:r>
          </w:p>
        </w:tc>
      </w:tr>
      <w:tr w14:paraId="68CAF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Pr>
        <w:tc>
          <w:tcPr>
            <w:tcW w:w="4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E51B2D">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72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013DD9">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F9D168">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6825" w:type="dxa"/>
            <w:gridSpan w:val="6"/>
            <w:tcBorders>
              <w:top w:val="single" w:color="auto" w:sz="4" w:space="0"/>
              <w:left w:val="single" w:color="auto" w:sz="4" w:space="0"/>
              <w:bottom w:val="nil"/>
              <w:right w:val="single" w:color="auto" w:sz="4" w:space="0"/>
            </w:tcBorders>
            <w:shd w:val="clear" w:color="auto" w:fill="auto"/>
            <w:vAlign w:val="center"/>
          </w:tcPr>
          <w:p w14:paraId="6A38EFED">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20</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年</w:t>
            </w:r>
          </w:p>
        </w:tc>
      </w:tr>
      <w:tr w14:paraId="68AA6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3700BB">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72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1E07E9">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F91835">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14:paraId="2E47A441">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×月</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58B5DA3A">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×月</w:t>
            </w: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14:paraId="6264E537">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×月</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7D72CB51">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×月</w:t>
            </w: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14:paraId="1FCF6EDC">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×月</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5A398444">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×月</w:t>
            </w:r>
          </w:p>
        </w:tc>
      </w:tr>
      <w:tr w14:paraId="1D7D1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trPr>
        <w:tc>
          <w:tcPr>
            <w:tcW w:w="467" w:type="dxa"/>
            <w:tcBorders>
              <w:top w:val="single" w:color="auto" w:sz="4" w:space="0"/>
              <w:left w:val="single" w:color="auto" w:sz="4" w:space="0"/>
              <w:bottom w:val="single" w:color="auto" w:sz="4" w:space="0"/>
              <w:right w:val="single" w:color="auto" w:sz="4" w:space="0"/>
            </w:tcBorders>
            <w:shd w:val="clear" w:color="auto" w:fill="auto"/>
            <w:vAlign w:val="center"/>
          </w:tcPr>
          <w:p w14:paraId="5C85A430">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p>
        </w:tc>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14:paraId="30ED3201">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14:paraId="32DA097A">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14:paraId="0FECF067">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1DFC6D01">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14:paraId="6F9AEDC4">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244DC5BF">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14:paraId="6DF06B8B">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00C13702">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14:paraId="3CC82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trPr>
        <w:tc>
          <w:tcPr>
            <w:tcW w:w="467" w:type="dxa"/>
            <w:tcBorders>
              <w:top w:val="single" w:color="auto" w:sz="4" w:space="0"/>
              <w:left w:val="single" w:color="auto" w:sz="4" w:space="0"/>
              <w:bottom w:val="single" w:color="auto" w:sz="4" w:space="0"/>
              <w:right w:val="single" w:color="auto" w:sz="4" w:space="0"/>
            </w:tcBorders>
            <w:shd w:val="clear" w:color="auto" w:fill="auto"/>
            <w:vAlign w:val="center"/>
          </w:tcPr>
          <w:p w14:paraId="5A76BA1B">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w:t>
            </w:r>
          </w:p>
        </w:tc>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14:paraId="45B36951">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14:paraId="2C2050E4">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14:paraId="35621EF0">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43CDDA18">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14:paraId="1E30FBEA">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20310B22">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14:paraId="645CCF9C">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219C1E12">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14:paraId="4BC7A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467" w:type="dxa"/>
            <w:tcBorders>
              <w:top w:val="single" w:color="auto" w:sz="4" w:space="0"/>
              <w:left w:val="single" w:color="auto" w:sz="4" w:space="0"/>
              <w:bottom w:val="single" w:color="auto" w:sz="4" w:space="0"/>
              <w:right w:val="single" w:color="auto" w:sz="4" w:space="0"/>
            </w:tcBorders>
            <w:shd w:val="clear" w:color="auto" w:fill="auto"/>
            <w:vAlign w:val="center"/>
          </w:tcPr>
          <w:p w14:paraId="7E855407">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w:t>
            </w:r>
          </w:p>
        </w:tc>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14:paraId="1D98BEA5">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14:paraId="10FCB0B1">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14:paraId="49F13DDF">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5E3D5678">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14:paraId="6197BE46">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1B6A229B">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14:paraId="7CB1CCD6">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6E19137D">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14:paraId="655C1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0" w:hRule="atLeast"/>
        </w:trPr>
        <w:tc>
          <w:tcPr>
            <w:tcW w:w="467" w:type="dxa"/>
            <w:tcBorders>
              <w:top w:val="single" w:color="auto" w:sz="4" w:space="0"/>
              <w:left w:val="single" w:color="auto" w:sz="4" w:space="0"/>
              <w:bottom w:val="single" w:color="auto" w:sz="4" w:space="0"/>
              <w:right w:val="single" w:color="auto" w:sz="4" w:space="0"/>
            </w:tcBorders>
            <w:shd w:val="clear" w:color="auto" w:fill="auto"/>
            <w:vAlign w:val="center"/>
          </w:tcPr>
          <w:p w14:paraId="0371F44C">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w:t>
            </w:r>
          </w:p>
        </w:tc>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14:paraId="765C53EE">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14:paraId="52EFEF60">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14:paraId="26BDBD31">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753B81BB">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14:paraId="7F6DC052">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39812704">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14:paraId="35A75F2D">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5403A4A8">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14:paraId="1ACEC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467" w:type="dxa"/>
            <w:tcBorders>
              <w:top w:val="single" w:color="auto" w:sz="4" w:space="0"/>
              <w:left w:val="single" w:color="auto" w:sz="4" w:space="0"/>
              <w:bottom w:val="single" w:color="auto" w:sz="4" w:space="0"/>
              <w:right w:val="single" w:color="auto" w:sz="4" w:space="0"/>
            </w:tcBorders>
            <w:shd w:val="clear" w:color="auto" w:fill="auto"/>
            <w:vAlign w:val="center"/>
          </w:tcPr>
          <w:p w14:paraId="4F281A5B">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w:t>
            </w:r>
          </w:p>
        </w:tc>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14:paraId="396CA5AE">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14:paraId="4A6C5A91">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14:paraId="1A488306">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153E1BEF">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14:paraId="1B58FB45">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4DDEF8E8">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14:paraId="6A87CB05">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1805B704">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14:paraId="2C3E4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467" w:type="dxa"/>
            <w:tcBorders>
              <w:top w:val="single" w:color="auto" w:sz="4" w:space="0"/>
              <w:left w:val="single" w:color="auto" w:sz="4" w:space="0"/>
              <w:bottom w:val="single" w:color="auto" w:sz="4" w:space="0"/>
              <w:right w:val="single" w:color="auto" w:sz="4" w:space="0"/>
            </w:tcBorders>
            <w:shd w:val="clear" w:color="auto" w:fill="auto"/>
            <w:vAlign w:val="center"/>
          </w:tcPr>
          <w:p w14:paraId="1A812ADB">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w:t>
            </w:r>
          </w:p>
        </w:tc>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14:paraId="3DAC3DFD">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p>
        </w:tc>
        <w:tc>
          <w:tcPr>
            <w:tcW w:w="1314" w:type="dxa"/>
            <w:tcBorders>
              <w:top w:val="single" w:color="auto" w:sz="4" w:space="0"/>
              <w:left w:val="single" w:color="auto" w:sz="4" w:space="0"/>
              <w:bottom w:val="single" w:color="auto" w:sz="4" w:space="0"/>
              <w:right w:val="single" w:color="auto" w:sz="4" w:space="0"/>
            </w:tcBorders>
            <w:shd w:val="clear" w:color="auto" w:fill="auto"/>
            <w:vAlign w:val="center"/>
          </w:tcPr>
          <w:p w14:paraId="55C5A6EE">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14:paraId="7EDBC979">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4F6C3714">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14:paraId="205E16D2">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42AEBDDB">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14:paraId="5D38B97F">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625E1FB4">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bl>
    <w:p w14:paraId="3BC8508D">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注：本表后应附投入劳动力计划柱状图。</w:t>
      </w:r>
    </w:p>
    <w:p w14:paraId="0AB06FE5">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 xml:space="preserve"> </w:t>
      </w:r>
    </w:p>
    <w:p w14:paraId="4BB5EE64">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 xml:space="preserve"> </w:t>
      </w:r>
    </w:p>
    <w:p w14:paraId="201A308A">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 xml:space="preserve"> </w:t>
      </w:r>
    </w:p>
    <w:p w14:paraId="0933C364">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单位：  （盖章）</w:t>
      </w:r>
    </w:p>
    <w:p w14:paraId="2C601767">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法定代表人或授权代理人（签字或盖章）：</w:t>
      </w:r>
    </w:p>
    <w:p w14:paraId="30C3BEBA">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 xml:space="preserve">日   期：    年    月    日 </w:t>
      </w:r>
    </w:p>
    <w:p w14:paraId="1C63575A">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 xml:space="preserve"> </w:t>
      </w:r>
    </w:p>
    <w:p w14:paraId="405E8E11">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 xml:space="preserve"> </w:t>
      </w:r>
    </w:p>
    <w:p w14:paraId="11323E45">
      <w:pPr>
        <w:spacing w:line="360" w:lineRule="auto"/>
        <w:rPr>
          <w:rFonts w:hint="eastAsia" w:ascii="宋体" w:hAnsi="Calibri" w:eastAsia="宋体" w:cs="宋体"/>
          <w:color w:val="auto"/>
          <w:spacing w:val="4"/>
          <w:kern w:val="0"/>
          <w:sz w:val="24"/>
          <w:szCs w:val="24"/>
          <w:highlight w:val="none"/>
        </w:rPr>
        <w:sectPr>
          <w:pgSz w:w="11907" w:h="16840"/>
          <w:pgMar w:top="1134" w:right="1418" w:bottom="1247" w:left="1418" w:header="851" w:footer="851" w:gutter="0"/>
          <w:pgNumType w:fmt="decimal"/>
          <w:cols w:space="425" w:num="1"/>
          <w:docGrid w:type="lines" w:linePitch="312" w:charSpace="0"/>
        </w:sectPr>
      </w:pPr>
    </w:p>
    <w:p w14:paraId="6910B3C9">
      <w:pPr>
        <w:keepNext w:val="0"/>
        <w:keepLines w:val="0"/>
        <w:widowControl w:val="0"/>
        <w:suppressLineNumbers w:val="0"/>
        <w:topLinePunct/>
        <w:adjustRightInd w:val="0"/>
        <w:snapToGrid w:val="0"/>
        <w:spacing w:before="156" w:beforeLines="50" w:beforeAutospacing="0" w:after="156" w:afterLines="50" w:afterAutospacing="0"/>
        <w:ind w:left="0" w:right="0"/>
        <w:jc w:val="both"/>
        <w:outlineLvl w:val="3"/>
        <w:rPr>
          <w:rFonts w:hint="eastAsia" w:ascii="宋体" w:hAnsi="Calibri"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lang w:val="en-US" w:eastAsia="zh-CN" w:bidi="ar"/>
        </w:rPr>
        <w:t>附表3：主要材料、设备进场时间表</w:t>
      </w:r>
    </w:p>
    <w:p w14:paraId="41EC15AB">
      <w:pPr>
        <w:keepNext w:val="0"/>
        <w:keepLines w:val="0"/>
        <w:widowControl w:val="0"/>
        <w:suppressLineNumbers w:val="0"/>
        <w:topLinePunct/>
        <w:adjustRightInd w:val="0"/>
        <w:snapToGrid w:val="0"/>
        <w:spacing w:before="312" w:beforeLines="100" w:beforeAutospacing="0" w:after="0" w:afterAutospacing="0" w:line="360" w:lineRule="auto"/>
        <w:ind w:left="0" w:right="0"/>
        <w:jc w:val="center"/>
        <w:rPr>
          <w:rFonts w:hint="eastAsia" w:ascii="宋体" w:hAnsi="Calibri" w:eastAsia="宋体" w:cs="宋体"/>
          <w:b/>
          <w:bCs w:val="0"/>
          <w:color w:val="auto"/>
          <w:spacing w:val="4"/>
          <w:kern w:val="0"/>
          <w:sz w:val="36"/>
          <w:szCs w:val="36"/>
          <w:highlight w:val="none"/>
        </w:rPr>
      </w:pPr>
      <w:r>
        <w:rPr>
          <w:rFonts w:hint="eastAsia" w:ascii="宋体" w:hAnsi="宋体" w:eastAsia="宋体" w:cs="宋体"/>
          <w:b/>
          <w:bCs w:val="0"/>
          <w:color w:val="auto"/>
          <w:spacing w:val="4"/>
          <w:kern w:val="0"/>
          <w:sz w:val="36"/>
          <w:szCs w:val="36"/>
          <w:highlight w:val="none"/>
          <w:lang w:val="en-US" w:eastAsia="zh-CN" w:bidi="ar"/>
        </w:rPr>
        <w:t>主要材料、设备进场时间表</w:t>
      </w:r>
    </w:p>
    <w:tbl>
      <w:tblPr>
        <w:tblStyle w:val="17"/>
        <w:tblW w:w="9108"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68"/>
        <w:gridCol w:w="1800"/>
        <w:gridCol w:w="720"/>
        <w:gridCol w:w="720"/>
        <w:gridCol w:w="733"/>
        <w:gridCol w:w="852"/>
        <w:gridCol w:w="1163"/>
        <w:gridCol w:w="1260"/>
        <w:gridCol w:w="1392"/>
      </w:tblGrid>
      <w:tr w14:paraId="3337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1" w:hRule="atLeast"/>
        </w:trPr>
        <w:tc>
          <w:tcPr>
            <w:tcW w:w="468" w:type="dxa"/>
            <w:tcBorders>
              <w:top w:val="single" w:color="auto" w:sz="4" w:space="0"/>
              <w:left w:val="single" w:color="auto" w:sz="4" w:space="0"/>
              <w:bottom w:val="single" w:color="auto" w:sz="4" w:space="0"/>
              <w:right w:val="single" w:color="auto" w:sz="4" w:space="0"/>
            </w:tcBorders>
            <w:shd w:val="clear" w:color="auto" w:fill="auto"/>
            <w:vAlign w:val="center"/>
          </w:tcPr>
          <w:p w14:paraId="552B65F8">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序号</w:t>
            </w:r>
          </w:p>
        </w:tc>
        <w:tc>
          <w:tcPr>
            <w:tcW w:w="1800" w:type="dxa"/>
            <w:tcBorders>
              <w:top w:val="single" w:color="auto" w:sz="4" w:space="0"/>
              <w:left w:val="single" w:color="auto" w:sz="4" w:space="0"/>
              <w:bottom w:val="single" w:color="auto" w:sz="4" w:space="0"/>
              <w:right w:val="single" w:color="auto" w:sz="4" w:space="0"/>
            </w:tcBorders>
            <w:shd w:val="clear" w:color="auto" w:fill="auto"/>
            <w:vAlign w:val="center"/>
          </w:tcPr>
          <w:p w14:paraId="105328E7">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材料设备名称</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D7E3A09">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规格型号</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46B0D6A">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计量单位</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5217347B">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暂定数量</w:t>
            </w:r>
          </w:p>
        </w:tc>
        <w:tc>
          <w:tcPr>
            <w:tcW w:w="852" w:type="dxa"/>
            <w:tcBorders>
              <w:top w:val="single" w:color="auto" w:sz="4" w:space="0"/>
              <w:left w:val="single" w:color="auto" w:sz="4" w:space="0"/>
              <w:bottom w:val="single" w:color="auto" w:sz="4" w:space="0"/>
              <w:right w:val="single" w:color="auto" w:sz="4" w:space="0"/>
            </w:tcBorders>
            <w:shd w:val="clear" w:color="auto" w:fill="auto"/>
            <w:vAlign w:val="center"/>
          </w:tcPr>
          <w:p w14:paraId="514865D4">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质量</w:t>
            </w:r>
          </w:p>
          <w:p w14:paraId="04C9FB4B">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等级</w:t>
            </w:r>
          </w:p>
        </w:tc>
        <w:tc>
          <w:tcPr>
            <w:tcW w:w="1163" w:type="dxa"/>
            <w:tcBorders>
              <w:top w:val="single" w:color="auto" w:sz="4" w:space="0"/>
              <w:left w:val="single" w:color="auto" w:sz="4" w:space="0"/>
              <w:bottom w:val="single" w:color="auto" w:sz="4" w:space="0"/>
              <w:right w:val="single" w:color="auto" w:sz="4" w:space="0"/>
            </w:tcBorders>
            <w:shd w:val="clear" w:color="auto" w:fill="auto"/>
            <w:vAlign w:val="center"/>
          </w:tcPr>
          <w:p w14:paraId="054FEBC1">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到货时间</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1069408D">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到货地点</w:t>
            </w:r>
          </w:p>
        </w:tc>
        <w:tc>
          <w:tcPr>
            <w:tcW w:w="1392" w:type="dxa"/>
            <w:tcBorders>
              <w:top w:val="single" w:color="auto" w:sz="4" w:space="0"/>
              <w:left w:val="single" w:color="auto" w:sz="4" w:space="0"/>
              <w:bottom w:val="single" w:color="auto" w:sz="4" w:space="0"/>
              <w:right w:val="single" w:color="auto" w:sz="4" w:space="0"/>
            </w:tcBorders>
            <w:shd w:val="clear" w:color="auto" w:fill="auto"/>
            <w:vAlign w:val="center"/>
          </w:tcPr>
          <w:p w14:paraId="7660C338">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备注</w:t>
            </w:r>
          </w:p>
        </w:tc>
      </w:tr>
      <w:tr w14:paraId="0ACA9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shd w:val="clear" w:color="auto" w:fill="auto"/>
            <w:vAlign w:val="top"/>
          </w:tcPr>
          <w:p w14:paraId="337AA8AC">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top"/>
          </w:tcPr>
          <w:p w14:paraId="1664EA1C">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0D26BAD3">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6BA23395">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33" w:type="dxa"/>
            <w:tcBorders>
              <w:top w:val="single" w:color="auto" w:sz="4" w:space="0"/>
              <w:left w:val="single" w:color="auto" w:sz="4" w:space="0"/>
              <w:bottom w:val="single" w:color="auto" w:sz="4" w:space="0"/>
              <w:right w:val="single" w:color="auto" w:sz="4" w:space="0"/>
            </w:tcBorders>
            <w:shd w:val="clear" w:color="auto" w:fill="auto"/>
            <w:vAlign w:val="top"/>
          </w:tcPr>
          <w:p w14:paraId="20021359">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852" w:type="dxa"/>
            <w:tcBorders>
              <w:top w:val="single" w:color="auto" w:sz="4" w:space="0"/>
              <w:left w:val="single" w:color="auto" w:sz="4" w:space="0"/>
              <w:bottom w:val="single" w:color="auto" w:sz="4" w:space="0"/>
              <w:right w:val="single" w:color="auto" w:sz="4" w:space="0"/>
            </w:tcBorders>
            <w:shd w:val="clear" w:color="auto" w:fill="auto"/>
            <w:vAlign w:val="top"/>
          </w:tcPr>
          <w:p w14:paraId="39A1CF0E">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shd w:val="clear" w:color="auto" w:fill="auto"/>
            <w:vAlign w:val="top"/>
          </w:tcPr>
          <w:p w14:paraId="3587DFE6">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508D6378">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392" w:type="dxa"/>
            <w:tcBorders>
              <w:top w:val="single" w:color="auto" w:sz="4" w:space="0"/>
              <w:left w:val="single" w:color="auto" w:sz="4" w:space="0"/>
              <w:bottom w:val="single" w:color="auto" w:sz="4" w:space="0"/>
              <w:right w:val="single" w:color="auto" w:sz="4" w:space="0"/>
            </w:tcBorders>
            <w:shd w:val="clear" w:color="auto" w:fill="auto"/>
            <w:vAlign w:val="top"/>
          </w:tcPr>
          <w:p w14:paraId="7F44A411">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r>
      <w:tr w14:paraId="513E8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shd w:val="clear" w:color="auto" w:fill="auto"/>
            <w:vAlign w:val="top"/>
          </w:tcPr>
          <w:p w14:paraId="75EC1D96">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top"/>
          </w:tcPr>
          <w:p w14:paraId="638D202B">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44DFE982">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6FD7FB25">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33" w:type="dxa"/>
            <w:tcBorders>
              <w:top w:val="single" w:color="auto" w:sz="4" w:space="0"/>
              <w:left w:val="single" w:color="auto" w:sz="4" w:space="0"/>
              <w:bottom w:val="single" w:color="auto" w:sz="4" w:space="0"/>
              <w:right w:val="single" w:color="auto" w:sz="4" w:space="0"/>
            </w:tcBorders>
            <w:shd w:val="clear" w:color="auto" w:fill="auto"/>
            <w:vAlign w:val="top"/>
          </w:tcPr>
          <w:p w14:paraId="5D44C2BA">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852" w:type="dxa"/>
            <w:tcBorders>
              <w:top w:val="single" w:color="auto" w:sz="4" w:space="0"/>
              <w:left w:val="single" w:color="auto" w:sz="4" w:space="0"/>
              <w:bottom w:val="single" w:color="auto" w:sz="4" w:space="0"/>
              <w:right w:val="single" w:color="auto" w:sz="4" w:space="0"/>
            </w:tcBorders>
            <w:shd w:val="clear" w:color="auto" w:fill="auto"/>
            <w:vAlign w:val="top"/>
          </w:tcPr>
          <w:p w14:paraId="214450CD">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shd w:val="clear" w:color="auto" w:fill="auto"/>
            <w:vAlign w:val="top"/>
          </w:tcPr>
          <w:p w14:paraId="0883F44D">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07E9363E">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392" w:type="dxa"/>
            <w:tcBorders>
              <w:top w:val="single" w:color="auto" w:sz="4" w:space="0"/>
              <w:left w:val="single" w:color="auto" w:sz="4" w:space="0"/>
              <w:bottom w:val="single" w:color="auto" w:sz="4" w:space="0"/>
              <w:right w:val="single" w:color="auto" w:sz="4" w:space="0"/>
            </w:tcBorders>
            <w:shd w:val="clear" w:color="auto" w:fill="auto"/>
            <w:vAlign w:val="top"/>
          </w:tcPr>
          <w:p w14:paraId="7A507829">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r>
      <w:tr w14:paraId="70727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shd w:val="clear" w:color="auto" w:fill="auto"/>
            <w:vAlign w:val="top"/>
          </w:tcPr>
          <w:p w14:paraId="4CED02B1">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top"/>
          </w:tcPr>
          <w:p w14:paraId="74B1BD8A">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786D5C43">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2C0C4332">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33" w:type="dxa"/>
            <w:tcBorders>
              <w:top w:val="single" w:color="auto" w:sz="4" w:space="0"/>
              <w:left w:val="single" w:color="auto" w:sz="4" w:space="0"/>
              <w:bottom w:val="single" w:color="auto" w:sz="4" w:space="0"/>
              <w:right w:val="single" w:color="auto" w:sz="4" w:space="0"/>
            </w:tcBorders>
            <w:shd w:val="clear" w:color="auto" w:fill="auto"/>
            <w:vAlign w:val="top"/>
          </w:tcPr>
          <w:p w14:paraId="07471E90">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852" w:type="dxa"/>
            <w:tcBorders>
              <w:top w:val="single" w:color="auto" w:sz="4" w:space="0"/>
              <w:left w:val="single" w:color="auto" w:sz="4" w:space="0"/>
              <w:bottom w:val="single" w:color="auto" w:sz="4" w:space="0"/>
              <w:right w:val="single" w:color="auto" w:sz="4" w:space="0"/>
            </w:tcBorders>
            <w:shd w:val="clear" w:color="auto" w:fill="auto"/>
            <w:vAlign w:val="top"/>
          </w:tcPr>
          <w:p w14:paraId="581527D9">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shd w:val="clear" w:color="auto" w:fill="auto"/>
            <w:vAlign w:val="top"/>
          </w:tcPr>
          <w:p w14:paraId="27AF8337">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4DFA2D28">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392" w:type="dxa"/>
            <w:tcBorders>
              <w:top w:val="single" w:color="auto" w:sz="4" w:space="0"/>
              <w:left w:val="single" w:color="auto" w:sz="4" w:space="0"/>
              <w:bottom w:val="single" w:color="auto" w:sz="4" w:space="0"/>
              <w:right w:val="single" w:color="auto" w:sz="4" w:space="0"/>
            </w:tcBorders>
            <w:shd w:val="clear" w:color="auto" w:fill="auto"/>
            <w:vAlign w:val="top"/>
          </w:tcPr>
          <w:p w14:paraId="0AC7BAB4">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r>
      <w:tr w14:paraId="14060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shd w:val="clear" w:color="auto" w:fill="auto"/>
            <w:vAlign w:val="top"/>
          </w:tcPr>
          <w:p w14:paraId="4EBC016F">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top"/>
          </w:tcPr>
          <w:p w14:paraId="79B475C5">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7A76EDE6">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3D7DFF3D">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33" w:type="dxa"/>
            <w:tcBorders>
              <w:top w:val="single" w:color="auto" w:sz="4" w:space="0"/>
              <w:left w:val="single" w:color="auto" w:sz="4" w:space="0"/>
              <w:bottom w:val="single" w:color="auto" w:sz="4" w:space="0"/>
              <w:right w:val="single" w:color="auto" w:sz="4" w:space="0"/>
            </w:tcBorders>
            <w:shd w:val="clear" w:color="auto" w:fill="auto"/>
            <w:vAlign w:val="top"/>
          </w:tcPr>
          <w:p w14:paraId="0D289A59">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852" w:type="dxa"/>
            <w:tcBorders>
              <w:top w:val="single" w:color="auto" w:sz="4" w:space="0"/>
              <w:left w:val="single" w:color="auto" w:sz="4" w:space="0"/>
              <w:bottom w:val="single" w:color="auto" w:sz="4" w:space="0"/>
              <w:right w:val="single" w:color="auto" w:sz="4" w:space="0"/>
            </w:tcBorders>
            <w:shd w:val="clear" w:color="auto" w:fill="auto"/>
            <w:vAlign w:val="top"/>
          </w:tcPr>
          <w:p w14:paraId="7E850273">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shd w:val="clear" w:color="auto" w:fill="auto"/>
            <w:vAlign w:val="top"/>
          </w:tcPr>
          <w:p w14:paraId="6587233A">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4FB1BAEA">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392" w:type="dxa"/>
            <w:tcBorders>
              <w:top w:val="single" w:color="auto" w:sz="4" w:space="0"/>
              <w:left w:val="single" w:color="auto" w:sz="4" w:space="0"/>
              <w:bottom w:val="single" w:color="auto" w:sz="4" w:space="0"/>
              <w:right w:val="single" w:color="auto" w:sz="4" w:space="0"/>
            </w:tcBorders>
            <w:shd w:val="clear" w:color="auto" w:fill="auto"/>
            <w:vAlign w:val="top"/>
          </w:tcPr>
          <w:p w14:paraId="2789D993">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r>
      <w:tr w14:paraId="7344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shd w:val="clear" w:color="auto" w:fill="auto"/>
            <w:vAlign w:val="top"/>
          </w:tcPr>
          <w:p w14:paraId="62753EAE">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top"/>
          </w:tcPr>
          <w:p w14:paraId="48455B2D">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73FAF633">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1209419D">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33" w:type="dxa"/>
            <w:tcBorders>
              <w:top w:val="single" w:color="auto" w:sz="4" w:space="0"/>
              <w:left w:val="single" w:color="auto" w:sz="4" w:space="0"/>
              <w:bottom w:val="single" w:color="auto" w:sz="4" w:space="0"/>
              <w:right w:val="single" w:color="auto" w:sz="4" w:space="0"/>
            </w:tcBorders>
            <w:shd w:val="clear" w:color="auto" w:fill="auto"/>
            <w:vAlign w:val="top"/>
          </w:tcPr>
          <w:p w14:paraId="1D8A8BB3">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852" w:type="dxa"/>
            <w:tcBorders>
              <w:top w:val="single" w:color="auto" w:sz="4" w:space="0"/>
              <w:left w:val="single" w:color="auto" w:sz="4" w:space="0"/>
              <w:bottom w:val="single" w:color="auto" w:sz="4" w:space="0"/>
              <w:right w:val="single" w:color="auto" w:sz="4" w:space="0"/>
            </w:tcBorders>
            <w:shd w:val="clear" w:color="auto" w:fill="auto"/>
            <w:vAlign w:val="top"/>
          </w:tcPr>
          <w:p w14:paraId="09829618">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shd w:val="clear" w:color="auto" w:fill="auto"/>
            <w:vAlign w:val="top"/>
          </w:tcPr>
          <w:p w14:paraId="4A30AD12">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15EBAD59">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392" w:type="dxa"/>
            <w:tcBorders>
              <w:top w:val="single" w:color="auto" w:sz="4" w:space="0"/>
              <w:left w:val="single" w:color="auto" w:sz="4" w:space="0"/>
              <w:bottom w:val="single" w:color="auto" w:sz="4" w:space="0"/>
              <w:right w:val="single" w:color="auto" w:sz="4" w:space="0"/>
            </w:tcBorders>
            <w:shd w:val="clear" w:color="auto" w:fill="auto"/>
            <w:vAlign w:val="top"/>
          </w:tcPr>
          <w:p w14:paraId="2CF5328D">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r>
      <w:tr w14:paraId="40FCB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shd w:val="clear" w:color="auto" w:fill="auto"/>
            <w:vAlign w:val="top"/>
          </w:tcPr>
          <w:p w14:paraId="581A3859">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800" w:type="dxa"/>
            <w:tcBorders>
              <w:top w:val="single" w:color="auto" w:sz="4" w:space="0"/>
              <w:left w:val="single" w:color="auto" w:sz="4" w:space="0"/>
              <w:bottom w:val="single" w:color="auto" w:sz="4" w:space="0"/>
              <w:right w:val="single" w:color="auto" w:sz="4" w:space="0"/>
            </w:tcBorders>
            <w:shd w:val="clear" w:color="auto" w:fill="auto"/>
            <w:vAlign w:val="top"/>
          </w:tcPr>
          <w:p w14:paraId="2815C427">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452BA366">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top"/>
          </w:tcPr>
          <w:p w14:paraId="17D1E4D1">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733" w:type="dxa"/>
            <w:tcBorders>
              <w:top w:val="single" w:color="auto" w:sz="4" w:space="0"/>
              <w:left w:val="single" w:color="auto" w:sz="4" w:space="0"/>
              <w:bottom w:val="single" w:color="auto" w:sz="4" w:space="0"/>
              <w:right w:val="single" w:color="auto" w:sz="4" w:space="0"/>
            </w:tcBorders>
            <w:shd w:val="clear" w:color="auto" w:fill="auto"/>
            <w:vAlign w:val="top"/>
          </w:tcPr>
          <w:p w14:paraId="7307DFB7">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852" w:type="dxa"/>
            <w:tcBorders>
              <w:top w:val="single" w:color="auto" w:sz="4" w:space="0"/>
              <w:left w:val="single" w:color="auto" w:sz="4" w:space="0"/>
              <w:bottom w:val="single" w:color="auto" w:sz="4" w:space="0"/>
              <w:right w:val="single" w:color="auto" w:sz="4" w:space="0"/>
            </w:tcBorders>
            <w:shd w:val="clear" w:color="auto" w:fill="auto"/>
            <w:vAlign w:val="top"/>
          </w:tcPr>
          <w:p w14:paraId="6AAB98DD">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shd w:val="clear" w:color="auto" w:fill="auto"/>
            <w:vAlign w:val="top"/>
          </w:tcPr>
          <w:p w14:paraId="48452C3D">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top"/>
          </w:tcPr>
          <w:p w14:paraId="4B82989E">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c>
          <w:tcPr>
            <w:tcW w:w="1392" w:type="dxa"/>
            <w:tcBorders>
              <w:top w:val="single" w:color="auto" w:sz="4" w:space="0"/>
              <w:left w:val="single" w:color="auto" w:sz="4" w:space="0"/>
              <w:bottom w:val="single" w:color="auto" w:sz="4" w:space="0"/>
              <w:right w:val="single" w:color="auto" w:sz="4" w:space="0"/>
            </w:tcBorders>
            <w:shd w:val="clear" w:color="auto" w:fill="auto"/>
            <w:vAlign w:val="top"/>
          </w:tcPr>
          <w:p w14:paraId="51F28A0F">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宋体"/>
                <w:color w:val="auto"/>
                <w:kern w:val="0"/>
                <w:sz w:val="21"/>
                <w:szCs w:val="21"/>
                <w:highlight w:val="none"/>
              </w:rPr>
            </w:pPr>
          </w:p>
        </w:tc>
      </w:tr>
    </w:tbl>
    <w:p w14:paraId="6359CC52">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说明：1、按专业工程不同分别列表分类填写。</w:t>
      </w:r>
    </w:p>
    <w:p w14:paraId="73098968">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14:paraId="3B688646">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14:paraId="6CEC473A">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14:paraId="14665835">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14:paraId="0AB22403">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14:paraId="0D389B79">
      <w:pPr>
        <w:keepNext w:val="0"/>
        <w:keepLines w:val="0"/>
        <w:widowControl w:val="0"/>
        <w:suppressLineNumbers w:val="0"/>
        <w:topLinePunct/>
        <w:adjustRightInd w:val="0"/>
        <w:snapToGrid w:val="0"/>
        <w:spacing w:before="0" w:beforeAutospacing="0" w:after="0" w:afterAutospacing="0" w:line="360" w:lineRule="auto"/>
        <w:ind w:left="0" w:right="0" w:firstLine="3915" w:firstLineChars="1579"/>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单位：  （盖章）</w:t>
      </w:r>
    </w:p>
    <w:p w14:paraId="6C4818F8">
      <w:pPr>
        <w:keepNext w:val="0"/>
        <w:keepLines w:val="0"/>
        <w:widowControl w:val="0"/>
        <w:suppressLineNumbers w:val="0"/>
        <w:topLinePunct/>
        <w:adjustRightInd w:val="0"/>
        <w:snapToGrid w:val="0"/>
        <w:spacing w:before="0" w:beforeAutospacing="0" w:after="0" w:afterAutospacing="0" w:line="360" w:lineRule="auto"/>
        <w:ind w:left="0" w:right="0" w:firstLine="3915" w:firstLineChars="1579"/>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法定代表人或授权代理人（签字或盖章）：</w:t>
      </w:r>
    </w:p>
    <w:p w14:paraId="74DE9FA0">
      <w:pPr>
        <w:keepNext w:val="0"/>
        <w:keepLines w:val="0"/>
        <w:widowControl w:val="0"/>
        <w:suppressLineNumbers w:val="0"/>
        <w:topLinePunct/>
        <w:adjustRightInd w:val="0"/>
        <w:snapToGrid w:val="0"/>
        <w:spacing w:before="0" w:beforeAutospacing="0" w:after="0" w:afterAutospacing="0" w:line="360" w:lineRule="auto"/>
        <w:ind w:left="0" w:right="0" w:firstLine="3968" w:firstLineChars="160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 xml:space="preserve">日   期：    年    月    日 </w:t>
      </w:r>
    </w:p>
    <w:p w14:paraId="22CA600E">
      <w:pPr>
        <w:spacing w:line="360" w:lineRule="auto"/>
        <w:rPr>
          <w:rFonts w:hint="eastAsia" w:ascii="宋体" w:hAnsi="Calibri" w:eastAsia="宋体" w:cs="宋体"/>
          <w:color w:val="auto"/>
          <w:spacing w:val="4"/>
          <w:kern w:val="0"/>
          <w:sz w:val="24"/>
          <w:szCs w:val="24"/>
          <w:highlight w:val="none"/>
        </w:rPr>
        <w:sectPr>
          <w:pgSz w:w="11907" w:h="16840"/>
          <w:pgMar w:top="1418" w:right="1418" w:bottom="1418" w:left="1418" w:header="851" w:footer="851" w:gutter="0"/>
          <w:pgNumType w:fmt="decimal"/>
          <w:cols w:space="425" w:num="1"/>
          <w:docGrid w:type="lines" w:linePitch="312" w:charSpace="0"/>
        </w:sectPr>
      </w:pPr>
    </w:p>
    <w:p w14:paraId="28EEF1B0">
      <w:pPr>
        <w:keepNext w:val="0"/>
        <w:keepLines w:val="0"/>
        <w:widowControl w:val="0"/>
        <w:suppressLineNumbers w:val="0"/>
        <w:topLinePunct/>
        <w:adjustRightInd w:val="0"/>
        <w:snapToGrid w:val="0"/>
        <w:spacing w:before="0" w:beforeAutospacing="0" w:after="156" w:afterLines="50" w:afterAutospacing="0"/>
        <w:ind w:left="0" w:right="0"/>
        <w:jc w:val="both"/>
        <w:outlineLvl w:val="3"/>
        <w:rPr>
          <w:rFonts w:hint="eastAsia" w:ascii="宋体" w:hAnsi="Calibri" w:eastAsia="宋体" w:cs="宋体"/>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lang w:val="en-US" w:eastAsia="zh-CN" w:bidi="ar"/>
        </w:rPr>
        <w:t>附表4：投入主要施工机械设备表</w:t>
      </w:r>
    </w:p>
    <w:p w14:paraId="0A45AAEE">
      <w:pPr>
        <w:keepNext w:val="0"/>
        <w:keepLines w:val="0"/>
        <w:widowControl w:val="0"/>
        <w:suppressLineNumbers w:val="0"/>
        <w:topLinePunct/>
        <w:adjustRightInd w:val="0"/>
        <w:snapToGrid w:val="0"/>
        <w:spacing w:before="312" w:beforeLines="100" w:beforeAutospacing="0" w:after="0" w:afterAutospacing="0" w:line="360" w:lineRule="auto"/>
        <w:ind w:left="0" w:right="0"/>
        <w:jc w:val="center"/>
        <w:rPr>
          <w:rFonts w:hint="eastAsia" w:ascii="宋体" w:hAnsi="Calibri" w:eastAsia="宋体" w:cs="宋体"/>
          <w:color w:val="auto"/>
          <w:spacing w:val="4"/>
          <w:kern w:val="0"/>
          <w:sz w:val="36"/>
          <w:szCs w:val="36"/>
          <w:highlight w:val="none"/>
        </w:rPr>
      </w:pPr>
      <w:r>
        <w:rPr>
          <w:rFonts w:hint="eastAsia" w:ascii="宋体" w:hAnsi="宋体" w:eastAsia="宋体" w:cs="宋体"/>
          <w:b/>
          <w:bCs w:val="0"/>
          <w:color w:val="auto"/>
          <w:spacing w:val="4"/>
          <w:kern w:val="0"/>
          <w:sz w:val="36"/>
          <w:szCs w:val="36"/>
          <w:highlight w:val="none"/>
          <w:lang w:val="en-US" w:eastAsia="zh-CN" w:bidi="ar"/>
        </w:rPr>
        <w:t>投入主要施工机械设备表</w:t>
      </w:r>
    </w:p>
    <w:tbl>
      <w:tblPr>
        <w:tblStyle w:val="17"/>
        <w:tblW w:w="8494"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432"/>
        <w:gridCol w:w="1625"/>
        <w:gridCol w:w="2100"/>
        <w:gridCol w:w="900"/>
        <w:gridCol w:w="900"/>
        <w:gridCol w:w="847"/>
        <w:gridCol w:w="816"/>
        <w:gridCol w:w="874"/>
      </w:tblGrid>
      <w:tr w14:paraId="0CEEA71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2057" w:type="dxa"/>
            <w:gridSpan w:val="2"/>
            <w:vMerge w:val="restart"/>
            <w:tcBorders>
              <w:top w:val="single" w:color="auto" w:sz="2" w:space="0"/>
              <w:left w:val="single" w:color="auto" w:sz="2" w:space="0"/>
              <w:bottom w:val="single" w:color="auto" w:sz="6" w:space="0"/>
              <w:right w:val="single" w:color="auto" w:sz="6" w:space="0"/>
            </w:tcBorders>
            <w:shd w:val="clear" w:color="auto" w:fill="auto"/>
            <w:vAlign w:val="center"/>
          </w:tcPr>
          <w:p w14:paraId="7208BE62">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名称及型号</w:t>
            </w:r>
          </w:p>
        </w:tc>
        <w:tc>
          <w:tcPr>
            <w:tcW w:w="6437" w:type="dxa"/>
            <w:gridSpan w:val="6"/>
            <w:tcBorders>
              <w:top w:val="single" w:color="auto" w:sz="2" w:space="0"/>
              <w:left w:val="single" w:color="auto" w:sz="6" w:space="0"/>
              <w:bottom w:val="single" w:color="auto" w:sz="6" w:space="0"/>
              <w:right w:val="single" w:color="auto" w:sz="2" w:space="0"/>
            </w:tcBorders>
            <w:shd w:val="clear" w:color="auto" w:fill="auto"/>
            <w:vAlign w:val="center"/>
          </w:tcPr>
          <w:p w14:paraId="706FA281">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申请单位能达到的程度简述（由申请单位填写）</w:t>
            </w:r>
          </w:p>
        </w:tc>
      </w:tr>
      <w:tr w14:paraId="597502F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54" w:hRule="atLeast"/>
          <w:jc w:val="center"/>
        </w:trPr>
        <w:tc>
          <w:tcPr>
            <w:tcW w:w="2057" w:type="dxa"/>
            <w:gridSpan w:val="2"/>
            <w:vMerge w:val="continue"/>
            <w:tcBorders>
              <w:top w:val="single" w:color="auto" w:sz="2" w:space="0"/>
              <w:left w:val="single" w:color="auto" w:sz="2" w:space="0"/>
              <w:bottom w:val="single" w:color="auto" w:sz="6" w:space="0"/>
              <w:right w:val="single" w:color="auto" w:sz="6" w:space="0"/>
            </w:tcBorders>
            <w:shd w:val="clear" w:color="auto" w:fill="auto"/>
            <w:vAlign w:val="center"/>
          </w:tcPr>
          <w:p w14:paraId="6118DA27">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2100" w:type="dxa"/>
            <w:tcBorders>
              <w:top w:val="single" w:color="auto" w:sz="6" w:space="0"/>
              <w:left w:val="single" w:color="auto" w:sz="6" w:space="0"/>
              <w:bottom w:val="single" w:color="auto" w:sz="6" w:space="0"/>
              <w:right w:val="single" w:color="auto" w:sz="6" w:space="0"/>
            </w:tcBorders>
            <w:shd w:val="clear" w:color="auto" w:fill="auto"/>
            <w:vAlign w:val="center"/>
          </w:tcPr>
          <w:p w14:paraId="2523F269">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机械投入数量</w:t>
            </w:r>
          </w:p>
        </w:tc>
        <w:tc>
          <w:tcPr>
            <w:tcW w:w="4337" w:type="dxa"/>
            <w:gridSpan w:val="5"/>
            <w:tcBorders>
              <w:top w:val="single" w:color="auto" w:sz="6" w:space="0"/>
              <w:left w:val="single" w:color="auto" w:sz="6" w:space="0"/>
              <w:bottom w:val="single" w:color="auto" w:sz="6" w:space="0"/>
              <w:right w:val="single" w:color="auto" w:sz="2" w:space="0"/>
            </w:tcBorders>
            <w:shd w:val="clear" w:color="auto" w:fill="auto"/>
            <w:vAlign w:val="center"/>
          </w:tcPr>
          <w:p w14:paraId="327DFACC">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投入本项目施工机械的情况（台套）</w:t>
            </w:r>
          </w:p>
        </w:tc>
      </w:tr>
      <w:tr w14:paraId="4454E6F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89" w:hRule="atLeast"/>
          <w:jc w:val="center"/>
        </w:trPr>
        <w:tc>
          <w:tcPr>
            <w:tcW w:w="2057" w:type="dxa"/>
            <w:gridSpan w:val="2"/>
            <w:tcBorders>
              <w:top w:val="single" w:color="auto" w:sz="6" w:space="0"/>
              <w:left w:val="single" w:color="auto" w:sz="2" w:space="0"/>
              <w:bottom w:val="single" w:color="auto" w:sz="6" w:space="0"/>
              <w:right w:val="single" w:color="auto" w:sz="6" w:space="0"/>
            </w:tcBorders>
            <w:shd w:val="clear" w:color="auto" w:fill="auto"/>
            <w:vAlign w:val="center"/>
          </w:tcPr>
          <w:p w14:paraId="302683AD">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名     称</w:t>
            </w:r>
          </w:p>
        </w:tc>
        <w:tc>
          <w:tcPr>
            <w:tcW w:w="2100" w:type="dxa"/>
            <w:tcBorders>
              <w:top w:val="single" w:color="auto" w:sz="6" w:space="0"/>
              <w:left w:val="single" w:color="auto" w:sz="6" w:space="0"/>
              <w:bottom w:val="single" w:color="auto" w:sz="6" w:space="0"/>
              <w:right w:val="single" w:color="auto" w:sz="6" w:space="0"/>
            </w:tcBorders>
            <w:shd w:val="clear" w:color="auto" w:fill="auto"/>
            <w:vAlign w:val="center"/>
          </w:tcPr>
          <w:p w14:paraId="7F481A00">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数量（台套）</w:t>
            </w: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14:paraId="53018C20">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小计</w:t>
            </w: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14:paraId="64553A2F">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新购</w:t>
            </w:r>
          </w:p>
        </w:tc>
        <w:tc>
          <w:tcPr>
            <w:tcW w:w="847" w:type="dxa"/>
            <w:tcBorders>
              <w:top w:val="single" w:color="auto" w:sz="6" w:space="0"/>
              <w:left w:val="single" w:color="auto" w:sz="6" w:space="0"/>
              <w:bottom w:val="single" w:color="auto" w:sz="6" w:space="0"/>
              <w:right w:val="single" w:color="auto" w:sz="6" w:space="0"/>
            </w:tcBorders>
            <w:shd w:val="clear" w:color="auto" w:fill="auto"/>
            <w:vAlign w:val="center"/>
          </w:tcPr>
          <w:p w14:paraId="4AE241C3">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自有</w:t>
            </w: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14:paraId="01C6D0C7">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租赁</w:t>
            </w:r>
          </w:p>
        </w:tc>
        <w:tc>
          <w:tcPr>
            <w:tcW w:w="874" w:type="dxa"/>
            <w:tcBorders>
              <w:top w:val="single" w:color="auto" w:sz="6" w:space="0"/>
              <w:left w:val="single" w:color="auto" w:sz="6" w:space="0"/>
              <w:bottom w:val="single" w:color="auto" w:sz="6" w:space="0"/>
              <w:right w:val="single" w:color="auto" w:sz="2" w:space="0"/>
            </w:tcBorders>
            <w:shd w:val="clear" w:color="auto" w:fill="auto"/>
            <w:vAlign w:val="center"/>
          </w:tcPr>
          <w:p w14:paraId="711BD851">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型号</w:t>
            </w:r>
          </w:p>
        </w:tc>
      </w:tr>
      <w:tr w14:paraId="1947A83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22" w:hRule="atLeast"/>
          <w:jc w:val="center"/>
        </w:trPr>
        <w:tc>
          <w:tcPr>
            <w:tcW w:w="432" w:type="dxa"/>
            <w:vMerge w:val="restart"/>
            <w:tcBorders>
              <w:top w:val="single" w:color="auto" w:sz="6" w:space="0"/>
              <w:left w:val="single" w:color="auto" w:sz="2" w:space="0"/>
              <w:bottom w:val="single" w:color="auto" w:sz="6" w:space="0"/>
              <w:right w:val="single" w:color="auto" w:sz="6" w:space="0"/>
            </w:tcBorders>
            <w:shd w:val="clear" w:color="auto" w:fill="auto"/>
            <w:vAlign w:val="center"/>
          </w:tcPr>
          <w:p w14:paraId="4677F6F3">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施工机械设备</w:t>
            </w:r>
          </w:p>
        </w:tc>
        <w:tc>
          <w:tcPr>
            <w:tcW w:w="1625" w:type="dxa"/>
            <w:tcBorders>
              <w:top w:val="single" w:color="auto" w:sz="6" w:space="0"/>
              <w:left w:val="single" w:color="auto" w:sz="6" w:space="0"/>
              <w:bottom w:val="single" w:color="auto" w:sz="6" w:space="0"/>
              <w:right w:val="single" w:color="auto" w:sz="6" w:space="0"/>
            </w:tcBorders>
            <w:shd w:val="clear" w:color="auto" w:fill="auto"/>
            <w:vAlign w:val="center"/>
          </w:tcPr>
          <w:p w14:paraId="1A3314D5">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2100" w:type="dxa"/>
            <w:tcBorders>
              <w:top w:val="single" w:color="auto" w:sz="6" w:space="0"/>
              <w:left w:val="single" w:color="auto" w:sz="6" w:space="0"/>
              <w:bottom w:val="single" w:color="auto" w:sz="6" w:space="0"/>
              <w:right w:val="single" w:color="auto" w:sz="6" w:space="0"/>
            </w:tcBorders>
            <w:shd w:val="clear" w:color="auto" w:fill="auto"/>
            <w:vAlign w:val="center"/>
          </w:tcPr>
          <w:p w14:paraId="0E645B85">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14:paraId="6A5037A7">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14:paraId="79C64780">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47" w:type="dxa"/>
            <w:tcBorders>
              <w:top w:val="single" w:color="auto" w:sz="6" w:space="0"/>
              <w:left w:val="single" w:color="auto" w:sz="6" w:space="0"/>
              <w:bottom w:val="single" w:color="auto" w:sz="6" w:space="0"/>
              <w:right w:val="single" w:color="auto" w:sz="6" w:space="0"/>
            </w:tcBorders>
            <w:shd w:val="clear" w:color="auto" w:fill="auto"/>
            <w:vAlign w:val="center"/>
          </w:tcPr>
          <w:p w14:paraId="5F04EB23">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14:paraId="23721C87">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4" w:type="dxa"/>
            <w:tcBorders>
              <w:top w:val="single" w:color="auto" w:sz="6" w:space="0"/>
              <w:left w:val="single" w:color="auto" w:sz="6" w:space="0"/>
              <w:bottom w:val="single" w:color="auto" w:sz="6" w:space="0"/>
              <w:right w:val="single" w:color="auto" w:sz="2" w:space="0"/>
            </w:tcBorders>
            <w:shd w:val="clear" w:color="auto" w:fill="auto"/>
            <w:vAlign w:val="center"/>
          </w:tcPr>
          <w:p w14:paraId="561EC554">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14:paraId="1C457AD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22" w:hRule="atLeast"/>
          <w:jc w:val="center"/>
        </w:trPr>
        <w:tc>
          <w:tcPr>
            <w:tcW w:w="432" w:type="dxa"/>
            <w:vMerge w:val="continue"/>
            <w:tcBorders>
              <w:top w:val="single" w:color="auto" w:sz="6" w:space="0"/>
              <w:left w:val="single" w:color="auto" w:sz="2" w:space="0"/>
              <w:bottom w:val="single" w:color="auto" w:sz="6" w:space="0"/>
              <w:right w:val="single" w:color="auto" w:sz="6" w:space="0"/>
            </w:tcBorders>
            <w:shd w:val="clear" w:color="auto" w:fill="auto"/>
            <w:vAlign w:val="center"/>
          </w:tcPr>
          <w:p w14:paraId="6193C783">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625" w:type="dxa"/>
            <w:tcBorders>
              <w:top w:val="single" w:color="auto" w:sz="6" w:space="0"/>
              <w:left w:val="single" w:color="auto" w:sz="6" w:space="0"/>
              <w:bottom w:val="single" w:color="auto" w:sz="6" w:space="0"/>
              <w:right w:val="single" w:color="auto" w:sz="6" w:space="0"/>
            </w:tcBorders>
            <w:shd w:val="clear" w:color="auto" w:fill="auto"/>
            <w:vAlign w:val="center"/>
          </w:tcPr>
          <w:p w14:paraId="645191F4">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2100" w:type="dxa"/>
            <w:tcBorders>
              <w:top w:val="single" w:color="auto" w:sz="6" w:space="0"/>
              <w:left w:val="single" w:color="auto" w:sz="6" w:space="0"/>
              <w:bottom w:val="single" w:color="auto" w:sz="6" w:space="0"/>
              <w:right w:val="single" w:color="auto" w:sz="6" w:space="0"/>
            </w:tcBorders>
            <w:shd w:val="clear" w:color="auto" w:fill="auto"/>
            <w:vAlign w:val="center"/>
          </w:tcPr>
          <w:p w14:paraId="249A6986">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14:paraId="0E53D044">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14:paraId="175F235A">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47" w:type="dxa"/>
            <w:tcBorders>
              <w:top w:val="single" w:color="auto" w:sz="6" w:space="0"/>
              <w:left w:val="single" w:color="auto" w:sz="6" w:space="0"/>
              <w:bottom w:val="single" w:color="auto" w:sz="6" w:space="0"/>
              <w:right w:val="single" w:color="auto" w:sz="6" w:space="0"/>
            </w:tcBorders>
            <w:shd w:val="clear" w:color="auto" w:fill="auto"/>
            <w:vAlign w:val="center"/>
          </w:tcPr>
          <w:p w14:paraId="5EF0E15D">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14:paraId="52027E8E">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4" w:type="dxa"/>
            <w:tcBorders>
              <w:top w:val="single" w:color="auto" w:sz="6" w:space="0"/>
              <w:left w:val="single" w:color="auto" w:sz="6" w:space="0"/>
              <w:bottom w:val="single" w:color="auto" w:sz="6" w:space="0"/>
              <w:right w:val="single" w:color="auto" w:sz="2" w:space="0"/>
            </w:tcBorders>
            <w:shd w:val="clear" w:color="auto" w:fill="auto"/>
            <w:vAlign w:val="center"/>
          </w:tcPr>
          <w:p w14:paraId="3BC04E04">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14:paraId="50ED11F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07" w:hRule="atLeast"/>
          <w:jc w:val="center"/>
        </w:trPr>
        <w:tc>
          <w:tcPr>
            <w:tcW w:w="432" w:type="dxa"/>
            <w:vMerge w:val="continue"/>
            <w:tcBorders>
              <w:top w:val="single" w:color="auto" w:sz="6" w:space="0"/>
              <w:left w:val="single" w:color="auto" w:sz="2" w:space="0"/>
              <w:bottom w:val="single" w:color="auto" w:sz="6" w:space="0"/>
              <w:right w:val="single" w:color="auto" w:sz="6" w:space="0"/>
            </w:tcBorders>
            <w:shd w:val="clear" w:color="auto" w:fill="auto"/>
            <w:vAlign w:val="center"/>
          </w:tcPr>
          <w:p w14:paraId="0FC84974">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625" w:type="dxa"/>
            <w:tcBorders>
              <w:top w:val="single" w:color="auto" w:sz="6" w:space="0"/>
              <w:left w:val="single" w:color="auto" w:sz="6" w:space="0"/>
              <w:bottom w:val="single" w:color="auto" w:sz="6" w:space="0"/>
              <w:right w:val="single" w:color="auto" w:sz="6" w:space="0"/>
            </w:tcBorders>
            <w:shd w:val="clear" w:color="auto" w:fill="auto"/>
            <w:vAlign w:val="center"/>
          </w:tcPr>
          <w:p w14:paraId="38000C45">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2100" w:type="dxa"/>
            <w:tcBorders>
              <w:top w:val="single" w:color="auto" w:sz="6" w:space="0"/>
              <w:left w:val="single" w:color="auto" w:sz="6" w:space="0"/>
              <w:bottom w:val="single" w:color="auto" w:sz="6" w:space="0"/>
              <w:right w:val="single" w:color="auto" w:sz="6" w:space="0"/>
            </w:tcBorders>
            <w:shd w:val="clear" w:color="auto" w:fill="auto"/>
            <w:vAlign w:val="center"/>
          </w:tcPr>
          <w:p w14:paraId="374D445D">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14:paraId="57B01F94">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14:paraId="713BAC01">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47" w:type="dxa"/>
            <w:tcBorders>
              <w:top w:val="single" w:color="auto" w:sz="6" w:space="0"/>
              <w:left w:val="single" w:color="auto" w:sz="6" w:space="0"/>
              <w:bottom w:val="single" w:color="auto" w:sz="6" w:space="0"/>
              <w:right w:val="single" w:color="auto" w:sz="6" w:space="0"/>
            </w:tcBorders>
            <w:shd w:val="clear" w:color="auto" w:fill="auto"/>
            <w:vAlign w:val="center"/>
          </w:tcPr>
          <w:p w14:paraId="3374B7CB">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14:paraId="7CFA3F30">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4" w:type="dxa"/>
            <w:tcBorders>
              <w:top w:val="single" w:color="auto" w:sz="6" w:space="0"/>
              <w:left w:val="single" w:color="auto" w:sz="6" w:space="0"/>
              <w:bottom w:val="single" w:color="auto" w:sz="6" w:space="0"/>
              <w:right w:val="single" w:color="auto" w:sz="2" w:space="0"/>
            </w:tcBorders>
            <w:shd w:val="clear" w:color="auto" w:fill="auto"/>
            <w:vAlign w:val="center"/>
          </w:tcPr>
          <w:p w14:paraId="6E5DC484">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14:paraId="775E0DA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01" w:hRule="atLeast"/>
          <w:jc w:val="center"/>
        </w:trPr>
        <w:tc>
          <w:tcPr>
            <w:tcW w:w="432" w:type="dxa"/>
            <w:vMerge w:val="continue"/>
            <w:tcBorders>
              <w:top w:val="single" w:color="auto" w:sz="6" w:space="0"/>
              <w:left w:val="single" w:color="auto" w:sz="2" w:space="0"/>
              <w:bottom w:val="single" w:color="auto" w:sz="6" w:space="0"/>
              <w:right w:val="single" w:color="auto" w:sz="6" w:space="0"/>
            </w:tcBorders>
            <w:shd w:val="clear" w:color="auto" w:fill="auto"/>
            <w:vAlign w:val="center"/>
          </w:tcPr>
          <w:p w14:paraId="526856A7">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625" w:type="dxa"/>
            <w:tcBorders>
              <w:top w:val="single" w:color="auto" w:sz="6" w:space="0"/>
              <w:left w:val="single" w:color="auto" w:sz="6" w:space="0"/>
              <w:bottom w:val="single" w:color="auto" w:sz="6" w:space="0"/>
              <w:right w:val="single" w:color="auto" w:sz="6" w:space="0"/>
            </w:tcBorders>
            <w:shd w:val="clear" w:color="auto" w:fill="auto"/>
            <w:vAlign w:val="center"/>
          </w:tcPr>
          <w:p w14:paraId="7D1B4C93">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2100" w:type="dxa"/>
            <w:tcBorders>
              <w:top w:val="single" w:color="auto" w:sz="6" w:space="0"/>
              <w:left w:val="single" w:color="auto" w:sz="6" w:space="0"/>
              <w:bottom w:val="single" w:color="auto" w:sz="6" w:space="0"/>
              <w:right w:val="single" w:color="auto" w:sz="6" w:space="0"/>
            </w:tcBorders>
            <w:shd w:val="clear" w:color="auto" w:fill="auto"/>
            <w:vAlign w:val="center"/>
          </w:tcPr>
          <w:p w14:paraId="27883489">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14:paraId="18EF1841">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14:paraId="129C4FF4">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47" w:type="dxa"/>
            <w:tcBorders>
              <w:top w:val="single" w:color="auto" w:sz="6" w:space="0"/>
              <w:left w:val="single" w:color="auto" w:sz="6" w:space="0"/>
              <w:bottom w:val="single" w:color="auto" w:sz="6" w:space="0"/>
              <w:right w:val="single" w:color="auto" w:sz="6" w:space="0"/>
            </w:tcBorders>
            <w:shd w:val="clear" w:color="auto" w:fill="auto"/>
            <w:vAlign w:val="center"/>
          </w:tcPr>
          <w:p w14:paraId="26A29809">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14:paraId="1BAE8392">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4" w:type="dxa"/>
            <w:tcBorders>
              <w:top w:val="single" w:color="auto" w:sz="6" w:space="0"/>
              <w:left w:val="single" w:color="auto" w:sz="6" w:space="0"/>
              <w:bottom w:val="single" w:color="auto" w:sz="6" w:space="0"/>
              <w:right w:val="single" w:color="auto" w:sz="2" w:space="0"/>
            </w:tcBorders>
            <w:shd w:val="clear" w:color="auto" w:fill="auto"/>
            <w:vAlign w:val="center"/>
          </w:tcPr>
          <w:p w14:paraId="5124BAEE">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14:paraId="00335C9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23" w:hRule="atLeast"/>
          <w:jc w:val="center"/>
        </w:trPr>
        <w:tc>
          <w:tcPr>
            <w:tcW w:w="432" w:type="dxa"/>
            <w:vMerge w:val="continue"/>
            <w:tcBorders>
              <w:top w:val="single" w:color="auto" w:sz="6" w:space="0"/>
              <w:left w:val="single" w:color="auto" w:sz="2" w:space="0"/>
              <w:bottom w:val="single" w:color="auto" w:sz="6" w:space="0"/>
              <w:right w:val="single" w:color="auto" w:sz="6" w:space="0"/>
            </w:tcBorders>
            <w:shd w:val="clear" w:color="auto" w:fill="auto"/>
            <w:vAlign w:val="center"/>
          </w:tcPr>
          <w:p w14:paraId="5830ACA6">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625" w:type="dxa"/>
            <w:tcBorders>
              <w:top w:val="single" w:color="auto" w:sz="6" w:space="0"/>
              <w:left w:val="single" w:color="auto" w:sz="6" w:space="0"/>
              <w:bottom w:val="single" w:color="auto" w:sz="6" w:space="0"/>
              <w:right w:val="single" w:color="auto" w:sz="6" w:space="0"/>
            </w:tcBorders>
            <w:shd w:val="clear" w:color="auto" w:fill="auto"/>
            <w:vAlign w:val="center"/>
          </w:tcPr>
          <w:p w14:paraId="7F715499">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2100" w:type="dxa"/>
            <w:tcBorders>
              <w:top w:val="single" w:color="auto" w:sz="6" w:space="0"/>
              <w:left w:val="single" w:color="auto" w:sz="6" w:space="0"/>
              <w:bottom w:val="single" w:color="auto" w:sz="6" w:space="0"/>
              <w:right w:val="single" w:color="auto" w:sz="6" w:space="0"/>
            </w:tcBorders>
            <w:shd w:val="clear" w:color="auto" w:fill="auto"/>
            <w:vAlign w:val="center"/>
          </w:tcPr>
          <w:p w14:paraId="3A0D1865">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14:paraId="56347A3D">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14:paraId="7D07D2AC">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47" w:type="dxa"/>
            <w:tcBorders>
              <w:top w:val="single" w:color="auto" w:sz="6" w:space="0"/>
              <w:left w:val="single" w:color="auto" w:sz="6" w:space="0"/>
              <w:bottom w:val="single" w:color="auto" w:sz="6" w:space="0"/>
              <w:right w:val="single" w:color="auto" w:sz="6" w:space="0"/>
            </w:tcBorders>
            <w:shd w:val="clear" w:color="auto" w:fill="auto"/>
            <w:vAlign w:val="center"/>
          </w:tcPr>
          <w:p w14:paraId="4E54C454">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14:paraId="339E18F1">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4" w:type="dxa"/>
            <w:tcBorders>
              <w:top w:val="single" w:color="auto" w:sz="6" w:space="0"/>
              <w:left w:val="single" w:color="auto" w:sz="6" w:space="0"/>
              <w:bottom w:val="single" w:color="auto" w:sz="6" w:space="0"/>
              <w:right w:val="single" w:color="auto" w:sz="2" w:space="0"/>
            </w:tcBorders>
            <w:shd w:val="clear" w:color="auto" w:fill="auto"/>
            <w:vAlign w:val="center"/>
          </w:tcPr>
          <w:p w14:paraId="091934C2">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14:paraId="03B1BFC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16" w:hRule="atLeast"/>
          <w:jc w:val="center"/>
        </w:trPr>
        <w:tc>
          <w:tcPr>
            <w:tcW w:w="432" w:type="dxa"/>
            <w:vMerge w:val="continue"/>
            <w:tcBorders>
              <w:top w:val="single" w:color="auto" w:sz="6" w:space="0"/>
              <w:left w:val="single" w:color="auto" w:sz="2" w:space="0"/>
              <w:bottom w:val="single" w:color="auto" w:sz="6" w:space="0"/>
              <w:right w:val="single" w:color="auto" w:sz="6" w:space="0"/>
            </w:tcBorders>
            <w:shd w:val="clear" w:color="auto" w:fill="auto"/>
            <w:vAlign w:val="center"/>
          </w:tcPr>
          <w:p w14:paraId="643C1894">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625" w:type="dxa"/>
            <w:tcBorders>
              <w:top w:val="single" w:color="auto" w:sz="6" w:space="0"/>
              <w:left w:val="single" w:color="auto" w:sz="6" w:space="0"/>
              <w:bottom w:val="single" w:color="auto" w:sz="6" w:space="0"/>
              <w:right w:val="single" w:color="auto" w:sz="6" w:space="0"/>
            </w:tcBorders>
            <w:shd w:val="clear" w:color="auto" w:fill="auto"/>
            <w:vAlign w:val="center"/>
          </w:tcPr>
          <w:p w14:paraId="7078BBBC">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2100" w:type="dxa"/>
            <w:tcBorders>
              <w:top w:val="single" w:color="auto" w:sz="6" w:space="0"/>
              <w:left w:val="single" w:color="auto" w:sz="6" w:space="0"/>
              <w:bottom w:val="single" w:color="auto" w:sz="6" w:space="0"/>
              <w:right w:val="single" w:color="auto" w:sz="6" w:space="0"/>
            </w:tcBorders>
            <w:shd w:val="clear" w:color="auto" w:fill="auto"/>
            <w:vAlign w:val="center"/>
          </w:tcPr>
          <w:p w14:paraId="51404C08">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14:paraId="20F353B0">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14:paraId="47AB9548">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47" w:type="dxa"/>
            <w:tcBorders>
              <w:top w:val="single" w:color="auto" w:sz="6" w:space="0"/>
              <w:left w:val="single" w:color="auto" w:sz="6" w:space="0"/>
              <w:bottom w:val="single" w:color="auto" w:sz="6" w:space="0"/>
              <w:right w:val="single" w:color="auto" w:sz="6" w:space="0"/>
            </w:tcBorders>
            <w:shd w:val="clear" w:color="auto" w:fill="auto"/>
            <w:vAlign w:val="center"/>
          </w:tcPr>
          <w:p w14:paraId="226FEBCE">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14:paraId="20C544A8">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4" w:type="dxa"/>
            <w:tcBorders>
              <w:top w:val="single" w:color="auto" w:sz="6" w:space="0"/>
              <w:left w:val="single" w:color="auto" w:sz="6" w:space="0"/>
              <w:bottom w:val="single" w:color="auto" w:sz="6" w:space="0"/>
              <w:right w:val="single" w:color="auto" w:sz="2" w:space="0"/>
            </w:tcBorders>
            <w:shd w:val="clear" w:color="auto" w:fill="auto"/>
            <w:vAlign w:val="center"/>
          </w:tcPr>
          <w:p w14:paraId="3638D2CA">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14:paraId="6100AC9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16" w:hRule="atLeast"/>
          <w:jc w:val="center"/>
        </w:trPr>
        <w:tc>
          <w:tcPr>
            <w:tcW w:w="432" w:type="dxa"/>
            <w:vMerge w:val="continue"/>
            <w:tcBorders>
              <w:top w:val="single" w:color="auto" w:sz="6" w:space="0"/>
              <w:left w:val="single" w:color="auto" w:sz="2" w:space="0"/>
              <w:bottom w:val="single" w:color="auto" w:sz="6" w:space="0"/>
              <w:right w:val="single" w:color="auto" w:sz="6" w:space="0"/>
            </w:tcBorders>
            <w:shd w:val="clear" w:color="auto" w:fill="auto"/>
            <w:vAlign w:val="center"/>
          </w:tcPr>
          <w:p w14:paraId="0A9DE54F">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625" w:type="dxa"/>
            <w:tcBorders>
              <w:top w:val="single" w:color="auto" w:sz="6" w:space="0"/>
              <w:left w:val="single" w:color="auto" w:sz="6" w:space="0"/>
              <w:bottom w:val="single" w:color="auto" w:sz="6" w:space="0"/>
              <w:right w:val="single" w:color="auto" w:sz="6" w:space="0"/>
            </w:tcBorders>
            <w:shd w:val="clear" w:color="auto" w:fill="auto"/>
            <w:vAlign w:val="center"/>
          </w:tcPr>
          <w:p w14:paraId="17D53BEA">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2100" w:type="dxa"/>
            <w:tcBorders>
              <w:top w:val="single" w:color="auto" w:sz="6" w:space="0"/>
              <w:left w:val="single" w:color="auto" w:sz="6" w:space="0"/>
              <w:bottom w:val="single" w:color="auto" w:sz="6" w:space="0"/>
              <w:right w:val="single" w:color="auto" w:sz="6" w:space="0"/>
            </w:tcBorders>
            <w:shd w:val="clear" w:color="auto" w:fill="auto"/>
            <w:vAlign w:val="center"/>
          </w:tcPr>
          <w:p w14:paraId="36728A85">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14:paraId="2F93BEC1">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14:paraId="6DCBCCA7">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47" w:type="dxa"/>
            <w:tcBorders>
              <w:top w:val="single" w:color="auto" w:sz="6" w:space="0"/>
              <w:left w:val="single" w:color="auto" w:sz="6" w:space="0"/>
              <w:bottom w:val="single" w:color="auto" w:sz="6" w:space="0"/>
              <w:right w:val="single" w:color="auto" w:sz="6" w:space="0"/>
            </w:tcBorders>
            <w:shd w:val="clear" w:color="auto" w:fill="auto"/>
            <w:vAlign w:val="center"/>
          </w:tcPr>
          <w:p w14:paraId="15F1774F">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14:paraId="145E9D8D">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4" w:type="dxa"/>
            <w:tcBorders>
              <w:top w:val="single" w:color="auto" w:sz="6" w:space="0"/>
              <w:left w:val="single" w:color="auto" w:sz="6" w:space="0"/>
              <w:bottom w:val="single" w:color="auto" w:sz="6" w:space="0"/>
              <w:right w:val="single" w:color="auto" w:sz="2" w:space="0"/>
            </w:tcBorders>
            <w:shd w:val="clear" w:color="auto" w:fill="auto"/>
            <w:vAlign w:val="center"/>
          </w:tcPr>
          <w:p w14:paraId="4BAF0009">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14:paraId="7F2F195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16" w:hRule="atLeast"/>
          <w:jc w:val="center"/>
        </w:trPr>
        <w:tc>
          <w:tcPr>
            <w:tcW w:w="432" w:type="dxa"/>
            <w:vMerge w:val="continue"/>
            <w:tcBorders>
              <w:top w:val="single" w:color="auto" w:sz="6" w:space="0"/>
              <w:left w:val="single" w:color="auto" w:sz="2" w:space="0"/>
              <w:bottom w:val="single" w:color="auto" w:sz="6" w:space="0"/>
              <w:right w:val="single" w:color="auto" w:sz="6" w:space="0"/>
            </w:tcBorders>
            <w:shd w:val="clear" w:color="auto" w:fill="auto"/>
            <w:vAlign w:val="center"/>
          </w:tcPr>
          <w:p w14:paraId="64218C9B">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625" w:type="dxa"/>
            <w:tcBorders>
              <w:top w:val="single" w:color="auto" w:sz="6" w:space="0"/>
              <w:left w:val="single" w:color="auto" w:sz="6" w:space="0"/>
              <w:bottom w:val="single" w:color="auto" w:sz="6" w:space="0"/>
              <w:right w:val="single" w:color="auto" w:sz="6" w:space="0"/>
            </w:tcBorders>
            <w:shd w:val="clear" w:color="auto" w:fill="auto"/>
            <w:vAlign w:val="center"/>
          </w:tcPr>
          <w:p w14:paraId="0024AC0E">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2100" w:type="dxa"/>
            <w:tcBorders>
              <w:top w:val="single" w:color="auto" w:sz="6" w:space="0"/>
              <w:left w:val="single" w:color="auto" w:sz="6" w:space="0"/>
              <w:bottom w:val="single" w:color="auto" w:sz="6" w:space="0"/>
              <w:right w:val="single" w:color="auto" w:sz="6" w:space="0"/>
            </w:tcBorders>
            <w:shd w:val="clear" w:color="auto" w:fill="auto"/>
            <w:vAlign w:val="center"/>
          </w:tcPr>
          <w:p w14:paraId="55527A15">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14:paraId="3F082E72">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14:paraId="68148A0B">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47" w:type="dxa"/>
            <w:tcBorders>
              <w:top w:val="single" w:color="auto" w:sz="6" w:space="0"/>
              <w:left w:val="single" w:color="auto" w:sz="6" w:space="0"/>
              <w:bottom w:val="single" w:color="auto" w:sz="6" w:space="0"/>
              <w:right w:val="single" w:color="auto" w:sz="6" w:space="0"/>
            </w:tcBorders>
            <w:shd w:val="clear" w:color="auto" w:fill="auto"/>
            <w:vAlign w:val="center"/>
          </w:tcPr>
          <w:p w14:paraId="687D9979">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14:paraId="051DC651">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4" w:type="dxa"/>
            <w:tcBorders>
              <w:top w:val="single" w:color="auto" w:sz="6" w:space="0"/>
              <w:left w:val="single" w:color="auto" w:sz="6" w:space="0"/>
              <w:bottom w:val="single" w:color="auto" w:sz="6" w:space="0"/>
              <w:right w:val="single" w:color="auto" w:sz="2" w:space="0"/>
            </w:tcBorders>
            <w:shd w:val="clear" w:color="auto" w:fill="auto"/>
            <w:vAlign w:val="center"/>
          </w:tcPr>
          <w:p w14:paraId="37902F4C">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14:paraId="1DEFC37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96" w:hRule="atLeast"/>
          <w:jc w:val="center"/>
        </w:trPr>
        <w:tc>
          <w:tcPr>
            <w:tcW w:w="432" w:type="dxa"/>
            <w:vMerge w:val="restart"/>
            <w:tcBorders>
              <w:top w:val="single" w:color="auto" w:sz="6" w:space="0"/>
              <w:left w:val="single" w:color="auto" w:sz="2" w:space="0"/>
              <w:bottom w:val="single" w:color="auto" w:sz="6" w:space="0"/>
              <w:right w:val="single" w:color="auto" w:sz="6" w:space="0"/>
            </w:tcBorders>
            <w:shd w:val="clear" w:color="auto" w:fill="auto"/>
            <w:vAlign w:val="center"/>
          </w:tcPr>
          <w:p w14:paraId="697F9185">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其他设备</w:t>
            </w:r>
          </w:p>
        </w:tc>
        <w:tc>
          <w:tcPr>
            <w:tcW w:w="1625" w:type="dxa"/>
            <w:tcBorders>
              <w:top w:val="single" w:color="auto" w:sz="6" w:space="0"/>
              <w:left w:val="single" w:color="auto" w:sz="6" w:space="0"/>
              <w:bottom w:val="single" w:color="auto" w:sz="6" w:space="0"/>
              <w:right w:val="single" w:color="auto" w:sz="6" w:space="0"/>
            </w:tcBorders>
            <w:shd w:val="clear" w:color="auto" w:fill="auto"/>
            <w:vAlign w:val="center"/>
          </w:tcPr>
          <w:p w14:paraId="6F088E99">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2100" w:type="dxa"/>
            <w:tcBorders>
              <w:top w:val="single" w:color="auto" w:sz="6" w:space="0"/>
              <w:left w:val="single" w:color="auto" w:sz="6" w:space="0"/>
              <w:bottom w:val="single" w:color="auto" w:sz="6" w:space="0"/>
              <w:right w:val="single" w:color="auto" w:sz="6" w:space="0"/>
            </w:tcBorders>
            <w:shd w:val="clear" w:color="auto" w:fill="auto"/>
            <w:vAlign w:val="center"/>
          </w:tcPr>
          <w:p w14:paraId="6FABE72C">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14:paraId="641F5EF2">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14:paraId="06B70AB8">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47" w:type="dxa"/>
            <w:tcBorders>
              <w:top w:val="single" w:color="auto" w:sz="6" w:space="0"/>
              <w:left w:val="single" w:color="auto" w:sz="6" w:space="0"/>
              <w:bottom w:val="single" w:color="auto" w:sz="6" w:space="0"/>
              <w:right w:val="single" w:color="auto" w:sz="6" w:space="0"/>
            </w:tcBorders>
            <w:shd w:val="clear" w:color="auto" w:fill="auto"/>
            <w:vAlign w:val="center"/>
          </w:tcPr>
          <w:p w14:paraId="2DE5531C">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14:paraId="075288CE">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4" w:type="dxa"/>
            <w:tcBorders>
              <w:top w:val="single" w:color="auto" w:sz="6" w:space="0"/>
              <w:left w:val="single" w:color="auto" w:sz="6" w:space="0"/>
              <w:bottom w:val="single" w:color="auto" w:sz="6" w:space="0"/>
              <w:right w:val="single" w:color="auto" w:sz="2" w:space="0"/>
            </w:tcBorders>
            <w:shd w:val="clear" w:color="auto" w:fill="auto"/>
            <w:vAlign w:val="center"/>
          </w:tcPr>
          <w:p w14:paraId="3A96D14A">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14:paraId="1BF6A05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96" w:hRule="atLeast"/>
          <w:jc w:val="center"/>
        </w:trPr>
        <w:tc>
          <w:tcPr>
            <w:tcW w:w="432" w:type="dxa"/>
            <w:vMerge w:val="continue"/>
            <w:tcBorders>
              <w:top w:val="single" w:color="auto" w:sz="6" w:space="0"/>
              <w:left w:val="single" w:color="auto" w:sz="2" w:space="0"/>
              <w:bottom w:val="single" w:color="auto" w:sz="6" w:space="0"/>
              <w:right w:val="single" w:color="auto" w:sz="6" w:space="0"/>
            </w:tcBorders>
            <w:shd w:val="clear" w:color="auto" w:fill="auto"/>
            <w:vAlign w:val="center"/>
          </w:tcPr>
          <w:p w14:paraId="1FB38824">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625" w:type="dxa"/>
            <w:tcBorders>
              <w:top w:val="single" w:color="auto" w:sz="6" w:space="0"/>
              <w:left w:val="single" w:color="auto" w:sz="6" w:space="0"/>
              <w:bottom w:val="single" w:color="auto" w:sz="6" w:space="0"/>
              <w:right w:val="single" w:color="auto" w:sz="6" w:space="0"/>
            </w:tcBorders>
            <w:shd w:val="clear" w:color="auto" w:fill="auto"/>
            <w:vAlign w:val="center"/>
          </w:tcPr>
          <w:p w14:paraId="1DF388E1">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2100" w:type="dxa"/>
            <w:tcBorders>
              <w:top w:val="single" w:color="auto" w:sz="6" w:space="0"/>
              <w:left w:val="single" w:color="auto" w:sz="6" w:space="0"/>
              <w:bottom w:val="single" w:color="auto" w:sz="6" w:space="0"/>
              <w:right w:val="single" w:color="auto" w:sz="6" w:space="0"/>
            </w:tcBorders>
            <w:shd w:val="clear" w:color="auto" w:fill="auto"/>
            <w:vAlign w:val="center"/>
          </w:tcPr>
          <w:p w14:paraId="2DAC1A36">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14:paraId="26DFB257">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14:paraId="425866BC">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47" w:type="dxa"/>
            <w:tcBorders>
              <w:top w:val="single" w:color="auto" w:sz="6" w:space="0"/>
              <w:left w:val="single" w:color="auto" w:sz="6" w:space="0"/>
              <w:bottom w:val="single" w:color="auto" w:sz="6" w:space="0"/>
              <w:right w:val="single" w:color="auto" w:sz="6" w:space="0"/>
            </w:tcBorders>
            <w:shd w:val="clear" w:color="auto" w:fill="auto"/>
            <w:vAlign w:val="center"/>
          </w:tcPr>
          <w:p w14:paraId="194A077A">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14:paraId="5E4E96FA">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4" w:type="dxa"/>
            <w:tcBorders>
              <w:top w:val="single" w:color="auto" w:sz="6" w:space="0"/>
              <w:left w:val="single" w:color="auto" w:sz="6" w:space="0"/>
              <w:bottom w:val="single" w:color="auto" w:sz="6" w:space="0"/>
              <w:right w:val="single" w:color="auto" w:sz="2" w:space="0"/>
            </w:tcBorders>
            <w:shd w:val="clear" w:color="auto" w:fill="auto"/>
            <w:vAlign w:val="center"/>
          </w:tcPr>
          <w:p w14:paraId="615F16AD">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14:paraId="08FCBD8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96" w:hRule="atLeast"/>
          <w:jc w:val="center"/>
        </w:trPr>
        <w:tc>
          <w:tcPr>
            <w:tcW w:w="432" w:type="dxa"/>
            <w:vMerge w:val="continue"/>
            <w:tcBorders>
              <w:top w:val="single" w:color="auto" w:sz="6" w:space="0"/>
              <w:left w:val="single" w:color="auto" w:sz="2" w:space="0"/>
              <w:bottom w:val="single" w:color="auto" w:sz="6" w:space="0"/>
              <w:right w:val="single" w:color="auto" w:sz="6" w:space="0"/>
            </w:tcBorders>
            <w:shd w:val="clear" w:color="auto" w:fill="auto"/>
            <w:vAlign w:val="center"/>
          </w:tcPr>
          <w:p w14:paraId="0416D93C">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625" w:type="dxa"/>
            <w:tcBorders>
              <w:top w:val="single" w:color="auto" w:sz="6" w:space="0"/>
              <w:left w:val="single" w:color="auto" w:sz="6" w:space="0"/>
              <w:bottom w:val="single" w:color="auto" w:sz="6" w:space="0"/>
              <w:right w:val="single" w:color="auto" w:sz="6" w:space="0"/>
            </w:tcBorders>
            <w:shd w:val="clear" w:color="auto" w:fill="auto"/>
            <w:vAlign w:val="center"/>
          </w:tcPr>
          <w:p w14:paraId="6695EF10">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2100" w:type="dxa"/>
            <w:tcBorders>
              <w:top w:val="single" w:color="auto" w:sz="6" w:space="0"/>
              <w:left w:val="single" w:color="auto" w:sz="6" w:space="0"/>
              <w:bottom w:val="single" w:color="auto" w:sz="6" w:space="0"/>
              <w:right w:val="single" w:color="auto" w:sz="6" w:space="0"/>
            </w:tcBorders>
            <w:shd w:val="clear" w:color="auto" w:fill="auto"/>
            <w:vAlign w:val="center"/>
          </w:tcPr>
          <w:p w14:paraId="647C7D66">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14:paraId="1C33A0D2">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14:paraId="69A341FD">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47" w:type="dxa"/>
            <w:tcBorders>
              <w:top w:val="single" w:color="auto" w:sz="6" w:space="0"/>
              <w:left w:val="single" w:color="auto" w:sz="6" w:space="0"/>
              <w:bottom w:val="single" w:color="auto" w:sz="6" w:space="0"/>
              <w:right w:val="single" w:color="auto" w:sz="6" w:space="0"/>
            </w:tcBorders>
            <w:shd w:val="clear" w:color="auto" w:fill="auto"/>
            <w:vAlign w:val="center"/>
          </w:tcPr>
          <w:p w14:paraId="193CE7A5">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16" w:type="dxa"/>
            <w:tcBorders>
              <w:top w:val="single" w:color="auto" w:sz="6" w:space="0"/>
              <w:left w:val="single" w:color="auto" w:sz="6" w:space="0"/>
              <w:bottom w:val="single" w:color="auto" w:sz="6" w:space="0"/>
              <w:right w:val="single" w:color="auto" w:sz="6" w:space="0"/>
            </w:tcBorders>
            <w:shd w:val="clear" w:color="auto" w:fill="auto"/>
            <w:vAlign w:val="center"/>
          </w:tcPr>
          <w:p w14:paraId="35B7B6EA">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4" w:type="dxa"/>
            <w:tcBorders>
              <w:top w:val="single" w:color="auto" w:sz="6" w:space="0"/>
              <w:left w:val="single" w:color="auto" w:sz="6" w:space="0"/>
              <w:bottom w:val="single" w:color="auto" w:sz="6" w:space="0"/>
              <w:right w:val="single" w:color="auto" w:sz="2" w:space="0"/>
            </w:tcBorders>
            <w:shd w:val="clear" w:color="auto" w:fill="auto"/>
            <w:vAlign w:val="center"/>
          </w:tcPr>
          <w:p w14:paraId="5AE8E494">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r w14:paraId="71DA2B5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98" w:hRule="atLeast"/>
          <w:jc w:val="center"/>
        </w:trPr>
        <w:tc>
          <w:tcPr>
            <w:tcW w:w="432" w:type="dxa"/>
            <w:vMerge w:val="continue"/>
            <w:tcBorders>
              <w:top w:val="single" w:color="auto" w:sz="6" w:space="0"/>
              <w:left w:val="single" w:color="auto" w:sz="2" w:space="0"/>
              <w:bottom w:val="single" w:color="auto" w:sz="6" w:space="0"/>
              <w:right w:val="single" w:color="auto" w:sz="6" w:space="0"/>
            </w:tcBorders>
            <w:shd w:val="clear" w:color="auto" w:fill="auto"/>
            <w:vAlign w:val="center"/>
          </w:tcPr>
          <w:p w14:paraId="536F694F">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625" w:type="dxa"/>
            <w:tcBorders>
              <w:top w:val="single" w:color="auto" w:sz="6" w:space="0"/>
              <w:left w:val="single" w:color="auto" w:sz="6" w:space="0"/>
              <w:bottom w:val="single" w:color="auto" w:sz="2" w:space="0"/>
              <w:right w:val="single" w:color="auto" w:sz="6" w:space="0"/>
            </w:tcBorders>
            <w:shd w:val="clear" w:color="auto" w:fill="auto"/>
            <w:vAlign w:val="center"/>
          </w:tcPr>
          <w:p w14:paraId="26EC8C98">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p>
        </w:tc>
        <w:tc>
          <w:tcPr>
            <w:tcW w:w="2100" w:type="dxa"/>
            <w:tcBorders>
              <w:top w:val="single" w:color="auto" w:sz="6" w:space="0"/>
              <w:left w:val="single" w:color="auto" w:sz="6" w:space="0"/>
              <w:bottom w:val="single" w:color="auto" w:sz="2" w:space="0"/>
              <w:right w:val="single" w:color="auto" w:sz="6" w:space="0"/>
            </w:tcBorders>
            <w:shd w:val="clear" w:color="auto" w:fill="auto"/>
            <w:vAlign w:val="center"/>
          </w:tcPr>
          <w:p w14:paraId="44DE091B">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900" w:type="dxa"/>
            <w:tcBorders>
              <w:top w:val="single" w:color="auto" w:sz="6" w:space="0"/>
              <w:left w:val="single" w:color="auto" w:sz="6" w:space="0"/>
              <w:bottom w:val="single" w:color="auto" w:sz="2" w:space="0"/>
              <w:right w:val="single" w:color="auto" w:sz="6" w:space="0"/>
            </w:tcBorders>
            <w:shd w:val="clear" w:color="auto" w:fill="auto"/>
            <w:vAlign w:val="center"/>
          </w:tcPr>
          <w:p w14:paraId="34156922">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900" w:type="dxa"/>
            <w:tcBorders>
              <w:top w:val="single" w:color="auto" w:sz="6" w:space="0"/>
              <w:left w:val="single" w:color="auto" w:sz="6" w:space="0"/>
              <w:bottom w:val="single" w:color="auto" w:sz="2" w:space="0"/>
              <w:right w:val="single" w:color="auto" w:sz="6" w:space="0"/>
            </w:tcBorders>
            <w:shd w:val="clear" w:color="auto" w:fill="auto"/>
            <w:vAlign w:val="center"/>
          </w:tcPr>
          <w:p w14:paraId="2196CA6D">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47" w:type="dxa"/>
            <w:tcBorders>
              <w:top w:val="single" w:color="auto" w:sz="6" w:space="0"/>
              <w:left w:val="single" w:color="auto" w:sz="6" w:space="0"/>
              <w:bottom w:val="single" w:color="auto" w:sz="2" w:space="0"/>
              <w:right w:val="single" w:color="auto" w:sz="6" w:space="0"/>
            </w:tcBorders>
            <w:shd w:val="clear" w:color="auto" w:fill="auto"/>
            <w:vAlign w:val="center"/>
          </w:tcPr>
          <w:p w14:paraId="28D6D5CF">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16" w:type="dxa"/>
            <w:tcBorders>
              <w:top w:val="single" w:color="auto" w:sz="6" w:space="0"/>
              <w:left w:val="single" w:color="auto" w:sz="6" w:space="0"/>
              <w:bottom w:val="single" w:color="auto" w:sz="2" w:space="0"/>
              <w:right w:val="single" w:color="auto" w:sz="6" w:space="0"/>
            </w:tcBorders>
            <w:shd w:val="clear" w:color="auto" w:fill="auto"/>
            <w:vAlign w:val="center"/>
          </w:tcPr>
          <w:p w14:paraId="2B5F18AE">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c>
          <w:tcPr>
            <w:tcW w:w="874" w:type="dxa"/>
            <w:tcBorders>
              <w:top w:val="single" w:color="auto" w:sz="6" w:space="0"/>
              <w:left w:val="single" w:color="auto" w:sz="6" w:space="0"/>
              <w:bottom w:val="single" w:color="auto" w:sz="2" w:space="0"/>
              <w:right w:val="single" w:color="auto" w:sz="2" w:space="0"/>
            </w:tcBorders>
            <w:shd w:val="clear" w:color="auto" w:fill="auto"/>
            <w:vAlign w:val="center"/>
          </w:tcPr>
          <w:p w14:paraId="77CFF178">
            <w:pPr>
              <w:keepNext w:val="0"/>
              <w:keepLines w:val="0"/>
              <w:widowControl w:val="0"/>
              <w:suppressLineNumbers w:val="0"/>
              <w:spacing w:before="0" w:beforeAutospacing="0" w:after="0" w:afterAutospacing="0"/>
              <w:ind w:left="0" w:right="0"/>
              <w:jc w:val="left"/>
              <w:rPr>
                <w:rFonts w:hint="eastAsia" w:ascii="宋体" w:hAnsi="Calibri" w:eastAsia="宋体" w:cs="宋体"/>
                <w:color w:val="auto"/>
                <w:kern w:val="2"/>
                <w:sz w:val="21"/>
                <w:szCs w:val="21"/>
                <w:highlight w:val="none"/>
              </w:rPr>
            </w:pPr>
          </w:p>
        </w:tc>
      </w:tr>
    </w:tbl>
    <w:p w14:paraId="3AF2C64D">
      <w:pPr>
        <w:keepNext w:val="0"/>
        <w:keepLines w:val="0"/>
        <w:widowControl w:val="0"/>
        <w:suppressLineNumbers w:val="0"/>
        <w:topLinePunct/>
        <w:adjustRightInd w:val="0"/>
        <w:snapToGrid w:val="0"/>
        <w:spacing w:before="156" w:beforeLines="50" w:beforeAutospacing="0" w:after="0" w:afterAutospacing="0"/>
        <w:ind w:left="0" w:right="0" w:firstLine="436" w:firstLineChars="200"/>
        <w:jc w:val="both"/>
        <w:rPr>
          <w:rFonts w:hint="eastAsia" w:ascii="宋体" w:hAnsi="Calibri" w:eastAsia="宋体" w:cs="宋体"/>
          <w:color w:val="auto"/>
          <w:spacing w:val="4"/>
          <w:kern w:val="0"/>
          <w:sz w:val="21"/>
          <w:szCs w:val="21"/>
          <w:highlight w:val="none"/>
        </w:rPr>
      </w:pPr>
      <w:r>
        <w:rPr>
          <w:rFonts w:hint="eastAsia" w:ascii="宋体" w:hAnsi="宋体" w:eastAsia="宋体" w:cs="宋体"/>
          <w:color w:val="auto"/>
          <w:spacing w:val="4"/>
          <w:kern w:val="0"/>
          <w:sz w:val="21"/>
          <w:szCs w:val="21"/>
          <w:highlight w:val="none"/>
          <w:lang w:val="en-US" w:eastAsia="zh-CN" w:bidi="ar"/>
        </w:rPr>
        <w:t>注：设备名称及要求数量由投标人视本工程具体情况结合招标人对本工程的具体要求自行配备；</w:t>
      </w:r>
    </w:p>
    <w:p w14:paraId="723AD270">
      <w:pPr>
        <w:keepNext w:val="0"/>
        <w:keepLines w:val="0"/>
        <w:widowControl w:val="0"/>
        <w:suppressLineNumbers w:val="0"/>
        <w:topLinePunct/>
        <w:adjustRightInd w:val="0"/>
        <w:snapToGrid w:val="0"/>
        <w:spacing w:before="0" w:beforeAutospacing="0" w:after="0" w:afterAutospacing="0"/>
        <w:ind w:left="0" w:right="0" w:firstLine="3306" w:firstLineChars="1450"/>
        <w:jc w:val="both"/>
        <w:rPr>
          <w:rFonts w:hint="eastAsia" w:ascii="宋体" w:hAnsi="Calibri" w:eastAsia="宋体" w:cs="宋体"/>
          <w:color w:val="auto"/>
          <w:spacing w:val="4"/>
          <w:kern w:val="0"/>
          <w:sz w:val="22"/>
          <w:szCs w:val="22"/>
          <w:highlight w:val="none"/>
        </w:rPr>
      </w:pPr>
      <w:r>
        <w:rPr>
          <w:rFonts w:hint="eastAsia" w:ascii="宋体" w:hAnsi="宋体" w:eastAsia="宋体" w:cs="宋体"/>
          <w:color w:val="auto"/>
          <w:spacing w:val="4"/>
          <w:kern w:val="0"/>
          <w:sz w:val="22"/>
          <w:szCs w:val="22"/>
          <w:highlight w:val="none"/>
          <w:lang w:val="en-US" w:eastAsia="zh-CN" w:bidi="ar"/>
        </w:rPr>
        <w:t>单位：  （盖章）</w:t>
      </w:r>
    </w:p>
    <w:p w14:paraId="0500A40E">
      <w:pPr>
        <w:keepNext w:val="0"/>
        <w:keepLines w:val="0"/>
        <w:widowControl w:val="0"/>
        <w:suppressLineNumbers w:val="0"/>
        <w:topLinePunct/>
        <w:adjustRightInd w:val="0"/>
        <w:snapToGrid w:val="0"/>
        <w:spacing w:before="0" w:beforeAutospacing="0" w:after="0" w:afterAutospacing="0"/>
        <w:ind w:left="0" w:right="0" w:firstLine="3306" w:firstLineChars="1450"/>
        <w:jc w:val="both"/>
        <w:rPr>
          <w:rFonts w:hint="eastAsia" w:ascii="宋体" w:hAnsi="Calibri" w:eastAsia="宋体" w:cs="宋体"/>
          <w:color w:val="auto"/>
          <w:spacing w:val="4"/>
          <w:kern w:val="0"/>
          <w:sz w:val="22"/>
          <w:szCs w:val="22"/>
          <w:highlight w:val="none"/>
        </w:rPr>
      </w:pPr>
      <w:r>
        <w:rPr>
          <w:rFonts w:hint="eastAsia" w:ascii="宋体" w:hAnsi="宋体" w:eastAsia="宋体" w:cs="宋体"/>
          <w:color w:val="auto"/>
          <w:spacing w:val="4"/>
          <w:kern w:val="0"/>
          <w:sz w:val="22"/>
          <w:szCs w:val="22"/>
          <w:highlight w:val="none"/>
          <w:lang w:val="en-US" w:eastAsia="zh-CN" w:bidi="ar"/>
        </w:rPr>
        <w:t>法定代表人或授权代理人（签字或盖章）：</w:t>
      </w:r>
    </w:p>
    <w:p w14:paraId="74808886">
      <w:pPr>
        <w:keepNext w:val="0"/>
        <w:keepLines w:val="0"/>
        <w:widowControl w:val="0"/>
        <w:suppressLineNumbers w:val="0"/>
        <w:topLinePunct/>
        <w:adjustRightInd w:val="0"/>
        <w:snapToGrid w:val="0"/>
        <w:spacing w:before="0" w:beforeAutospacing="0" w:after="0" w:afterAutospacing="0"/>
        <w:ind w:left="0" w:right="0" w:firstLine="3306" w:firstLineChars="1450"/>
        <w:jc w:val="both"/>
        <w:rPr>
          <w:rFonts w:hint="eastAsia" w:ascii="宋体" w:hAnsi="Calibri" w:eastAsia="宋体" w:cs="宋体"/>
          <w:color w:val="auto"/>
          <w:spacing w:val="4"/>
          <w:kern w:val="0"/>
          <w:sz w:val="22"/>
          <w:szCs w:val="22"/>
          <w:highlight w:val="none"/>
        </w:rPr>
      </w:pPr>
      <w:r>
        <w:rPr>
          <w:rFonts w:hint="eastAsia" w:ascii="宋体" w:hAnsi="宋体" w:eastAsia="宋体" w:cs="宋体"/>
          <w:color w:val="auto"/>
          <w:spacing w:val="4"/>
          <w:kern w:val="0"/>
          <w:sz w:val="22"/>
          <w:szCs w:val="22"/>
          <w:highlight w:val="none"/>
          <w:lang w:val="en-US" w:eastAsia="zh-CN" w:bidi="ar"/>
        </w:rPr>
        <w:t xml:space="preserve">日   期：    年    月    日 </w:t>
      </w:r>
    </w:p>
    <w:p w14:paraId="72AC1EAB">
      <w:pPr>
        <w:keepNext w:val="0"/>
        <w:keepLines w:val="0"/>
        <w:widowControl w:val="0"/>
        <w:suppressLineNumbers w:val="0"/>
        <w:topLinePunct/>
        <w:adjustRightInd w:val="0"/>
        <w:snapToGrid w:val="0"/>
        <w:spacing w:before="0" w:beforeAutospacing="0" w:after="156" w:afterLines="50" w:afterAutospacing="0"/>
        <w:ind w:left="0" w:right="0"/>
        <w:jc w:val="both"/>
        <w:outlineLvl w:val="3"/>
        <w:rPr>
          <w:rFonts w:hint="eastAsia" w:ascii="宋体" w:hAnsi="Calibri" w:eastAsia="宋体" w:cs="宋体"/>
          <w:color w:val="auto"/>
          <w:spacing w:val="4"/>
          <w:kern w:val="0"/>
          <w:sz w:val="24"/>
          <w:szCs w:val="24"/>
          <w:highlight w:val="none"/>
        </w:rPr>
      </w:pPr>
      <w:r>
        <w:rPr>
          <w:rFonts w:hint="eastAsia" w:ascii="宋体" w:hAnsi="Calibri" w:eastAsia="宋体" w:cs="宋体"/>
          <w:color w:val="auto"/>
          <w:spacing w:val="4"/>
          <w:kern w:val="0"/>
          <w:sz w:val="24"/>
          <w:szCs w:val="24"/>
          <w:highlight w:val="none"/>
          <w:lang w:val="en-US" w:eastAsia="zh-CN" w:bidi="ar"/>
        </w:rPr>
        <w:br w:type="page"/>
      </w:r>
      <w:r>
        <w:rPr>
          <w:rFonts w:hint="eastAsia" w:ascii="宋体" w:hAnsi="宋体" w:eastAsia="宋体" w:cs="宋体"/>
          <w:b/>
          <w:bCs w:val="0"/>
          <w:color w:val="auto"/>
          <w:spacing w:val="4"/>
          <w:kern w:val="0"/>
          <w:sz w:val="24"/>
          <w:szCs w:val="24"/>
          <w:highlight w:val="none"/>
          <w:lang w:val="en-US" w:eastAsia="zh-CN" w:bidi="ar"/>
        </w:rPr>
        <w:t>附表5：资金使用计划表</w:t>
      </w:r>
    </w:p>
    <w:p w14:paraId="501AC787">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Calibri" w:eastAsia="宋体" w:cs="宋体"/>
          <w:color w:val="auto"/>
          <w:spacing w:val="4"/>
          <w:kern w:val="0"/>
          <w:sz w:val="36"/>
          <w:szCs w:val="36"/>
          <w:highlight w:val="none"/>
        </w:rPr>
      </w:pPr>
      <w:r>
        <w:rPr>
          <w:rFonts w:hint="eastAsia" w:ascii="宋体" w:hAnsi="宋体" w:eastAsia="宋体" w:cs="宋体"/>
          <w:b/>
          <w:bCs w:val="0"/>
          <w:color w:val="auto"/>
          <w:spacing w:val="4"/>
          <w:kern w:val="0"/>
          <w:sz w:val="36"/>
          <w:szCs w:val="36"/>
          <w:highlight w:val="none"/>
          <w:lang w:val="en-US" w:eastAsia="zh-CN" w:bidi="ar"/>
        </w:rPr>
        <w:t>资金使用计划表</w:t>
      </w:r>
    </w:p>
    <w:tbl>
      <w:tblPr>
        <w:tblStyle w:val="17"/>
        <w:tblW w:w="840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152"/>
        <w:gridCol w:w="2140"/>
        <w:gridCol w:w="2140"/>
        <w:gridCol w:w="1971"/>
      </w:tblGrid>
      <w:tr w14:paraId="35BC2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 w:hRule="atLeast"/>
          <w:jc w:val="center"/>
        </w:trPr>
        <w:tc>
          <w:tcPr>
            <w:tcW w:w="2152" w:type="dxa"/>
            <w:vMerge w:val="restart"/>
            <w:tcBorders>
              <w:top w:val="single" w:color="auto" w:sz="4" w:space="0"/>
              <w:left w:val="single" w:color="auto" w:sz="4" w:space="0"/>
              <w:bottom w:val="single" w:color="auto" w:sz="6" w:space="0"/>
              <w:right w:val="single" w:color="auto" w:sz="6" w:space="0"/>
            </w:tcBorders>
            <w:shd w:val="clear" w:color="auto" w:fill="auto"/>
            <w:vAlign w:val="center"/>
          </w:tcPr>
          <w:p w14:paraId="0150BD15">
            <w:pPr>
              <w:keepNext w:val="0"/>
              <w:keepLines w:val="0"/>
              <w:widowControl w:val="0"/>
              <w:suppressLineNumbers w:val="0"/>
              <w:topLinePunct/>
              <w:adjustRightInd w:val="0"/>
              <w:snapToGrid w:val="0"/>
              <w:spacing w:before="0" w:beforeAutospacing="0" w:after="0" w:afterAutospacing="0"/>
              <w:ind w:left="17" w:right="0" w:hanging="17" w:hangingChars="7"/>
              <w:jc w:val="center"/>
              <w:rPr>
                <w:rFonts w:hint="eastAsia" w:ascii="宋体" w:hAnsi="Calibri" w:eastAsia="宋体" w:cs="宋体"/>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从开工月算起的时间（月）</w:t>
            </w:r>
          </w:p>
        </w:tc>
        <w:tc>
          <w:tcPr>
            <w:tcW w:w="4280" w:type="dxa"/>
            <w:gridSpan w:val="2"/>
            <w:tcBorders>
              <w:top w:val="single" w:color="auto" w:sz="4" w:space="0"/>
              <w:left w:val="nil"/>
              <w:bottom w:val="single" w:color="auto" w:sz="6" w:space="0"/>
              <w:right w:val="single" w:color="auto" w:sz="6" w:space="0"/>
            </w:tcBorders>
            <w:shd w:val="clear" w:color="auto" w:fill="auto"/>
            <w:vAlign w:val="center"/>
          </w:tcPr>
          <w:p w14:paraId="4EAE824C">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资金使用计划</w:t>
            </w:r>
          </w:p>
        </w:tc>
        <w:tc>
          <w:tcPr>
            <w:tcW w:w="1971" w:type="dxa"/>
            <w:vMerge w:val="restart"/>
            <w:tcBorders>
              <w:top w:val="single" w:color="auto" w:sz="4" w:space="0"/>
              <w:left w:val="nil"/>
              <w:bottom w:val="single" w:color="auto" w:sz="6" w:space="0"/>
              <w:right w:val="single" w:color="auto" w:sz="4" w:space="0"/>
            </w:tcBorders>
            <w:shd w:val="clear" w:color="auto" w:fill="auto"/>
            <w:vAlign w:val="center"/>
          </w:tcPr>
          <w:p w14:paraId="62264280">
            <w:pPr>
              <w:keepNext w:val="0"/>
              <w:keepLines w:val="0"/>
              <w:widowControl w:val="0"/>
              <w:suppressLineNumbers w:val="0"/>
              <w:topLinePunct/>
              <w:adjustRightInd w:val="0"/>
              <w:snapToGrid w:val="0"/>
              <w:spacing w:before="0" w:beforeAutospacing="0" w:after="0" w:afterAutospacing="0"/>
              <w:ind w:left="17" w:right="0" w:hanging="17" w:hangingChars="7"/>
              <w:jc w:val="center"/>
              <w:rPr>
                <w:rFonts w:hint="eastAsia" w:ascii="宋体" w:hAnsi="Calibri" w:eastAsia="宋体" w:cs="宋体"/>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备注</w:t>
            </w:r>
          </w:p>
        </w:tc>
      </w:tr>
      <w:tr w14:paraId="302FE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2" w:hRule="atLeast"/>
          <w:jc w:val="center"/>
        </w:trPr>
        <w:tc>
          <w:tcPr>
            <w:tcW w:w="2152" w:type="dxa"/>
            <w:vMerge w:val="continue"/>
            <w:tcBorders>
              <w:top w:val="single" w:color="auto" w:sz="4" w:space="0"/>
              <w:left w:val="single" w:color="auto" w:sz="4" w:space="0"/>
              <w:bottom w:val="single" w:color="auto" w:sz="6" w:space="0"/>
              <w:right w:val="single" w:color="auto" w:sz="6" w:space="0"/>
            </w:tcBorders>
            <w:shd w:val="clear" w:color="auto" w:fill="auto"/>
            <w:vAlign w:val="center"/>
          </w:tcPr>
          <w:p w14:paraId="70EA81A6">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14:paraId="2AF88730">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分期（%）</w:t>
            </w:r>
          </w:p>
        </w:tc>
        <w:tc>
          <w:tcPr>
            <w:tcW w:w="2140" w:type="dxa"/>
            <w:tcBorders>
              <w:top w:val="single" w:color="auto" w:sz="6" w:space="0"/>
              <w:left w:val="nil"/>
              <w:bottom w:val="single" w:color="auto" w:sz="6" w:space="0"/>
              <w:right w:val="single" w:color="auto" w:sz="6" w:space="0"/>
            </w:tcBorders>
            <w:shd w:val="clear" w:color="auto" w:fill="auto"/>
            <w:vAlign w:val="center"/>
          </w:tcPr>
          <w:p w14:paraId="6C149A77">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累计（%）</w:t>
            </w:r>
          </w:p>
        </w:tc>
        <w:tc>
          <w:tcPr>
            <w:tcW w:w="1971" w:type="dxa"/>
            <w:vMerge w:val="continue"/>
            <w:tcBorders>
              <w:top w:val="single" w:color="auto" w:sz="4" w:space="0"/>
              <w:left w:val="nil"/>
              <w:bottom w:val="single" w:color="auto" w:sz="6" w:space="0"/>
              <w:right w:val="single" w:color="auto" w:sz="4" w:space="0"/>
            </w:tcBorders>
            <w:shd w:val="clear" w:color="auto" w:fill="auto"/>
            <w:vAlign w:val="center"/>
          </w:tcPr>
          <w:p w14:paraId="4D136C1A">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r>
      <w:tr w14:paraId="7B1DA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6" w:space="0"/>
              <w:right w:val="single" w:color="auto" w:sz="6" w:space="0"/>
            </w:tcBorders>
            <w:shd w:val="clear" w:color="auto" w:fill="auto"/>
            <w:vAlign w:val="center"/>
          </w:tcPr>
          <w:p w14:paraId="111DF9E0">
            <w:pPr>
              <w:keepNext w:val="0"/>
              <w:keepLines w:val="0"/>
              <w:widowControl w:val="0"/>
              <w:suppressLineNumbers w:val="0"/>
              <w:topLinePunct/>
              <w:adjustRightInd w:val="0"/>
              <w:snapToGrid w:val="0"/>
              <w:spacing w:before="0" w:beforeAutospacing="0" w:after="0" w:afterAutospacing="0"/>
              <w:ind w:left="17" w:right="0" w:hanging="17" w:hangingChars="7"/>
              <w:jc w:val="center"/>
              <w:rPr>
                <w:rFonts w:hint="eastAsia" w:ascii="宋体" w:hAnsi="Calibri" w:eastAsia="宋体" w:cs="宋体"/>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预付款</w:t>
            </w:r>
          </w:p>
        </w:tc>
        <w:tc>
          <w:tcPr>
            <w:tcW w:w="2140" w:type="dxa"/>
            <w:tcBorders>
              <w:top w:val="single" w:color="auto" w:sz="6" w:space="0"/>
              <w:left w:val="nil"/>
              <w:bottom w:val="single" w:color="auto" w:sz="6" w:space="0"/>
              <w:right w:val="single" w:color="auto" w:sz="6" w:space="0"/>
            </w:tcBorders>
            <w:shd w:val="clear" w:color="auto" w:fill="auto"/>
            <w:vAlign w:val="center"/>
          </w:tcPr>
          <w:p w14:paraId="105DEF11">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14:paraId="412D39AD">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1971" w:type="dxa"/>
            <w:tcBorders>
              <w:top w:val="single" w:color="auto" w:sz="6" w:space="0"/>
              <w:left w:val="nil"/>
              <w:bottom w:val="single" w:color="auto" w:sz="6" w:space="0"/>
              <w:right w:val="single" w:color="auto" w:sz="4" w:space="0"/>
            </w:tcBorders>
            <w:shd w:val="clear" w:color="auto" w:fill="auto"/>
            <w:vAlign w:val="center"/>
          </w:tcPr>
          <w:p w14:paraId="5F095719">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r w14:paraId="3767B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6" w:space="0"/>
              <w:right w:val="single" w:color="auto" w:sz="6" w:space="0"/>
            </w:tcBorders>
            <w:shd w:val="clear" w:color="auto" w:fill="auto"/>
            <w:vAlign w:val="center"/>
          </w:tcPr>
          <w:p w14:paraId="3D926E96">
            <w:pPr>
              <w:keepNext w:val="0"/>
              <w:keepLines w:val="0"/>
              <w:widowControl w:val="0"/>
              <w:suppressLineNumbers w:val="0"/>
              <w:topLinePunct/>
              <w:adjustRightInd w:val="0"/>
              <w:snapToGrid w:val="0"/>
              <w:spacing w:before="0" w:beforeAutospacing="0" w:after="0" w:afterAutospacing="0"/>
              <w:ind w:left="17" w:right="0" w:hanging="17" w:hangingChars="7"/>
              <w:jc w:val="center"/>
              <w:rPr>
                <w:rFonts w:hint="eastAsia" w:ascii="宋体" w:hAnsi="Calibri" w:eastAsia="宋体" w:cs="宋体"/>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第1月</w:t>
            </w:r>
          </w:p>
        </w:tc>
        <w:tc>
          <w:tcPr>
            <w:tcW w:w="2140" w:type="dxa"/>
            <w:tcBorders>
              <w:top w:val="single" w:color="auto" w:sz="6" w:space="0"/>
              <w:left w:val="nil"/>
              <w:bottom w:val="single" w:color="auto" w:sz="6" w:space="0"/>
              <w:right w:val="single" w:color="auto" w:sz="6" w:space="0"/>
            </w:tcBorders>
            <w:shd w:val="clear" w:color="auto" w:fill="auto"/>
            <w:vAlign w:val="center"/>
          </w:tcPr>
          <w:p w14:paraId="57AC2D60">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14:paraId="186888EA">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1971" w:type="dxa"/>
            <w:tcBorders>
              <w:top w:val="single" w:color="auto" w:sz="6" w:space="0"/>
              <w:left w:val="nil"/>
              <w:bottom w:val="single" w:color="auto" w:sz="6" w:space="0"/>
              <w:right w:val="single" w:color="auto" w:sz="4" w:space="0"/>
            </w:tcBorders>
            <w:shd w:val="clear" w:color="auto" w:fill="auto"/>
            <w:vAlign w:val="center"/>
          </w:tcPr>
          <w:p w14:paraId="2A3438BB">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r w14:paraId="7AC50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6" w:space="0"/>
              <w:right w:val="single" w:color="auto" w:sz="6" w:space="0"/>
            </w:tcBorders>
            <w:shd w:val="clear" w:color="auto" w:fill="auto"/>
            <w:vAlign w:val="center"/>
          </w:tcPr>
          <w:p w14:paraId="65B125CA">
            <w:pPr>
              <w:keepNext w:val="0"/>
              <w:keepLines w:val="0"/>
              <w:widowControl w:val="0"/>
              <w:suppressLineNumbers w:val="0"/>
              <w:topLinePunct/>
              <w:adjustRightInd w:val="0"/>
              <w:snapToGrid w:val="0"/>
              <w:spacing w:before="0" w:beforeAutospacing="0" w:after="0" w:afterAutospacing="0"/>
              <w:ind w:left="17" w:right="0" w:hanging="17" w:hangingChars="7"/>
              <w:jc w:val="center"/>
              <w:rPr>
                <w:rFonts w:hint="eastAsia" w:ascii="宋体" w:hAnsi="Calibri" w:eastAsia="宋体" w:cs="宋体"/>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第2月</w:t>
            </w:r>
          </w:p>
        </w:tc>
        <w:tc>
          <w:tcPr>
            <w:tcW w:w="2140" w:type="dxa"/>
            <w:tcBorders>
              <w:top w:val="single" w:color="auto" w:sz="6" w:space="0"/>
              <w:left w:val="nil"/>
              <w:bottom w:val="single" w:color="auto" w:sz="6" w:space="0"/>
              <w:right w:val="single" w:color="auto" w:sz="6" w:space="0"/>
            </w:tcBorders>
            <w:shd w:val="clear" w:color="auto" w:fill="auto"/>
            <w:vAlign w:val="center"/>
          </w:tcPr>
          <w:p w14:paraId="4E9A0BB4">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14:paraId="009BAEC0">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1971" w:type="dxa"/>
            <w:tcBorders>
              <w:top w:val="single" w:color="auto" w:sz="6" w:space="0"/>
              <w:left w:val="nil"/>
              <w:bottom w:val="single" w:color="auto" w:sz="6" w:space="0"/>
              <w:right w:val="single" w:color="auto" w:sz="4" w:space="0"/>
            </w:tcBorders>
            <w:shd w:val="clear" w:color="auto" w:fill="auto"/>
            <w:vAlign w:val="center"/>
          </w:tcPr>
          <w:p w14:paraId="5D9D0A4F">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r w14:paraId="224F9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6" w:space="0"/>
              <w:right w:val="single" w:color="auto" w:sz="6" w:space="0"/>
            </w:tcBorders>
            <w:shd w:val="clear" w:color="auto" w:fill="auto"/>
            <w:vAlign w:val="center"/>
          </w:tcPr>
          <w:p w14:paraId="59A54AE7">
            <w:pPr>
              <w:keepNext w:val="0"/>
              <w:keepLines w:val="0"/>
              <w:widowControl w:val="0"/>
              <w:suppressLineNumbers w:val="0"/>
              <w:topLinePunct/>
              <w:adjustRightInd w:val="0"/>
              <w:snapToGrid w:val="0"/>
              <w:spacing w:before="0" w:beforeAutospacing="0" w:after="0" w:afterAutospacing="0"/>
              <w:ind w:left="17" w:right="0" w:hanging="17" w:hangingChars="7"/>
              <w:jc w:val="center"/>
              <w:rPr>
                <w:rFonts w:hint="eastAsia" w:ascii="宋体" w:hAnsi="Calibri" w:eastAsia="宋体" w:cs="宋体"/>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第3月</w:t>
            </w:r>
          </w:p>
        </w:tc>
        <w:tc>
          <w:tcPr>
            <w:tcW w:w="2140" w:type="dxa"/>
            <w:tcBorders>
              <w:top w:val="single" w:color="auto" w:sz="6" w:space="0"/>
              <w:left w:val="nil"/>
              <w:bottom w:val="single" w:color="auto" w:sz="6" w:space="0"/>
              <w:right w:val="single" w:color="auto" w:sz="6" w:space="0"/>
            </w:tcBorders>
            <w:shd w:val="clear" w:color="auto" w:fill="auto"/>
            <w:vAlign w:val="center"/>
          </w:tcPr>
          <w:p w14:paraId="1F28C650">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14:paraId="062E89C2">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1971" w:type="dxa"/>
            <w:tcBorders>
              <w:top w:val="single" w:color="auto" w:sz="6" w:space="0"/>
              <w:left w:val="nil"/>
              <w:bottom w:val="single" w:color="auto" w:sz="6" w:space="0"/>
              <w:right w:val="single" w:color="auto" w:sz="4" w:space="0"/>
            </w:tcBorders>
            <w:shd w:val="clear" w:color="auto" w:fill="auto"/>
            <w:vAlign w:val="center"/>
          </w:tcPr>
          <w:p w14:paraId="3368C819">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r w14:paraId="418D1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6" w:space="0"/>
              <w:right w:val="single" w:color="auto" w:sz="6" w:space="0"/>
            </w:tcBorders>
            <w:shd w:val="clear" w:color="auto" w:fill="auto"/>
            <w:vAlign w:val="center"/>
          </w:tcPr>
          <w:p w14:paraId="4E166863">
            <w:pPr>
              <w:keepNext w:val="0"/>
              <w:keepLines w:val="0"/>
              <w:widowControl w:val="0"/>
              <w:suppressLineNumbers w:val="0"/>
              <w:topLinePunct/>
              <w:adjustRightInd w:val="0"/>
              <w:snapToGrid w:val="0"/>
              <w:spacing w:before="0" w:beforeAutospacing="0" w:after="0" w:afterAutospacing="0"/>
              <w:ind w:left="17" w:right="0" w:hanging="17" w:hangingChars="7"/>
              <w:jc w:val="center"/>
              <w:rPr>
                <w:rFonts w:hint="eastAsia" w:ascii="宋体" w:hAnsi="Calibri" w:eastAsia="宋体" w:cs="宋体"/>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第4月</w:t>
            </w:r>
          </w:p>
        </w:tc>
        <w:tc>
          <w:tcPr>
            <w:tcW w:w="2140" w:type="dxa"/>
            <w:tcBorders>
              <w:top w:val="single" w:color="auto" w:sz="6" w:space="0"/>
              <w:left w:val="nil"/>
              <w:bottom w:val="single" w:color="auto" w:sz="6" w:space="0"/>
              <w:right w:val="single" w:color="auto" w:sz="6" w:space="0"/>
            </w:tcBorders>
            <w:shd w:val="clear" w:color="auto" w:fill="auto"/>
            <w:vAlign w:val="center"/>
          </w:tcPr>
          <w:p w14:paraId="0FE401CB">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14:paraId="4A5AFEA7">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1971" w:type="dxa"/>
            <w:tcBorders>
              <w:top w:val="single" w:color="auto" w:sz="6" w:space="0"/>
              <w:left w:val="nil"/>
              <w:bottom w:val="single" w:color="auto" w:sz="6" w:space="0"/>
              <w:right w:val="single" w:color="auto" w:sz="4" w:space="0"/>
            </w:tcBorders>
            <w:shd w:val="clear" w:color="auto" w:fill="auto"/>
            <w:vAlign w:val="center"/>
          </w:tcPr>
          <w:p w14:paraId="14CB1B95">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r w14:paraId="7A83C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6" w:space="0"/>
              <w:right w:val="single" w:color="auto" w:sz="6" w:space="0"/>
            </w:tcBorders>
            <w:shd w:val="clear" w:color="auto" w:fill="auto"/>
            <w:vAlign w:val="center"/>
          </w:tcPr>
          <w:p w14:paraId="7508B156">
            <w:pPr>
              <w:keepNext w:val="0"/>
              <w:keepLines w:val="0"/>
              <w:widowControl w:val="0"/>
              <w:suppressLineNumbers w:val="0"/>
              <w:topLinePunct/>
              <w:adjustRightInd w:val="0"/>
              <w:snapToGrid w:val="0"/>
              <w:spacing w:before="0" w:beforeAutospacing="0" w:after="0" w:afterAutospacing="0"/>
              <w:ind w:left="17" w:right="0" w:hanging="17" w:hangingChars="7"/>
              <w:jc w:val="center"/>
              <w:rPr>
                <w:rFonts w:hint="eastAsia" w:ascii="宋体" w:hAnsi="Calibri" w:eastAsia="宋体" w:cs="宋体"/>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w:t>
            </w:r>
          </w:p>
        </w:tc>
        <w:tc>
          <w:tcPr>
            <w:tcW w:w="2140" w:type="dxa"/>
            <w:tcBorders>
              <w:top w:val="single" w:color="auto" w:sz="6" w:space="0"/>
              <w:left w:val="nil"/>
              <w:bottom w:val="single" w:color="auto" w:sz="6" w:space="0"/>
              <w:right w:val="single" w:color="auto" w:sz="6" w:space="0"/>
            </w:tcBorders>
            <w:shd w:val="clear" w:color="auto" w:fill="auto"/>
            <w:vAlign w:val="center"/>
          </w:tcPr>
          <w:p w14:paraId="3665F9C6">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14:paraId="38BE7131">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1971" w:type="dxa"/>
            <w:tcBorders>
              <w:top w:val="single" w:color="auto" w:sz="6" w:space="0"/>
              <w:left w:val="nil"/>
              <w:bottom w:val="single" w:color="auto" w:sz="6" w:space="0"/>
              <w:right w:val="single" w:color="auto" w:sz="4" w:space="0"/>
            </w:tcBorders>
            <w:shd w:val="clear" w:color="auto" w:fill="auto"/>
            <w:vAlign w:val="center"/>
          </w:tcPr>
          <w:p w14:paraId="6F6564FB">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r w14:paraId="04797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6" w:space="0"/>
              <w:right w:val="single" w:color="auto" w:sz="6" w:space="0"/>
            </w:tcBorders>
            <w:shd w:val="clear" w:color="auto" w:fill="auto"/>
            <w:vAlign w:val="center"/>
          </w:tcPr>
          <w:p w14:paraId="20CD5642">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14:paraId="57684B39">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14:paraId="72CFA22B">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1971" w:type="dxa"/>
            <w:tcBorders>
              <w:top w:val="single" w:color="auto" w:sz="6" w:space="0"/>
              <w:left w:val="nil"/>
              <w:bottom w:val="single" w:color="auto" w:sz="6" w:space="0"/>
              <w:right w:val="single" w:color="auto" w:sz="4" w:space="0"/>
            </w:tcBorders>
            <w:shd w:val="clear" w:color="auto" w:fill="auto"/>
            <w:vAlign w:val="center"/>
          </w:tcPr>
          <w:p w14:paraId="6FFE2B80">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r w14:paraId="5A157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6" w:space="0"/>
              <w:right w:val="single" w:color="auto" w:sz="6" w:space="0"/>
            </w:tcBorders>
            <w:shd w:val="clear" w:color="auto" w:fill="auto"/>
            <w:vAlign w:val="center"/>
          </w:tcPr>
          <w:p w14:paraId="48AB5856">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14:paraId="0633B342">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14:paraId="54AF2C9C">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1971" w:type="dxa"/>
            <w:tcBorders>
              <w:top w:val="single" w:color="auto" w:sz="6" w:space="0"/>
              <w:left w:val="nil"/>
              <w:bottom w:val="single" w:color="auto" w:sz="6" w:space="0"/>
              <w:right w:val="single" w:color="auto" w:sz="4" w:space="0"/>
            </w:tcBorders>
            <w:shd w:val="clear" w:color="auto" w:fill="auto"/>
            <w:vAlign w:val="center"/>
          </w:tcPr>
          <w:p w14:paraId="1FCBA469">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r w14:paraId="750E0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6" w:space="0"/>
              <w:right w:val="single" w:color="auto" w:sz="6" w:space="0"/>
            </w:tcBorders>
            <w:shd w:val="clear" w:color="auto" w:fill="auto"/>
            <w:vAlign w:val="center"/>
          </w:tcPr>
          <w:p w14:paraId="0AD058A4">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14:paraId="0C910CE0">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14:paraId="49901531">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1971" w:type="dxa"/>
            <w:tcBorders>
              <w:top w:val="single" w:color="auto" w:sz="6" w:space="0"/>
              <w:left w:val="nil"/>
              <w:bottom w:val="single" w:color="auto" w:sz="6" w:space="0"/>
              <w:right w:val="single" w:color="auto" w:sz="4" w:space="0"/>
            </w:tcBorders>
            <w:shd w:val="clear" w:color="auto" w:fill="auto"/>
            <w:vAlign w:val="center"/>
          </w:tcPr>
          <w:p w14:paraId="5E420DDD">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r w14:paraId="0D8B9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6" w:space="0"/>
              <w:right w:val="single" w:color="auto" w:sz="6" w:space="0"/>
            </w:tcBorders>
            <w:shd w:val="clear" w:color="auto" w:fill="auto"/>
            <w:vAlign w:val="center"/>
          </w:tcPr>
          <w:p w14:paraId="2A0C25BC">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14:paraId="5D7DD756">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14:paraId="1DB16056">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1971" w:type="dxa"/>
            <w:tcBorders>
              <w:top w:val="single" w:color="auto" w:sz="6" w:space="0"/>
              <w:left w:val="nil"/>
              <w:bottom w:val="single" w:color="auto" w:sz="6" w:space="0"/>
              <w:right w:val="single" w:color="auto" w:sz="4" w:space="0"/>
            </w:tcBorders>
            <w:shd w:val="clear" w:color="auto" w:fill="auto"/>
            <w:vAlign w:val="center"/>
          </w:tcPr>
          <w:p w14:paraId="156D9802">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r w14:paraId="5FC81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6" w:space="0"/>
              <w:right w:val="single" w:color="auto" w:sz="6" w:space="0"/>
            </w:tcBorders>
            <w:shd w:val="clear" w:color="auto" w:fill="auto"/>
            <w:vAlign w:val="center"/>
          </w:tcPr>
          <w:p w14:paraId="0431670E">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14:paraId="798BD3DD">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14:paraId="193E4B91">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1971" w:type="dxa"/>
            <w:tcBorders>
              <w:top w:val="single" w:color="auto" w:sz="6" w:space="0"/>
              <w:left w:val="nil"/>
              <w:bottom w:val="single" w:color="auto" w:sz="6" w:space="0"/>
              <w:right w:val="single" w:color="auto" w:sz="4" w:space="0"/>
            </w:tcBorders>
            <w:shd w:val="clear" w:color="auto" w:fill="auto"/>
            <w:vAlign w:val="center"/>
          </w:tcPr>
          <w:p w14:paraId="2D0D419E">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r w14:paraId="194B5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6" w:space="0"/>
              <w:right w:val="single" w:color="auto" w:sz="6" w:space="0"/>
            </w:tcBorders>
            <w:shd w:val="clear" w:color="auto" w:fill="auto"/>
            <w:vAlign w:val="center"/>
          </w:tcPr>
          <w:p w14:paraId="59AE45F8">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14:paraId="2928795D">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14:paraId="4F2FFFF5">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1971" w:type="dxa"/>
            <w:tcBorders>
              <w:top w:val="single" w:color="auto" w:sz="6" w:space="0"/>
              <w:left w:val="nil"/>
              <w:bottom w:val="single" w:color="auto" w:sz="6" w:space="0"/>
              <w:right w:val="single" w:color="auto" w:sz="4" w:space="0"/>
            </w:tcBorders>
            <w:shd w:val="clear" w:color="auto" w:fill="auto"/>
            <w:vAlign w:val="center"/>
          </w:tcPr>
          <w:p w14:paraId="7B5C3708">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r w14:paraId="07E43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6" w:space="0"/>
              <w:right w:val="single" w:color="auto" w:sz="6" w:space="0"/>
            </w:tcBorders>
            <w:shd w:val="clear" w:color="auto" w:fill="auto"/>
            <w:vAlign w:val="center"/>
          </w:tcPr>
          <w:p w14:paraId="7855F1B2">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14:paraId="0B75F4E5">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14:paraId="723A543B">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1971" w:type="dxa"/>
            <w:tcBorders>
              <w:top w:val="single" w:color="auto" w:sz="6" w:space="0"/>
              <w:left w:val="nil"/>
              <w:bottom w:val="single" w:color="auto" w:sz="6" w:space="0"/>
              <w:right w:val="single" w:color="auto" w:sz="4" w:space="0"/>
            </w:tcBorders>
            <w:shd w:val="clear" w:color="auto" w:fill="auto"/>
            <w:vAlign w:val="center"/>
          </w:tcPr>
          <w:p w14:paraId="57C03B19">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r w14:paraId="03F8A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6" w:space="0"/>
              <w:right w:val="single" w:color="auto" w:sz="6" w:space="0"/>
            </w:tcBorders>
            <w:shd w:val="clear" w:color="auto" w:fill="auto"/>
            <w:vAlign w:val="center"/>
          </w:tcPr>
          <w:p w14:paraId="6647A35D">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14:paraId="53F9C25F">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14:paraId="696FF4B6">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1971" w:type="dxa"/>
            <w:tcBorders>
              <w:top w:val="single" w:color="auto" w:sz="6" w:space="0"/>
              <w:left w:val="nil"/>
              <w:bottom w:val="single" w:color="auto" w:sz="6" w:space="0"/>
              <w:right w:val="single" w:color="auto" w:sz="4" w:space="0"/>
            </w:tcBorders>
            <w:shd w:val="clear" w:color="auto" w:fill="auto"/>
            <w:vAlign w:val="center"/>
          </w:tcPr>
          <w:p w14:paraId="6D3EE800">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r w14:paraId="6CF78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6" w:space="0"/>
              <w:right w:val="single" w:color="auto" w:sz="6" w:space="0"/>
            </w:tcBorders>
            <w:shd w:val="clear" w:color="auto" w:fill="auto"/>
            <w:vAlign w:val="center"/>
          </w:tcPr>
          <w:p w14:paraId="6CD7D766">
            <w:pPr>
              <w:keepNext w:val="0"/>
              <w:keepLines w:val="0"/>
              <w:widowControl w:val="0"/>
              <w:suppressLineNumbers w:val="0"/>
              <w:topLinePunct/>
              <w:adjustRightInd w:val="0"/>
              <w:snapToGrid w:val="0"/>
              <w:spacing w:before="0" w:beforeAutospacing="0" w:after="0" w:afterAutospacing="0"/>
              <w:ind w:left="0" w:right="0"/>
              <w:jc w:val="center"/>
              <w:rPr>
                <w:rFonts w:hint="eastAsia" w:ascii="宋体" w:hAnsi="Calibri" w:eastAsia="宋体" w:cs="宋体"/>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保修期</w:t>
            </w:r>
          </w:p>
        </w:tc>
        <w:tc>
          <w:tcPr>
            <w:tcW w:w="2140" w:type="dxa"/>
            <w:tcBorders>
              <w:top w:val="single" w:color="auto" w:sz="6" w:space="0"/>
              <w:left w:val="nil"/>
              <w:bottom w:val="single" w:color="auto" w:sz="6" w:space="0"/>
              <w:right w:val="single" w:color="auto" w:sz="6" w:space="0"/>
            </w:tcBorders>
            <w:shd w:val="clear" w:color="auto" w:fill="auto"/>
            <w:vAlign w:val="center"/>
          </w:tcPr>
          <w:p w14:paraId="2B829161">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14:paraId="3C541F75">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1971" w:type="dxa"/>
            <w:tcBorders>
              <w:top w:val="single" w:color="auto" w:sz="6" w:space="0"/>
              <w:left w:val="nil"/>
              <w:bottom w:val="single" w:color="auto" w:sz="6" w:space="0"/>
              <w:right w:val="single" w:color="auto" w:sz="4" w:space="0"/>
            </w:tcBorders>
            <w:shd w:val="clear" w:color="auto" w:fill="auto"/>
            <w:vAlign w:val="center"/>
          </w:tcPr>
          <w:p w14:paraId="6343F2D9">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r w14:paraId="19C01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6" w:space="0"/>
              <w:right w:val="single" w:color="auto" w:sz="6" w:space="0"/>
            </w:tcBorders>
            <w:shd w:val="clear" w:color="auto" w:fill="auto"/>
            <w:vAlign w:val="center"/>
          </w:tcPr>
          <w:p w14:paraId="4A357091">
            <w:pPr>
              <w:keepNext w:val="0"/>
              <w:keepLines w:val="0"/>
              <w:widowControl w:val="0"/>
              <w:suppressLineNumbers w:val="0"/>
              <w:topLinePunct/>
              <w:adjustRightInd w:val="0"/>
              <w:snapToGrid w:val="0"/>
              <w:spacing w:before="0" w:beforeAutospacing="0" w:after="0" w:afterAutospacing="0"/>
              <w:ind w:left="0" w:right="0"/>
              <w:jc w:val="center"/>
              <w:rPr>
                <w:rFonts w:hint="eastAsia" w:ascii="宋体" w:hAnsi="Calibri" w:eastAsia="宋体" w:cs="宋体"/>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合计</w:t>
            </w:r>
          </w:p>
        </w:tc>
        <w:tc>
          <w:tcPr>
            <w:tcW w:w="2140" w:type="dxa"/>
            <w:tcBorders>
              <w:top w:val="single" w:color="auto" w:sz="6" w:space="0"/>
              <w:left w:val="nil"/>
              <w:bottom w:val="single" w:color="auto" w:sz="6" w:space="0"/>
              <w:right w:val="single" w:color="auto" w:sz="6" w:space="0"/>
            </w:tcBorders>
            <w:shd w:val="clear" w:color="auto" w:fill="auto"/>
            <w:vAlign w:val="center"/>
          </w:tcPr>
          <w:p w14:paraId="47931948">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2140" w:type="dxa"/>
            <w:tcBorders>
              <w:top w:val="single" w:color="auto" w:sz="6" w:space="0"/>
              <w:left w:val="nil"/>
              <w:bottom w:val="single" w:color="auto" w:sz="6" w:space="0"/>
              <w:right w:val="single" w:color="auto" w:sz="6" w:space="0"/>
            </w:tcBorders>
            <w:shd w:val="clear" w:color="auto" w:fill="auto"/>
            <w:vAlign w:val="center"/>
          </w:tcPr>
          <w:p w14:paraId="76B120BE">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c>
          <w:tcPr>
            <w:tcW w:w="1971" w:type="dxa"/>
            <w:tcBorders>
              <w:top w:val="single" w:color="auto" w:sz="6" w:space="0"/>
              <w:left w:val="nil"/>
              <w:bottom w:val="single" w:color="auto" w:sz="6" w:space="0"/>
              <w:right w:val="single" w:color="auto" w:sz="4" w:space="0"/>
            </w:tcBorders>
            <w:shd w:val="clear" w:color="auto" w:fill="auto"/>
            <w:vAlign w:val="center"/>
          </w:tcPr>
          <w:p w14:paraId="10C6F842">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r w14:paraId="2A37C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2152" w:type="dxa"/>
            <w:tcBorders>
              <w:top w:val="single" w:color="auto" w:sz="6" w:space="0"/>
              <w:left w:val="single" w:color="auto" w:sz="4" w:space="0"/>
              <w:bottom w:val="single" w:color="auto" w:sz="4" w:space="0"/>
              <w:right w:val="single" w:color="auto" w:sz="6" w:space="0"/>
            </w:tcBorders>
            <w:shd w:val="clear" w:color="auto" w:fill="auto"/>
            <w:vAlign w:val="center"/>
          </w:tcPr>
          <w:p w14:paraId="3897B48D">
            <w:pPr>
              <w:keepNext w:val="0"/>
              <w:keepLines w:val="0"/>
              <w:widowControl w:val="0"/>
              <w:suppressLineNumbers w:val="0"/>
              <w:topLinePunct/>
              <w:adjustRightInd w:val="0"/>
              <w:snapToGrid w:val="0"/>
              <w:spacing w:before="0" w:beforeAutospacing="0" w:after="0" w:afterAutospacing="0"/>
              <w:ind w:left="0" w:right="0"/>
              <w:jc w:val="center"/>
              <w:rPr>
                <w:rFonts w:hint="eastAsia" w:ascii="宋体" w:hAnsi="Calibri" w:eastAsia="宋体" w:cs="宋体"/>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说明</w:t>
            </w:r>
          </w:p>
        </w:tc>
        <w:tc>
          <w:tcPr>
            <w:tcW w:w="6251" w:type="dxa"/>
            <w:gridSpan w:val="3"/>
            <w:tcBorders>
              <w:top w:val="single" w:color="auto" w:sz="6" w:space="0"/>
              <w:left w:val="nil"/>
              <w:bottom w:val="single" w:color="auto" w:sz="4" w:space="0"/>
              <w:right w:val="single" w:color="auto" w:sz="4" w:space="0"/>
            </w:tcBorders>
            <w:shd w:val="clear" w:color="auto" w:fill="auto"/>
            <w:vAlign w:val="center"/>
          </w:tcPr>
          <w:p w14:paraId="39BC0CC4">
            <w:pPr>
              <w:keepNext w:val="0"/>
              <w:keepLines w:val="0"/>
              <w:widowControl w:val="0"/>
              <w:suppressLineNumbers w:val="0"/>
              <w:topLinePunct/>
              <w:adjustRightInd w:val="0"/>
              <w:snapToGrid w:val="0"/>
              <w:spacing w:before="0" w:beforeAutospacing="0" w:after="0" w:afterAutospacing="0"/>
              <w:ind w:left="479" w:right="0"/>
              <w:jc w:val="center"/>
              <w:rPr>
                <w:rFonts w:hint="eastAsia" w:ascii="宋体" w:hAnsi="Calibri" w:eastAsia="宋体" w:cs="宋体"/>
                <w:color w:val="auto"/>
                <w:spacing w:val="4"/>
                <w:kern w:val="2"/>
                <w:sz w:val="24"/>
                <w:szCs w:val="24"/>
                <w:highlight w:val="none"/>
              </w:rPr>
            </w:pPr>
          </w:p>
        </w:tc>
      </w:tr>
    </w:tbl>
    <w:p w14:paraId="353064BE">
      <w:pPr>
        <w:keepNext w:val="0"/>
        <w:keepLines w:val="0"/>
        <w:widowControl w:val="0"/>
        <w:suppressLineNumbers w:val="0"/>
        <w:topLinePunct/>
        <w:adjustRightInd w:val="0"/>
        <w:snapToGrid w:val="0"/>
        <w:spacing w:before="0" w:beforeAutospacing="0" w:after="0" w:afterAutospacing="0" w:line="360" w:lineRule="auto"/>
        <w:ind w:left="0" w:right="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注：本表不得出现具体金额，仅以百分比表示。</w:t>
      </w:r>
    </w:p>
    <w:p w14:paraId="3E58C22F">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单位：  （盖章）</w:t>
      </w:r>
    </w:p>
    <w:p w14:paraId="271CD202">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法定代表人或授权代理人（签字或盖章）：</w:t>
      </w:r>
    </w:p>
    <w:p w14:paraId="1AC18895">
      <w:pPr>
        <w:keepNext w:val="0"/>
        <w:keepLines w:val="0"/>
        <w:widowControl/>
        <w:suppressLineNumbers w:val="0"/>
        <w:topLinePunct/>
        <w:adjustRightInd w:val="0"/>
        <w:snapToGrid w:val="0"/>
        <w:spacing w:before="0" w:beforeAutospacing="0" w:after="0" w:afterAutospacing="0" w:line="268" w:lineRule="auto"/>
        <w:ind w:left="0" w:right="0" w:firstLine="3045" w:firstLineChars="145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日   期：    年    月    日</w:t>
      </w:r>
    </w:p>
    <w:p w14:paraId="4D8716EF">
      <w:pPr>
        <w:keepNext w:val="0"/>
        <w:keepLines w:val="0"/>
        <w:widowControl/>
        <w:suppressLineNumbers w:val="0"/>
        <w:topLinePunct/>
        <w:adjustRightInd w:val="0"/>
        <w:snapToGrid w:val="0"/>
        <w:spacing w:before="0" w:beforeAutospacing="0" w:after="0" w:afterAutospacing="0" w:line="268" w:lineRule="auto"/>
        <w:ind w:left="0" w:right="0" w:firstLine="3045" w:firstLineChars="145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14:paraId="23D85FCD">
      <w:pPr>
        <w:keepNext w:val="0"/>
        <w:keepLines w:val="0"/>
        <w:widowControl/>
        <w:suppressLineNumbers w:val="0"/>
        <w:topLinePunct/>
        <w:adjustRightInd w:val="0"/>
        <w:snapToGrid w:val="0"/>
        <w:spacing w:before="0" w:beforeAutospacing="0" w:after="0" w:afterAutospacing="0" w:line="268" w:lineRule="auto"/>
        <w:ind w:left="0" w:right="0" w:firstLine="3045" w:firstLineChars="145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14:paraId="24FFFF51">
      <w:pPr>
        <w:keepNext w:val="0"/>
        <w:keepLines w:val="0"/>
        <w:widowControl/>
        <w:suppressLineNumbers w:val="0"/>
        <w:topLinePunct/>
        <w:adjustRightInd w:val="0"/>
        <w:snapToGrid w:val="0"/>
        <w:spacing w:before="0" w:beforeAutospacing="0" w:after="0" w:afterAutospacing="0" w:line="268" w:lineRule="auto"/>
        <w:ind w:left="0" w:right="0" w:firstLine="3045" w:firstLineChars="145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14:paraId="2DE5A280">
      <w:pPr>
        <w:keepNext w:val="0"/>
        <w:keepLines w:val="0"/>
        <w:widowControl/>
        <w:suppressLineNumbers w:val="0"/>
        <w:topLinePunct/>
        <w:adjustRightInd w:val="0"/>
        <w:snapToGrid w:val="0"/>
        <w:spacing w:before="0" w:beforeAutospacing="0" w:after="0" w:afterAutospacing="0" w:line="268" w:lineRule="auto"/>
        <w:ind w:left="0" w:right="0" w:firstLine="3045" w:firstLineChars="145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14:paraId="3C71774F">
      <w:pPr>
        <w:keepNext w:val="0"/>
        <w:keepLines w:val="0"/>
        <w:widowControl/>
        <w:suppressLineNumbers w:val="0"/>
        <w:topLinePunct/>
        <w:adjustRightInd w:val="0"/>
        <w:snapToGrid w:val="0"/>
        <w:spacing w:before="0" w:beforeAutospacing="0" w:after="0" w:afterAutospacing="0" w:line="268" w:lineRule="auto"/>
        <w:ind w:left="0" w:right="0" w:firstLine="3045" w:firstLineChars="145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14:paraId="7ABA1C33">
      <w:pPr>
        <w:keepNext w:val="0"/>
        <w:keepLines w:val="0"/>
        <w:widowControl w:val="0"/>
        <w:suppressLineNumbers w:val="0"/>
        <w:topLinePunct/>
        <w:adjustRightInd w:val="0"/>
        <w:snapToGrid w:val="0"/>
        <w:spacing w:before="0" w:beforeAutospacing="0" w:after="0" w:afterAutospacing="0" w:line="360" w:lineRule="auto"/>
        <w:ind w:left="0" w:right="0" w:firstLine="3596" w:firstLineChars="1450"/>
        <w:jc w:val="both"/>
        <w:rPr>
          <w:rFonts w:hint="eastAsia" w:ascii="宋体" w:hAnsi="Calibri"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 xml:space="preserve"> </w:t>
      </w:r>
    </w:p>
    <w:p w14:paraId="473C279E">
      <w:pPr>
        <w:keepNext w:val="0"/>
        <w:keepLines w:val="0"/>
        <w:widowControl w:val="0"/>
        <w:suppressLineNumbers w:val="0"/>
        <w:topLinePunct/>
        <w:adjustRightInd w:val="0"/>
        <w:snapToGrid w:val="0"/>
        <w:spacing w:before="0" w:beforeAutospacing="0" w:after="0" w:afterAutospacing="0"/>
        <w:ind w:left="0" w:right="0"/>
        <w:jc w:val="left"/>
        <w:outlineLvl w:val="2"/>
        <w:rPr>
          <w:rFonts w:hint="eastAsia" w:ascii="宋体" w:hAnsi="宋体" w:eastAsia="宋体" w:cs="Times New Roman"/>
          <w:b/>
          <w:bCs w:val="0"/>
          <w:color w:val="auto"/>
          <w:spacing w:val="4"/>
          <w:kern w:val="0"/>
          <w:sz w:val="24"/>
          <w:szCs w:val="24"/>
          <w:highlight w:val="none"/>
        </w:rPr>
      </w:pPr>
      <w:bookmarkStart w:id="130" w:name="_Toc4340135"/>
      <w:bookmarkEnd w:id="130"/>
      <w:bookmarkStart w:id="131" w:name="_Toc4339797"/>
      <w:bookmarkEnd w:id="131"/>
      <w:bookmarkStart w:id="132" w:name="_Toc31709"/>
      <w:bookmarkEnd w:id="132"/>
      <w:bookmarkStart w:id="133" w:name="_Toc4489946"/>
      <w:bookmarkEnd w:id="133"/>
      <w:bookmarkStart w:id="134" w:name="_Toc8019"/>
      <w:r>
        <w:rPr>
          <w:rFonts w:hint="eastAsia" w:ascii="宋体" w:hAnsi="宋体" w:eastAsia="宋体" w:cs="宋体"/>
          <w:b/>
          <w:bCs w:val="0"/>
          <w:color w:val="auto"/>
          <w:spacing w:val="4"/>
          <w:kern w:val="0"/>
          <w:sz w:val="24"/>
          <w:szCs w:val="24"/>
          <w:highlight w:val="none"/>
          <w:lang w:val="en-US" w:eastAsia="zh-CN" w:bidi="ar"/>
        </w:rPr>
        <w:t>格式十二：承诺书</w:t>
      </w:r>
      <w:bookmarkEnd w:id="134"/>
    </w:p>
    <w:p w14:paraId="17277EB0">
      <w:pPr>
        <w:keepNext w:val="0"/>
        <w:keepLines w:val="0"/>
        <w:widowControl w:val="0"/>
        <w:suppressLineNumbers w:val="0"/>
        <w:topLinePunct/>
        <w:adjustRightInd w:val="0"/>
        <w:snapToGrid w:val="0"/>
        <w:spacing w:before="156" w:beforeAutospacing="0" w:after="156" w:afterAutospacing="0" w:line="360" w:lineRule="auto"/>
        <w:ind w:left="0" w:right="0"/>
        <w:jc w:val="center"/>
        <w:rPr>
          <w:rFonts w:hint="eastAsia" w:ascii="宋体" w:hAnsi="宋体" w:eastAsia="宋体" w:cs="Times New Roman"/>
          <w:color w:val="auto"/>
          <w:spacing w:val="4"/>
          <w:kern w:val="0"/>
          <w:sz w:val="36"/>
          <w:szCs w:val="36"/>
          <w:highlight w:val="none"/>
        </w:rPr>
      </w:pPr>
      <w:r>
        <w:rPr>
          <w:rFonts w:hint="eastAsia" w:ascii="宋体" w:hAnsi="宋体" w:eastAsia="宋体" w:cs="宋体"/>
          <w:color w:val="auto"/>
          <w:spacing w:val="4"/>
          <w:kern w:val="0"/>
          <w:sz w:val="36"/>
          <w:szCs w:val="36"/>
          <w:highlight w:val="none"/>
          <w:lang w:val="en-US" w:eastAsia="zh-CN" w:bidi="ar"/>
        </w:rPr>
        <w:t>承</w:t>
      </w:r>
      <w:r>
        <w:rPr>
          <w:rFonts w:hint="eastAsia" w:ascii="宋体" w:hAnsi="宋体" w:eastAsia="宋体" w:cs="Times New Roman"/>
          <w:color w:val="auto"/>
          <w:spacing w:val="4"/>
          <w:kern w:val="0"/>
          <w:sz w:val="36"/>
          <w:szCs w:val="36"/>
          <w:highlight w:val="none"/>
          <w:lang w:val="en-US" w:eastAsia="zh-CN" w:bidi="ar"/>
        </w:rPr>
        <w:t xml:space="preserve">  </w:t>
      </w:r>
      <w:r>
        <w:rPr>
          <w:rFonts w:hint="eastAsia" w:ascii="宋体" w:hAnsi="宋体" w:eastAsia="宋体" w:cs="宋体"/>
          <w:color w:val="auto"/>
          <w:spacing w:val="4"/>
          <w:kern w:val="0"/>
          <w:sz w:val="36"/>
          <w:szCs w:val="36"/>
          <w:highlight w:val="none"/>
          <w:lang w:val="en-US" w:eastAsia="zh-CN" w:bidi="ar"/>
        </w:rPr>
        <w:t>诺</w:t>
      </w:r>
      <w:r>
        <w:rPr>
          <w:rFonts w:hint="eastAsia" w:ascii="宋体" w:hAnsi="宋体" w:eastAsia="宋体" w:cs="Times New Roman"/>
          <w:color w:val="auto"/>
          <w:spacing w:val="4"/>
          <w:kern w:val="0"/>
          <w:sz w:val="36"/>
          <w:szCs w:val="36"/>
          <w:highlight w:val="none"/>
          <w:lang w:val="en-US" w:eastAsia="zh-CN" w:bidi="ar"/>
        </w:rPr>
        <w:t xml:space="preserve">  </w:t>
      </w:r>
      <w:r>
        <w:rPr>
          <w:rFonts w:hint="eastAsia" w:ascii="宋体" w:hAnsi="宋体" w:eastAsia="宋体" w:cs="宋体"/>
          <w:color w:val="auto"/>
          <w:spacing w:val="4"/>
          <w:kern w:val="0"/>
          <w:sz w:val="36"/>
          <w:szCs w:val="36"/>
          <w:highlight w:val="none"/>
          <w:lang w:val="en-US" w:eastAsia="zh-CN" w:bidi="ar"/>
        </w:rPr>
        <w:t>书</w:t>
      </w:r>
    </w:p>
    <w:p w14:paraId="4D754C2B">
      <w:pPr>
        <w:keepNext w:val="0"/>
        <w:keepLines w:val="0"/>
        <w:widowControl w:val="0"/>
        <w:suppressLineNumbers w:val="0"/>
        <w:topLinePunct/>
        <w:adjustRightInd w:val="0"/>
        <w:snapToGrid w:val="0"/>
        <w:spacing w:before="0" w:beforeAutospacing="0" w:after="0" w:afterAutospacing="0" w:line="360" w:lineRule="auto"/>
        <w:ind w:left="0" w:right="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致：广州市重点公共建设项目管理中心：</w:t>
      </w:r>
    </w:p>
    <w:p w14:paraId="12141C79">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经详细阅读本工程招标文件、招标答疑纪要和踏勘现场，我司已理解招标人对本招标项目工程管理的高标准及严格要求，在此，我司郑重作出以下承诺：</w:t>
      </w:r>
    </w:p>
    <w:p w14:paraId="6D40D469">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一、我司已按投标须知第</w:t>
      </w:r>
      <w:r>
        <w:rPr>
          <w:rFonts w:hint="default" w:ascii="Calibri" w:hAnsi="Calibri" w:eastAsia="宋体" w:cs="Calibri"/>
          <w:color w:val="auto"/>
          <w:spacing w:val="4"/>
          <w:kern w:val="0"/>
          <w:sz w:val="24"/>
          <w:szCs w:val="24"/>
          <w:highlight w:val="none"/>
          <w:lang w:val="en-US" w:eastAsia="zh-CN" w:bidi="ar"/>
        </w:rPr>
        <w:t>5</w:t>
      </w:r>
      <w:r>
        <w:rPr>
          <w:rFonts w:hint="eastAsia" w:ascii="宋体" w:hAnsi="宋体" w:eastAsia="宋体" w:cs="宋体"/>
          <w:color w:val="auto"/>
          <w:spacing w:val="4"/>
          <w:kern w:val="0"/>
          <w:sz w:val="24"/>
          <w:szCs w:val="24"/>
          <w:highlight w:val="none"/>
          <w:lang w:val="en-US" w:eastAsia="zh-CN" w:bidi="ar"/>
        </w:rPr>
        <w:t>条的要求完成了对现场的踏勘工作，已充分了解施工现场的条件。如若中标，我司理解招标人向投标人提供的有关现场的数据和资料，是招标人现有的能被投标人利用的资料。招标人对投标人做出的任何推论、理解和结论均不需负任何的责任。我司承诺不会因施工期间现场条件发生的任何阻碍而向招标人索赔工期或费用，并保证不因</w:t>
      </w:r>
      <w:bookmarkStart w:id="135" w:name="_Toc24085"/>
      <w:bookmarkEnd w:id="135"/>
      <w:bookmarkStart w:id="136" w:name="_Toc444607390"/>
      <w:bookmarkEnd w:id="136"/>
      <w:bookmarkStart w:id="137" w:name="_Toc11044"/>
      <w:r>
        <w:rPr>
          <w:rFonts w:hint="eastAsia" w:ascii="宋体" w:hAnsi="宋体" w:eastAsia="宋体" w:cs="宋体"/>
          <w:color w:val="auto"/>
          <w:spacing w:val="4"/>
          <w:kern w:val="0"/>
          <w:sz w:val="24"/>
          <w:szCs w:val="24"/>
          <w:highlight w:val="none"/>
          <w:lang w:val="en-US" w:eastAsia="zh-CN" w:bidi="ar"/>
        </w:rPr>
        <w:t>施工期间现</w:t>
      </w:r>
      <w:bookmarkEnd w:id="137"/>
      <w:r>
        <w:rPr>
          <w:rFonts w:hint="eastAsia" w:ascii="宋体" w:hAnsi="宋体" w:eastAsia="宋体" w:cs="宋体"/>
          <w:color w:val="auto"/>
          <w:spacing w:val="4"/>
          <w:kern w:val="0"/>
          <w:sz w:val="24"/>
          <w:szCs w:val="24"/>
          <w:highlight w:val="none"/>
          <w:lang w:val="en-US" w:eastAsia="zh-CN" w:bidi="ar"/>
        </w:rPr>
        <w:t>场条件发生的任何阻碍而影响投标承诺的竣工日期。</w:t>
      </w:r>
    </w:p>
    <w:p w14:paraId="088848F6">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二、我司已全面细致熟悉、复核和理解本招标项目招标时的所有图纸、资料和设计文件，已完全理解本工程的特点和设计意图。经认真审查，我司认为本招标项目图纸、资料和设计文件完整，不存在错项、漏项的情况，满足和符合施工要求；如工程实施过程中发生因上述图纸、资料和设计文件不完整而导致的变更，我司承诺在不影响工程顺利推进的前提下，及时主动报招标人审批同意，其中因我司原因而发生的，我司承诺不要求增加任何费用。</w:t>
      </w:r>
    </w:p>
    <w:p w14:paraId="1F3404A6">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三、经认真审查，我司认为本招标项目图纸、资料和设计文件中不存在不能施工、不便于施工的技术问题；施工期间如仍需发生施工工艺、重大技术方案的调整，我司承诺在不影响工程顺利推进的前提下，及时主动报招标人审批同意，其中因我司原因而发生的，我司承诺不要求增加任何费用。</w:t>
      </w:r>
    </w:p>
    <w:p w14:paraId="275B92B7">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四、经认真进行市场调查，我司承诺本招标项目材料、设备来源有保证，可按投标承诺及时组织到货，无需代换，图纸、资料和设计文件中所要求的条件我司全部能够满足。</w:t>
      </w:r>
    </w:p>
    <w:p w14:paraId="14221BA3">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2"/>
          <w:kern w:val="0"/>
          <w:position w:val="2"/>
          <w:sz w:val="24"/>
          <w:szCs w:val="24"/>
          <w:highlight w:val="none"/>
        </w:rPr>
      </w:pPr>
      <w:r>
        <w:rPr>
          <w:rFonts w:hint="eastAsia" w:ascii="宋体" w:hAnsi="宋体" w:eastAsia="宋体" w:cs="宋体"/>
          <w:color w:val="auto"/>
          <w:spacing w:val="4"/>
          <w:kern w:val="0"/>
          <w:sz w:val="24"/>
          <w:szCs w:val="24"/>
          <w:highlight w:val="none"/>
          <w:lang w:val="en-US" w:eastAsia="zh-CN" w:bidi="ar"/>
        </w:rPr>
        <w:t>五、</w:t>
      </w:r>
      <w:r>
        <w:rPr>
          <w:rFonts w:hint="eastAsia" w:ascii="宋体" w:hAnsi="宋体" w:eastAsia="宋体" w:cs="宋体"/>
          <w:color w:val="auto"/>
          <w:spacing w:val="2"/>
          <w:kern w:val="0"/>
          <w:position w:val="2"/>
          <w:sz w:val="24"/>
          <w:szCs w:val="24"/>
          <w:highlight w:val="none"/>
          <w:lang w:val="en-US" w:eastAsia="zh-CN" w:bidi="ar"/>
        </w:rPr>
        <w:t>鉴于本工程的重要性、复杂性和工期的紧迫性，为确保按时、按质完成本工程的施工任务，我司经慎重考虑，承诺按招标文件的要求投入人员。否则，按合同约定处理，并承担违约责任。</w:t>
      </w:r>
    </w:p>
    <w:p w14:paraId="3303D122">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六、我司已充分阅读并理解招标文件第三章合同格式的所有内容，且对合同条款相关疑问已在投标阶段时提出。如果我司的投标被接受，将保证按招标文件规定的时间及合同条款与贵局签订合同，且在办理合同签订手续时积极主动配合招标人，不提出任何违反招标文件合同条款精神的任何书面要求和疑问。</w:t>
      </w:r>
    </w:p>
    <w:p w14:paraId="76C18F25">
      <w:pPr>
        <w:keepNext w:val="0"/>
        <w:keepLines w:val="0"/>
        <w:widowControl w:val="0"/>
        <w:suppressLineNumbers w:val="0"/>
        <w:topLinePunct/>
        <w:adjustRightInd w:val="0"/>
        <w:snapToGrid w:val="0"/>
        <w:spacing w:before="0" w:beforeAutospacing="0" w:after="0" w:afterAutospacing="0" w:line="360" w:lineRule="auto"/>
        <w:ind w:left="0" w:right="0" w:firstLine="472" w:firstLineChars="200"/>
        <w:jc w:val="both"/>
        <w:rPr>
          <w:rFonts w:hint="default" w:ascii="Calibri" w:hAnsi="Calibri" w:eastAsia="宋体" w:cs="Times New Roman"/>
          <w:color w:val="auto"/>
          <w:spacing w:val="-2"/>
          <w:kern w:val="0"/>
          <w:sz w:val="24"/>
          <w:szCs w:val="24"/>
          <w:highlight w:val="none"/>
        </w:rPr>
      </w:pPr>
      <w:r>
        <w:rPr>
          <w:rFonts w:hint="eastAsia" w:ascii="宋体" w:hAnsi="宋体" w:eastAsia="宋体" w:cs="宋体"/>
          <w:color w:val="auto"/>
          <w:spacing w:val="-2"/>
          <w:kern w:val="0"/>
          <w:sz w:val="24"/>
          <w:szCs w:val="24"/>
          <w:highlight w:val="none"/>
          <w:lang w:val="en-US" w:eastAsia="zh-CN" w:bidi="ar"/>
        </w:rPr>
        <w:t>七、我司保证本工程文明施工和职业健康安全管理方案完全满足国家、省、市政府、主管部门颁布的安全生产规程与规定，完全满足《建筑施工安全检查标准》（</w:t>
      </w:r>
      <w:r>
        <w:rPr>
          <w:rFonts w:hint="default" w:ascii="Calibri" w:hAnsi="Calibri" w:eastAsia="宋体" w:cs="Calibri"/>
          <w:color w:val="auto"/>
          <w:spacing w:val="-2"/>
          <w:kern w:val="0"/>
          <w:sz w:val="24"/>
          <w:szCs w:val="24"/>
          <w:highlight w:val="none"/>
          <w:lang w:val="en-US" w:eastAsia="zh-CN" w:bidi="ar"/>
        </w:rPr>
        <w:t>JGJ59-2011</w:t>
      </w:r>
      <w:r>
        <w:rPr>
          <w:rFonts w:hint="eastAsia" w:ascii="宋体" w:hAnsi="宋体" w:eastAsia="宋体" w:cs="宋体"/>
          <w:color w:val="auto"/>
          <w:spacing w:val="-2"/>
          <w:kern w:val="0"/>
          <w:sz w:val="24"/>
          <w:szCs w:val="24"/>
          <w:highlight w:val="none"/>
          <w:lang w:val="en-US" w:eastAsia="zh-CN" w:bidi="ar"/>
        </w:rPr>
        <w:t>）、《广州市建设工程现场文明施工管理办法》（穗建质〔</w:t>
      </w:r>
      <w:r>
        <w:rPr>
          <w:rFonts w:hint="default" w:ascii="Calibri" w:hAnsi="Calibri" w:eastAsia="宋体" w:cs="Calibri"/>
          <w:color w:val="auto"/>
          <w:spacing w:val="-2"/>
          <w:kern w:val="0"/>
          <w:sz w:val="24"/>
          <w:szCs w:val="24"/>
          <w:highlight w:val="none"/>
          <w:lang w:val="en-US" w:eastAsia="zh-CN" w:bidi="ar"/>
        </w:rPr>
        <w:t>2008</w:t>
      </w:r>
      <w:r>
        <w:rPr>
          <w:rFonts w:hint="eastAsia" w:ascii="宋体" w:hAnsi="宋体" w:eastAsia="宋体" w:cs="宋体"/>
          <w:color w:val="auto"/>
          <w:spacing w:val="-2"/>
          <w:kern w:val="0"/>
          <w:sz w:val="24"/>
          <w:szCs w:val="24"/>
          <w:highlight w:val="none"/>
          <w:lang w:val="en-US" w:eastAsia="zh-CN" w:bidi="ar"/>
        </w:rPr>
        <w:t>〕</w:t>
      </w:r>
      <w:r>
        <w:rPr>
          <w:rFonts w:hint="default" w:ascii="Calibri" w:hAnsi="Calibri" w:eastAsia="宋体" w:cs="Calibri"/>
          <w:color w:val="auto"/>
          <w:spacing w:val="-2"/>
          <w:kern w:val="0"/>
          <w:sz w:val="24"/>
          <w:szCs w:val="24"/>
          <w:highlight w:val="none"/>
          <w:lang w:val="en-US" w:eastAsia="zh-CN" w:bidi="ar"/>
        </w:rPr>
        <w:t>937</w:t>
      </w:r>
      <w:r>
        <w:rPr>
          <w:rFonts w:hint="eastAsia" w:ascii="宋体" w:hAnsi="宋体" w:eastAsia="宋体" w:cs="宋体"/>
          <w:color w:val="auto"/>
          <w:spacing w:val="-2"/>
          <w:kern w:val="0"/>
          <w:sz w:val="24"/>
          <w:szCs w:val="24"/>
          <w:highlight w:val="none"/>
          <w:lang w:val="en-US" w:eastAsia="zh-CN" w:bidi="ar"/>
        </w:rPr>
        <w:t>号）、《广州市城乡建设委员会关于印发广州市加强建筑工地环保管理工作方案的通知</w:t>
      </w:r>
      <w:r>
        <w:rPr>
          <w:rFonts w:hint="default" w:ascii="Calibri" w:hAnsi="Calibri" w:eastAsia="宋体" w:cs="Calibri"/>
          <w:color w:val="auto"/>
          <w:spacing w:val="-2"/>
          <w:kern w:val="0"/>
          <w:sz w:val="24"/>
          <w:szCs w:val="24"/>
          <w:highlight w:val="none"/>
          <w:lang w:val="en-US" w:eastAsia="zh-CN" w:bidi="ar"/>
        </w:rPr>
        <w:t>(</w:t>
      </w:r>
      <w:r>
        <w:rPr>
          <w:rFonts w:hint="eastAsia" w:ascii="宋体" w:hAnsi="宋体" w:eastAsia="宋体" w:cs="宋体"/>
          <w:color w:val="auto"/>
          <w:spacing w:val="-2"/>
          <w:kern w:val="0"/>
          <w:sz w:val="24"/>
          <w:szCs w:val="24"/>
          <w:highlight w:val="none"/>
          <w:lang w:val="en-US" w:eastAsia="zh-CN" w:bidi="ar"/>
        </w:rPr>
        <w:t>穗建质〔</w:t>
      </w:r>
      <w:r>
        <w:rPr>
          <w:rFonts w:hint="default" w:ascii="Calibri" w:hAnsi="Calibri" w:eastAsia="宋体" w:cs="Calibri"/>
          <w:color w:val="auto"/>
          <w:spacing w:val="-2"/>
          <w:kern w:val="0"/>
          <w:sz w:val="24"/>
          <w:szCs w:val="24"/>
          <w:highlight w:val="none"/>
          <w:lang w:val="en-US" w:eastAsia="zh-CN" w:bidi="ar"/>
        </w:rPr>
        <w:t>2014</w:t>
      </w:r>
      <w:r>
        <w:rPr>
          <w:rFonts w:hint="eastAsia" w:ascii="宋体" w:hAnsi="宋体" w:eastAsia="宋体" w:cs="宋体"/>
          <w:color w:val="auto"/>
          <w:spacing w:val="-2"/>
          <w:kern w:val="0"/>
          <w:sz w:val="24"/>
          <w:szCs w:val="24"/>
          <w:highlight w:val="none"/>
          <w:lang w:val="en-US" w:eastAsia="zh-CN" w:bidi="ar"/>
        </w:rPr>
        <w:t>〕</w:t>
      </w:r>
      <w:r>
        <w:rPr>
          <w:rFonts w:hint="default" w:ascii="Calibri" w:hAnsi="Calibri" w:eastAsia="宋体" w:cs="Calibri"/>
          <w:color w:val="auto"/>
          <w:spacing w:val="-2"/>
          <w:kern w:val="0"/>
          <w:sz w:val="24"/>
          <w:szCs w:val="24"/>
          <w:highlight w:val="none"/>
          <w:lang w:val="en-US" w:eastAsia="zh-CN" w:bidi="ar"/>
        </w:rPr>
        <w:t>754</w:t>
      </w:r>
      <w:r>
        <w:rPr>
          <w:rFonts w:hint="eastAsia" w:ascii="宋体" w:hAnsi="宋体" w:eastAsia="宋体" w:cs="宋体"/>
          <w:color w:val="auto"/>
          <w:spacing w:val="-2"/>
          <w:kern w:val="0"/>
          <w:sz w:val="24"/>
          <w:szCs w:val="24"/>
          <w:highlight w:val="none"/>
          <w:lang w:val="en-US" w:eastAsia="zh-CN" w:bidi="ar"/>
        </w:rPr>
        <w:t>号</w:t>
      </w:r>
      <w:r>
        <w:rPr>
          <w:rFonts w:hint="default" w:ascii="Calibri" w:hAnsi="Calibri" w:eastAsia="宋体" w:cs="Calibri"/>
          <w:color w:val="auto"/>
          <w:spacing w:val="-2"/>
          <w:kern w:val="0"/>
          <w:sz w:val="24"/>
          <w:szCs w:val="24"/>
          <w:highlight w:val="none"/>
          <w:lang w:val="en-US" w:eastAsia="zh-CN" w:bidi="ar"/>
        </w:rPr>
        <w:t>)</w:t>
      </w:r>
      <w:r>
        <w:rPr>
          <w:rFonts w:hint="eastAsia" w:ascii="宋体" w:hAnsi="宋体" w:eastAsia="宋体" w:cs="宋体"/>
          <w:color w:val="auto"/>
          <w:spacing w:val="-2"/>
          <w:kern w:val="0"/>
          <w:sz w:val="24"/>
          <w:szCs w:val="24"/>
          <w:highlight w:val="none"/>
          <w:lang w:val="en-US" w:eastAsia="zh-CN" w:bidi="ar"/>
        </w:rPr>
        <w:t>》、《广东省建设工程施工扬尘污染防治管理办法（试行）》（粤办函〔</w:t>
      </w:r>
      <w:r>
        <w:rPr>
          <w:rFonts w:hint="default" w:ascii="Calibri" w:hAnsi="Calibri" w:eastAsia="宋体" w:cs="Calibri"/>
          <w:color w:val="auto"/>
          <w:spacing w:val="-2"/>
          <w:kern w:val="0"/>
          <w:sz w:val="24"/>
          <w:szCs w:val="24"/>
          <w:highlight w:val="none"/>
          <w:lang w:val="en-US" w:eastAsia="zh-CN" w:bidi="ar"/>
        </w:rPr>
        <w:t>2017</w:t>
      </w:r>
      <w:r>
        <w:rPr>
          <w:rFonts w:hint="eastAsia" w:ascii="宋体" w:hAnsi="宋体" w:eastAsia="宋体" w:cs="宋体"/>
          <w:color w:val="auto"/>
          <w:spacing w:val="-2"/>
          <w:kern w:val="0"/>
          <w:sz w:val="24"/>
          <w:szCs w:val="24"/>
          <w:highlight w:val="none"/>
          <w:lang w:val="en-US" w:eastAsia="zh-CN" w:bidi="ar"/>
        </w:rPr>
        <w:t>〕</w:t>
      </w:r>
      <w:r>
        <w:rPr>
          <w:rFonts w:hint="default" w:ascii="Calibri" w:hAnsi="Calibri" w:eastAsia="宋体" w:cs="Calibri"/>
          <w:color w:val="auto"/>
          <w:spacing w:val="-2"/>
          <w:kern w:val="0"/>
          <w:sz w:val="24"/>
          <w:szCs w:val="24"/>
          <w:highlight w:val="none"/>
          <w:lang w:val="en-US" w:eastAsia="zh-CN" w:bidi="ar"/>
        </w:rPr>
        <w:t>708</w:t>
      </w:r>
      <w:r>
        <w:rPr>
          <w:rFonts w:hint="eastAsia" w:ascii="宋体" w:hAnsi="宋体" w:eastAsia="宋体" w:cs="宋体"/>
          <w:color w:val="auto"/>
          <w:spacing w:val="-2"/>
          <w:kern w:val="0"/>
          <w:sz w:val="24"/>
          <w:szCs w:val="24"/>
          <w:highlight w:val="none"/>
          <w:lang w:val="en-US" w:eastAsia="zh-CN" w:bidi="ar"/>
        </w:rPr>
        <w:t>号）、《广东省住房和城乡建设厅关于采取切实措施坚决遏制施工扬尘污染的紧急通知》（粤建电发〔</w:t>
      </w:r>
      <w:r>
        <w:rPr>
          <w:rFonts w:hint="default" w:ascii="Calibri" w:hAnsi="Calibri" w:eastAsia="宋体" w:cs="Calibri"/>
          <w:color w:val="auto"/>
          <w:spacing w:val="-2"/>
          <w:kern w:val="0"/>
          <w:sz w:val="24"/>
          <w:szCs w:val="24"/>
          <w:highlight w:val="none"/>
          <w:lang w:val="en-US" w:eastAsia="zh-CN" w:bidi="ar"/>
        </w:rPr>
        <w:t>2018</w:t>
      </w:r>
      <w:r>
        <w:rPr>
          <w:rFonts w:hint="eastAsia" w:ascii="宋体" w:hAnsi="宋体" w:eastAsia="宋体" w:cs="宋体"/>
          <w:color w:val="auto"/>
          <w:spacing w:val="-2"/>
          <w:kern w:val="0"/>
          <w:sz w:val="24"/>
          <w:szCs w:val="24"/>
          <w:highlight w:val="none"/>
          <w:lang w:val="en-US" w:eastAsia="zh-CN" w:bidi="ar"/>
        </w:rPr>
        <w:t>〕</w:t>
      </w:r>
      <w:r>
        <w:rPr>
          <w:rFonts w:hint="default" w:ascii="Calibri" w:hAnsi="Calibri" w:eastAsia="宋体" w:cs="Calibri"/>
          <w:color w:val="auto"/>
          <w:spacing w:val="-2"/>
          <w:kern w:val="0"/>
          <w:sz w:val="24"/>
          <w:szCs w:val="24"/>
          <w:highlight w:val="none"/>
          <w:lang w:val="en-US" w:eastAsia="zh-CN" w:bidi="ar"/>
        </w:rPr>
        <w:t>20</w:t>
      </w:r>
      <w:r>
        <w:rPr>
          <w:rFonts w:hint="eastAsia" w:ascii="宋体" w:hAnsi="宋体" w:eastAsia="宋体" w:cs="宋体"/>
          <w:color w:val="auto"/>
          <w:spacing w:val="-2"/>
          <w:kern w:val="0"/>
          <w:sz w:val="24"/>
          <w:szCs w:val="24"/>
          <w:highlight w:val="none"/>
          <w:lang w:val="en-US" w:eastAsia="zh-CN" w:bidi="ar"/>
        </w:rPr>
        <w:t>号）、《广东省房屋建筑和市政基础设施工程用工实名管理暂行办法》（粤建规范〔</w:t>
      </w:r>
      <w:r>
        <w:rPr>
          <w:rFonts w:hint="default" w:ascii="Calibri" w:hAnsi="Calibri" w:eastAsia="宋体" w:cs="Calibri"/>
          <w:color w:val="auto"/>
          <w:spacing w:val="-2"/>
          <w:kern w:val="0"/>
          <w:sz w:val="24"/>
          <w:szCs w:val="24"/>
          <w:highlight w:val="none"/>
          <w:lang w:val="en-US" w:eastAsia="zh-CN" w:bidi="ar"/>
        </w:rPr>
        <w:t>2018</w:t>
      </w:r>
      <w:r>
        <w:rPr>
          <w:rFonts w:hint="eastAsia" w:ascii="宋体" w:hAnsi="宋体" w:eastAsia="宋体" w:cs="宋体"/>
          <w:color w:val="auto"/>
          <w:spacing w:val="-2"/>
          <w:kern w:val="0"/>
          <w:sz w:val="24"/>
          <w:szCs w:val="24"/>
          <w:highlight w:val="none"/>
          <w:lang w:val="en-US" w:eastAsia="zh-CN" w:bidi="ar"/>
        </w:rPr>
        <w:t>〕</w:t>
      </w:r>
      <w:r>
        <w:rPr>
          <w:rFonts w:hint="default" w:ascii="Calibri" w:hAnsi="Calibri" w:eastAsia="宋体" w:cs="Calibri"/>
          <w:color w:val="auto"/>
          <w:spacing w:val="-2"/>
          <w:kern w:val="0"/>
          <w:sz w:val="24"/>
          <w:szCs w:val="24"/>
          <w:highlight w:val="none"/>
          <w:lang w:val="en-US" w:eastAsia="zh-CN" w:bidi="ar"/>
        </w:rPr>
        <w:t>1</w:t>
      </w:r>
      <w:r>
        <w:rPr>
          <w:rFonts w:hint="eastAsia" w:ascii="宋体" w:hAnsi="宋体" w:eastAsia="宋体" w:cs="宋体"/>
          <w:color w:val="auto"/>
          <w:spacing w:val="-2"/>
          <w:kern w:val="0"/>
          <w:sz w:val="24"/>
          <w:szCs w:val="24"/>
          <w:highlight w:val="none"/>
          <w:lang w:val="en-US" w:eastAsia="zh-CN" w:bidi="ar"/>
        </w:rPr>
        <w:t>号）、</w:t>
      </w:r>
      <w:r>
        <w:rPr>
          <w:rFonts w:hint="eastAsia" w:ascii="宋体" w:hAnsi="宋体" w:eastAsia="宋体" w:cs="宋体"/>
          <w:bCs/>
          <w:color w:val="auto"/>
          <w:kern w:val="0"/>
          <w:sz w:val="24"/>
          <w:szCs w:val="24"/>
          <w:highlight w:val="none"/>
          <w:u w:val="single"/>
          <w:lang w:val="en-US" w:eastAsia="zh-CN" w:bidi="ar"/>
        </w:rPr>
        <w:t>《广州市住房和城乡建设局等8部门关于印发广州市建设工程扬尘防治“6个100%”管理标准图集（V2.0版）的通知》、</w:t>
      </w:r>
      <w:r>
        <w:rPr>
          <w:rFonts w:hint="eastAsia" w:ascii="宋体" w:hAnsi="宋体" w:eastAsia="宋体" w:cs="宋体"/>
          <w:color w:val="auto"/>
          <w:kern w:val="2"/>
          <w:sz w:val="24"/>
          <w:szCs w:val="24"/>
          <w:highlight w:val="none"/>
          <w:u w:val="single"/>
          <w:lang w:val="en-US" w:eastAsia="zh-CN" w:bidi="ar"/>
        </w:rPr>
        <w:t>《广州市住房和城乡建设局等9部门关于印发广州市建设工程绿色施工围蔽指导图集（V2.0版）的通知 》（穗建质〔2020〕1号）</w:t>
      </w:r>
      <w:r>
        <w:rPr>
          <w:rFonts w:hint="eastAsia" w:ascii="宋体" w:hAnsi="宋体" w:eastAsia="宋体" w:cs="宋体"/>
          <w:color w:val="auto"/>
          <w:spacing w:val="-2"/>
          <w:kern w:val="0"/>
          <w:sz w:val="24"/>
          <w:szCs w:val="24"/>
          <w:highlight w:val="none"/>
          <w:u w:val="single"/>
          <w:lang w:val="en-US" w:eastAsia="zh-CN" w:bidi="ar"/>
        </w:rPr>
        <w:t>、《广州市提</w:t>
      </w:r>
      <w:r>
        <w:rPr>
          <w:rFonts w:hint="eastAsia" w:ascii="宋体" w:hAnsi="宋体" w:eastAsia="宋体" w:cs="宋体"/>
          <w:bCs/>
          <w:color w:val="auto"/>
          <w:spacing w:val="4"/>
          <w:kern w:val="0"/>
          <w:sz w:val="24"/>
          <w:szCs w:val="24"/>
          <w:highlight w:val="none"/>
          <w:u w:val="single"/>
          <w:lang w:val="en-US" w:eastAsia="zh-CN" w:bidi="ar"/>
        </w:rPr>
        <w:t>升建设工程安全文明施工管理水平的工作指引》（穗建质</w:t>
      </w:r>
      <w:r>
        <w:rPr>
          <w:rFonts w:hint="eastAsia" w:ascii="宋体" w:hAnsi="宋体" w:eastAsia="宋体" w:cs="宋体"/>
          <w:color w:val="auto"/>
          <w:spacing w:val="-2"/>
          <w:kern w:val="0"/>
          <w:sz w:val="24"/>
          <w:szCs w:val="24"/>
          <w:highlight w:val="none"/>
          <w:u w:val="single"/>
          <w:lang w:val="en-US" w:eastAsia="zh-CN" w:bidi="ar"/>
        </w:rPr>
        <w:t>〔</w:t>
      </w:r>
      <w:r>
        <w:rPr>
          <w:rFonts w:hint="eastAsia" w:ascii="宋体" w:hAnsi="宋体" w:eastAsia="宋体" w:cs="宋体"/>
          <w:bCs/>
          <w:color w:val="auto"/>
          <w:spacing w:val="4"/>
          <w:kern w:val="0"/>
          <w:sz w:val="24"/>
          <w:szCs w:val="24"/>
          <w:highlight w:val="none"/>
          <w:u w:val="single"/>
          <w:lang w:val="en-US" w:eastAsia="zh-CN" w:bidi="ar"/>
        </w:rPr>
        <w:t>2017</w:t>
      </w:r>
      <w:r>
        <w:rPr>
          <w:rFonts w:hint="eastAsia" w:ascii="宋体" w:hAnsi="宋体" w:eastAsia="宋体" w:cs="宋体"/>
          <w:color w:val="auto"/>
          <w:spacing w:val="-2"/>
          <w:kern w:val="0"/>
          <w:sz w:val="24"/>
          <w:szCs w:val="24"/>
          <w:highlight w:val="none"/>
          <w:u w:val="single"/>
          <w:lang w:val="en-US" w:eastAsia="zh-CN" w:bidi="ar"/>
        </w:rPr>
        <w:t>〕</w:t>
      </w:r>
      <w:r>
        <w:rPr>
          <w:rFonts w:hint="eastAsia" w:ascii="宋体" w:hAnsi="宋体" w:eastAsia="宋体" w:cs="宋体"/>
          <w:bCs/>
          <w:color w:val="auto"/>
          <w:spacing w:val="4"/>
          <w:kern w:val="0"/>
          <w:sz w:val="24"/>
          <w:szCs w:val="24"/>
          <w:highlight w:val="none"/>
          <w:u w:val="single"/>
          <w:lang w:val="en-US" w:eastAsia="zh-CN" w:bidi="ar"/>
        </w:rPr>
        <w:t>815号）、</w:t>
      </w:r>
      <w:r>
        <w:rPr>
          <w:rFonts w:hint="eastAsia" w:ascii="宋体" w:hAnsi="宋体" w:eastAsia="宋体" w:cs="宋体"/>
          <w:color w:val="auto"/>
          <w:kern w:val="2"/>
          <w:sz w:val="24"/>
          <w:szCs w:val="24"/>
          <w:highlight w:val="none"/>
          <w:u w:val="single"/>
          <w:lang w:val="en-US" w:eastAsia="zh-CN" w:bidi="ar"/>
        </w:rPr>
        <w:t>《广州市建设工程安全文明施工规程（试行版）》（穗建质〔2021) 316 号）、《广东省建筑垃圾管理条例》（广东省第十三届人民代表大会常务委员会公告第126号）</w:t>
      </w:r>
      <w:r>
        <w:rPr>
          <w:rFonts w:hint="eastAsia" w:ascii="宋体" w:hAnsi="宋体" w:eastAsia="宋体" w:cs="宋体"/>
          <w:color w:val="auto"/>
          <w:spacing w:val="-2"/>
          <w:kern w:val="0"/>
          <w:sz w:val="24"/>
          <w:szCs w:val="24"/>
          <w:highlight w:val="none"/>
          <w:lang w:val="en-US" w:eastAsia="zh-CN" w:bidi="ar"/>
        </w:rPr>
        <w:t>和《广州市建筑工程安全生产措施费管理办法》（穗建筑</w:t>
      </w:r>
      <w:r>
        <w:rPr>
          <w:rFonts w:hint="eastAsia" w:ascii="宋体" w:hAnsi="宋体" w:eastAsia="宋体" w:cs="宋体"/>
          <w:color w:val="auto"/>
          <w:spacing w:val="0"/>
          <w:kern w:val="2"/>
          <w:sz w:val="24"/>
          <w:szCs w:val="24"/>
          <w:highlight w:val="none"/>
          <w:lang w:val="en-US" w:eastAsia="zh-CN" w:bidi="ar"/>
        </w:rPr>
        <w:t>〔2003〕106号</w:t>
      </w:r>
      <w:r>
        <w:rPr>
          <w:rFonts w:hint="eastAsia" w:ascii="宋体" w:hAnsi="宋体" w:eastAsia="宋体" w:cs="宋体"/>
          <w:color w:val="auto"/>
          <w:spacing w:val="-2"/>
          <w:kern w:val="0"/>
          <w:sz w:val="24"/>
          <w:szCs w:val="24"/>
          <w:highlight w:val="none"/>
          <w:lang w:val="en-US" w:eastAsia="zh-CN" w:bidi="ar"/>
        </w:rPr>
        <w:t>）等各项规定和招标文件要求。否则，愿意无条件接受招标人的任何处罚，直至被清退出场，并为此承担相应的法律责任。</w:t>
      </w:r>
    </w:p>
    <w:p w14:paraId="06BFB2BF">
      <w:pPr>
        <w:keepNext w:val="0"/>
        <w:keepLines w:val="0"/>
        <w:widowControl w:val="0"/>
        <w:suppressLineNumbers w:val="0"/>
        <w:topLinePunct/>
        <w:adjustRightInd w:val="0"/>
        <w:snapToGrid w:val="0"/>
        <w:spacing w:before="0" w:beforeAutospacing="0" w:after="0" w:afterAutospacing="0" w:line="360" w:lineRule="auto"/>
        <w:ind w:left="0" w:right="0" w:firstLine="472" w:firstLineChars="200"/>
        <w:jc w:val="both"/>
        <w:rPr>
          <w:rFonts w:hint="eastAsia" w:ascii="宋体" w:hAnsi="宋体" w:eastAsia="宋体" w:cs="Times New Roman"/>
          <w:bCs/>
          <w:color w:val="auto"/>
          <w:spacing w:val="-2"/>
          <w:kern w:val="0"/>
          <w:sz w:val="24"/>
          <w:szCs w:val="24"/>
          <w:highlight w:val="none"/>
        </w:rPr>
      </w:pPr>
      <w:r>
        <w:rPr>
          <w:rFonts w:hint="eastAsia" w:ascii="宋体" w:hAnsi="宋体" w:eastAsia="宋体" w:cs="宋体"/>
          <w:bCs/>
          <w:color w:val="auto"/>
          <w:spacing w:val="-2"/>
          <w:kern w:val="0"/>
          <w:sz w:val="24"/>
          <w:szCs w:val="24"/>
          <w:highlight w:val="none"/>
          <w:lang w:val="en-US" w:eastAsia="zh-CN" w:bidi="ar"/>
        </w:rPr>
        <w:t>八、</w:t>
      </w:r>
      <w:r>
        <w:rPr>
          <w:rFonts w:hint="eastAsia" w:ascii="宋体" w:hAnsi="宋体" w:eastAsia="宋体" w:cs="宋体"/>
          <w:color w:val="auto"/>
          <w:spacing w:val="-2"/>
          <w:kern w:val="0"/>
          <w:sz w:val="24"/>
          <w:szCs w:val="24"/>
          <w:highlight w:val="none"/>
          <w:lang w:val="en-US" w:eastAsia="zh-CN" w:bidi="ar"/>
        </w:rPr>
        <w:t>我司保证本工程竣工验收、竣</w:t>
      </w:r>
      <w:bookmarkStart w:id="138" w:name="_Toc12740"/>
      <w:bookmarkEnd w:id="138"/>
      <w:bookmarkStart w:id="139" w:name="_Toc29194"/>
      <w:r>
        <w:rPr>
          <w:rFonts w:hint="eastAsia" w:ascii="宋体" w:hAnsi="宋体" w:eastAsia="宋体" w:cs="宋体"/>
          <w:color w:val="auto"/>
          <w:spacing w:val="-2"/>
          <w:kern w:val="0"/>
          <w:sz w:val="24"/>
          <w:szCs w:val="24"/>
          <w:highlight w:val="none"/>
          <w:lang w:val="en-US" w:eastAsia="zh-CN" w:bidi="ar"/>
        </w:rPr>
        <w:t>工资料和竣工备案管理完</w:t>
      </w:r>
      <w:bookmarkEnd w:id="139"/>
      <w:r>
        <w:rPr>
          <w:rFonts w:hint="eastAsia" w:ascii="宋体" w:hAnsi="宋体" w:eastAsia="宋体" w:cs="宋体"/>
          <w:color w:val="auto"/>
          <w:spacing w:val="-2"/>
          <w:kern w:val="0"/>
          <w:sz w:val="24"/>
          <w:szCs w:val="24"/>
          <w:highlight w:val="none"/>
          <w:lang w:val="en-US" w:eastAsia="zh-CN" w:bidi="ar"/>
        </w:rPr>
        <w:t>全符合</w:t>
      </w:r>
      <w:bookmarkStart w:id="140" w:name="_Toc7603"/>
      <w:bookmarkEnd w:id="140"/>
      <w:bookmarkStart w:id="141" w:name="_Toc1899"/>
      <w:r>
        <w:rPr>
          <w:rFonts w:hint="eastAsia" w:ascii="宋体" w:hAnsi="宋体" w:eastAsia="宋体" w:cs="宋体"/>
          <w:color w:val="auto"/>
          <w:spacing w:val="-2"/>
          <w:kern w:val="0"/>
          <w:sz w:val="24"/>
          <w:szCs w:val="24"/>
          <w:highlight w:val="none"/>
          <w:lang w:val="en-US" w:eastAsia="zh-CN" w:bidi="ar"/>
        </w:rPr>
        <w:t>国家、省、市政府、</w:t>
      </w:r>
      <w:bookmarkEnd w:id="141"/>
      <w:r>
        <w:rPr>
          <w:rFonts w:hint="eastAsia" w:ascii="宋体" w:hAnsi="宋体" w:eastAsia="宋体" w:cs="宋体"/>
          <w:color w:val="auto"/>
          <w:spacing w:val="-2"/>
          <w:kern w:val="0"/>
          <w:sz w:val="24"/>
          <w:szCs w:val="24"/>
          <w:highlight w:val="none"/>
          <w:lang w:val="en-US" w:eastAsia="zh-CN" w:bidi="ar"/>
        </w:rPr>
        <w:t>主管部门颁布的竣工验收和档案管理各项规定及招标文件中提出的各项管理要求。</w:t>
      </w:r>
    </w:p>
    <w:p w14:paraId="6536536F">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九、我司保证在本项目投标中不存在围标、串标等违法、违规行为，如经招标监管部门查实存在上述行为，我司同意对由此造成的后果承担相应的法律责任。</w:t>
      </w:r>
    </w:p>
    <w:p w14:paraId="028425A8">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十、如果我司中标</w:t>
      </w:r>
      <w:bookmarkStart w:id="142" w:name="_Toc12063"/>
      <w:bookmarkEnd w:id="142"/>
      <w:bookmarkStart w:id="143" w:name="_Toc4034"/>
      <w:r>
        <w:rPr>
          <w:rFonts w:hint="eastAsia" w:ascii="宋体" w:hAnsi="宋体" w:eastAsia="宋体" w:cs="宋体"/>
          <w:color w:val="auto"/>
          <w:spacing w:val="4"/>
          <w:kern w:val="0"/>
          <w:sz w:val="24"/>
          <w:szCs w:val="24"/>
          <w:highlight w:val="none"/>
          <w:lang w:val="en-US" w:eastAsia="zh-CN" w:bidi="ar"/>
        </w:rPr>
        <w:t>，我司保证实际投入本项目的人员、材料、机</w:t>
      </w:r>
      <w:bookmarkEnd w:id="143"/>
      <w:r>
        <w:rPr>
          <w:rFonts w:hint="eastAsia" w:ascii="宋体" w:hAnsi="宋体" w:eastAsia="宋体" w:cs="宋体"/>
          <w:color w:val="auto"/>
          <w:spacing w:val="4"/>
          <w:kern w:val="0"/>
          <w:sz w:val="24"/>
          <w:szCs w:val="24"/>
          <w:highlight w:val="none"/>
          <w:lang w:val="en-US" w:eastAsia="zh-CN" w:bidi="ar"/>
        </w:rPr>
        <w:t>械、设备与我司递交的投标文件一致，且不低于本项目招标文件的要求。否则我司将被视为存在弄虚作假骗取中标情形，贵局有权拒绝我司参与后续工程投标。</w:t>
      </w:r>
    </w:p>
    <w:p w14:paraId="5EBB5FDF">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bCs/>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十一、如果我司中标，我司保证按招标文件第五章中“项目管理部组成人员配备要求表” 中的人员在进场前准时参加招标人组织的面试考核。若不满足招标文件要求或考核不通过，我司承诺无条件按招标人的要求进行更换，直至招标人满意为止。</w:t>
      </w:r>
      <w:r>
        <w:rPr>
          <w:rFonts w:hint="eastAsia" w:ascii="宋体" w:hAnsi="宋体" w:eastAsia="宋体" w:cs="宋体"/>
          <w:bCs/>
          <w:color w:val="auto"/>
          <w:spacing w:val="4"/>
          <w:kern w:val="0"/>
          <w:sz w:val="24"/>
          <w:szCs w:val="24"/>
          <w:highlight w:val="none"/>
          <w:lang w:val="en-US" w:eastAsia="zh-CN" w:bidi="ar"/>
        </w:rPr>
        <w:t>经招</w:t>
      </w:r>
      <w:bookmarkStart w:id="144" w:name="_Toc18749"/>
      <w:bookmarkEnd w:id="144"/>
      <w:bookmarkStart w:id="145" w:name="_Toc7328"/>
      <w:r>
        <w:rPr>
          <w:rFonts w:hint="eastAsia" w:ascii="宋体" w:hAnsi="宋体" w:eastAsia="宋体" w:cs="宋体"/>
          <w:bCs/>
          <w:color w:val="auto"/>
          <w:spacing w:val="4"/>
          <w:kern w:val="0"/>
          <w:sz w:val="24"/>
          <w:szCs w:val="24"/>
          <w:highlight w:val="none"/>
          <w:lang w:val="en-US" w:eastAsia="zh-CN" w:bidi="ar"/>
        </w:rPr>
        <w:t>标人和总监理工程师考核，</w:t>
      </w:r>
      <w:bookmarkEnd w:id="145"/>
      <w:r>
        <w:rPr>
          <w:rFonts w:hint="eastAsia" w:ascii="宋体" w:hAnsi="宋体" w:eastAsia="宋体" w:cs="宋体"/>
          <w:bCs/>
          <w:color w:val="auto"/>
          <w:spacing w:val="4"/>
          <w:kern w:val="0"/>
          <w:sz w:val="24"/>
          <w:szCs w:val="24"/>
          <w:highlight w:val="none"/>
          <w:lang w:val="en-US" w:eastAsia="zh-CN" w:bidi="ar"/>
        </w:rPr>
        <w:t>我司未按投标文件投入主要人员或经过更换后的人员不能满足本项目要求的，我</w:t>
      </w:r>
      <w:bookmarkStart w:id="146" w:name="_Toc19075"/>
      <w:bookmarkEnd w:id="146"/>
      <w:bookmarkStart w:id="147" w:name="_Toc24951"/>
      <w:r>
        <w:rPr>
          <w:rFonts w:hint="eastAsia" w:ascii="宋体" w:hAnsi="宋体" w:eastAsia="宋体" w:cs="宋体"/>
          <w:bCs/>
          <w:color w:val="auto"/>
          <w:spacing w:val="4"/>
          <w:kern w:val="0"/>
          <w:sz w:val="24"/>
          <w:szCs w:val="24"/>
          <w:highlight w:val="none"/>
          <w:lang w:val="en-US" w:eastAsia="zh-CN" w:bidi="ar"/>
        </w:rPr>
        <w:t>司承诺除无条件按招标人的要求更换外，还</w:t>
      </w:r>
      <w:bookmarkEnd w:id="147"/>
      <w:r>
        <w:rPr>
          <w:rFonts w:hint="eastAsia" w:ascii="宋体" w:hAnsi="宋体" w:eastAsia="宋体" w:cs="宋体"/>
          <w:bCs/>
          <w:color w:val="auto"/>
          <w:spacing w:val="4"/>
          <w:kern w:val="0"/>
          <w:sz w:val="24"/>
          <w:szCs w:val="24"/>
          <w:highlight w:val="none"/>
          <w:lang w:val="en-US" w:eastAsia="zh-CN" w:bidi="ar"/>
        </w:rPr>
        <w:t>应按合同约定的金额向招标人支付违约金。</w:t>
      </w:r>
    </w:p>
    <w:p w14:paraId="47A397B5">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十二、如果我司中标，对招标人、监理人为确保工程质量管理和工程进度而下达的调整项目经理部组成人员的指令、通知，我司承诺无条件地在限期内执行并调整到位。</w:t>
      </w:r>
    </w:p>
    <w:p w14:paraId="67D1D145">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十三、如果我司中标，我司承诺如出现施工进度、质量、投入不满足需要，</w:t>
      </w:r>
      <w:bookmarkStart w:id="148" w:name="_Toc443494113"/>
      <w:bookmarkEnd w:id="148"/>
      <w:bookmarkStart w:id="149" w:name="_Toc437848141"/>
      <w:bookmarkEnd w:id="149"/>
      <w:bookmarkStart w:id="150" w:name="_Toc443490944"/>
      <w:bookmarkEnd w:id="150"/>
      <w:bookmarkStart w:id="151" w:name="_Toc437848353"/>
      <w:bookmarkEnd w:id="151"/>
      <w:bookmarkStart w:id="152" w:name="_Toc437847563"/>
      <w:r>
        <w:rPr>
          <w:rFonts w:hint="eastAsia" w:ascii="宋体" w:hAnsi="宋体" w:eastAsia="宋体" w:cs="宋体"/>
          <w:color w:val="auto"/>
          <w:spacing w:val="4"/>
          <w:kern w:val="0"/>
          <w:sz w:val="24"/>
          <w:szCs w:val="24"/>
          <w:highlight w:val="none"/>
          <w:lang w:val="en-US" w:eastAsia="zh-CN" w:bidi="ar"/>
        </w:rPr>
        <w:t>严重影响施工现场推进或招标人认为必要的</w:t>
      </w:r>
      <w:bookmarkEnd w:id="152"/>
      <w:r>
        <w:rPr>
          <w:rFonts w:hint="eastAsia" w:ascii="宋体" w:hAnsi="宋体" w:eastAsia="宋体" w:cs="宋体"/>
          <w:color w:val="auto"/>
          <w:spacing w:val="4"/>
          <w:kern w:val="0"/>
          <w:sz w:val="24"/>
          <w:szCs w:val="24"/>
          <w:highlight w:val="none"/>
          <w:lang w:val="en-US" w:eastAsia="zh-CN" w:bidi="ar"/>
        </w:rPr>
        <w:t>其</w:t>
      </w:r>
      <w:bookmarkStart w:id="153" w:name="_Toc386995907"/>
      <w:bookmarkEnd w:id="153"/>
      <w:bookmarkStart w:id="154" w:name="_Toc3873"/>
      <w:r>
        <w:rPr>
          <w:rFonts w:hint="eastAsia" w:ascii="宋体" w:hAnsi="宋体" w:eastAsia="宋体" w:cs="宋体"/>
          <w:color w:val="auto"/>
          <w:spacing w:val="4"/>
          <w:kern w:val="0"/>
          <w:sz w:val="24"/>
          <w:szCs w:val="24"/>
          <w:highlight w:val="none"/>
          <w:lang w:val="en-US" w:eastAsia="zh-CN" w:bidi="ar"/>
        </w:rPr>
        <w:t>他情形，招标人还有权视现场情况要求我司法定代表人驻场办公，直至招标人同意退场为止，否则我司愿承担有关违约责任。</w:t>
      </w:r>
      <w:bookmarkEnd w:id="154"/>
    </w:p>
    <w:p w14:paraId="1CAEF407">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十四、如果我司中标，我司保证在规定时间内按招标人要求提交详细的施工组织设计并应用于实际施工过程中，且保证该施工组织设计</w:t>
      </w:r>
      <w:bookmarkStart w:id="155" w:name="_Toc464131244"/>
      <w:bookmarkEnd w:id="155"/>
      <w:bookmarkStart w:id="156" w:name="_Toc426030442"/>
      <w:bookmarkEnd w:id="156"/>
      <w:bookmarkStart w:id="157" w:name="_Toc405383088"/>
      <w:r>
        <w:rPr>
          <w:rFonts w:hint="eastAsia" w:ascii="宋体" w:hAnsi="宋体" w:eastAsia="宋体" w:cs="宋体"/>
          <w:color w:val="auto"/>
          <w:spacing w:val="4"/>
          <w:kern w:val="0"/>
          <w:sz w:val="24"/>
          <w:szCs w:val="24"/>
          <w:highlight w:val="none"/>
          <w:lang w:val="en-US" w:eastAsia="zh-CN" w:bidi="ar"/>
        </w:rPr>
        <w:t>不低于本投标</w:t>
      </w:r>
      <w:bookmarkEnd w:id="157"/>
      <w:r>
        <w:rPr>
          <w:rFonts w:hint="eastAsia" w:ascii="宋体" w:hAnsi="宋体" w:eastAsia="宋体" w:cs="宋体"/>
          <w:color w:val="auto"/>
          <w:spacing w:val="4"/>
          <w:kern w:val="0"/>
          <w:sz w:val="24"/>
          <w:szCs w:val="24"/>
          <w:highlight w:val="none"/>
          <w:lang w:val="en-US" w:eastAsia="zh-CN" w:bidi="ar"/>
        </w:rPr>
        <w:t>文件中施工组织设计</w:t>
      </w:r>
      <w:bookmarkStart w:id="158" w:name="_Toc420914100"/>
      <w:r>
        <w:rPr>
          <w:rFonts w:hint="eastAsia" w:ascii="宋体" w:hAnsi="宋体" w:eastAsia="宋体" w:cs="宋体"/>
          <w:color w:val="auto"/>
          <w:spacing w:val="4"/>
          <w:kern w:val="0"/>
          <w:sz w:val="24"/>
          <w:szCs w:val="24"/>
          <w:highlight w:val="none"/>
          <w:lang w:val="en-US" w:eastAsia="zh-CN" w:bidi="ar"/>
        </w:rPr>
        <w:t>所承诺的标准，并无条件根据招标人的要求修改完善。如违反上述承诺，由此引起的质量、工期、安全等相关责任完全由我司承担，愿意无条件接受招标人的任何处罚，直至被清退出场，并为此承担相应的法律责任。</w:t>
      </w:r>
      <w:bookmarkEnd w:id="158"/>
    </w:p>
    <w:p w14:paraId="2D468609">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Euro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十五、</w:t>
      </w:r>
      <w:r>
        <w:rPr>
          <w:rFonts w:hint="eastAsia" w:ascii="宋体" w:hAnsi="宋体" w:eastAsia="宋体" w:cs="宋体"/>
          <w:color w:val="auto"/>
          <w:spacing w:val="-4"/>
          <w:kern w:val="0"/>
          <w:sz w:val="24"/>
          <w:szCs w:val="24"/>
          <w:highlight w:val="none"/>
          <w:lang w:val="en-US" w:eastAsia="zh-CN" w:bidi="ar"/>
        </w:rPr>
        <w:t>如我司中标，我司承诺本项目的主要材料设备的选用严格按照发包人看样定板的规定执行，选用的材料设备的品牌、档次、技术参数需满足或优于标文件要求，且不以任何理由调整中标的材料、设备价格。</w:t>
      </w:r>
    </w:p>
    <w:p w14:paraId="44ED7935">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十六、我公司承诺选用绿色生产达标企业生产的混凝土。</w:t>
      </w:r>
    </w:p>
    <w:p w14:paraId="73330FFF">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十七、如果我司中标，我司承诺严格按照合同和招投标文件规定履行义务，并同意招标人将其履行合同、招投标文件义务的履约情况和不诚信行为（包括但不限于由招标人作出的组织的考核、考评通报、违约责任处理决定等）在招标人网站和建设项目业主网站及其他媒体上公开披露，由此造成的一切损失和不利后果均由我司自行承担。</w:t>
      </w:r>
    </w:p>
    <w:p w14:paraId="43506D5D">
      <w:pPr>
        <w:keepNext w:val="0"/>
        <w:keepLines w:val="0"/>
        <w:widowControl w:val="0"/>
        <w:suppressLineNumbers w:val="0"/>
        <w:topLinePunct/>
        <w:adjustRightInd w:val="0"/>
        <w:snapToGrid w:val="0"/>
        <w:spacing w:before="0" w:beforeAutospacing="0" w:after="0" w:afterAutospacing="0" w:line="360" w:lineRule="auto"/>
        <w:ind w:left="0" w:right="0" w:firstLine="498" w:firstLineChars="200"/>
        <w:jc w:val="both"/>
        <w:rPr>
          <w:rFonts w:hint="eastAsia" w:ascii="宋体" w:hAnsi="宋体" w:eastAsia="宋体" w:cs="宋体"/>
          <w:b/>
          <w:bCs w:val="0"/>
          <w:color w:val="auto"/>
          <w:spacing w:val="4"/>
          <w:kern w:val="0"/>
          <w:sz w:val="24"/>
          <w:szCs w:val="24"/>
          <w:highlight w:val="none"/>
          <w:u w:val="single"/>
        </w:rPr>
      </w:pPr>
      <w:r>
        <w:rPr>
          <w:rFonts w:hint="eastAsia" w:ascii="宋体" w:hAnsi="宋体" w:eastAsia="宋体" w:cs="宋体"/>
          <w:b/>
          <w:bCs w:val="0"/>
          <w:color w:val="auto"/>
          <w:spacing w:val="4"/>
          <w:kern w:val="0"/>
          <w:sz w:val="24"/>
          <w:szCs w:val="24"/>
          <w:highlight w:val="none"/>
          <w:u w:val="single"/>
          <w:lang w:val="en-US" w:eastAsia="zh-CN" w:bidi="ar"/>
        </w:rPr>
        <w:t>十八、我司充分认识到本场馆维修改造的重要性，以及后续场馆实际施工过程中可能存在的设备设施厂家赛事赞助事宜。我司承诺如下：如我司中标，我司同意使用上述赛事赞助设备设施并无条件服从贵中心就设备设施的入场、安装及验收工作所发出的指令；另，我司承诺在设备材料采购前，报监理单位及贵中心审批同意后方进行采购，若未经审批同意自行采购的，由此产生的全部损失和风险自行承担。</w:t>
      </w:r>
    </w:p>
    <w:p w14:paraId="63DE00D5">
      <w:pPr>
        <w:keepNext w:val="0"/>
        <w:keepLines w:val="0"/>
        <w:widowControl w:val="0"/>
        <w:suppressLineNumbers w:val="0"/>
        <w:topLinePunct/>
        <w:adjustRightInd w:val="0"/>
        <w:snapToGrid w:val="0"/>
        <w:spacing w:before="0" w:beforeAutospacing="0" w:after="0" w:afterAutospacing="0" w:line="360" w:lineRule="auto"/>
        <w:ind w:left="0" w:right="0"/>
        <w:jc w:val="both"/>
        <w:rPr>
          <w:rFonts w:hint="default" w:ascii="Calibri" w:hAnsi="Calibri" w:eastAsia="宋体" w:cs="Times New Roman"/>
          <w:color w:val="auto"/>
          <w:spacing w:val="4"/>
          <w:kern w:val="0"/>
          <w:sz w:val="24"/>
          <w:szCs w:val="24"/>
          <w:highlight w:val="none"/>
        </w:rPr>
      </w:pPr>
      <w:r>
        <w:rPr>
          <w:rFonts w:hint="default" w:ascii="Calibri" w:hAnsi="Calibri" w:eastAsia="宋体" w:cs="Times New Roman"/>
          <w:color w:val="auto"/>
          <w:spacing w:val="4"/>
          <w:kern w:val="0"/>
          <w:sz w:val="24"/>
          <w:szCs w:val="24"/>
          <w:highlight w:val="none"/>
          <w:lang w:val="en-US" w:eastAsia="zh-CN" w:bidi="ar"/>
        </w:rPr>
        <w:t xml:space="preserve"> </w:t>
      </w:r>
    </w:p>
    <w:p w14:paraId="100387E0">
      <w:pPr>
        <w:keepNext w:val="0"/>
        <w:keepLines w:val="0"/>
        <w:widowControl w:val="0"/>
        <w:suppressLineNumbers w:val="0"/>
        <w:topLinePunct/>
        <w:adjustRightInd w:val="0"/>
        <w:snapToGrid w:val="0"/>
        <w:spacing w:before="0" w:beforeAutospacing="0" w:after="0" w:afterAutospacing="0" w:line="360" w:lineRule="auto"/>
        <w:ind w:left="0" w:right="0" w:firstLine="3472" w:firstLineChars="14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39FE6877">
      <w:pPr>
        <w:keepNext w:val="0"/>
        <w:keepLines w:val="0"/>
        <w:widowControl w:val="0"/>
        <w:suppressLineNumbers w:val="0"/>
        <w:topLinePunct/>
        <w:adjustRightInd w:val="0"/>
        <w:snapToGrid w:val="0"/>
        <w:spacing w:before="0" w:beforeAutospacing="0" w:after="0" w:afterAutospacing="0" w:line="360" w:lineRule="auto"/>
        <w:ind w:left="0" w:right="0" w:firstLine="3472" w:firstLineChars="14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10DBE2AC">
      <w:pPr>
        <w:keepNext w:val="0"/>
        <w:keepLines w:val="0"/>
        <w:widowControl w:val="0"/>
        <w:suppressLineNumbers w:val="0"/>
        <w:topLinePunct/>
        <w:adjustRightInd w:val="0"/>
        <w:snapToGrid w:val="0"/>
        <w:spacing w:before="0" w:beforeAutospacing="0" w:after="0" w:afterAutospacing="0" w:line="360" w:lineRule="auto"/>
        <w:ind w:left="0" w:right="0" w:firstLine="3472" w:firstLineChars="140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投标人：  （盖章）</w:t>
      </w:r>
    </w:p>
    <w:p w14:paraId="10F0254D">
      <w:pPr>
        <w:keepNext w:val="0"/>
        <w:keepLines w:val="0"/>
        <w:widowControl w:val="0"/>
        <w:suppressLineNumbers w:val="0"/>
        <w:topLinePunct/>
        <w:adjustRightInd w:val="0"/>
        <w:snapToGrid w:val="0"/>
        <w:spacing w:before="0" w:beforeAutospacing="0" w:after="0" w:afterAutospacing="0" w:line="360" w:lineRule="auto"/>
        <w:ind w:left="0" w:right="0" w:firstLine="3472" w:firstLineChars="140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法定代表人或授权代理人(签字或盖章)：</w:t>
      </w:r>
    </w:p>
    <w:p w14:paraId="487548BF">
      <w:pPr>
        <w:keepNext w:val="0"/>
        <w:keepLines w:val="0"/>
        <w:widowControl w:val="0"/>
        <w:suppressLineNumbers w:val="0"/>
        <w:topLinePunct/>
        <w:adjustRightInd w:val="0"/>
        <w:snapToGrid w:val="0"/>
        <w:spacing w:before="0" w:beforeAutospacing="0" w:after="0" w:afterAutospacing="0" w:line="360" w:lineRule="auto"/>
        <w:ind w:left="0" w:right="0" w:firstLine="3472" w:firstLineChars="1400"/>
        <w:jc w:val="both"/>
        <w:rPr>
          <w:rFonts w:hint="eastAsia" w:ascii="宋体" w:hAnsi="宋体"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日期：</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年</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月</w:t>
      </w:r>
      <w:r>
        <w:rPr>
          <w:rFonts w:hint="eastAsia" w:ascii="宋体" w:hAnsi="宋体"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日</w:t>
      </w:r>
    </w:p>
    <w:p w14:paraId="4856C5BA">
      <w:pPr>
        <w:keepNext w:val="0"/>
        <w:keepLines w:val="0"/>
        <w:widowControl/>
        <w:suppressLineNumbers w:val="0"/>
        <w:spacing w:before="0" w:beforeAutospacing="1" w:after="0" w:afterAutospacing="1"/>
        <w:ind w:left="0" w:right="0"/>
        <w:jc w:val="left"/>
        <w:outlineLvl w:val="2"/>
        <w:rPr>
          <w:rFonts w:hint="eastAsia" w:ascii="宋体" w:hAnsi="宋体" w:eastAsia="宋体" w:cs="Times New Roman"/>
          <w:b/>
          <w:bCs w:val="0"/>
          <w:color w:val="auto"/>
          <w:kern w:val="0"/>
          <w:sz w:val="27"/>
          <w:szCs w:val="27"/>
          <w:highlight w:val="none"/>
        </w:rPr>
      </w:pPr>
      <w:r>
        <w:rPr>
          <w:rFonts w:hint="eastAsia" w:ascii="宋体" w:hAnsi="宋体" w:eastAsia="宋体" w:cs="Times New Roman"/>
          <w:color w:val="auto"/>
          <w:kern w:val="0"/>
          <w:sz w:val="27"/>
          <w:szCs w:val="27"/>
          <w:highlight w:val="none"/>
          <w:lang w:val="en-US" w:eastAsia="zh-CN" w:bidi="ar"/>
        </w:rPr>
        <w:br w:type="page"/>
      </w:r>
      <w:bookmarkStart w:id="159" w:name="_Toc14697667"/>
      <w:bookmarkEnd w:id="159"/>
      <w:bookmarkStart w:id="160" w:name="_Toc22930"/>
      <w:r>
        <w:rPr>
          <w:rFonts w:hint="eastAsia" w:ascii="宋体" w:hAnsi="宋体" w:eastAsia="宋体" w:cs="宋体"/>
          <w:b/>
          <w:bCs w:val="0"/>
          <w:color w:val="auto"/>
          <w:kern w:val="0"/>
          <w:sz w:val="27"/>
          <w:szCs w:val="27"/>
          <w:highlight w:val="none"/>
          <w:lang w:val="en-US" w:eastAsia="zh-CN" w:bidi="ar"/>
        </w:rPr>
        <w:t>格式十三：主要设备的质保和维护维修承诺书</w:t>
      </w:r>
      <w:bookmarkEnd w:id="160"/>
    </w:p>
    <w:p w14:paraId="696D0F08">
      <w:pPr>
        <w:keepNext w:val="0"/>
        <w:keepLines w:val="0"/>
        <w:widowControl w:val="0"/>
        <w:suppressLineNumbers w:val="0"/>
        <w:topLinePunct/>
        <w:adjustRightInd w:val="0"/>
        <w:snapToGrid w:val="0"/>
        <w:spacing w:before="156" w:beforeLines="50" w:beforeAutospacing="0" w:after="156" w:afterAutospacing="0" w:line="360" w:lineRule="auto"/>
        <w:ind w:left="0" w:right="0"/>
        <w:jc w:val="center"/>
        <w:rPr>
          <w:rFonts w:hint="eastAsia" w:ascii="宋体" w:hAnsi="宋体" w:eastAsia="宋体" w:cs="Times New Roman"/>
          <w:color w:val="auto"/>
          <w:spacing w:val="4"/>
          <w:kern w:val="0"/>
          <w:sz w:val="36"/>
          <w:szCs w:val="36"/>
          <w:highlight w:val="none"/>
        </w:rPr>
      </w:pPr>
      <w:r>
        <w:rPr>
          <w:rFonts w:hint="eastAsia" w:ascii="宋体" w:hAnsi="宋体" w:eastAsia="宋体" w:cs="宋体"/>
          <w:color w:val="auto"/>
          <w:spacing w:val="4"/>
          <w:kern w:val="0"/>
          <w:sz w:val="36"/>
          <w:szCs w:val="36"/>
          <w:highlight w:val="none"/>
          <w:lang w:val="en-US" w:eastAsia="zh-CN" w:bidi="ar"/>
        </w:rPr>
        <w:t>主要设备的质保和维护维修承诺书</w:t>
      </w:r>
    </w:p>
    <w:p w14:paraId="7D0A00C6">
      <w:pPr>
        <w:keepNext w:val="0"/>
        <w:keepLines w:val="0"/>
        <w:widowControl w:val="0"/>
        <w:suppressLineNumbers w:val="0"/>
        <w:topLinePunct/>
        <w:adjustRightInd w:val="0"/>
        <w:snapToGrid w:val="0"/>
        <w:spacing w:before="0" w:beforeAutospacing="0" w:after="0" w:afterAutospacing="0" w:line="360" w:lineRule="auto"/>
        <w:ind w:left="0" w:right="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致：广州市重点公共建设项目管理中心：</w:t>
      </w:r>
    </w:p>
    <w:p w14:paraId="757178DE">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我司已充分阅读本项目招标文件并充分了解本项目对质量保证及售后服务的严格要求。如果我司的投标被接受，我司保证按以下服务计划和服务内容进行本项目的质量保证期内服务：</w:t>
      </w:r>
    </w:p>
    <w:p w14:paraId="34EC7EF2">
      <w:pPr>
        <w:keepNext w:val="0"/>
        <w:keepLines w:val="0"/>
        <w:widowControl w:val="0"/>
        <w:suppressLineNumbers w:val="0"/>
        <w:spacing w:before="0" w:beforeAutospacing="0" w:after="0" w:afterAutospacing="0" w:line="360" w:lineRule="auto"/>
        <w:ind w:left="0" w:right="0" w:firstLine="420"/>
        <w:jc w:val="both"/>
        <w:rPr>
          <w:rFonts w:hint="default" w:ascii="Calibri" w:hAnsi="Calibri" w:eastAsia="宋体" w:cs="Times New Roman"/>
          <w:color w:val="auto"/>
          <w:spacing w:val="4"/>
          <w:kern w:val="2"/>
          <w:sz w:val="24"/>
          <w:szCs w:val="24"/>
          <w:highlight w:val="none"/>
        </w:rPr>
      </w:pPr>
      <w:r>
        <w:rPr>
          <w:rFonts w:hint="default" w:ascii="Calibri" w:hAnsi="Calibri" w:eastAsia="宋体" w:cs="Calibri"/>
          <w:color w:val="auto"/>
          <w:spacing w:val="4"/>
          <w:kern w:val="2"/>
          <w:sz w:val="24"/>
          <w:szCs w:val="24"/>
          <w:highlight w:val="none"/>
          <w:lang w:val="en-US" w:eastAsia="zh-CN" w:bidi="ar"/>
        </w:rPr>
        <w:t>1.</w:t>
      </w:r>
      <w:r>
        <w:rPr>
          <w:rFonts w:hint="eastAsia" w:ascii="宋体" w:hAnsi="宋体" w:eastAsia="宋体" w:cs="宋体"/>
          <w:color w:val="auto"/>
          <w:spacing w:val="4"/>
          <w:kern w:val="2"/>
          <w:sz w:val="24"/>
          <w:szCs w:val="24"/>
          <w:highlight w:val="none"/>
          <w:lang w:val="en-US" w:eastAsia="zh-CN" w:bidi="ar"/>
        </w:rPr>
        <w:t>我司提供主要设备【包括电梯、配电箱及箱内核心元件、</w:t>
      </w:r>
      <w:r>
        <w:rPr>
          <w:rFonts w:hint="default" w:ascii="Calibri" w:hAnsi="Calibri" w:eastAsia="宋体" w:cs="Calibri"/>
          <w:color w:val="auto"/>
          <w:spacing w:val="4"/>
          <w:kern w:val="2"/>
          <w:sz w:val="24"/>
          <w:szCs w:val="24"/>
          <w:highlight w:val="none"/>
          <w:lang w:val="en-US" w:eastAsia="zh-CN" w:bidi="ar"/>
        </w:rPr>
        <w:t>UPS</w:t>
      </w:r>
      <w:r>
        <w:rPr>
          <w:rFonts w:hint="eastAsia" w:ascii="宋体" w:hAnsi="宋体" w:eastAsia="宋体" w:cs="宋体"/>
          <w:color w:val="auto"/>
          <w:spacing w:val="4"/>
          <w:kern w:val="2"/>
          <w:sz w:val="24"/>
          <w:szCs w:val="24"/>
          <w:highlight w:val="none"/>
          <w:lang w:val="en-US" w:eastAsia="zh-CN" w:bidi="ar"/>
        </w:rPr>
        <w:t>电源、消防联动电源等】</w:t>
      </w:r>
      <w:r>
        <w:rPr>
          <w:rFonts w:hint="eastAsia" w:ascii="宋体" w:hAnsi="宋体"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spacing w:val="4"/>
          <w:kern w:val="2"/>
          <w:sz w:val="24"/>
          <w:szCs w:val="24"/>
          <w:highlight w:val="none"/>
          <w:lang w:val="en-US" w:eastAsia="zh-CN" w:bidi="ar"/>
        </w:rPr>
        <w:t>年（不少于</w:t>
      </w:r>
      <w:r>
        <w:rPr>
          <w:rFonts w:hint="default" w:ascii="Calibri" w:hAnsi="Calibri" w:eastAsia="宋体" w:cs="Calibri"/>
          <w:color w:val="auto"/>
          <w:spacing w:val="4"/>
          <w:kern w:val="2"/>
          <w:sz w:val="24"/>
          <w:szCs w:val="24"/>
          <w:highlight w:val="none"/>
          <w:lang w:val="en-US" w:eastAsia="zh-CN" w:bidi="ar"/>
        </w:rPr>
        <w:t>2</w:t>
      </w:r>
      <w:r>
        <w:rPr>
          <w:rFonts w:hint="eastAsia" w:ascii="宋体" w:hAnsi="宋体" w:eastAsia="宋体" w:cs="宋体"/>
          <w:color w:val="auto"/>
          <w:spacing w:val="4"/>
          <w:kern w:val="2"/>
          <w:sz w:val="24"/>
          <w:szCs w:val="24"/>
          <w:highlight w:val="none"/>
          <w:lang w:val="en-US" w:eastAsia="zh-CN" w:bidi="ar"/>
        </w:rPr>
        <w:t>年）厂商免费质保和维护维修服务。</w:t>
      </w:r>
    </w:p>
    <w:p w14:paraId="2985246A">
      <w:pPr>
        <w:keepNext w:val="0"/>
        <w:keepLines w:val="0"/>
        <w:widowControl w:val="0"/>
        <w:suppressLineNumbers w:val="0"/>
        <w:spacing w:before="0" w:beforeAutospacing="0" w:after="0" w:afterAutospacing="0" w:line="360" w:lineRule="auto"/>
        <w:ind w:left="0" w:right="-53" w:firstLine="420"/>
        <w:jc w:val="both"/>
        <w:rPr>
          <w:rFonts w:hint="default" w:ascii="Calibri" w:hAnsi="Calibri" w:eastAsia="宋体" w:cs="Times New Roman"/>
          <w:color w:val="auto"/>
          <w:spacing w:val="4"/>
          <w:kern w:val="2"/>
          <w:sz w:val="24"/>
          <w:szCs w:val="24"/>
          <w:highlight w:val="none"/>
        </w:rPr>
      </w:pPr>
      <w:r>
        <w:rPr>
          <w:rFonts w:hint="default" w:ascii="Calibri" w:hAnsi="Calibri" w:eastAsia="宋体" w:cs="Calibri"/>
          <w:color w:val="auto"/>
          <w:spacing w:val="4"/>
          <w:kern w:val="2"/>
          <w:sz w:val="24"/>
          <w:szCs w:val="24"/>
          <w:highlight w:val="none"/>
          <w:lang w:val="en-US" w:eastAsia="zh-CN" w:bidi="ar"/>
        </w:rPr>
        <w:t>2.</w:t>
      </w:r>
      <w:r>
        <w:rPr>
          <w:rFonts w:hint="eastAsia" w:ascii="宋体" w:hAnsi="宋体" w:eastAsia="宋体" w:cs="宋体"/>
          <w:color w:val="auto"/>
          <w:spacing w:val="4"/>
          <w:kern w:val="2"/>
          <w:sz w:val="24"/>
          <w:szCs w:val="24"/>
          <w:highlight w:val="none"/>
          <w:lang w:val="en-US" w:eastAsia="zh-CN" w:bidi="ar"/>
        </w:rPr>
        <w:t>竣工验收合格后三个月内，针对项目特点及实际情况编制使用手册、培训手册以及培训计划。</w:t>
      </w:r>
    </w:p>
    <w:p w14:paraId="67DB49DE">
      <w:pPr>
        <w:keepNext w:val="0"/>
        <w:keepLines w:val="0"/>
        <w:widowControl w:val="0"/>
        <w:suppressLineNumbers w:val="0"/>
        <w:spacing w:before="0" w:beforeAutospacing="0" w:after="0" w:afterAutospacing="0" w:line="360" w:lineRule="auto"/>
        <w:ind w:left="0" w:right="-53" w:firstLine="420"/>
        <w:jc w:val="both"/>
        <w:rPr>
          <w:rFonts w:hint="default" w:ascii="Calibri" w:hAnsi="Calibri" w:eastAsia="宋体" w:cs="Times New Roman"/>
          <w:color w:val="auto"/>
          <w:spacing w:val="4"/>
          <w:kern w:val="2"/>
          <w:sz w:val="24"/>
          <w:szCs w:val="24"/>
          <w:highlight w:val="none"/>
        </w:rPr>
      </w:pPr>
      <w:r>
        <w:rPr>
          <w:rFonts w:hint="default" w:ascii="Calibri" w:hAnsi="Calibri" w:eastAsia="宋体" w:cs="Calibri"/>
          <w:color w:val="auto"/>
          <w:spacing w:val="4"/>
          <w:kern w:val="2"/>
          <w:sz w:val="24"/>
          <w:szCs w:val="24"/>
          <w:highlight w:val="none"/>
          <w:lang w:val="en-US" w:eastAsia="zh-CN" w:bidi="ar"/>
        </w:rPr>
        <w:t>3.</w:t>
      </w:r>
      <w:r>
        <w:rPr>
          <w:rFonts w:hint="eastAsia" w:ascii="宋体" w:hAnsi="宋体" w:eastAsia="宋体" w:cs="宋体"/>
          <w:color w:val="auto"/>
          <w:spacing w:val="4"/>
          <w:kern w:val="2"/>
          <w:sz w:val="24"/>
          <w:szCs w:val="24"/>
          <w:highlight w:val="none"/>
          <w:lang w:val="en-US" w:eastAsia="zh-CN" w:bidi="ar"/>
        </w:rPr>
        <w:t>质保期内免费提供设备的维修及保养服务，定期派工程师到现场巡查。</w:t>
      </w:r>
    </w:p>
    <w:p w14:paraId="6568F603">
      <w:pPr>
        <w:keepNext w:val="0"/>
        <w:keepLines w:val="0"/>
        <w:widowControl w:val="0"/>
        <w:suppressLineNumbers w:val="0"/>
        <w:spacing w:before="0" w:beforeAutospacing="0" w:after="0" w:afterAutospacing="0" w:line="360" w:lineRule="auto"/>
        <w:ind w:left="0" w:right="-53" w:firstLine="420"/>
        <w:jc w:val="both"/>
        <w:rPr>
          <w:rFonts w:hint="default" w:ascii="Calibri" w:hAnsi="Calibri" w:eastAsia="宋体" w:cs="Times New Roman"/>
          <w:color w:val="auto"/>
          <w:spacing w:val="4"/>
          <w:kern w:val="2"/>
          <w:sz w:val="24"/>
          <w:szCs w:val="24"/>
          <w:highlight w:val="none"/>
        </w:rPr>
      </w:pPr>
      <w:r>
        <w:rPr>
          <w:rFonts w:hint="default" w:ascii="Calibri" w:hAnsi="Calibri" w:eastAsia="宋体" w:cs="Calibri"/>
          <w:color w:val="auto"/>
          <w:spacing w:val="4"/>
          <w:kern w:val="2"/>
          <w:sz w:val="24"/>
          <w:szCs w:val="24"/>
          <w:highlight w:val="none"/>
          <w:lang w:val="en-US" w:eastAsia="zh-CN" w:bidi="ar"/>
        </w:rPr>
        <w:t>4.</w:t>
      </w:r>
      <w:r>
        <w:rPr>
          <w:rFonts w:hint="eastAsia" w:ascii="宋体" w:hAnsi="宋体" w:eastAsia="宋体" w:cs="宋体"/>
          <w:color w:val="auto"/>
          <w:spacing w:val="4"/>
          <w:kern w:val="2"/>
          <w:sz w:val="24"/>
          <w:szCs w:val="24"/>
          <w:highlight w:val="none"/>
          <w:lang w:val="en-US" w:eastAsia="zh-CN" w:bidi="ar"/>
        </w:rPr>
        <w:t>质保期内设备本身质量出现问题或由于设备本身质量原因造成的任何损伤或损坏，我司承诺及时给予免费维修或免费换，由此引起的施工费、人工费、材料费等其他一切费用由我司负责。新更换的零部件的质保期则从更换之日起计。</w:t>
      </w:r>
    </w:p>
    <w:p w14:paraId="4C0793C5">
      <w:pPr>
        <w:keepNext w:val="0"/>
        <w:keepLines w:val="0"/>
        <w:widowControl w:val="0"/>
        <w:suppressLineNumbers w:val="0"/>
        <w:spacing w:before="0" w:beforeAutospacing="0" w:after="0" w:afterAutospacing="0" w:line="360" w:lineRule="auto"/>
        <w:ind w:left="0" w:right="-53" w:firstLine="420"/>
        <w:jc w:val="both"/>
        <w:rPr>
          <w:rFonts w:hint="default" w:ascii="Calibri" w:hAnsi="Calibri" w:eastAsia="宋体" w:cs="Times New Roman"/>
          <w:color w:val="auto"/>
          <w:spacing w:val="4"/>
          <w:kern w:val="2"/>
          <w:sz w:val="24"/>
          <w:szCs w:val="24"/>
          <w:highlight w:val="none"/>
        </w:rPr>
      </w:pPr>
      <w:r>
        <w:rPr>
          <w:rFonts w:hint="default" w:ascii="Calibri" w:hAnsi="Calibri" w:eastAsia="宋体" w:cs="Calibri"/>
          <w:color w:val="auto"/>
          <w:spacing w:val="4"/>
          <w:kern w:val="2"/>
          <w:sz w:val="24"/>
          <w:szCs w:val="24"/>
          <w:highlight w:val="none"/>
          <w:lang w:val="en-US" w:eastAsia="zh-CN" w:bidi="ar"/>
        </w:rPr>
        <w:t xml:space="preserve">5. </w:t>
      </w:r>
      <w:r>
        <w:rPr>
          <w:rFonts w:hint="eastAsia" w:ascii="宋体" w:hAnsi="宋体" w:eastAsia="宋体" w:cs="宋体"/>
          <w:color w:val="auto"/>
          <w:spacing w:val="4"/>
          <w:kern w:val="2"/>
          <w:sz w:val="24"/>
          <w:szCs w:val="24"/>
          <w:highlight w:val="none"/>
          <w:lang w:val="en-US" w:eastAsia="zh-CN" w:bidi="ar"/>
        </w:rPr>
        <w:t>我司保证所选用厂家设有固定的售后服务机构，保证在收到业主维修通知后及时安排技术人员到现场进行维修，相关的维修必须连续进行，直至故障完全修复为止。若不能及时排除故障，我司立即采取切实有效的补救措施（包括免费提供应急设备），全力防止损失的扩大。</w:t>
      </w:r>
    </w:p>
    <w:p w14:paraId="791421DB">
      <w:pPr>
        <w:keepNext w:val="0"/>
        <w:keepLines w:val="0"/>
        <w:widowControl w:val="0"/>
        <w:suppressLineNumbers w:val="0"/>
        <w:spacing w:before="0" w:beforeAutospacing="0" w:after="0" w:afterAutospacing="0" w:line="360" w:lineRule="auto"/>
        <w:ind w:left="0" w:right="-53" w:firstLine="420"/>
        <w:jc w:val="both"/>
        <w:rPr>
          <w:rFonts w:hint="default" w:ascii="Calibri" w:hAnsi="Calibri" w:eastAsia="宋体" w:cs="Times New Roman"/>
          <w:color w:val="auto"/>
          <w:spacing w:val="4"/>
          <w:kern w:val="2"/>
          <w:sz w:val="24"/>
          <w:szCs w:val="24"/>
          <w:highlight w:val="none"/>
        </w:rPr>
      </w:pPr>
      <w:r>
        <w:rPr>
          <w:rFonts w:hint="default" w:ascii="Calibri" w:hAnsi="Calibri" w:eastAsia="宋体" w:cs="Calibri"/>
          <w:color w:val="auto"/>
          <w:spacing w:val="4"/>
          <w:kern w:val="2"/>
          <w:sz w:val="24"/>
          <w:szCs w:val="24"/>
          <w:highlight w:val="none"/>
          <w:lang w:val="en-US" w:eastAsia="zh-CN" w:bidi="ar"/>
        </w:rPr>
        <w:t>6.</w:t>
      </w:r>
      <w:r>
        <w:rPr>
          <w:rFonts w:hint="eastAsia" w:ascii="宋体" w:hAnsi="宋体" w:eastAsia="宋体" w:cs="宋体"/>
          <w:color w:val="auto"/>
          <w:spacing w:val="4"/>
          <w:kern w:val="2"/>
          <w:sz w:val="24"/>
          <w:szCs w:val="24"/>
          <w:highlight w:val="none"/>
          <w:lang w:val="en-US" w:eastAsia="zh-CN" w:bidi="ar"/>
        </w:rPr>
        <w:t>从工程竣工验收合格正式运行之日起的质量保证期（含潜在缺陷质量保证期）内，由于设备材料因素造成的损坏，均由我司免费维修、更换，由于人为（非我司人员）和自然灾害造成的损坏，收取成本费用。</w:t>
      </w:r>
    </w:p>
    <w:p w14:paraId="71CF2A76">
      <w:pPr>
        <w:keepNext w:val="0"/>
        <w:keepLines w:val="0"/>
        <w:widowControl w:val="0"/>
        <w:suppressLineNumbers w:val="0"/>
        <w:spacing w:before="0" w:beforeAutospacing="0" w:after="0" w:afterAutospacing="0" w:line="360" w:lineRule="auto"/>
        <w:ind w:left="0" w:right="-53" w:firstLine="420"/>
        <w:jc w:val="both"/>
        <w:rPr>
          <w:rFonts w:hint="default" w:ascii="Calibri" w:hAnsi="Calibri" w:eastAsia="宋体" w:cs="Times New Roman"/>
          <w:color w:val="auto"/>
          <w:spacing w:val="4"/>
          <w:kern w:val="2"/>
          <w:sz w:val="24"/>
          <w:szCs w:val="24"/>
          <w:highlight w:val="none"/>
        </w:rPr>
      </w:pPr>
      <w:r>
        <w:rPr>
          <w:rFonts w:hint="default" w:ascii="Calibri" w:hAnsi="Calibri" w:eastAsia="宋体" w:cs="Calibri"/>
          <w:color w:val="auto"/>
          <w:spacing w:val="4"/>
          <w:kern w:val="2"/>
          <w:sz w:val="24"/>
          <w:szCs w:val="24"/>
          <w:highlight w:val="none"/>
          <w:lang w:val="en-US" w:eastAsia="zh-CN" w:bidi="ar"/>
        </w:rPr>
        <w:t>7.</w:t>
      </w:r>
      <w:r>
        <w:rPr>
          <w:rFonts w:hint="eastAsia" w:ascii="宋体" w:hAnsi="宋体" w:eastAsia="宋体" w:cs="宋体"/>
          <w:color w:val="auto"/>
          <w:spacing w:val="4"/>
          <w:kern w:val="2"/>
          <w:sz w:val="24"/>
          <w:szCs w:val="24"/>
          <w:highlight w:val="none"/>
          <w:lang w:val="en-US" w:eastAsia="zh-CN" w:bidi="ar"/>
        </w:rPr>
        <w:t>在质量保证期结束前，我司承诺与招标人代表对合同项下设备进行全面的检查，对任何缺陷由我司负责修理。在修理之后，将缺陷原因、修理的内容、完成修理及恢复正常的时间和日期等情况报告给招标人。</w:t>
      </w:r>
    </w:p>
    <w:p w14:paraId="02D9F7A5">
      <w:pPr>
        <w:keepNext w:val="0"/>
        <w:keepLines w:val="0"/>
        <w:widowControl w:val="0"/>
        <w:suppressLineNumbers w:val="0"/>
        <w:spacing w:before="0" w:beforeAutospacing="0" w:after="0" w:afterAutospacing="0" w:line="360" w:lineRule="auto"/>
        <w:ind w:left="0" w:right="-53" w:firstLine="420"/>
        <w:jc w:val="both"/>
        <w:rPr>
          <w:rFonts w:hint="default" w:ascii="Calibri" w:hAnsi="Calibri" w:eastAsia="宋体" w:cs="Times New Roman"/>
          <w:color w:val="auto"/>
          <w:spacing w:val="4"/>
          <w:kern w:val="2"/>
          <w:sz w:val="24"/>
          <w:szCs w:val="24"/>
          <w:highlight w:val="none"/>
        </w:rPr>
      </w:pPr>
      <w:r>
        <w:rPr>
          <w:rFonts w:hint="default" w:ascii="Calibri" w:hAnsi="Calibri" w:eastAsia="宋体" w:cs="Calibri"/>
          <w:color w:val="auto"/>
          <w:spacing w:val="4"/>
          <w:kern w:val="2"/>
          <w:sz w:val="24"/>
          <w:szCs w:val="24"/>
          <w:highlight w:val="none"/>
          <w:lang w:val="en-US" w:eastAsia="zh-CN" w:bidi="ar"/>
        </w:rPr>
        <w:t>8.</w:t>
      </w:r>
      <w:r>
        <w:rPr>
          <w:rFonts w:hint="eastAsia" w:ascii="宋体" w:hAnsi="宋体" w:eastAsia="宋体" w:cs="宋体"/>
          <w:color w:val="auto"/>
          <w:spacing w:val="4"/>
          <w:kern w:val="2"/>
          <w:sz w:val="24"/>
          <w:szCs w:val="24"/>
          <w:highlight w:val="none"/>
          <w:lang w:val="en-US" w:eastAsia="zh-CN" w:bidi="ar"/>
        </w:rPr>
        <w:t>在质量保证期内</w:t>
      </w:r>
      <w:r>
        <w:rPr>
          <w:rFonts w:hint="default" w:ascii="Calibri" w:hAnsi="Calibri" w:eastAsia="宋体" w:cs="Calibri"/>
          <w:color w:val="auto"/>
          <w:spacing w:val="4"/>
          <w:kern w:val="2"/>
          <w:sz w:val="24"/>
          <w:szCs w:val="24"/>
          <w:highlight w:val="none"/>
          <w:lang w:val="en-US" w:eastAsia="zh-CN" w:bidi="ar"/>
        </w:rPr>
        <w:t>,</w:t>
      </w:r>
      <w:r>
        <w:rPr>
          <w:rFonts w:hint="eastAsia" w:ascii="宋体" w:hAnsi="宋体" w:eastAsia="宋体" w:cs="宋体"/>
          <w:color w:val="auto"/>
          <w:spacing w:val="4"/>
          <w:kern w:val="2"/>
          <w:sz w:val="24"/>
          <w:szCs w:val="24"/>
          <w:highlight w:val="none"/>
          <w:lang w:val="en-US" w:eastAsia="zh-CN" w:bidi="ar"/>
        </w:rPr>
        <w:t>我司承诺在有足够的备品备件供应，并随时优惠提供易损，优惠提供产品更新、改造服务。</w:t>
      </w:r>
    </w:p>
    <w:p w14:paraId="67758DCE">
      <w:pPr>
        <w:keepNext w:val="0"/>
        <w:keepLines w:val="0"/>
        <w:widowControl w:val="0"/>
        <w:suppressLineNumbers w:val="0"/>
        <w:topLinePunct/>
        <w:adjustRightInd w:val="0"/>
        <w:snapToGrid w:val="0"/>
        <w:spacing w:before="0" w:beforeAutospacing="0" w:after="0" w:afterAutospacing="0" w:line="360" w:lineRule="auto"/>
        <w:ind w:left="0" w:right="0" w:firstLine="420"/>
        <w:jc w:val="both"/>
        <w:rPr>
          <w:rFonts w:hint="default" w:ascii="Calibri" w:hAnsi="Calibri" w:eastAsia="宋体" w:cs="Times New Roman"/>
          <w:color w:val="auto"/>
          <w:spacing w:val="4"/>
          <w:kern w:val="0"/>
          <w:sz w:val="24"/>
          <w:szCs w:val="24"/>
          <w:highlight w:val="none"/>
        </w:rPr>
      </w:pPr>
      <w:r>
        <w:rPr>
          <w:rFonts w:hint="default" w:ascii="Calibri" w:hAnsi="Calibri" w:eastAsia="宋体" w:cs="Calibri"/>
          <w:color w:val="auto"/>
          <w:spacing w:val="4"/>
          <w:kern w:val="0"/>
          <w:sz w:val="24"/>
          <w:szCs w:val="24"/>
          <w:highlight w:val="none"/>
          <w:lang w:val="en-US" w:eastAsia="zh-CN" w:bidi="ar"/>
        </w:rPr>
        <w:t>9.</w:t>
      </w:r>
      <w:r>
        <w:rPr>
          <w:rFonts w:hint="eastAsia" w:ascii="宋体" w:hAnsi="宋体" w:eastAsia="宋体" w:cs="宋体"/>
          <w:color w:val="auto"/>
          <w:spacing w:val="4"/>
          <w:kern w:val="0"/>
          <w:sz w:val="24"/>
          <w:szCs w:val="24"/>
          <w:highlight w:val="none"/>
          <w:lang w:val="en-US" w:eastAsia="zh-CN" w:bidi="ar"/>
        </w:rPr>
        <w:t>如我司未按承诺完成保修责任，招标人可另行聘请其他专业单位进行维修，其费用从质量保证金中扣取（不足部分由我司另行支</w:t>
      </w:r>
      <w:bookmarkStart w:id="161" w:name="_Toc426030445"/>
      <w:r>
        <w:rPr>
          <w:rFonts w:hint="eastAsia" w:ascii="宋体" w:hAnsi="宋体" w:eastAsia="宋体" w:cs="宋体"/>
          <w:color w:val="auto"/>
          <w:spacing w:val="4"/>
          <w:kern w:val="0"/>
          <w:sz w:val="24"/>
          <w:szCs w:val="24"/>
          <w:highlight w:val="none"/>
          <w:lang w:val="en-US" w:eastAsia="zh-CN" w:bidi="ar"/>
        </w:rPr>
        <w:t>付）。且同意招标人将我司不遵守承诺的行为在招标人网站和建设项目业主网站及其他媒体上公开披露，由此造成的一切损失和不利后果均由</w:t>
      </w:r>
      <w:bookmarkEnd w:id="161"/>
      <w:r>
        <w:rPr>
          <w:rFonts w:hint="eastAsia" w:ascii="宋体" w:hAnsi="宋体" w:eastAsia="宋体" w:cs="宋体"/>
          <w:color w:val="auto"/>
          <w:spacing w:val="4"/>
          <w:kern w:val="0"/>
          <w:sz w:val="24"/>
          <w:szCs w:val="24"/>
          <w:highlight w:val="none"/>
          <w:lang w:val="en-US" w:eastAsia="zh-CN" w:bidi="ar"/>
        </w:rPr>
        <w:t>我司自行承担。</w:t>
      </w:r>
    </w:p>
    <w:p w14:paraId="4081EA41">
      <w:pPr>
        <w:pStyle w:val="14"/>
        <w:keepNext w:val="0"/>
        <w:keepLines w:val="0"/>
        <w:widowControl w:val="0"/>
        <w:suppressLineNumbers w:val="0"/>
        <w:spacing w:before="0" w:beforeAutospacing="0" w:after="0" w:afterAutospacing="0"/>
        <w:ind w:left="0" w:right="0"/>
        <w:jc w:val="both"/>
        <w:rPr>
          <w:rFonts w:hint="eastAsia" w:ascii="宋体" w:hAnsi="Courier New" w:eastAsia="宋体" w:cs="Times New Roman"/>
          <w:color w:val="auto"/>
          <w:kern w:val="2"/>
          <w:sz w:val="21"/>
          <w:szCs w:val="21"/>
          <w:highlight w:val="none"/>
        </w:rPr>
      </w:pPr>
      <w:r>
        <w:rPr>
          <w:rFonts w:hint="eastAsia" w:ascii="宋体" w:hAnsi="Courier New" w:eastAsia="宋体" w:cs="Times New Roman"/>
          <w:color w:val="auto"/>
          <w:spacing w:val="4"/>
          <w:kern w:val="0"/>
          <w:sz w:val="24"/>
          <w:szCs w:val="24"/>
          <w:highlight w:val="none"/>
          <w:lang w:val="en-US" w:eastAsia="zh-CN" w:bidi="ar"/>
        </w:rPr>
        <w:t xml:space="preserve">  </w:t>
      </w:r>
    </w:p>
    <w:p w14:paraId="60F946C3">
      <w:pPr>
        <w:keepNext w:val="0"/>
        <w:keepLines w:val="0"/>
        <w:widowControl w:val="0"/>
        <w:suppressLineNumbers w:val="0"/>
        <w:topLinePunct/>
        <w:adjustRightInd w:val="0"/>
        <w:snapToGrid w:val="0"/>
        <w:spacing w:before="0" w:beforeAutospacing="0" w:after="0" w:afterAutospacing="0" w:line="360" w:lineRule="auto"/>
        <w:ind w:left="0" w:right="0" w:firstLine="620" w:firstLineChars="250"/>
        <w:jc w:val="both"/>
        <w:rPr>
          <w:rFonts w:hint="default" w:ascii="Calibri" w:hAnsi="Calibri" w:eastAsia="宋体" w:cs="Times New Roman"/>
          <w:color w:val="auto"/>
          <w:spacing w:val="4"/>
          <w:kern w:val="0"/>
          <w:sz w:val="24"/>
          <w:szCs w:val="24"/>
          <w:highlight w:val="none"/>
        </w:rPr>
      </w:pPr>
      <w:r>
        <w:rPr>
          <w:rFonts w:hint="default" w:ascii="Calibri" w:hAnsi="Calibri" w:eastAsia="宋体" w:cs="Times New Roman"/>
          <w:color w:val="auto"/>
          <w:spacing w:val="4"/>
          <w:kern w:val="0"/>
          <w:sz w:val="24"/>
          <w:szCs w:val="24"/>
          <w:highlight w:val="none"/>
          <w:lang w:val="en-US" w:eastAsia="zh-CN" w:bidi="ar"/>
        </w:rPr>
        <w:t xml:space="preserve"> </w:t>
      </w:r>
    </w:p>
    <w:p w14:paraId="25288746">
      <w:pPr>
        <w:keepNext w:val="0"/>
        <w:keepLines w:val="0"/>
        <w:widowControl w:val="0"/>
        <w:suppressLineNumbers w:val="0"/>
        <w:topLinePunct/>
        <w:adjustRightInd w:val="0"/>
        <w:snapToGrid w:val="0"/>
        <w:spacing w:before="0" w:beforeAutospacing="0" w:after="0" w:afterAutospacing="0" w:line="360" w:lineRule="auto"/>
        <w:ind w:left="0" w:right="0" w:firstLine="3472" w:firstLineChars="140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投标人：  （盖章）</w:t>
      </w:r>
    </w:p>
    <w:p w14:paraId="7B585BF4">
      <w:pPr>
        <w:keepNext w:val="0"/>
        <w:keepLines w:val="0"/>
        <w:widowControl w:val="0"/>
        <w:suppressLineNumbers w:val="0"/>
        <w:topLinePunct/>
        <w:adjustRightInd w:val="0"/>
        <w:snapToGrid w:val="0"/>
        <w:spacing w:before="0" w:beforeAutospacing="0" w:after="0" w:afterAutospacing="0" w:line="360" w:lineRule="auto"/>
        <w:ind w:left="0" w:right="0" w:firstLine="3472" w:firstLineChars="1400"/>
        <w:jc w:val="both"/>
        <w:rPr>
          <w:rFonts w:hint="default" w:ascii="Calibri" w:hAnsi="Calibri" w:eastAsia="宋体" w:cs="Times New Roman"/>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法定代表人或授权代理人</w:t>
      </w:r>
      <w:r>
        <w:rPr>
          <w:rFonts w:hint="default" w:ascii="Calibri" w:hAnsi="Calibri" w:eastAsia="宋体" w:cs="Calibri"/>
          <w:color w:val="auto"/>
          <w:spacing w:val="4"/>
          <w:kern w:val="0"/>
          <w:sz w:val="24"/>
          <w:szCs w:val="24"/>
          <w:highlight w:val="none"/>
          <w:lang w:val="en-US" w:eastAsia="zh-CN" w:bidi="ar"/>
        </w:rPr>
        <w:t>(</w:t>
      </w:r>
      <w:r>
        <w:rPr>
          <w:rFonts w:hint="eastAsia" w:ascii="宋体" w:hAnsi="宋体" w:eastAsia="宋体" w:cs="宋体"/>
          <w:color w:val="auto"/>
          <w:spacing w:val="4"/>
          <w:kern w:val="0"/>
          <w:sz w:val="24"/>
          <w:szCs w:val="24"/>
          <w:highlight w:val="none"/>
          <w:lang w:val="en-US" w:eastAsia="zh-CN" w:bidi="ar"/>
        </w:rPr>
        <w:t>签字或盖章</w:t>
      </w:r>
      <w:r>
        <w:rPr>
          <w:rFonts w:hint="default" w:ascii="Calibri" w:hAnsi="Calibri" w:eastAsia="宋体" w:cs="Calibri"/>
          <w:color w:val="auto"/>
          <w:spacing w:val="4"/>
          <w:kern w:val="0"/>
          <w:sz w:val="24"/>
          <w:szCs w:val="24"/>
          <w:highlight w:val="none"/>
          <w:lang w:val="en-US" w:eastAsia="zh-CN" w:bidi="ar"/>
        </w:rPr>
        <w:t>)</w:t>
      </w:r>
      <w:r>
        <w:rPr>
          <w:rFonts w:hint="eastAsia" w:ascii="宋体" w:hAnsi="宋体" w:eastAsia="宋体" w:cs="宋体"/>
          <w:color w:val="auto"/>
          <w:spacing w:val="4"/>
          <w:kern w:val="0"/>
          <w:sz w:val="24"/>
          <w:szCs w:val="24"/>
          <w:highlight w:val="none"/>
          <w:lang w:val="en-US" w:eastAsia="zh-CN" w:bidi="ar"/>
        </w:rPr>
        <w:t>：</w:t>
      </w:r>
    </w:p>
    <w:p w14:paraId="66555C29">
      <w:pPr>
        <w:keepNext w:val="0"/>
        <w:keepLines w:val="0"/>
        <w:widowControl w:val="0"/>
        <w:suppressLineNumbers w:val="0"/>
        <w:topLinePunct/>
        <w:adjustRightInd w:val="0"/>
        <w:snapToGrid w:val="0"/>
        <w:spacing w:before="0" w:beforeAutospacing="0" w:after="0" w:afterAutospacing="0" w:line="360" w:lineRule="auto"/>
        <w:ind w:left="0" w:right="0" w:firstLine="3472" w:firstLineChars="1400"/>
        <w:jc w:val="both"/>
        <w:rPr>
          <w:rFonts w:hint="eastAsia" w:ascii="宋体" w:hAnsi="宋体" w:eastAsia="宋体" w:cs="宋体"/>
          <w:color w:val="auto"/>
          <w:spacing w:val="4"/>
          <w:kern w:val="0"/>
          <w:sz w:val="24"/>
          <w:szCs w:val="24"/>
          <w:highlight w:val="none"/>
          <w:lang w:val="en-US" w:eastAsia="zh-CN" w:bidi="ar"/>
        </w:rPr>
      </w:pPr>
      <w:r>
        <w:rPr>
          <w:rFonts w:hint="eastAsia" w:ascii="宋体" w:hAnsi="宋体" w:eastAsia="宋体" w:cs="宋体"/>
          <w:color w:val="auto"/>
          <w:spacing w:val="4"/>
          <w:kern w:val="0"/>
          <w:sz w:val="24"/>
          <w:szCs w:val="24"/>
          <w:highlight w:val="none"/>
          <w:lang w:val="en-US" w:eastAsia="zh-CN" w:bidi="ar"/>
        </w:rPr>
        <w:t>日期：</w:t>
      </w:r>
      <w:r>
        <w:rPr>
          <w:rFonts w:hint="eastAsia" w:ascii="Calibri" w:hAnsi="Calibri"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年</w:t>
      </w:r>
      <w:r>
        <w:rPr>
          <w:rFonts w:hint="eastAsia" w:ascii="Calibri" w:hAnsi="Calibri"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月</w:t>
      </w:r>
      <w:r>
        <w:rPr>
          <w:rFonts w:hint="eastAsia" w:ascii="Calibri" w:hAnsi="Calibri" w:eastAsia="宋体" w:cs="Times New Roman"/>
          <w:color w:val="auto"/>
          <w:spacing w:val="4"/>
          <w:kern w:val="0"/>
          <w:sz w:val="24"/>
          <w:szCs w:val="24"/>
          <w:highlight w:val="non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日</w:t>
      </w:r>
    </w:p>
    <w:p w14:paraId="1E44DD4E">
      <w:pPr>
        <w:rPr>
          <w:rFonts w:hint="eastAsia" w:ascii="宋体" w:hAnsi="宋体" w:eastAsia="宋体" w:cs="宋体"/>
          <w:color w:val="auto"/>
          <w:spacing w:val="4"/>
          <w:kern w:val="0"/>
          <w:sz w:val="24"/>
          <w:szCs w:val="24"/>
          <w:highlight w:val="none"/>
          <w:lang w:val="en-US" w:eastAsia="zh-CN" w:bidi="ar"/>
        </w:rPr>
      </w:pPr>
      <w:r>
        <w:rPr>
          <w:rFonts w:hint="eastAsia" w:ascii="宋体" w:hAnsi="宋体" w:eastAsia="宋体" w:cs="宋体"/>
          <w:color w:val="auto"/>
          <w:spacing w:val="4"/>
          <w:kern w:val="0"/>
          <w:sz w:val="24"/>
          <w:szCs w:val="24"/>
          <w:highlight w:val="none"/>
          <w:lang w:val="en-US" w:eastAsia="zh-CN" w:bidi="ar"/>
        </w:rPr>
        <w:br w:type="page"/>
      </w:r>
    </w:p>
    <w:p w14:paraId="418C71B3">
      <w:pPr>
        <w:widowControl/>
        <w:spacing w:line="360" w:lineRule="auto"/>
        <w:jc w:val="left"/>
        <w:outlineLvl w:val="2"/>
        <w:rPr>
          <w:rFonts w:hint="eastAsia" w:ascii="宋体" w:hAnsi="宋体" w:cs="宋体"/>
          <w:b/>
          <w:color w:val="auto"/>
          <w:sz w:val="24"/>
          <w:szCs w:val="24"/>
          <w:highlight w:val="none"/>
        </w:rPr>
      </w:pPr>
      <w:r>
        <w:rPr>
          <w:rFonts w:hint="eastAsia" w:ascii="宋体" w:hAnsi="宋体" w:cs="宋体"/>
          <w:b/>
          <w:color w:val="auto"/>
          <w:sz w:val="24"/>
          <w:szCs w:val="24"/>
          <w:highlight w:val="none"/>
        </w:rPr>
        <w:t>格式</w:t>
      </w:r>
      <w:r>
        <w:rPr>
          <w:rFonts w:hint="eastAsia" w:ascii="宋体" w:hAnsi="宋体" w:eastAsia="宋体" w:cs="宋体"/>
          <w:b/>
          <w:bCs w:val="0"/>
          <w:color w:val="auto"/>
          <w:kern w:val="0"/>
          <w:sz w:val="24"/>
          <w:szCs w:val="24"/>
          <w:highlight w:val="none"/>
          <w:lang w:val="en-US" w:eastAsia="zh-CN" w:bidi="ar"/>
        </w:rPr>
        <w:t>十四</w:t>
      </w:r>
      <w:r>
        <w:rPr>
          <w:rFonts w:hint="eastAsia" w:ascii="宋体" w:hAnsi="宋体" w:cs="宋体"/>
          <w:b/>
          <w:color w:val="auto"/>
          <w:sz w:val="24"/>
          <w:szCs w:val="24"/>
          <w:highlight w:val="none"/>
        </w:rPr>
        <w:t>：分项项目拟派专职人员承诺书</w:t>
      </w:r>
    </w:p>
    <w:p w14:paraId="278B760F">
      <w:pPr>
        <w:topLinePunct/>
        <w:adjustRightInd w:val="0"/>
        <w:snapToGrid w:val="0"/>
        <w:spacing w:line="360" w:lineRule="auto"/>
        <w:jc w:val="center"/>
        <w:rPr>
          <w:rFonts w:hint="eastAsia" w:ascii="宋体" w:hAnsi="宋体" w:cs="宋体"/>
          <w:b/>
          <w:color w:val="auto"/>
          <w:spacing w:val="4"/>
          <w:kern w:val="0"/>
          <w:sz w:val="32"/>
          <w:szCs w:val="32"/>
          <w:highlight w:val="none"/>
        </w:rPr>
      </w:pPr>
      <w:r>
        <w:rPr>
          <w:rFonts w:hint="eastAsia" w:ascii="宋体" w:hAnsi="宋体" w:cs="宋体"/>
          <w:b/>
          <w:color w:val="auto"/>
          <w:spacing w:val="4"/>
          <w:kern w:val="0"/>
          <w:sz w:val="32"/>
          <w:szCs w:val="32"/>
          <w:highlight w:val="none"/>
        </w:rPr>
        <w:t>分项项目拟派专职人员承诺书</w:t>
      </w:r>
    </w:p>
    <w:p w14:paraId="42959584">
      <w:pPr>
        <w:spacing w:after="120" w:line="360" w:lineRule="auto"/>
        <w:ind w:left="339" w:leftChars="101" w:hanging="127" w:hangingChars="53"/>
        <w:jc w:val="left"/>
        <w:rPr>
          <w:rFonts w:ascii="宋体" w:hAnsi="宋体" w:cs="宋体"/>
          <w:color w:val="auto"/>
          <w:sz w:val="24"/>
          <w:szCs w:val="24"/>
          <w:highlight w:val="none"/>
          <w:u w:val="single"/>
        </w:rPr>
      </w:pPr>
    </w:p>
    <w:p w14:paraId="49580AA3">
      <w:pPr>
        <w:spacing w:after="120" w:line="360" w:lineRule="auto"/>
        <w:ind w:left="339" w:leftChars="101" w:hanging="127" w:hangingChars="53"/>
        <w:jc w:val="left"/>
        <w:rPr>
          <w:rFonts w:ascii="宋体" w:hAnsi="宋体" w:cs="宋体"/>
          <w:color w:val="auto"/>
          <w:sz w:val="24"/>
          <w:szCs w:val="24"/>
          <w:highlight w:val="none"/>
        </w:rPr>
      </w:pPr>
      <w:r>
        <w:rPr>
          <w:rFonts w:hint="eastAsia" w:ascii="宋体" w:hAnsi="宋体" w:cs="宋体"/>
          <w:color w:val="auto"/>
          <w:sz w:val="24"/>
          <w:szCs w:val="24"/>
          <w:highlight w:val="none"/>
        </w:rPr>
        <w:t>致：</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（招标人名称）</w:t>
      </w:r>
    </w:p>
    <w:p w14:paraId="40C583F4">
      <w:pPr>
        <w:spacing w:after="120" w:line="360" w:lineRule="auto"/>
        <w:ind w:left="359" w:leftChars="171"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如果在本招标工程中我司中标，我司将积极响应贵中心提出的合同条件及招标文件的要求，并做出如下承诺：</w:t>
      </w:r>
    </w:p>
    <w:p w14:paraId="07E999FE">
      <w:pPr>
        <w:numPr>
          <w:ilvl w:val="0"/>
          <w:numId w:val="2"/>
        </w:numPr>
        <w:spacing w:after="120" w:line="360" w:lineRule="auto"/>
        <w:ind w:left="420" w:leftChars="200" w:firstLine="480" w:firstLineChars="200"/>
        <w:jc w:val="left"/>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本公司承诺按以下分项项目分列要求分别填报相应人员，保证各分项项目的项目负责人、专职安全员没有在其他在建项目中任职或处于锁定状态。</w:t>
      </w:r>
    </w:p>
    <w:p w14:paraId="20B306FB">
      <w:pPr>
        <w:numPr>
          <w:ilvl w:val="0"/>
          <w:numId w:val="2"/>
        </w:numPr>
        <w:spacing w:after="120" w:line="360" w:lineRule="auto"/>
        <w:ind w:left="420" w:leftChars="200" w:firstLine="480" w:firstLineChars="200"/>
        <w:jc w:val="left"/>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并承诺按工程所在地行政主管部门要求配备满足条件的人员进行报建。</w:t>
      </w:r>
    </w:p>
    <w:tbl>
      <w:tblPr>
        <w:tblStyle w:val="17"/>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8"/>
        <w:gridCol w:w="1114"/>
        <w:gridCol w:w="1924"/>
        <w:gridCol w:w="1618"/>
        <w:gridCol w:w="1423"/>
        <w:gridCol w:w="1520"/>
      </w:tblGrid>
      <w:tr w14:paraId="70244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88" w:type="dxa"/>
            <w:vMerge w:val="restart"/>
            <w:tcBorders>
              <w:top w:val="single" w:color="auto" w:sz="4" w:space="0"/>
              <w:left w:val="single" w:color="auto" w:sz="4" w:space="0"/>
              <w:right w:val="single" w:color="auto" w:sz="4" w:space="0"/>
            </w:tcBorders>
            <w:noWrap w:val="0"/>
            <w:vAlign w:val="center"/>
          </w:tcPr>
          <w:p w14:paraId="329489F1">
            <w:pPr>
              <w:keepNext w:val="0"/>
              <w:keepLines w:val="0"/>
              <w:suppressLineNumbers w:val="0"/>
              <w:spacing w:before="0" w:beforeAutospacing="0" w:after="0" w:afterAutospacing="0"/>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分项项目名称</w:t>
            </w:r>
          </w:p>
        </w:tc>
        <w:tc>
          <w:tcPr>
            <w:tcW w:w="4656" w:type="dxa"/>
            <w:gridSpan w:val="3"/>
            <w:tcBorders>
              <w:top w:val="single" w:color="auto" w:sz="4" w:space="0"/>
              <w:left w:val="single" w:color="auto" w:sz="4" w:space="0"/>
              <w:bottom w:val="single" w:color="auto" w:sz="4" w:space="0"/>
              <w:right w:val="single" w:color="auto" w:sz="4" w:space="0"/>
            </w:tcBorders>
            <w:noWrap w:val="0"/>
            <w:vAlign w:val="center"/>
          </w:tcPr>
          <w:p w14:paraId="6CDB3592">
            <w:pPr>
              <w:keepNext w:val="0"/>
              <w:keepLines w:val="0"/>
              <w:suppressLineNumbers w:val="0"/>
              <w:spacing w:before="0" w:beforeAutospacing="0" w:after="0" w:afterAutospacing="0"/>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2943" w:type="dxa"/>
            <w:gridSpan w:val="2"/>
            <w:tcBorders>
              <w:top w:val="single" w:color="auto" w:sz="4" w:space="0"/>
              <w:left w:val="single" w:color="auto" w:sz="4" w:space="0"/>
              <w:bottom w:val="single" w:color="auto" w:sz="4" w:space="0"/>
              <w:right w:val="single" w:color="auto" w:sz="4" w:space="0"/>
            </w:tcBorders>
            <w:noWrap w:val="0"/>
            <w:vAlign w:val="center"/>
          </w:tcPr>
          <w:p w14:paraId="6F1A97DF">
            <w:pPr>
              <w:keepNext w:val="0"/>
              <w:keepLines w:val="0"/>
              <w:suppressLineNumbers w:val="0"/>
              <w:spacing w:before="0" w:beforeAutospacing="0" w:after="0" w:afterAutospacing="0"/>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专职安全人员</w:t>
            </w:r>
          </w:p>
        </w:tc>
      </w:tr>
      <w:tr w14:paraId="15A64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688" w:type="dxa"/>
            <w:vMerge w:val="continue"/>
            <w:tcBorders>
              <w:left w:val="single" w:color="auto" w:sz="4" w:space="0"/>
              <w:bottom w:val="single" w:color="auto" w:sz="4" w:space="0"/>
              <w:right w:val="single" w:color="auto" w:sz="4" w:space="0"/>
            </w:tcBorders>
            <w:noWrap w:val="0"/>
            <w:vAlign w:val="center"/>
          </w:tcPr>
          <w:p w14:paraId="00C55F3B">
            <w:pPr>
              <w:keepNext w:val="0"/>
              <w:keepLines w:val="0"/>
              <w:suppressLineNumbers w:val="0"/>
              <w:spacing w:before="0" w:beforeAutospacing="0" w:after="0" w:afterAutospacing="0"/>
              <w:ind w:left="0" w:right="0"/>
              <w:jc w:val="center"/>
              <w:rPr>
                <w:rFonts w:hint="default" w:ascii="宋体" w:hAnsi="宋体" w:cs="宋体"/>
                <w:color w:val="auto"/>
                <w:sz w:val="24"/>
                <w:szCs w:val="24"/>
                <w:highlight w:val="none"/>
              </w:rPr>
            </w:pPr>
          </w:p>
        </w:tc>
        <w:tc>
          <w:tcPr>
            <w:tcW w:w="1114" w:type="dxa"/>
            <w:tcBorders>
              <w:top w:val="single" w:color="auto" w:sz="4" w:space="0"/>
              <w:left w:val="single" w:color="auto" w:sz="4" w:space="0"/>
              <w:bottom w:val="single" w:color="auto" w:sz="4" w:space="0"/>
              <w:right w:val="single" w:color="auto" w:sz="4" w:space="0"/>
            </w:tcBorders>
            <w:noWrap w:val="0"/>
            <w:vAlign w:val="center"/>
          </w:tcPr>
          <w:p w14:paraId="20A90165">
            <w:pPr>
              <w:keepNext w:val="0"/>
              <w:keepLines w:val="0"/>
              <w:suppressLineNumbers w:val="0"/>
              <w:spacing w:before="0" w:beforeAutospacing="0" w:after="0" w:afterAutospacing="0"/>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姓名</w:t>
            </w:r>
          </w:p>
        </w:tc>
        <w:tc>
          <w:tcPr>
            <w:tcW w:w="1924" w:type="dxa"/>
            <w:tcBorders>
              <w:top w:val="single" w:color="auto" w:sz="4" w:space="0"/>
              <w:left w:val="single" w:color="auto" w:sz="4" w:space="0"/>
              <w:bottom w:val="single" w:color="auto" w:sz="4" w:space="0"/>
              <w:right w:val="single" w:color="auto" w:sz="4" w:space="0"/>
            </w:tcBorders>
            <w:noWrap w:val="0"/>
            <w:vAlign w:val="center"/>
          </w:tcPr>
          <w:p w14:paraId="601788A6">
            <w:pPr>
              <w:keepNext w:val="0"/>
              <w:keepLines w:val="0"/>
              <w:suppressLineNumbers w:val="0"/>
              <w:spacing w:before="0" w:beforeAutospacing="0" w:after="0" w:afterAutospacing="0"/>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建筑工程专业一级注册建造师证书注册编号</w:t>
            </w:r>
          </w:p>
        </w:tc>
        <w:tc>
          <w:tcPr>
            <w:tcW w:w="1618" w:type="dxa"/>
            <w:tcBorders>
              <w:top w:val="single" w:color="auto" w:sz="4" w:space="0"/>
              <w:left w:val="single" w:color="auto" w:sz="4" w:space="0"/>
              <w:bottom w:val="single" w:color="auto" w:sz="4" w:space="0"/>
              <w:right w:val="single" w:color="auto" w:sz="4" w:space="0"/>
            </w:tcBorders>
            <w:noWrap w:val="0"/>
            <w:vAlign w:val="center"/>
          </w:tcPr>
          <w:p w14:paraId="45157AA9">
            <w:pPr>
              <w:keepNext w:val="0"/>
              <w:keepLines w:val="0"/>
              <w:suppressLineNumbers w:val="0"/>
              <w:spacing w:before="0" w:beforeAutospacing="0" w:after="0" w:afterAutospacing="0"/>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安全生产考核合格证证书编号</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4D3EFE56">
            <w:pPr>
              <w:keepNext w:val="0"/>
              <w:keepLines w:val="0"/>
              <w:suppressLineNumbers w:val="0"/>
              <w:spacing w:before="0" w:beforeAutospacing="0" w:after="0" w:afterAutospacing="0"/>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姓名</w:t>
            </w:r>
          </w:p>
        </w:tc>
        <w:tc>
          <w:tcPr>
            <w:tcW w:w="1520" w:type="dxa"/>
            <w:tcBorders>
              <w:top w:val="single" w:color="auto" w:sz="4" w:space="0"/>
              <w:left w:val="single" w:color="auto" w:sz="4" w:space="0"/>
              <w:bottom w:val="single" w:color="auto" w:sz="4" w:space="0"/>
              <w:right w:val="single" w:color="auto" w:sz="4" w:space="0"/>
            </w:tcBorders>
            <w:noWrap w:val="0"/>
            <w:vAlign w:val="center"/>
          </w:tcPr>
          <w:p w14:paraId="32B92EDC">
            <w:pPr>
              <w:keepNext w:val="0"/>
              <w:keepLines w:val="0"/>
              <w:suppressLineNumbers w:val="0"/>
              <w:spacing w:before="0" w:beforeAutospacing="0" w:after="0" w:afterAutospacing="0"/>
              <w:ind w:left="0" w:right="0"/>
              <w:jc w:val="center"/>
              <w:rPr>
                <w:rFonts w:hint="default" w:ascii="宋体" w:hAnsi="宋体" w:cs="宋体"/>
                <w:color w:val="auto"/>
                <w:sz w:val="24"/>
                <w:szCs w:val="24"/>
                <w:highlight w:val="none"/>
              </w:rPr>
            </w:pPr>
            <w:r>
              <w:rPr>
                <w:rFonts w:hint="eastAsia" w:ascii="宋体" w:hAnsi="宋体" w:cs="宋体"/>
                <w:color w:val="auto"/>
                <w:sz w:val="24"/>
                <w:szCs w:val="24"/>
                <w:highlight w:val="none"/>
              </w:rPr>
              <w:t>安全生产考核合格证证书编号</w:t>
            </w:r>
          </w:p>
        </w:tc>
      </w:tr>
      <w:tr w14:paraId="305BF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88" w:type="dxa"/>
            <w:tcBorders>
              <w:top w:val="single" w:color="auto" w:sz="4" w:space="0"/>
              <w:left w:val="single" w:color="auto" w:sz="4" w:space="0"/>
              <w:bottom w:val="single" w:color="auto" w:sz="4" w:space="0"/>
              <w:right w:val="single" w:color="auto" w:sz="4" w:space="0"/>
            </w:tcBorders>
            <w:noWrap w:val="0"/>
            <w:vAlign w:val="center"/>
          </w:tcPr>
          <w:p w14:paraId="049406EB">
            <w:pPr>
              <w:keepNext w:val="0"/>
              <w:keepLines w:val="0"/>
              <w:suppressLineNumbers w:val="0"/>
              <w:spacing w:before="0" w:beforeAutospacing="0" w:after="0" w:afterAutospacing="0"/>
              <w:ind w:left="0" w:right="0"/>
              <w:jc w:val="center"/>
              <w:rPr>
                <w:rFonts w:hint="default" w:ascii="宋体" w:hAnsi="宋体" w:cs="宋体"/>
                <w:color w:val="auto"/>
                <w:kern w:val="0"/>
                <w:sz w:val="24"/>
                <w:szCs w:val="24"/>
                <w:highlight w:val="none"/>
              </w:rPr>
            </w:pPr>
            <w:r>
              <w:rPr>
                <w:rFonts w:hint="eastAsia" w:ascii="宋体" w:hAnsi="宋体" w:eastAsia="宋体" w:cs="宋体"/>
                <w:color w:val="auto"/>
                <w:kern w:val="0"/>
                <w:sz w:val="24"/>
                <w:szCs w:val="24"/>
                <w:highlight w:val="none"/>
                <w:lang w:val="zh-CN" w:eastAsia="zh-CN"/>
              </w:rPr>
              <w:t>广州天河体育中心整体景观提升（开幕式）建筑工程</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6D7F6F72">
            <w:pPr>
              <w:keepNext w:val="0"/>
              <w:keepLines w:val="0"/>
              <w:suppressLineNumbers w:val="0"/>
              <w:spacing w:before="0" w:beforeAutospacing="0" w:after="0" w:afterAutospacing="0"/>
              <w:ind w:left="0" w:right="0" w:firstLine="480" w:firstLineChars="200"/>
              <w:jc w:val="center"/>
              <w:rPr>
                <w:rFonts w:hint="default" w:ascii="宋体" w:hAnsi="宋体" w:cs="宋体"/>
                <w:color w:val="auto"/>
                <w:kern w:val="0"/>
                <w:sz w:val="24"/>
                <w:szCs w:val="24"/>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1F2C1670">
            <w:pPr>
              <w:keepNext w:val="0"/>
              <w:keepLines w:val="0"/>
              <w:suppressLineNumbers w:val="0"/>
              <w:spacing w:before="0" w:beforeAutospacing="0" w:after="0" w:afterAutospacing="0"/>
              <w:ind w:left="0" w:right="0" w:firstLine="480" w:firstLineChars="200"/>
              <w:jc w:val="center"/>
              <w:rPr>
                <w:rFonts w:hint="default" w:ascii="宋体" w:hAnsi="宋体" w:cs="宋体"/>
                <w:color w:val="auto"/>
                <w:kern w:val="0"/>
                <w:sz w:val="24"/>
                <w:szCs w:val="24"/>
                <w:highlight w:val="none"/>
              </w:rPr>
            </w:pPr>
          </w:p>
        </w:tc>
        <w:tc>
          <w:tcPr>
            <w:tcW w:w="1618" w:type="dxa"/>
            <w:tcBorders>
              <w:top w:val="single" w:color="auto" w:sz="4" w:space="0"/>
              <w:left w:val="single" w:color="auto" w:sz="4" w:space="0"/>
              <w:bottom w:val="single" w:color="auto" w:sz="4" w:space="0"/>
              <w:right w:val="single" w:color="auto" w:sz="4" w:space="0"/>
            </w:tcBorders>
            <w:noWrap w:val="0"/>
            <w:vAlign w:val="center"/>
          </w:tcPr>
          <w:p w14:paraId="52B4058F">
            <w:pPr>
              <w:keepNext w:val="0"/>
              <w:keepLines w:val="0"/>
              <w:suppressLineNumbers w:val="0"/>
              <w:spacing w:before="0" w:beforeAutospacing="0" w:after="0" w:afterAutospacing="0"/>
              <w:ind w:left="0" w:right="0" w:firstLine="480" w:firstLineChars="200"/>
              <w:jc w:val="center"/>
              <w:rPr>
                <w:rFonts w:hint="default" w:ascii="宋体" w:hAnsi="宋体" w:cs="宋体"/>
                <w:color w:val="auto"/>
                <w:kern w:val="0"/>
                <w:sz w:val="24"/>
                <w:szCs w:val="24"/>
                <w:highlight w:val="none"/>
              </w:rPr>
            </w:pPr>
          </w:p>
        </w:tc>
        <w:tc>
          <w:tcPr>
            <w:tcW w:w="1423" w:type="dxa"/>
            <w:tcBorders>
              <w:top w:val="single" w:color="auto" w:sz="4" w:space="0"/>
              <w:left w:val="single" w:color="auto" w:sz="4" w:space="0"/>
              <w:bottom w:val="single" w:color="auto" w:sz="4" w:space="0"/>
              <w:right w:val="single" w:color="auto" w:sz="4" w:space="0"/>
            </w:tcBorders>
            <w:noWrap w:val="0"/>
            <w:vAlign w:val="center"/>
          </w:tcPr>
          <w:p w14:paraId="1615B232">
            <w:pPr>
              <w:keepNext w:val="0"/>
              <w:keepLines w:val="0"/>
              <w:suppressLineNumbers w:val="0"/>
              <w:spacing w:before="0" w:beforeAutospacing="0" w:after="0" w:afterAutospacing="0"/>
              <w:ind w:left="0" w:right="0" w:firstLine="480" w:firstLineChars="200"/>
              <w:jc w:val="center"/>
              <w:rPr>
                <w:rFonts w:hint="default" w:ascii="宋体" w:hAnsi="宋体" w:cs="宋体"/>
                <w:color w:val="auto"/>
                <w:kern w:val="0"/>
                <w:sz w:val="24"/>
                <w:szCs w:val="24"/>
                <w:highlight w:val="none"/>
              </w:rPr>
            </w:pPr>
          </w:p>
        </w:tc>
        <w:tc>
          <w:tcPr>
            <w:tcW w:w="1520" w:type="dxa"/>
            <w:tcBorders>
              <w:top w:val="single" w:color="auto" w:sz="4" w:space="0"/>
              <w:left w:val="single" w:color="auto" w:sz="4" w:space="0"/>
              <w:bottom w:val="single" w:color="auto" w:sz="4" w:space="0"/>
              <w:right w:val="single" w:color="auto" w:sz="4" w:space="0"/>
            </w:tcBorders>
            <w:noWrap w:val="0"/>
            <w:vAlign w:val="center"/>
          </w:tcPr>
          <w:p w14:paraId="003E7054">
            <w:pPr>
              <w:keepNext w:val="0"/>
              <w:keepLines w:val="0"/>
              <w:suppressLineNumbers w:val="0"/>
              <w:spacing w:before="0" w:beforeAutospacing="0" w:after="0" w:afterAutospacing="0"/>
              <w:ind w:left="0" w:right="0" w:firstLine="480" w:firstLineChars="200"/>
              <w:jc w:val="center"/>
              <w:rPr>
                <w:rFonts w:hint="default" w:ascii="宋体" w:hAnsi="宋体" w:cs="宋体"/>
                <w:color w:val="auto"/>
                <w:kern w:val="0"/>
                <w:sz w:val="24"/>
                <w:szCs w:val="24"/>
                <w:highlight w:val="none"/>
              </w:rPr>
            </w:pPr>
          </w:p>
        </w:tc>
      </w:tr>
      <w:tr w14:paraId="47927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88" w:type="dxa"/>
            <w:tcBorders>
              <w:top w:val="single" w:color="auto" w:sz="4" w:space="0"/>
              <w:left w:val="single" w:color="auto" w:sz="4" w:space="0"/>
              <w:bottom w:val="single" w:color="auto" w:sz="4" w:space="0"/>
              <w:right w:val="single" w:color="auto" w:sz="4" w:space="0"/>
            </w:tcBorders>
            <w:noWrap w:val="0"/>
            <w:vAlign w:val="center"/>
          </w:tcPr>
          <w:p w14:paraId="269AB271">
            <w:pPr>
              <w:keepNext w:val="0"/>
              <w:keepLines w:val="0"/>
              <w:suppressLineNumbers w:val="0"/>
              <w:spacing w:before="0" w:beforeAutospacing="0" w:after="0" w:afterAutospacing="0"/>
              <w:ind w:left="0" w:right="0"/>
              <w:jc w:val="center"/>
              <w:rPr>
                <w:rFonts w:hint="default" w:ascii="宋体" w:hAnsi="宋体" w:cs="宋体"/>
                <w:color w:val="auto"/>
                <w:kern w:val="0"/>
                <w:sz w:val="24"/>
                <w:szCs w:val="24"/>
                <w:highlight w:val="none"/>
              </w:rPr>
            </w:pPr>
            <w:r>
              <w:rPr>
                <w:rFonts w:hint="eastAsia" w:ascii="宋体" w:hAnsi="宋体" w:eastAsia="宋体" w:cs="宋体"/>
                <w:color w:val="auto"/>
                <w:kern w:val="0"/>
                <w:sz w:val="24"/>
                <w:szCs w:val="24"/>
                <w:highlight w:val="none"/>
                <w:lang w:val="zh-CN" w:eastAsia="zh-CN"/>
              </w:rPr>
              <w:t>广州市羽毛球运动管理中心训练馆改造项目</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44573BF7">
            <w:pPr>
              <w:keepNext w:val="0"/>
              <w:keepLines w:val="0"/>
              <w:suppressLineNumbers w:val="0"/>
              <w:spacing w:before="0" w:beforeAutospacing="0" w:after="0" w:afterAutospacing="0"/>
              <w:ind w:left="0" w:right="0" w:firstLine="480" w:firstLineChars="200"/>
              <w:jc w:val="center"/>
              <w:rPr>
                <w:rFonts w:hint="default" w:ascii="宋体" w:hAnsi="宋体" w:cs="宋体"/>
                <w:color w:val="auto"/>
                <w:kern w:val="0"/>
                <w:sz w:val="24"/>
                <w:szCs w:val="24"/>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1718ABA2">
            <w:pPr>
              <w:keepNext w:val="0"/>
              <w:keepLines w:val="0"/>
              <w:suppressLineNumbers w:val="0"/>
              <w:spacing w:before="0" w:beforeAutospacing="0" w:after="0" w:afterAutospacing="0"/>
              <w:ind w:left="0" w:right="0" w:firstLine="480" w:firstLineChars="200"/>
              <w:jc w:val="center"/>
              <w:rPr>
                <w:rFonts w:hint="default" w:ascii="宋体" w:hAnsi="宋体" w:cs="宋体"/>
                <w:color w:val="auto"/>
                <w:kern w:val="0"/>
                <w:sz w:val="24"/>
                <w:szCs w:val="24"/>
                <w:highlight w:val="none"/>
              </w:rPr>
            </w:pPr>
          </w:p>
        </w:tc>
        <w:tc>
          <w:tcPr>
            <w:tcW w:w="1618" w:type="dxa"/>
            <w:tcBorders>
              <w:top w:val="single" w:color="auto" w:sz="4" w:space="0"/>
              <w:left w:val="single" w:color="auto" w:sz="4" w:space="0"/>
              <w:bottom w:val="single" w:color="auto" w:sz="4" w:space="0"/>
              <w:right w:val="single" w:color="auto" w:sz="4" w:space="0"/>
            </w:tcBorders>
            <w:noWrap w:val="0"/>
            <w:vAlign w:val="center"/>
          </w:tcPr>
          <w:p w14:paraId="5CDDBE8D">
            <w:pPr>
              <w:keepNext w:val="0"/>
              <w:keepLines w:val="0"/>
              <w:suppressLineNumbers w:val="0"/>
              <w:spacing w:before="0" w:beforeAutospacing="0" w:after="0" w:afterAutospacing="0"/>
              <w:ind w:left="0" w:right="0" w:firstLine="480" w:firstLineChars="200"/>
              <w:jc w:val="center"/>
              <w:rPr>
                <w:rFonts w:hint="default" w:ascii="宋体" w:hAnsi="宋体" w:cs="宋体"/>
                <w:color w:val="auto"/>
                <w:kern w:val="0"/>
                <w:sz w:val="24"/>
                <w:szCs w:val="24"/>
                <w:highlight w:val="none"/>
              </w:rPr>
            </w:pPr>
          </w:p>
        </w:tc>
        <w:tc>
          <w:tcPr>
            <w:tcW w:w="1423" w:type="dxa"/>
            <w:tcBorders>
              <w:top w:val="single" w:color="auto" w:sz="4" w:space="0"/>
              <w:left w:val="single" w:color="auto" w:sz="4" w:space="0"/>
              <w:bottom w:val="single" w:color="auto" w:sz="4" w:space="0"/>
              <w:right w:val="single" w:color="auto" w:sz="4" w:space="0"/>
            </w:tcBorders>
            <w:noWrap w:val="0"/>
            <w:vAlign w:val="center"/>
          </w:tcPr>
          <w:p w14:paraId="1D465B6C">
            <w:pPr>
              <w:keepNext w:val="0"/>
              <w:keepLines w:val="0"/>
              <w:suppressLineNumbers w:val="0"/>
              <w:spacing w:before="0" w:beforeAutospacing="0" w:after="0" w:afterAutospacing="0"/>
              <w:ind w:left="0" w:right="0" w:firstLine="480" w:firstLineChars="200"/>
              <w:jc w:val="center"/>
              <w:rPr>
                <w:rFonts w:hint="default" w:ascii="宋体" w:hAnsi="宋体" w:cs="宋体"/>
                <w:color w:val="auto"/>
                <w:kern w:val="0"/>
                <w:sz w:val="24"/>
                <w:szCs w:val="24"/>
                <w:highlight w:val="none"/>
              </w:rPr>
            </w:pPr>
          </w:p>
        </w:tc>
        <w:tc>
          <w:tcPr>
            <w:tcW w:w="1520" w:type="dxa"/>
            <w:tcBorders>
              <w:top w:val="single" w:color="auto" w:sz="4" w:space="0"/>
              <w:left w:val="single" w:color="auto" w:sz="4" w:space="0"/>
              <w:bottom w:val="single" w:color="auto" w:sz="4" w:space="0"/>
              <w:right w:val="single" w:color="auto" w:sz="4" w:space="0"/>
            </w:tcBorders>
            <w:noWrap w:val="0"/>
            <w:vAlign w:val="center"/>
          </w:tcPr>
          <w:p w14:paraId="2DE1DD62">
            <w:pPr>
              <w:keepNext w:val="0"/>
              <w:keepLines w:val="0"/>
              <w:suppressLineNumbers w:val="0"/>
              <w:spacing w:before="0" w:beforeAutospacing="0" w:after="0" w:afterAutospacing="0"/>
              <w:ind w:left="0" w:right="0" w:firstLine="480" w:firstLineChars="200"/>
              <w:jc w:val="center"/>
              <w:rPr>
                <w:rFonts w:hint="default" w:ascii="宋体" w:hAnsi="宋体" w:cs="宋体"/>
                <w:color w:val="auto"/>
                <w:kern w:val="0"/>
                <w:sz w:val="24"/>
                <w:szCs w:val="24"/>
                <w:highlight w:val="none"/>
              </w:rPr>
            </w:pPr>
          </w:p>
        </w:tc>
      </w:tr>
    </w:tbl>
    <w:p w14:paraId="34A735DB">
      <w:pPr>
        <w:spacing w:after="120" w:line="360" w:lineRule="auto"/>
        <w:ind w:left="420" w:leftChars="200" w:firstLine="480" w:firstLineChars="200"/>
        <w:jc w:val="left"/>
        <w:rPr>
          <w:rFonts w:ascii="宋体" w:hAnsi="宋体" w:cs="宋体"/>
          <w:bCs/>
          <w:color w:val="auto"/>
          <w:sz w:val="24"/>
          <w:szCs w:val="24"/>
          <w:highlight w:val="none"/>
          <w:u w:val="single"/>
        </w:rPr>
      </w:pPr>
      <w:r>
        <w:rPr>
          <w:rFonts w:hint="eastAsia" w:ascii="宋体" w:hAnsi="宋体" w:cs="宋体"/>
          <w:bCs/>
          <w:color w:val="auto"/>
          <w:sz w:val="24"/>
          <w:szCs w:val="24"/>
          <w:highlight w:val="none"/>
          <w:u w:val="single"/>
        </w:rPr>
        <w:t>注：1、以上分项项目的项目负责人和专职安全人员须是本企业在广州市住房和城乡建设局建立企业诚信档案中的在册人员，且不得重复兼任。</w:t>
      </w:r>
    </w:p>
    <w:p w14:paraId="2BE8951A">
      <w:pPr>
        <w:spacing w:after="120" w:line="360" w:lineRule="auto"/>
        <w:ind w:left="420" w:leftChars="200" w:firstLine="480" w:firstLineChars="200"/>
        <w:jc w:val="left"/>
        <w:rPr>
          <w:rFonts w:ascii="宋体" w:hAnsi="宋体" w:cs="宋体"/>
          <w:bCs/>
          <w:color w:val="auto"/>
          <w:sz w:val="24"/>
          <w:szCs w:val="24"/>
          <w:highlight w:val="none"/>
          <w:u w:val="single"/>
        </w:rPr>
      </w:pPr>
      <w:r>
        <w:rPr>
          <w:rFonts w:hint="eastAsia" w:ascii="宋体" w:hAnsi="宋体" w:cs="宋体"/>
          <w:bCs/>
          <w:color w:val="auto"/>
          <w:sz w:val="24"/>
          <w:szCs w:val="24"/>
          <w:highlight w:val="none"/>
          <w:u w:val="single"/>
        </w:rPr>
        <w:t xml:space="preserve">2、各分项项目负责人具有建筑工程专业 </w:t>
      </w:r>
      <w:r>
        <w:rPr>
          <w:rFonts w:hint="eastAsia" w:ascii="宋体" w:hAnsi="宋体" w:cs="宋体"/>
          <w:bCs/>
          <w:color w:val="auto"/>
          <w:sz w:val="24"/>
          <w:szCs w:val="24"/>
          <w:highlight w:val="none"/>
          <w:u w:val="single"/>
          <w:lang w:val="en-US" w:eastAsia="zh-CN"/>
        </w:rPr>
        <w:t>一</w:t>
      </w:r>
      <w:r>
        <w:rPr>
          <w:rFonts w:hint="eastAsia" w:ascii="宋体" w:hAnsi="宋体" w:cs="宋体"/>
          <w:bCs/>
          <w:color w:val="auto"/>
          <w:sz w:val="24"/>
          <w:szCs w:val="24"/>
          <w:highlight w:val="none"/>
          <w:u w:val="single"/>
        </w:rPr>
        <w:t>级注册建造师资格，持有在有效期内的安全生产考核合格证（B类）或</w:t>
      </w:r>
      <w:r>
        <w:rPr>
          <w:rFonts w:hint="eastAsia" w:ascii="宋体" w:hAnsi="宋体" w:eastAsia="宋体"/>
          <w:color w:val="auto"/>
          <w:sz w:val="24"/>
          <w:szCs w:val="24"/>
          <w:highlight w:val="none"/>
          <w:u w:val="single"/>
        </w:rPr>
        <w:t>建筑施工企业项目负责人安全生产考核合格证书</w:t>
      </w:r>
      <w:r>
        <w:rPr>
          <w:rFonts w:hint="eastAsia" w:ascii="宋体" w:hAnsi="宋体" w:cs="宋体"/>
          <w:bCs/>
          <w:color w:val="auto"/>
          <w:sz w:val="24"/>
          <w:szCs w:val="24"/>
          <w:highlight w:val="none"/>
          <w:u w:val="single"/>
        </w:rPr>
        <w:t>。</w:t>
      </w:r>
    </w:p>
    <w:p w14:paraId="1961F7BB">
      <w:pPr>
        <w:spacing w:after="120" w:line="360" w:lineRule="auto"/>
        <w:ind w:left="420" w:leftChars="200" w:firstLine="480" w:firstLineChars="200"/>
        <w:jc w:val="left"/>
        <w:rPr>
          <w:rFonts w:ascii="宋体" w:hAnsi="宋体" w:cs="宋体"/>
          <w:bCs/>
          <w:color w:val="auto"/>
          <w:sz w:val="24"/>
          <w:szCs w:val="24"/>
          <w:highlight w:val="none"/>
          <w:u w:val="single"/>
        </w:rPr>
      </w:pPr>
      <w:r>
        <w:rPr>
          <w:rFonts w:hint="eastAsia" w:ascii="宋体" w:hAnsi="宋体" w:cs="宋体"/>
          <w:bCs/>
          <w:color w:val="auto"/>
          <w:sz w:val="24"/>
          <w:szCs w:val="24"/>
          <w:highlight w:val="none"/>
          <w:u w:val="single"/>
        </w:rPr>
        <w:t>3、投标人专职安全人员</w:t>
      </w:r>
      <w:r>
        <w:rPr>
          <w:rFonts w:hint="eastAsia" w:ascii="宋体" w:hAnsi="宋体"/>
          <w:color w:val="auto"/>
          <w:sz w:val="24"/>
          <w:szCs w:val="24"/>
          <w:highlight w:val="none"/>
          <w:u w:val="single"/>
        </w:rPr>
        <w:t>须具有安全生产考核合格证（</w:t>
      </w:r>
      <w:r>
        <w:rPr>
          <w:rFonts w:ascii="宋体" w:hAnsi="宋体"/>
          <w:color w:val="auto"/>
          <w:sz w:val="24"/>
          <w:szCs w:val="24"/>
          <w:highlight w:val="none"/>
          <w:u w:val="single"/>
        </w:rPr>
        <w:t>C</w:t>
      </w:r>
      <w:r>
        <w:rPr>
          <w:rFonts w:hint="eastAsia" w:ascii="宋体" w:hAnsi="宋体"/>
          <w:color w:val="auto"/>
          <w:sz w:val="24"/>
          <w:szCs w:val="24"/>
          <w:highlight w:val="none"/>
          <w:u w:val="single"/>
        </w:rPr>
        <w:t>类）</w:t>
      </w:r>
      <w:r>
        <w:rPr>
          <w:rFonts w:hint="eastAsia" w:ascii="宋体" w:hAnsi="宋体" w:cs="宋体"/>
          <w:color w:val="auto"/>
          <w:sz w:val="24"/>
          <w:highlight w:val="none"/>
          <w:u w:val="single"/>
        </w:rPr>
        <w:t>或建筑施工企业专职安全生产管理人员安全生产考核合格证书（C3）</w:t>
      </w:r>
      <w:r>
        <w:rPr>
          <w:rFonts w:hint="eastAsia" w:ascii="宋体" w:hAnsi="宋体" w:cs="宋体"/>
          <w:bCs/>
          <w:color w:val="auto"/>
          <w:sz w:val="24"/>
          <w:szCs w:val="24"/>
          <w:highlight w:val="none"/>
          <w:u w:val="single"/>
        </w:rPr>
        <w:t>。</w:t>
      </w:r>
    </w:p>
    <w:p w14:paraId="7F81BE8C">
      <w:pPr>
        <w:spacing w:after="120" w:line="360" w:lineRule="auto"/>
        <w:ind w:left="420" w:leftChars="200" w:firstLine="480" w:firstLineChars="200"/>
        <w:jc w:val="left"/>
        <w:rPr>
          <w:rFonts w:ascii="宋体" w:hAnsi="宋体" w:cs="宋体"/>
          <w:bCs/>
          <w:color w:val="auto"/>
          <w:sz w:val="24"/>
          <w:szCs w:val="24"/>
          <w:highlight w:val="none"/>
          <w:u w:val="single"/>
        </w:rPr>
      </w:pPr>
      <w:r>
        <w:rPr>
          <w:rFonts w:hint="eastAsia" w:ascii="宋体" w:hAnsi="宋体" w:cs="宋体"/>
          <w:bCs/>
          <w:color w:val="auto"/>
          <w:sz w:val="24"/>
          <w:szCs w:val="24"/>
          <w:highlight w:val="none"/>
          <w:u w:val="single"/>
        </w:rPr>
        <w:t>4、本承诺书填报的人员应在招标文件第四章投标文件格式六《项目管理人员基本配备表》中填写，并按格式要求提供相应材料。</w:t>
      </w:r>
    </w:p>
    <w:p w14:paraId="49D136A4">
      <w:pPr>
        <w:spacing w:after="120" w:line="360" w:lineRule="auto"/>
        <w:ind w:left="420" w:leftChars="200" w:firstLine="480" w:firstLineChars="200"/>
        <w:jc w:val="left"/>
        <w:rPr>
          <w:rFonts w:ascii="宋体" w:hAnsi="宋体" w:cs="宋体"/>
          <w:bCs/>
          <w:color w:val="auto"/>
          <w:sz w:val="24"/>
          <w:szCs w:val="24"/>
          <w:highlight w:val="none"/>
          <w:u w:val="single"/>
        </w:rPr>
      </w:pPr>
      <w:r>
        <w:rPr>
          <w:rFonts w:hint="eastAsia" w:ascii="宋体" w:hAnsi="宋体" w:cs="宋体"/>
          <w:bCs/>
          <w:color w:val="auto"/>
          <w:sz w:val="24"/>
          <w:szCs w:val="24"/>
          <w:highlight w:val="none"/>
          <w:u w:val="single"/>
        </w:rPr>
        <w:t>5、本承诺书投标人应如实填写,中标后必须按工程所在地行政主管部门要求配备满足条件的人员进行报建,如我司无法按本承诺书要求执行，贵中心有权取消我司的中标资格，我司愿意依法接受监管部门按弄虚作假骗取中标行为进行处罚。</w:t>
      </w:r>
    </w:p>
    <w:p w14:paraId="02DD1665">
      <w:pPr>
        <w:spacing w:after="120" w:line="360" w:lineRule="auto"/>
        <w:ind w:left="420" w:leftChars="200" w:firstLine="482" w:firstLineChars="200"/>
        <w:jc w:val="left"/>
        <w:rPr>
          <w:rFonts w:ascii="宋体" w:hAnsi="宋体" w:cs="宋体"/>
          <w:b/>
          <w:bCs/>
          <w:color w:val="auto"/>
          <w:sz w:val="24"/>
          <w:szCs w:val="24"/>
          <w:highlight w:val="none"/>
          <w:u w:val="single"/>
        </w:rPr>
      </w:pPr>
    </w:p>
    <w:p w14:paraId="024FC924">
      <w:pPr>
        <w:topLinePunct/>
        <w:adjustRightInd w:val="0"/>
        <w:snapToGrid w:val="0"/>
        <w:spacing w:line="360" w:lineRule="auto"/>
        <w:ind w:firstLine="3596" w:firstLineChars="1450"/>
        <w:rPr>
          <w:rFonts w:hint="eastAsia" w:ascii="宋体" w:hAnsi="宋体" w:cs="宋体"/>
          <w:color w:val="auto"/>
          <w:spacing w:val="4"/>
          <w:kern w:val="0"/>
          <w:sz w:val="24"/>
          <w:szCs w:val="24"/>
          <w:highlight w:val="none"/>
        </w:rPr>
      </w:pPr>
      <w:r>
        <w:rPr>
          <w:rFonts w:hint="eastAsia" w:ascii="宋体" w:hAnsi="宋体" w:cs="宋体"/>
          <w:color w:val="auto"/>
          <w:spacing w:val="4"/>
          <w:kern w:val="0"/>
          <w:sz w:val="24"/>
          <w:szCs w:val="24"/>
          <w:highlight w:val="none"/>
        </w:rPr>
        <w:t>投标人：　　（盖章）</w:t>
      </w:r>
    </w:p>
    <w:p w14:paraId="08B1243F">
      <w:pPr>
        <w:topLinePunct/>
        <w:adjustRightInd w:val="0"/>
        <w:snapToGrid w:val="0"/>
        <w:spacing w:line="360" w:lineRule="auto"/>
        <w:ind w:firstLine="3596" w:firstLineChars="1450"/>
        <w:rPr>
          <w:rFonts w:hint="eastAsia" w:ascii="宋体" w:hAnsi="宋体" w:cs="宋体"/>
          <w:color w:val="auto"/>
          <w:spacing w:val="4"/>
          <w:kern w:val="0"/>
          <w:sz w:val="24"/>
          <w:szCs w:val="24"/>
          <w:highlight w:val="none"/>
        </w:rPr>
      </w:pPr>
      <w:r>
        <w:rPr>
          <w:rFonts w:hint="eastAsia" w:ascii="宋体" w:hAnsi="宋体" w:cs="宋体"/>
          <w:color w:val="auto"/>
          <w:spacing w:val="4"/>
          <w:kern w:val="0"/>
          <w:sz w:val="24"/>
          <w:szCs w:val="24"/>
          <w:highlight w:val="none"/>
        </w:rPr>
        <w:t>法定代表人或授权代理人(签字或盖章)：</w:t>
      </w:r>
    </w:p>
    <w:p w14:paraId="2843CC1B">
      <w:pPr>
        <w:topLinePunct/>
        <w:adjustRightInd w:val="0"/>
        <w:snapToGrid w:val="0"/>
        <w:spacing w:line="360" w:lineRule="auto"/>
        <w:ind w:right="496" w:firstLine="3596" w:firstLineChars="1450"/>
        <w:rPr>
          <w:rFonts w:hint="eastAsia" w:ascii="宋体" w:hAnsi="宋体" w:cs="宋体"/>
          <w:color w:val="auto"/>
          <w:spacing w:val="4"/>
          <w:kern w:val="0"/>
          <w:sz w:val="24"/>
          <w:szCs w:val="24"/>
          <w:highlight w:val="none"/>
        </w:rPr>
      </w:pPr>
      <w:r>
        <w:rPr>
          <w:rFonts w:hint="eastAsia" w:ascii="宋体" w:hAnsi="宋体" w:cs="宋体"/>
          <w:color w:val="auto"/>
          <w:spacing w:val="4"/>
          <w:kern w:val="0"/>
          <w:sz w:val="24"/>
          <w:szCs w:val="24"/>
          <w:highlight w:val="none"/>
        </w:rPr>
        <w:t>日   期：    年    月    日</w:t>
      </w:r>
    </w:p>
    <w:p w14:paraId="06EA577D">
      <w:pPr>
        <w:keepNext w:val="0"/>
        <w:keepLines w:val="0"/>
        <w:widowControl w:val="0"/>
        <w:suppressLineNumbers w:val="0"/>
        <w:topLinePunct/>
        <w:adjustRightInd w:val="0"/>
        <w:snapToGrid w:val="0"/>
        <w:spacing w:before="0" w:beforeAutospacing="0" w:after="0" w:afterAutospacing="0" w:line="360" w:lineRule="auto"/>
        <w:ind w:left="0" w:right="0" w:firstLine="3472" w:firstLineChars="1400"/>
        <w:jc w:val="both"/>
        <w:rPr>
          <w:rFonts w:hint="default" w:ascii="宋体" w:hAnsi="宋体" w:eastAsia="宋体" w:cs="宋体"/>
          <w:color w:val="auto"/>
          <w:spacing w:val="4"/>
          <w:kern w:val="0"/>
          <w:sz w:val="24"/>
          <w:szCs w:val="24"/>
          <w:highlight w:val="none"/>
          <w:lang w:val="en-US" w:eastAsia="zh-CN" w:bidi="ar"/>
        </w:rPr>
      </w:pPr>
    </w:p>
    <w:p w14:paraId="2FF9467E">
      <w:pPr>
        <w:keepNext w:val="0"/>
        <w:keepLines w:val="0"/>
        <w:widowControl/>
        <w:suppressLineNumbers w:val="0"/>
        <w:spacing w:before="0" w:beforeAutospacing="1" w:after="0" w:afterAutospacing="1"/>
        <w:ind w:left="0" w:right="0"/>
        <w:jc w:val="left"/>
        <w:outlineLvl w:val="2"/>
        <w:rPr>
          <w:rFonts w:hint="eastAsia" w:ascii="宋体" w:hAnsi="宋体" w:eastAsia="宋体" w:cs="Times New Roman"/>
          <w:color w:val="auto"/>
          <w:kern w:val="0"/>
          <w:sz w:val="24"/>
          <w:szCs w:val="24"/>
          <w:highlight w:val="none"/>
        </w:rPr>
      </w:pPr>
      <w:r>
        <w:rPr>
          <w:rFonts w:hint="eastAsia" w:ascii="宋体" w:hAnsi="宋体" w:eastAsia="宋体" w:cs="Times New Roman"/>
          <w:b/>
          <w:bCs w:val="0"/>
          <w:color w:val="auto"/>
          <w:kern w:val="0"/>
          <w:sz w:val="24"/>
          <w:szCs w:val="24"/>
          <w:highlight w:val="none"/>
          <w:lang w:val="en-US" w:eastAsia="zh-CN" w:bidi="ar"/>
        </w:rPr>
        <w:br w:type="page"/>
      </w:r>
      <w:bookmarkStart w:id="162" w:name="_Toc1675"/>
      <w:bookmarkEnd w:id="162"/>
      <w:bookmarkStart w:id="163" w:name="_Toc14697668"/>
      <w:r>
        <w:rPr>
          <w:rFonts w:hint="eastAsia" w:ascii="宋体" w:hAnsi="宋体" w:eastAsia="宋体" w:cs="宋体"/>
          <w:b/>
          <w:bCs w:val="0"/>
          <w:color w:val="auto"/>
          <w:kern w:val="0"/>
          <w:sz w:val="24"/>
          <w:szCs w:val="24"/>
          <w:highlight w:val="none"/>
          <w:lang w:val="en-US" w:eastAsia="zh-CN" w:bidi="ar"/>
        </w:rPr>
        <w:t>格式十五：参与编制技术标投标文件人员名单</w:t>
      </w:r>
      <w:bookmarkEnd w:id="163"/>
    </w:p>
    <w:p w14:paraId="7883BE69">
      <w:pPr>
        <w:keepNext w:val="0"/>
        <w:keepLines w:val="0"/>
        <w:widowControl w:val="0"/>
        <w:suppressLineNumbers w:val="0"/>
        <w:autoSpaceDE w:val="0"/>
        <w:autoSpaceDN w:val="0"/>
        <w:adjustRightInd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14:paraId="00DADAB2">
      <w:pPr>
        <w:keepNext w:val="0"/>
        <w:keepLines w:val="0"/>
        <w:widowControl w:val="0"/>
        <w:suppressLineNumbers w:val="0"/>
        <w:snapToGrid w:val="0"/>
        <w:spacing w:before="0" w:beforeAutospacing="0" w:after="0" w:afterAutospacing="0" w:line="360" w:lineRule="auto"/>
        <w:ind w:left="0" w:right="0"/>
        <w:jc w:val="center"/>
        <w:rPr>
          <w:rFonts w:hint="default" w:ascii="Calibri" w:hAnsi="Calibri" w:eastAsia="宋体" w:cs="Times New Roman"/>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参与编制技术标投标文件人员名单</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91"/>
        <w:gridCol w:w="1381"/>
        <w:gridCol w:w="2342"/>
        <w:gridCol w:w="2246"/>
        <w:gridCol w:w="1362"/>
      </w:tblGrid>
      <w:tr w14:paraId="6CBAC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4" w:hRule="atLeast"/>
          <w:jc w:val="center"/>
        </w:trPr>
        <w:tc>
          <w:tcPr>
            <w:tcW w:w="8522"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7E8B6F59">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投标人名称</w:t>
            </w:r>
          </w:p>
        </w:tc>
      </w:tr>
      <w:tr w14:paraId="22C78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2" w:hRule="atLeast"/>
          <w:jc w:val="center"/>
        </w:trPr>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14:paraId="46B709AA">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姓名</w:t>
            </w:r>
          </w:p>
        </w:tc>
        <w:tc>
          <w:tcPr>
            <w:tcW w:w="1381" w:type="dxa"/>
            <w:tcBorders>
              <w:top w:val="single" w:color="auto" w:sz="4" w:space="0"/>
              <w:left w:val="nil"/>
              <w:bottom w:val="single" w:color="auto" w:sz="4" w:space="0"/>
              <w:right w:val="single" w:color="auto" w:sz="4" w:space="0"/>
            </w:tcBorders>
            <w:shd w:val="clear" w:color="auto" w:fill="auto"/>
            <w:vAlign w:val="center"/>
          </w:tcPr>
          <w:p w14:paraId="1FC8D617">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职务</w:t>
            </w:r>
          </w:p>
        </w:tc>
        <w:tc>
          <w:tcPr>
            <w:tcW w:w="2342" w:type="dxa"/>
            <w:tcBorders>
              <w:top w:val="single" w:color="auto" w:sz="4" w:space="0"/>
              <w:left w:val="nil"/>
              <w:bottom w:val="single" w:color="auto" w:sz="4" w:space="0"/>
              <w:right w:val="single" w:color="auto" w:sz="4" w:space="0"/>
            </w:tcBorders>
            <w:shd w:val="clear" w:color="auto" w:fill="auto"/>
            <w:vAlign w:val="center"/>
          </w:tcPr>
          <w:p w14:paraId="2DE8F390">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所承担工作</w:t>
            </w:r>
          </w:p>
        </w:tc>
        <w:tc>
          <w:tcPr>
            <w:tcW w:w="2246" w:type="dxa"/>
            <w:tcBorders>
              <w:top w:val="single" w:color="auto" w:sz="4" w:space="0"/>
              <w:left w:val="nil"/>
              <w:bottom w:val="single" w:color="auto" w:sz="4" w:space="0"/>
              <w:right w:val="single" w:color="auto" w:sz="4" w:space="0"/>
            </w:tcBorders>
            <w:shd w:val="clear" w:color="auto" w:fill="auto"/>
            <w:vAlign w:val="center"/>
          </w:tcPr>
          <w:p w14:paraId="643782AB">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身份证号码</w:t>
            </w:r>
          </w:p>
        </w:tc>
        <w:tc>
          <w:tcPr>
            <w:tcW w:w="1362" w:type="dxa"/>
            <w:tcBorders>
              <w:top w:val="single" w:color="auto" w:sz="4" w:space="0"/>
              <w:left w:val="nil"/>
              <w:bottom w:val="single" w:color="auto" w:sz="4" w:space="0"/>
              <w:right w:val="single" w:color="auto" w:sz="4" w:space="0"/>
            </w:tcBorders>
            <w:shd w:val="clear" w:color="auto" w:fill="auto"/>
            <w:vAlign w:val="center"/>
          </w:tcPr>
          <w:p w14:paraId="171FB219">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本人签名栏</w:t>
            </w:r>
          </w:p>
        </w:tc>
      </w:tr>
      <w:tr w14:paraId="1581D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8" w:hRule="atLeast"/>
          <w:jc w:val="center"/>
        </w:trPr>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14:paraId="45076506">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1381" w:type="dxa"/>
            <w:tcBorders>
              <w:top w:val="single" w:color="auto" w:sz="4" w:space="0"/>
              <w:left w:val="nil"/>
              <w:bottom w:val="single" w:color="auto" w:sz="4" w:space="0"/>
              <w:right w:val="single" w:color="auto" w:sz="4" w:space="0"/>
            </w:tcBorders>
            <w:shd w:val="clear" w:color="auto" w:fill="auto"/>
            <w:vAlign w:val="center"/>
          </w:tcPr>
          <w:p w14:paraId="7C9CE65A">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342" w:type="dxa"/>
            <w:tcBorders>
              <w:top w:val="single" w:color="auto" w:sz="4" w:space="0"/>
              <w:left w:val="nil"/>
              <w:bottom w:val="single" w:color="auto" w:sz="4" w:space="0"/>
              <w:right w:val="single" w:color="auto" w:sz="4" w:space="0"/>
            </w:tcBorders>
            <w:shd w:val="clear" w:color="auto" w:fill="auto"/>
            <w:vAlign w:val="center"/>
          </w:tcPr>
          <w:p w14:paraId="5A23BDB9">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246" w:type="dxa"/>
            <w:tcBorders>
              <w:top w:val="single" w:color="auto" w:sz="4" w:space="0"/>
              <w:left w:val="nil"/>
              <w:bottom w:val="single" w:color="auto" w:sz="4" w:space="0"/>
              <w:right w:val="single" w:color="auto" w:sz="4" w:space="0"/>
            </w:tcBorders>
            <w:shd w:val="clear" w:color="auto" w:fill="auto"/>
            <w:vAlign w:val="center"/>
          </w:tcPr>
          <w:p w14:paraId="3B90D04D">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1362" w:type="dxa"/>
            <w:tcBorders>
              <w:top w:val="single" w:color="auto" w:sz="4" w:space="0"/>
              <w:left w:val="nil"/>
              <w:bottom w:val="single" w:color="auto" w:sz="4" w:space="0"/>
              <w:right w:val="single" w:color="auto" w:sz="4" w:space="0"/>
            </w:tcBorders>
            <w:shd w:val="clear" w:color="auto" w:fill="auto"/>
            <w:vAlign w:val="center"/>
          </w:tcPr>
          <w:p w14:paraId="49048BB8">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r>
      <w:tr w14:paraId="162B4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14:paraId="5BF29E7C">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1381" w:type="dxa"/>
            <w:tcBorders>
              <w:top w:val="single" w:color="auto" w:sz="4" w:space="0"/>
              <w:left w:val="nil"/>
              <w:bottom w:val="single" w:color="auto" w:sz="4" w:space="0"/>
              <w:right w:val="single" w:color="auto" w:sz="4" w:space="0"/>
            </w:tcBorders>
            <w:shd w:val="clear" w:color="auto" w:fill="auto"/>
            <w:vAlign w:val="center"/>
          </w:tcPr>
          <w:p w14:paraId="21C8F24E">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342" w:type="dxa"/>
            <w:tcBorders>
              <w:top w:val="single" w:color="auto" w:sz="4" w:space="0"/>
              <w:left w:val="nil"/>
              <w:bottom w:val="single" w:color="auto" w:sz="4" w:space="0"/>
              <w:right w:val="single" w:color="auto" w:sz="4" w:space="0"/>
            </w:tcBorders>
            <w:shd w:val="clear" w:color="auto" w:fill="auto"/>
            <w:vAlign w:val="center"/>
          </w:tcPr>
          <w:p w14:paraId="50DEC7F5">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246" w:type="dxa"/>
            <w:tcBorders>
              <w:top w:val="single" w:color="auto" w:sz="4" w:space="0"/>
              <w:left w:val="nil"/>
              <w:bottom w:val="single" w:color="auto" w:sz="4" w:space="0"/>
              <w:right w:val="single" w:color="auto" w:sz="4" w:space="0"/>
            </w:tcBorders>
            <w:shd w:val="clear" w:color="auto" w:fill="auto"/>
            <w:vAlign w:val="center"/>
          </w:tcPr>
          <w:p w14:paraId="776757E4">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1362" w:type="dxa"/>
            <w:tcBorders>
              <w:top w:val="single" w:color="auto" w:sz="4" w:space="0"/>
              <w:left w:val="nil"/>
              <w:bottom w:val="single" w:color="auto" w:sz="4" w:space="0"/>
              <w:right w:val="single" w:color="auto" w:sz="4" w:space="0"/>
            </w:tcBorders>
            <w:shd w:val="clear" w:color="auto" w:fill="auto"/>
            <w:vAlign w:val="center"/>
          </w:tcPr>
          <w:p w14:paraId="2A1D7DCB">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r>
      <w:tr w14:paraId="566D9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14:paraId="247AFF40">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1381" w:type="dxa"/>
            <w:tcBorders>
              <w:top w:val="single" w:color="auto" w:sz="4" w:space="0"/>
              <w:left w:val="nil"/>
              <w:bottom w:val="single" w:color="auto" w:sz="4" w:space="0"/>
              <w:right w:val="single" w:color="auto" w:sz="4" w:space="0"/>
            </w:tcBorders>
            <w:shd w:val="clear" w:color="auto" w:fill="auto"/>
            <w:vAlign w:val="center"/>
          </w:tcPr>
          <w:p w14:paraId="08EBA8E2">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342" w:type="dxa"/>
            <w:tcBorders>
              <w:top w:val="single" w:color="auto" w:sz="4" w:space="0"/>
              <w:left w:val="nil"/>
              <w:bottom w:val="single" w:color="auto" w:sz="4" w:space="0"/>
              <w:right w:val="single" w:color="auto" w:sz="4" w:space="0"/>
            </w:tcBorders>
            <w:shd w:val="clear" w:color="auto" w:fill="auto"/>
            <w:vAlign w:val="center"/>
          </w:tcPr>
          <w:p w14:paraId="5D8642E7">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246" w:type="dxa"/>
            <w:tcBorders>
              <w:top w:val="single" w:color="auto" w:sz="4" w:space="0"/>
              <w:left w:val="nil"/>
              <w:bottom w:val="single" w:color="auto" w:sz="4" w:space="0"/>
              <w:right w:val="single" w:color="auto" w:sz="4" w:space="0"/>
            </w:tcBorders>
            <w:shd w:val="clear" w:color="auto" w:fill="auto"/>
            <w:vAlign w:val="center"/>
          </w:tcPr>
          <w:p w14:paraId="78CC8240">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1362" w:type="dxa"/>
            <w:tcBorders>
              <w:top w:val="single" w:color="auto" w:sz="4" w:space="0"/>
              <w:left w:val="nil"/>
              <w:bottom w:val="single" w:color="auto" w:sz="4" w:space="0"/>
              <w:right w:val="single" w:color="auto" w:sz="4" w:space="0"/>
            </w:tcBorders>
            <w:shd w:val="clear" w:color="auto" w:fill="auto"/>
            <w:vAlign w:val="center"/>
          </w:tcPr>
          <w:p w14:paraId="5CAE3E50">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r>
      <w:tr w14:paraId="36E9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14:paraId="1D011655">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1381" w:type="dxa"/>
            <w:tcBorders>
              <w:top w:val="single" w:color="auto" w:sz="4" w:space="0"/>
              <w:left w:val="nil"/>
              <w:bottom w:val="single" w:color="auto" w:sz="4" w:space="0"/>
              <w:right w:val="single" w:color="auto" w:sz="4" w:space="0"/>
            </w:tcBorders>
            <w:shd w:val="clear" w:color="auto" w:fill="auto"/>
            <w:vAlign w:val="center"/>
          </w:tcPr>
          <w:p w14:paraId="45339072">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342" w:type="dxa"/>
            <w:tcBorders>
              <w:top w:val="single" w:color="auto" w:sz="4" w:space="0"/>
              <w:left w:val="nil"/>
              <w:bottom w:val="single" w:color="auto" w:sz="4" w:space="0"/>
              <w:right w:val="single" w:color="auto" w:sz="4" w:space="0"/>
            </w:tcBorders>
            <w:shd w:val="clear" w:color="auto" w:fill="auto"/>
            <w:vAlign w:val="center"/>
          </w:tcPr>
          <w:p w14:paraId="3E4585FB">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246" w:type="dxa"/>
            <w:tcBorders>
              <w:top w:val="single" w:color="auto" w:sz="4" w:space="0"/>
              <w:left w:val="nil"/>
              <w:bottom w:val="single" w:color="auto" w:sz="4" w:space="0"/>
              <w:right w:val="single" w:color="auto" w:sz="4" w:space="0"/>
            </w:tcBorders>
            <w:shd w:val="clear" w:color="auto" w:fill="auto"/>
            <w:vAlign w:val="center"/>
          </w:tcPr>
          <w:p w14:paraId="69F07DF7">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1362" w:type="dxa"/>
            <w:tcBorders>
              <w:top w:val="single" w:color="auto" w:sz="4" w:space="0"/>
              <w:left w:val="nil"/>
              <w:bottom w:val="single" w:color="auto" w:sz="4" w:space="0"/>
              <w:right w:val="single" w:color="auto" w:sz="4" w:space="0"/>
            </w:tcBorders>
            <w:shd w:val="clear" w:color="auto" w:fill="auto"/>
            <w:vAlign w:val="center"/>
          </w:tcPr>
          <w:p w14:paraId="426D1E20">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r>
      <w:tr w14:paraId="25B05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14:paraId="71BC49D6">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1381" w:type="dxa"/>
            <w:tcBorders>
              <w:top w:val="single" w:color="auto" w:sz="4" w:space="0"/>
              <w:left w:val="nil"/>
              <w:bottom w:val="single" w:color="auto" w:sz="4" w:space="0"/>
              <w:right w:val="single" w:color="auto" w:sz="4" w:space="0"/>
            </w:tcBorders>
            <w:shd w:val="clear" w:color="auto" w:fill="auto"/>
            <w:vAlign w:val="center"/>
          </w:tcPr>
          <w:p w14:paraId="492D93AD">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342" w:type="dxa"/>
            <w:tcBorders>
              <w:top w:val="single" w:color="auto" w:sz="4" w:space="0"/>
              <w:left w:val="nil"/>
              <w:bottom w:val="single" w:color="auto" w:sz="4" w:space="0"/>
              <w:right w:val="single" w:color="auto" w:sz="4" w:space="0"/>
            </w:tcBorders>
            <w:shd w:val="clear" w:color="auto" w:fill="auto"/>
            <w:vAlign w:val="center"/>
          </w:tcPr>
          <w:p w14:paraId="10B4EE37">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246" w:type="dxa"/>
            <w:tcBorders>
              <w:top w:val="single" w:color="auto" w:sz="4" w:space="0"/>
              <w:left w:val="nil"/>
              <w:bottom w:val="single" w:color="auto" w:sz="4" w:space="0"/>
              <w:right w:val="single" w:color="auto" w:sz="4" w:space="0"/>
            </w:tcBorders>
            <w:shd w:val="clear" w:color="auto" w:fill="auto"/>
            <w:vAlign w:val="center"/>
          </w:tcPr>
          <w:p w14:paraId="3B7D13E3">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1362" w:type="dxa"/>
            <w:tcBorders>
              <w:top w:val="single" w:color="auto" w:sz="4" w:space="0"/>
              <w:left w:val="nil"/>
              <w:bottom w:val="single" w:color="auto" w:sz="4" w:space="0"/>
              <w:right w:val="single" w:color="auto" w:sz="4" w:space="0"/>
            </w:tcBorders>
            <w:shd w:val="clear" w:color="auto" w:fill="auto"/>
            <w:vAlign w:val="center"/>
          </w:tcPr>
          <w:p w14:paraId="26946CC4">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r>
      <w:tr w14:paraId="3D845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14:paraId="6F94B974">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1381" w:type="dxa"/>
            <w:tcBorders>
              <w:top w:val="single" w:color="auto" w:sz="4" w:space="0"/>
              <w:left w:val="nil"/>
              <w:bottom w:val="single" w:color="auto" w:sz="4" w:space="0"/>
              <w:right w:val="single" w:color="auto" w:sz="4" w:space="0"/>
            </w:tcBorders>
            <w:shd w:val="clear" w:color="auto" w:fill="auto"/>
            <w:vAlign w:val="center"/>
          </w:tcPr>
          <w:p w14:paraId="266DDDCF">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342" w:type="dxa"/>
            <w:tcBorders>
              <w:top w:val="single" w:color="auto" w:sz="4" w:space="0"/>
              <w:left w:val="nil"/>
              <w:bottom w:val="single" w:color="auto" w:sz="4" w:space="0"/>
              <w:right w:val="single" w:color="auto" w:sz="4" w:space="0"/>
            </w:tcBorders>
            <w:shd w:val="clear" w:color="auto" w:fill="auto"/>
            <w:vAlign w:val="center"/>
          </w:tcPr>
          <w:p w14:paraId="50F75A8E">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246" w:type="dxa"/>
            <w:tcBorders>
              <w:top w:val="single" w:color="auto" w:sz="4" w:space="0"/>
              <w:left w:val="nil"/>
              <w:bottom w:val="single" w:color="auto" w:sz="4" w:space="0"/>
              <w:right w:val="single" w:color="auto" w:sz="4" w:space="0"/>
            </w:tcBorders>
            <w:shd w:val="clear" w:color="auto" w:fill="auto"/>
            <w:vAlign w:val="center"/>
          </w:tcPr>
          <w:p w14:paraId="7DB05333">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1362" w:type="dxa"/>
            <w:tcBorders>
              <w:top w:val="single" w:color="auto" w:sz="4" w:space="0"/>
              <w:left w:val="nil"/>
              <w:bottom w:val="single" w:color="auto" w:sz="4" w:space="0"/>
              <w:right w:val="single" w:color="auto" w:sz="4" w:space="0"/>
            </w:tcBorders>
            <w:shd w:val="clear" w:color="auto" w:fill="auto"/>
            <w:vAlign w:val="center"/>
          </w:tcPr>
          <w:p w14:paraId="7D589562">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r>
      <w:tr w14:paraId="7944C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2" w:hRule="atLeast"/>
          <w:jc w:val="center"/>
        </w:trPr>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14:paraId="7AC84C3E">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1381" w:type="dxa"/>
            <w:tcBorders>
              <w:top w:val="single" w:color="auto" w:sz="4" w:space="0"/>
              <w:left w:val="nil"/>
              <w:bottom w:val="single" w:color="auto" w:sz="4" w:space="0"/>
              <w:right w:val="single" w:color="auto" w:sz="4" w:space="0"/>
            </w:tcBorders>
            <w:shd w:val="clear" w:color="auto" w:fill="auto"/>
            <w:vAlign w:val="center"/>
          </w:tcPr>
          <w:p w14:paraId="0B35AC92">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342" w:type="dxa"/>
            <w:tcBorders>
              <w:top w:val="single" w:color="auto" w:sz="4" w:space="0"/>
              <w:left w:val="nil"/>
              <w:bottom w:val="single" w:color="auto" w:sz="4" w:space="0"/>
              <w:right w:val="single" w:color="auto" w:sz="4" w:space="0"/>
            </w:tcBorders>
            <w:shd w:val="clear" w:color="auto" w:fill="auto"/>
            <w:vAlign w:val="center"/>
          </w:tcPr>
          <w:p w14:paraId="5C289D1A">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246" w:type="dxa"/>
            <w:tcBorders>
              <w:top w:val="single" w:color="auto" w:sz="4" w:space="0"/>
              <w:left w:val="nil"/>
              <w:bottom w:val="single" w:color="auto" w:sz="4" w:space="0"/>
              <w:right w:val="single" w:color="auto" w:sz="4" w:space="0"/>
            </w:tcBorders>
            <w:shd w:val="clear" w:color="auto" w:fill="auto"/>
            <w:vAlign w:val="center"/>
          </w:tcPr>
          <w:p w14:paraId="01926B2F">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1362" w:type="dxa"/>
            <w:tcBorders>
              <w:top w:val="single" w:color="auto" w:sz="4" w:space="0"/>
              <w:left w:val="nil"/>
              <w:bottom w:val="single" w:color="auto" w:sz="4" w:space="0"/>
              <w:right w:val="single" w:color="auto" w:sz="4" w:space="0"/>
            </w:tcBorders>
            <w:shd w:val="clear" w:color="auto" w:fill="auto"/>
            <w:vAlign w:val="center"/>
          </w:tcPr>
          <w:p w14:paraId="65B55509">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r>
      <w:tr w14:paraId="476B9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2" w:hRule="atLeast"/>
          <w:jc w:val="center"/>
        </w:trPr>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14:paraId="4E4F57C7">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1381" w:type="dxa"/>
            <w:tcBorders>
              <w:top w:val="single" w:color="auto" w:sz="4" w:space="0"/>
              <w:left w:val="nil"/>
              <w:bottom w:val="single" w:color="auto" w:sz="4" w:space="0"/>
              <w:right w:val="single" w:color="auto" w:sz="4" w:space="0"/>
            </w:tcBorders>
            <w:shd w:val="clear" w:color="auto" w:fill="auto"/>
            <w:vAlign w:val="center"/>
          </w:tcPr>
          <w:p w14:paraId="55C5AF6F">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342" w:type="dxa"/>
            <w:tcBorders>
              <w:top w:val="single" w:color="auto" w:sz="4" w:space="0"/>
              <w:left w:val="nil"/>
              <w:bottom w:val="single" w:color="auto" w:sz="4" w:space="0"/>
              <w:right w:val="single" w:color="auto" w:sz="4" w:space="0"/>
            </w:tcBorders>
            <w:shd w:val="clear" w:color="auto" w:fill="auto"/>
            <w:vAlign w:val="center"/>
          </w:tcPr>
          <w:p w14:paraId="51697CDC">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2246" w:type="dxa"/>
            <w:tcBorders>
              <w:top w:val="single" w:color="auto" w:sz="4" w:space="0"/>
              <w:left w:val="nil"/>
              <w:bottom w:val="single" w:color="auto" w:sz="4" w:space="0"/>
              <w:right w:val="single" w:color="auto" w:sz="4" w:space="0"/>
            </w:tcBorders>
            <w:shd w:val="clear" w:color="auto" w:fill="auto"/>
            <w:vAlign w:val="center"/>
          </w:tcPr>
          <w:p w14:paraId="51E99A97">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c>
          <w:tcPr>
            <w:tcW w:w="1362" w:type="dxa"/>
            <w:tcBorders>
              <w:top w:val="single" w:color="auto" w:sz="4" w:space="0"/>
              <w:left w:val="nil"/>
              <w:bottom w:val="single" w:color="auto" w:sz="4" w:space="0"/>
              <w:right w:val="single" w:color="auto" w:sz="4" w:space="0"/>
            </w:tcBorders>
            <w:shd w:val="clear" w:color="auto" w:fill="auto"/>
            <w:vAlign w:val="center"/>
          </w:tcPr>
          <w:p w14:paraId="1BC2D13C">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1"/>
                <w:szCs w:val="21"/>
                <w:highlight w:val="none"/>
              </w:rPr>
            </w:pPr>
          </w:p>
        </w:tc>
      </w:tr>
    </w:tbl>
    <w:p w14:paraId="20BFEE53">
      <w:pPr>
        <w:keepNext w:val="0"/>
        <w:keepLines w:val="0"/>
        <w:widowControl w:val="0"/>
        <w:suppressLineNumbers w:val="0"/>
        <w:spacing w:before="0" w:beforeAutospacing="0" w:after="0" w:afterAutospacing="0" w:line="360" w:lineRule="auto"/>
        <w:ind w:left="-2" w:leftChars="-1" w:right="0" w:firstLine="350" w:firstLineChars="175"/>
        <w:jc w:val="left"/>
        <w:rPr>
          <w:rFonts w:hint="default" w:ascii="Calibri" w:hAnsi="Calibri" w:eastAsia="宋体" w:cs="Times New Roman"/>
          <w:color w:val="auto"/>
          <w:kern w:val="0"/>
          <w:sz w:val="20"/>
          <w:szCs w:val="20"/>
          <w:highlight w:val="none"/>
        </w:rPr>
      </w:pPr>
      <w:r>
        <w:rPr>
          <w:rFonts w:hint="eastAsia" w:ascii="宋体" w:hAnsi="宋体" w:eastAsia="宋体" w:cs="宋体"/>
          <w:color w:val="auto"/>
          <w:kern w:val="0"/>
          <w:sz w:val="20"/>
          <w:szCs w:val="20"/>
          <w:highlight w:val="none"/>
          <w:lang w:val="en-US" w:eastAsia="zh-CN" w:bidi="ar"/>
        </w:rPr>
        <w:t>注：参与编制技术标投标文件所有人员名单应包括如编制技术投标方案、负责清样校对、负责打印及扫描等所有人员在内的人员名单。</w:t>
      </w:r>
    </w:p>
    <w:p w14:paraId="49B38184">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27A21A7F">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eastAsia" w:ascii="宋体" w:hAnsi="宋体" w:eastAsia="宋体" w:cs="Times New Roman"/>
          <w:b/>
          <w:bCs w:val="0"/>
          <w:color w:val="auto"/>
          <w:kern w:val="2"/>
          <w:sz w:val="21"/>
          <w:szCs w:val="21"/>
          <w:highlight w:val="none"/>
          <w:lang w:val="en-US" w:eastAsia="zh-CN" w:bidi="ar"/>
        </w:rPr>
        <w:br w:type="page"/>
      </w:r>
    </w:p>
    <w:p w14:paraId="783DF41D">
      <w:pPr>
        <w:pStyle w:val="22"/>
        <w:widowControl/>
        <w:spacing w:before="156" w:beforeAutospacing="0" w:after="156" w:afterAutospacing="0"/>
        <w:jc w:val="both"/>
        <w:outlineLvl w:val="2"/>
        <w:rPr>
          <w:rFonts w:hint="eastAsia" w:ascii="宋体" w:hAnsi="宋体" w:eastAsia="宋体" w:cs="Times New Roman"/>
          <w:b/>
          <w:bCs w:val="0"/>
          <w:color w:val="auto"/>
          <w:spacing w:val="0"/>
          <w:kern w:val="0"/>
          <w:sz w:val="24"/>
          <w:szCs w:val="24"/>
          <w:highlight w:val="none"/>
        </w:rPr>
      </w:pPr>
      <w:r>
        <w:rPr>
          <w:rFonts w:hint="eastAsia" w:ascii="宋体" w:hAnsi="宋体" w:eastAsia="宋体" w:cs="宋体"/>
          <w:b/>
          <w:bCs w:val="0"/>
          <w:color w:val="auto"/>
          <w:spacing w:val="0"/>
          <w:kern w:val="0"/>
          <w:sz w:val="24"/>
          <w:szCs w:val="24"/>
          <w:highlight w:val="none"/>
        </w:rPr>
        <w:t>格式十</w:t>
      </w:r>
      <w:r>
        <w:rPr>
          <w:rFonts w:hint="eastAsia" w:ascii="宋体" w:hAnsi="宋体" w:eastAsia="宋体" w:cs="宋体"/>
          <w:b/>
          <w:bCs w:val="0"/>
          <w:color w:val="auto"/>
          <w:spacing w:val="0"/>
          <w:kern w:val="0"/>
          <w:sz w:val="24"/>
          <w:szCs w:val="24"/>
          <w:highlight w:val="none"/>
          <w:lang w:val="en-US" w:eastAsia="zh-CN"/>
        </w:rPr>
        <w:t>六</w:t>
      </w:r>
      <w:r>
        <w:rPr>
          <w:rFonts w:hint="eastAsia" w:ascii="宋体" w:hAnsi="宋体" w:eastAsia="宋体" w:cs="宋体"/>
          <w:b/>
          <w:bCs w:val="0"/>
          <w:color w:val="auto"/>
          <w:spacing w:val="0"/>
          <w:kern w:val="0"/>
          <w:sz w:val="24"/>
          <w:szCs w:val="24"/>
          <w:highlight w:val="none"/>
        </w:rPr>
        <w:t>：危险性较大的分部分项工程清单及超过一定规模的危险性较大的分部分项工程清单</w:t>
      </w:r>
    </w:p>
    <w:p w14:paraId="130289A5">
      <w:pPr>
        <w:pStyle w:val="22"/>
        <w:widowControl/>
        <w:spacing w:before="156" w:beforeLines="50" w:beforeAutospacing="0" w:after="156" w:afterAutospacing="0"/>
        <w:rPr>
          <w:rFonts w:hint="eastAsia" w:ascii="宋体" w:hAnsi="宋体" w:eastAsia="宋体" w:cs="Times New Roman"/>
          <w:b/>
          <w:bCs w:val="0"/>
          <w:color w:val="auto"/>
          <w:spacing w:val="4"/>
          <w:kern w:val="0"/>
          <w:sz w:val="32"/>
          <w:szCs w:val="32"/>
          <w:highlight w:val="none"/>
        </w:rPr>
      </w:pPr>
      <w:r>
        <w:rPr>
          <w:rFonts w:hint="eastAsia" w:ascii="宋体" w:hAnsi="宋体" w:eastAsia="宋体" w:cs="宋体"/>
          <w:b/>
          <w:bCs w:val="0"/>
          <w:color w:val="auto"/>
          <w:spacing w:val="4"/>
          <w:kern w:val="0"/>
          <w:sz w:val="32"/>
          <w:szCs w:val="32"/>
          <w:highlight w:val="none"/>
        </w:rPr>
        <w:t>危险性较大的分部分项工程清单及</w:t>
      </w:r>
    </w:p>
    <w:p w14:paraId="7962FE2B">
      <w:pPr>
        <w:pStyle w:val="22"/>
        <w:widowControl/>
        <w:spacing w:before="156" w:beforeLines="50" w:beforeAutospacing="0" w:after="156" w:afterAutospacing="0"/>
        <w:rPr>
          <w:rFonts w:hint="eastAsia" w:ascii="宋体" w:hAnsi="宋体" w:eastAsia="宋体" w:cs="Times New Roman"/>
          <w:b/>
          <w:bCs w:val="0"/>
          <w:color w:val="auto"/>
          <w:spacing w:val="4"/>
          <w:kern w:val="0"/>
          <w:sz w:val="32"/>
          <w:szCs w:val="32"/>
          <w:highlight w:val="none"/>
        </w:rPr>
      </w:pPr>
      <w:r>
        <w:rPr>
          <w:rFonts w:hint="eastAsia" w:ascii="宋体" w:hAnsi="宋体" w:eastAsia="宋体" w:cs="宋体"/>
          <w:b/>
          <w:bCs w:val="0"/>
          <w:color w:val="auto"/>
          <w:spacing w:val="4"/>
          <w:kern w:val="0"/>
          <w:sz w:val="32"/>
          <w:szCs w:val="32"/>
          <w:highlight w:val="none"/>
        </w:rPr>
        <w:t>超过一定规模的危险性较大的分部分项工程清单</w:t>
      </w:r>
    </w:p>
    <w:p w14:paraId="64F13A91">
      <w:pPr>
        <w:pStyle w:val="23"/>
        <w:widowControl/>
        <w:numPr>
          <w:ilvl w:val="0"/>
          <w:numId w:val="3"/>
        </w:numPr>
        <w:autoSpaceDE w:val="0"/>
        <w:autoSpaceDN w:val="0"/>
        <w:adjustRightInd w:val="0"/>
        <w:spacing w:line="273" w:lineRule="auto"/>
        <w:ind w:left="360" w:hanging="360" w:firstLineChars="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rPr>
        <w:t>根据中华人民共和国住房和城乡建设部令第37号《危险性较大的分部分项工程安全管理规定》（以下简称“37号文”），投标人在投标时须补充完善危大工程清单并明确相应的安全管理措施。</w:t>
      </w:r>
    </w:p>
    <w:p w14:paraId="1F866613">
      <w:pPr>
        <w:pStyle w:val="23"/>
        <w:widowControl/>
        <w:numPr>
          <w:ilvl w:val="0"/>
          <w:numId w:val="3"/>
        </w:numPr>
        <w:autoSpaceDE w:val="0"/>
        <w:autoSpaceDN w:val="0"/>
        <w:adjustRightInd w:val="0"/>
        <w:spacing w:line="273" w:lineRule="auto"/>
        <w:ind w:left="360" w:hanging="360" w:firstLineChars="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rPr>
        <w:t>招标人根据设计文件的要求及37号文的规定列出“危险性较大的分部分项工程清单及超过一定规模的危险性较大的分部分项工程清单”中与本招标项目相关的清单项，具体详第5点“打√”标识。</w:t>
      </w:r>
    </w:p>
    <w:p w14:paraId="1CE8725F">
      <w:pPr>
        <w:pStyle w:val="23"/>
        <w:widowControl/>
        <w:numPr>
          <w:ilvl w:val="0"/>
          <w:numId w:val="4"/>
        </w:numPr>
        <w:autoSpaceDE w:val="0"/>
        <w:autoSpaceDN w:val="0"/>
        <w:adjustRightInd w:val="0"/>
        <w:spacing w:line="273" w:lineRule="auto"/>
        <w:ind w:left="1080" w:hanging="720" w:firstLineChars="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rPr>
        <w:t>投标单位同意建设单位在清单中标识的该项请在对应项打“√”标识，并与投标文件中提供相应的安全管理措施。</w:t>
      </w:r>
    </w:p>
    <w:p w14:paraId="1CE8D5E0">
      <w:pPr>
        <w:pStyle w:val="23"/>
        <w:widowControl/>
        <w:numPr>
          <w:ilvl w:val="0"/>
          <w:numId w:val="4"/>
        </w:numPr>
        <w:autoSpaceDE w:val="0"/>
        <w:autoSpaceDN w:val="0"/>
        <w:adjustRightInd w:val="0"/>
        <w:spacing w:line="273" w:lineRule="auto"/>
        <w:ind w:left="1080" w:hanging="720" w:firstLineChars="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rPr>
        <w:t>投标单位对清单中认为需要补充的该项请在对应项打“√”标识，并与投标文件中提供相应的安全管理措施。</w:t>
      </w:r>
    </w:p>
    <w:p w14:paraId="43040CA3">
      <w:pPr>
        <w:pStyle w:val="23"/>
        <w:widowControl/>
        <w:numPr>
          <w:ilvl w:val="0"/>
          <w:numId w:val="4"/>
        </w:numPr>
        <w:autoSpaceDE w:val="0"/>
        <w:autoSpaceDN w:val="0"/>
        <w:adjustRightInd w:val="0"/>
        <w:spacing w:line="273" w:lineRule="auto"/>
        <w:ind w:left="1080" w:hanging="720" w:firstLineChars="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rPr>
        <w:t>投标单位不同意建设单位在清单中标识的该项请在对应项打“×”标识，并在备注栏填上相关说明。</w:t>
      </w:r>
    </w:p>
    <w:p w14:paraId="28944F50">
      <w:pPr>
        <w:pStyle w:val="23"/>
        <w:widowControl/>
        <w:numPr>
          <w:ilvl w:val="0"/>
          <w:numId w:val="3"/>
        </w:numPr>
        <w:autoSpaceDE w:val="0"/>
        <w:autoSpaceDN w:val="0"/>
        <w:adjustRightInd w:val="0"/>
        <w:spacing w:line="273" w:lineRule="auto"/>
        <w:ind w:left="360" w:hanging="360" w:firstLineChars="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rPr>
        <w:t>投标单位应当在投标时根据招标人提供的下述第5点清单，在投标施工组织中编制专项施工方案。</w:t>
      </w:r>
    </w:p>
    <w:p w14:paraId="19641085">
      <w:pPr>
        <w:pStyle w:val="23"/>
        <w:widowControl/>
        <w:numPr>
          <w:ilvl w:val="0"/>
          <w:numId w:val="3"/>
        </w:numPr>
        <w:autoSpaceDE w:val="0"/>
        <w:autoSpaceDN w:val="0"/>
        <w:adjustRightInd w:val="0"/>
        <w:spacing w:line="273" w:lineRule="auto"/>
        <w:ind w:left="360" w:hanging="360" w:firstLineChars="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rPr>
        <w:t>对于超过一定规模的危大工程，中标单位应当组织召开专家论证会对专项施工方案进行论证。实行施工总承包的，由施工总承包单位组织召开专家论证会。专家论证前专项施工方案应当通过施工总承包单位审核和总监理工程师审查。</w:t>
      </w:r>
    </w:p>
    <w:p w14:paraId="41A4926C">
      <w:pPr>
        <w:pStyle w:val="23"/>
        <w:widowControl/>
        <w:numPr>
          <w:ilvl w:val="0"/>
          <w:numId w:val="3"/>
        </w:numPr>
        <w:autoSpaceDE w:val="0"/>
        <w:autoSpaceDN w:val="0"/>
        <w:adjustRightInd w:val="0"/>
        <w:spacing w:line="273" w:lineRule="auto"/>
        <w:ind w:left="360" w:hanging="360" w:firstLineChars="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rPr>
        <w:t>危险性较大的分部分项工程清单及超过一定规模的危险性较大的分部分项工程清单：</w:t>
      </w:r>
    </w:p>
    <w:tbl>
      <w:tblPr>
        <w:tblStyle w:val="17"/>
        <w:tblW w:w="85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786"/>
        <w:gridCol w:w="1361"/>
        <w:gridCol w:w="1361"/>
        <w:gridCol w:w="1063"/>
      </w:tblGrid>
      <w:tr w14:paraId="264E0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center"/>
          </w:tcPr>
          <w:p w14:paraId="499971A1">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一、危险性较大的分部分项工程清单</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2B8F8249">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建设单位</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685A2CBD">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投标单位</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28212222">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备注</w:t>
            </w:r>
          </w:p>
        </w:tc>
      </w:tr>
      <w:tr w14:paraId="4CF98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690FD450">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一、基坑支护</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44FD6292">
            <w:pPr>
              <w:keepNext w:val="0"/>
              <w:keepLines w:val="0"/>
              <w:widowControl w:val="0"/>
              <w:suppressLineNumbers w:val="0"/>
              <w:spacing w:before="40" w:beforeAutospacing="0" w:after="40" w:afterAutospacing="0" w:line="300" w:lineRule="exact"/>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default" w:ascii="Calibri" w:hAnsi="Calibri" w:eastAsia="宋体" w:cs="Calibri"/>
                <w:color w:val="auto"/>
                <w:kern w:val="2"/>
                <w:sz w:val="21"/>
                <w:szCs w:val="21"/>
                <w:highlight w:val="none"/>
                <w:lang w:val="en-US" w:eastAsia="zh-CN" w:bidi="ar"/>
              </w:rPr>
              <w:t xml:space="preserve"> </w:t>
            </w:r>
            <w:r>
              <w:rPr>
                <w:rFonts w:hint="default" w:ascii="Calibri" w:hAnsi="Calibri" w:eastAsia="宋体" w:cs="Times New Roman"/>
                <w:color w:val="auto"/>
                <w:kern w:val="2"/>
                <w:sz w:val="21"/>
                <w:szCs w:val="21"/>
                <w:highlight w:val="none"/>
                <w:lang w:val="en-US" w:eastAsia="zh-CN" w:bidi="ar"/>
              </w:rPr>
              <w:t xml:space="preserve">  </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251D1963">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4B57121F">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01418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6ADD00F4">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（一）开挖深度超过3m（含3m）的基坑（槽）的土方开挖、支护、降水工程。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0D74CBAA">
            <w:pPr>
              <w:keepNext w:val="0"/>
              <w:keepLines w:val="0"/>
              <w:widowControl w:val="0"/>
              <w:suppressLineNumbers w:val="0"/>
              <w:spacing w:before="40" w:beforeAutospacing="0" w:after="40" w:afterAutospacing="0" w:line="300" w:lineRule="exact"/>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20EF3CD5">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629C76CA">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2B2CC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3544AB86">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（二）开挖深度虽未超过3m，但地质条件、周围环境和地下管线复杂，或影响毗邻建、构筑物安全的基坑（槽）的土方开挖、支护、降水工程。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090BC246">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2006C3E8">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1138D8B6">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7E541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38183703">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二、模板工程及支撑体系</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3E58057C">
            <w:pPr>
              <w:keepNext w:val="0"/>
              <w:keepLines w:val="0"/>
              <w:widowControl w:val="0"/>
              <w:suppressLineNumbers w:val="0"/>
              <w:spacing w:before="40" w:beforeAutospacing="0" w:after="40" w:afterAutospacing="0" w:line="300" w:lineRule="exact"/>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default" w:ascii="Calibri" w:hAnsi="Calibri" w:eastAsia="宋体" w:cs="Calibri"/>
                <w:color w:val="auto"/>
                <w:kern w:val="2"/>
                <w:sz w:val="21"/>
                <w:szCs w:val="21"/>
                <w:highlight w:val="none"/>
                <w:lang w:val="en-US" w:eastAsia="zh-CN" w:bidi="ar"/>
              </w:rPr>
              <w:t xml:space="preserve"> </w:t>
            </w:r>
            <w:r>
              <w:rPr>
                <w:rFonts w:hint="default" w:ascii="Calibri" w:hAnsi="Calibri"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6C4A610C">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73D1D1F1">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25884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7C4C0132">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（一）各类工具式模板工程：包括滑模、爬模、飞模、隧道模等工程。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7AE6F586">
            <w:pPr>
              <w:keepNext w:val="0"/>
              <w:keepLines w:val="0"/>
              <w:widowControl w:val="0"/>
              <w:suppressLineNumbers w:val="0"/>
              <w:spacing w:before="40" w:beforeAutospacing="0" w:after="40" w:afterAutospacing="0" w:line="300" w:lineRule="exact"/>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1527E63E">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2782BE58">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23762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220BBEBF">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混凝土模板支撑工程：搭设高度5m及以上，或搭设跨度10m及以上，或施工总荷载（荷载效应基本组合的设计值，以下简称设计值）10kN/m2及以上，或集中线荷载（设计值）15kN/m及以上，或高度大于支撑水平投影宽度且相对独立无联系构件的混凝土模板支撑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5352609C">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71D09901">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02B5F50D">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36ED8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35C3672F">
            <w:pPr>
              <w:keepNext w:val="0"/>
              <w:keepLines w:val="0"/>
              <w:widowControl/>
              <w:suppressLineNumbers w:val="0"/>
              <w:spacing w:before="0" w:beforeAutospacing="0" w:after="0" w:afterAutospacing="0" w:line="273" w:lineRule="auto"/>
              <w:ind w:left="0" w:right="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（三）承重支撑体系：用于钢结构安装等满堂支撑体系。</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03190F9C">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635C7EC7">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103B9279">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25B1F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0424C31B">
            <w:pPr>
              <w:keepNext w:val="0"/>
              <w:keepLines w:val="0"/>
              <w:widowControl/>
              <w:suppressLineNumbers w:val="0"/>
              <w:spacing w:before="0" w:beforeAutospacing="0" w:after="0" w:afterAutospacing="0" w:line="273" w:lineRule="auto"/>
              <w:ind w:left="0" w:right="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三、起重吊装及起重机械安装拆卸工程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14A3A900">
            <w:pPr>
              <w:keepNext w:val="0"/>
              <w:keepLines w:val="0"/>
              <w:widowControl w:val="0"/>
              <w:suppressLineNumbers w:val="0"/>
              <w:spacing w:before="0" w:beforeAutospacing="0" w:after="0" w:afterAutospacing="0" w:line="273"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 </w:t>
            </w:r>
            <w:r>
              <w:rPr>
                <w:rFonts w:hint="default" w:ascii="宋体" w:hAnsi="宋体" w:eastAsia="宋体" w:cs="宋体"/>
                <w:color w:val="auto"/>
                <w:kern w:val="2"/>
                <w:sz w:val="21"/>
                <w:szCs w:val="21"/>
                <w:highlight w:val="none"/>
                <w:lang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7EDE7965">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5457E415">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79AC5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515C0DE0">
            <w:pPr>
              <w:keepNext w:val="0"/>
              <w:keepLines w:val="0"/>
              <w:widowControl/>
              <w:suppressLineNumbers w:val="0"/>
              <w:spacing w:before="0" w:beforeAutospacing="0" w:after="0" w:afterAutospacing="0" w:line="273" w:lineRule="auto"/>
              <w:ind w:left="0" w:right="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（一）采用非常规起重设备、方法，且单件起吊重量在10kN及以上的起重吊装工程。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2276C37B">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56903A24">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5A72723D">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2D9EC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565E4284">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（二）采用起重机械进行安装的工程。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218DC29D">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default" w:ascii="宋体" w:hAnsi="宋体" w:eastAsia="宋体" w:cs="宋体"/>
                <w:color w:val="auto"/>
                <w:kern w:val="2"/>
                <w:sz w:val="21"/>
                <w:szCs w:val="21"/>
                <w:highlight w:val="none"/>
                <w:lang w:eastAsia="zh-CN" w:bidi="ar"/>
              </w:rPr>
              <w:t xml:space="preserve"> </w:t>
            </w:r>
            <w:r>
              <w:rPr>
                <w:rFonts w:hint="eastAsia" w:ascii="宋体" w:hAnsi="宋体" w:eastAsia="宋体" w:cs="宋体"/>
                <w:color w:val="auto"/>
                <w:kern w:val="2"/>
                <w:sz w:val="21"/>
                <w:szCs w:val="21"/>
                <w:highlight w:val="none"/>
              </w:rPr>
              <w:t>√</w:t>
            </w:r>
            <w:r>
              <w:rPr>
                <w:rFonts w:hint="default" w:ascii="宋体" w:hAnsi="宋体" w:eastAsia="宋体" w:cs="宋体"/>
                <w:color w:val="auto"/>
                <w:kern w:val="2"/>
                <w:sz w:val="21"/>
                <w:szCs w:val="21"/>
                <w:highlight w:val="none"/>
                <w:lang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6E025C38">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2F42CEC5">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1BE6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1D783B36">
            <w:pPr>
              <w:keepNext w:val="0"/>
              <w:keepLines w:val="0"/>
              <w:widowControl w:val="0"/>
              <w:suppressLineNumbers w:val="0"/>
              <w:spacing w:before="0" w:beforeAutospacing="0" w:after="0" w:afterAutospacing="0" w:line="273" w:lineRule="auto"/>
              <w:ind w:left="0" w:right="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（三）起重机械安装和拆卸工程。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3188947D">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2DAEEA6E">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5D534CEF">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59B79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3C5052CB">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四、脚手架工程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07445A98">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5F366952">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2B3F4918">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0D391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3FA4760E">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（一）搭设高度24m及以上的落地式钢管脚手架工程（包括采光井、电梯井脚手架）。</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01F89844">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3A42DDE6">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5AB36330">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7F851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2A555A6A">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（二）附着式升降脚手架工程。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1DE40917">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174178F6">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6AC84FB8">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4B662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1A3B52A0">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（三）悬挑式脚手架工程。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1C348A81">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rPr>
              <w:t>√</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6BC486ED">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7B463C0C">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31CA9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5DF51CCC">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（四）高处作业吊篮。</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4F3B1F8F">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rPr>
              <w:t>√</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0FDA7BF3">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478D1102">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26804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363A6F8D">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（五）卸料平台、操作平台工程。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762FC75C">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default" w:ascii="宋体" w:hAnsi="宋体" w:eastAsia="宋体" w:cs="宋体"/>
                <w:color w:val="auto"/>
                <w:kern w:val="2"/>
                <w:sz w:val="21"/>
                <w:szCs w:val="21"/>
                <w:highlight w:val="none"/>
                <w:lang w:eastAsia="zh-CN" w:bidi="ar"/>
              </w:rPr>
              <w:t xml:space="preserve"> </w:t>
            </w:r>
            <w:r>
              <w:rPr>
                <w:rFonts w:hint="eastAsia" w:ascii="宋体" w:hAnsi="宋体" w:eastAsia="宋体" w:cs="宋体"/>
                <w:color w:val="auto"/>
                <w:kern w:val="2"/>
                <w:sz w:val="21"/>
                <w:szCs w:val="21"/>
                <w:highlight w:val="none"/>
              </w:rPr>
              <w:t>√</w:t>
            </w:r>
            <w:r>
              <w:rPr>
                <w:rFonts w:hint="default" w:ascii="宋体" w:hAnsi="宋体" w:eastAsia="宋体" w:cs="宋体"/>
                <w:color w:val="auto"/>
                <w:kern w:val="2"/>
                <w:sz w:val="21"/>
                <w:szCs w:val="21"/>
                <w:highlight w:val="none"/>
                <w:lang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4DF68D92">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53CB0317">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65F58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5E6706E0">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（六）异型脚手架工程。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3676591F">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default" w:ascii="宋体" w:hAnsi="宋体" w:eastAsia="宋体" w:cs="宋体"/>
                <w:color w:val="auto"/>
                <w:kern w:val="2"/>
                <w:sz w:val="21"/>
                <w:szCs w:val="21"/>
                <w:highlight w:val="none"/>
                <w:lang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799C4755">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29170889">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36760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33416E68">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五、拆除工程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5032A6BF">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default" w:ascii="宋体" w:hAnsi="宋体" w:eastAsia="宋体" w:cs="宋体"/>
                <w:color w:val="auto"/>
                <w:kern w:val="2"/>
                <w:sz w:val="21"/>
                <w:szCs w:val="21"/>
                <w:highlight w:val="none"/>
                <w:lang w:eastAsia="zh-CN" w:bidi="ar"/>
              </w:rPr>
              <w:t xml:space="preserve"> </w:t>
            </w:r>
            <w:r>
              <w:rPr>
                <w:rFonts w:hint="eastAsia" w:ascii="宋体" w:hAnsi="宋体" w:eastAsia="宋体" w:cs="宋体"/>
                <w:color w:val="auto"/>
                <w:kern w:val="2"/>
                <w:sz w:val="21"/>
                <w:szCs w:val="21"/>
                <w:highlight w:val="none"/>
              </w:rPr>
              <w:t>√</w:t>
            </w:r>
            <w:r>
              <w:rPr>
                <w:rFonts w:hint="default" w:ascii="宋体" w:hAnsi="宋体" w:eastAsia="宋体" w:cs="宋体"/>
                <w:color w:val="auto"/>
                <w:kern w:val="2"/>
                <w:sz w:val="21"/>
                <w:szCs w:val="21"/>
                <w:highlight w:val="none"/>
                <w:lang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40CE499F">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49BDC2F3">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1F196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4F545497">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可能影响行人、交通、电力设施、通讯设施或其它建、构筑物安全的拆除工程。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34CF0E47">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default" w:ascii="宋体" w:hAnsi="宋体" w:eastAsia="宋体" w:cs="宋体"/>
                <w:color w:val="auto"/>
                <w:kern w:val="2"/>
                <w:sz w:val="21"/>
                <w:szCs w:val="21"/>
                <w:highlight w:val="none"/>
                <w:lang w:eastAsia="zh-CN" w:bidi="ar"/>
              </w:rPr>
              <w:t xml:space="preserve"> </w:t>
            </w:r>
            <w:r>
              <w:rPr>
                <w:rFonts w:hint="eastAsia" w:ascii="宋体" w:hAnsi="宋体" w:eastAsia="宋体" w:cs="宋体"/>
                <w:color w:val="auto"/>
                <w:kern w:val="2"/>
                <w:sz w:val="21"/>
                <w:szCs w:val="21"/>
                <w:highlight w:val="none"/>
              </w:rPr>
              <w:t>√</w:t>
            </w:r>
            <w:r>
              <w:rPr>
                <w:rFonts w:hint="default" w:ascii="宋体" w:hAnsi="宋体" w:eastAsia="宋体" w:cs="宋体"/>
                <w:color w:val="auto"/>
                <w:kern w:val="2"/>
                <w:sz w:val="21"/>
                <w:szCs w:val="21"/>
                <w:highlight w:val="none"/>
                <w:lang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33ED8D8F">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538CD1AD">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33611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5159837E">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六、暗挖工程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2CF8A8F0">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09B7EDB5">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3B214297">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52374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4FB03E07">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采用矿山法、盾构法、顶管法施工的隧道、洞室工程。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01EBEE15">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3BF1CE14">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115731F4">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45ACD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73176C1F">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七、其它</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7AB29796">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default" w:ascii="宋体" w:hAnsi="宋体" w:eastAsia="宋体" w:cs="宋体"/>
                <w:color w:val="auto"/>
                <w:kern w:val="2"/>
                <w:sz w:val="21"/>
                <w:szCs w:val="21"/>
                <w:highlight w:val="none"/>
                <w:lang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7827726C">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0D40AE21">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597BF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47335375">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（一）建筑幕墙安装工程。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5387AEB6">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rPr>
              <w:t>√</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35493AC8">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5E7E1723">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6F486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5F6F1DCF">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（二）钢结构、网架和索膜结构安装工程。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4C36E686">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default" w:ascii="宋体" w:hAnsi="宋体" w:eastAsia="宋体" w:cs="宋体"/>
                <w:color w:val="auto"/>
                <w:kern w:val="2"/>
                <w:sz w:val="21"/>
                <w:szCs w:val="21"/>
                <w:highlight w:val="none"/>
                <w:lang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50C7AE6E">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4E3C8B81">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5FA55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5E03B07E">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（三）人工挖孔桩工程。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334EA80D">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35E310A6">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53A7EE3D">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27D42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2F924C24">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（四）水下作业工程。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3FA37686">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386BF827">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3099DD8C">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2F7BA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269A81DC">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（五）装配式建筑混凝土预制构件安装工程。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5C362F34">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130BE1F1">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7D22BB81">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17D65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3B76B7B8">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（六）采用新技术、新工艺、新材料、新设备可能影响工程施工安全，尚无国家、行业及地方技术标准的分部分项工程。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1117D62D">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52C65F84">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29EC3924">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0639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center"/>
          </w:tcPr>
          <w:p w14:paraId="5239F200">
            <w:pPr>
              <w:keepNext w:val="0"/>
              <w:keepLines w:val="0"/>
              <w:widowControl/>
              <w:suppressLineNumbers w:val="0"/>
              <w:spacing w:before="0" w:beforeAutospacing="0" w:after="0" w:afterAutospacing="0" w:line="273" w:lineRule="auto"/>
              <w:ind w:left="0" w:right="0"/>
              <w:jc w:val="both"/>
              <w:rPr>
                <w:rFonts w:hint="eastAsia" w:ascii="宋体" w:hAnsi="宋体" w:eastAsia="宋体" w:cs="宋体"/>
                <w:b/>
                <w:bCs w:val="0"/>
                <w:color w:val="auto"/>
                <w:kern w:val="2"/>
                <w:sz w:val="21"/>
                <w:szCs w:val="21"/>
                <w:highlight w:val="none"/>
              </w:rPr>
            </w:pPr>
            <w:r>
              <w:rPr>
                <w:rFonts w:hint="eastAsia" w:ascii="宋体" w:hAnsi="宋体" w:eastAsia="宋体" w:cs="宋体"/>
                <w:b/>
                <w:color w:val="auto"/>
                <w:kern w:val="2"/>
                <w:sz w:val="21"/>
                <w:szCs w:val="21"/>
                <w:highlight w:val="none"/>
                <w:lang w:val="en-US" w:eastAsia="zh-CN" w:bidi="ar"/>
              </w:rPr>
              <w:t>二、超过一定规模的危险性较大的分部分项工程清单</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424637DB">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3612A00C">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288F1D7C">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4F449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230AC1B2">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一、深基坑工程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77E2565B">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349B6C5E">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2DB78F9F">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5D85C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0A5EDF53">
            <w:pPr>
              <w:keepNext w:val="0"/>
              <w:keepLines w:val="0"/>
              <w:widowControl w:val="0"/>
              <w:suppressLineNumbers w:val="0"/>
              <w:spacing w:before="0" w:beforeAutospacing="0" w:after="0" w:afterAutospacing="0" w:line="273" w:lineRule="auto"/>
              <w:ind w:left="0" w:right="0" w:firstLine="48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开挖深度超过5m（含5m）的基坑（槽）的土方开挖、支护、降水工程。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6D91BE11">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69CF5C72">
            <w:pPr>
              <w:keepNext w:val="0"/>
              <w:keepLines w:val="0"/>
              <w:widowControl w:val="0"/>
              <w:suppressLineNumbers w:val="0"/>
              <w:spacing w:before="0" w:beforeAutospacing="0" w:after="0" w:afterAutospacing="0" w:line="273" w:lineRule="auto"/>
              <w:ind w:left="0" w:right="0" w:firstLine="48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299852A4">
            <w:pPr>
              <w:keepNext w:val="0"/>
              <w:keepLines w:val="0"/>
              <w:widowControl w:val="0"/>
              <w:suppressLineNumbers w:val="0"/>
              <w:spacing w:before="0" w:beforeAutospacing="0" w:after="0" w:afterAutospacing="0" w:line="273" w:lineRule="auto"/>
              <w:ind w:left="0" w:right="0" w:firstLine="480"/>
              <w:jc w:val="center"/>
              <w:rPr>
                <w:rFonts w:hint="eastAsia" w:ascii="宋体" w:hAnsi="宋体" w:eastAsia="宋体" w:cs="Times New Roman"/>
                <w:color w:val="auto"/>
                <w:kern w:val="2"/>
                <w:sz w:val="21"/>
                <w:szCs w:val="21"/>
                <w:highlight w:val="none"/>
              </w:rPr>
            </w:pPr>
          </w:p>
        </w:tc>
      </w:tr>
      <w:tr w14:paraId="2A20A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5AD1A918">
            <w:pPr>
              <w:keepNext w:val="0"/>
              <w:keepLines w:val="0"/>
              <w:widowControl w:val="0"/>
              <w:suppressLineNumbers w:val="0"/>
              <w:spacing w:before="0" w:beforeAutospacing="0" w:after="0" w:afterAutospacing="0" w:line="273" w:lineRule="auto"/>
              <w:ind w:left="0" w:right="0" w:firstLine="48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二、模板工程及支撑体系</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338E938C">
            <w:pPr>
              <w:keepNext w:val="0"/>
              <w:keepLines w:val="0"/>
              <w:widowControl w:val="0"/>
              <w:suppressLineNumbers w:val="0"/>
              <w:spacing w:before="0" w:beforeAutospacing="0" w:after="0" w:afterAutospacing="0" w:line="273" w:lineRule="auto"/>
              <w:ind w:left="0" w:right="0" w:firstLine="315" w:firstLineChars="15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1A4C29EF">
            <w:pPr>
              <w:keepNext w:val="0"/>
              <w:keepLines w:val="0"/>
              <w:widowControl w:val="0"/>
              <w:suppressLineNumbers w:val="0"/>
              <w:spacing w:before="0" w:beforeAutospacing="0" w:after="0" w:afterAutospacing="0" w:line="273" w:lineRule="auto"/>
              <w:ind w:left="0" w:right="0" w:firstLine="48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51152B35">
            <w:pPr>
              <w:keepNext w:val="0"/>
              <w:keepLines w:val="0"/>
              <w:widowControl w:val="0"/>
              <w:suppressLineNumbers w:val="0"/>
              <w:spacing w:before="0" w:beforeAutospacing="0" w:after="0" w:afterAutospacing="0" w:line="273" w:lineRule="auto"/>
              <w:ind w:left="0" w:right="0" w:firstLine="480"/>
              <w:jc w:val="center"/>
              <w:rPr>
                <w:rFonts w:hint="eastAsia" w:ascii="宋体" w:hAnsi="宋体" w:eastAsia="宋体" w:cs="Times New Roman"/>
                <w:color w:val="auto"/>
                <w:kern w:val="2"/>
                <w:sz w:val="21"/>
                <w:szCs w:val="21"/>
                <w:highlight w:val="none"/>
              </w:rPr>
            </w:pPr>
          </w:p>
        </w:tc>
      </w:tr>
      <w:tr w14:paraId="53DC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0D7711C6">
            <w:pPr>
              <w:keepNext w:val="0"/>
              <w:keepLines w:val="0"/>
              <w:widowControl w:val="0"/>
              <w:suppressLineNumbers w:val="0"/>
              <w:spacing w:before="0" w:beforeAutospacing="0" w:after="0" w:afterAutospacing="0" w:line="273" w:lineRule="auto"/>
              <w:ind w:left="0" w:right="0" w:firstLine="48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（一）各类工具式模板工程：包括滑模、爬模、飞模、隧道模等工程。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43DDD2A1">
            <w:pPr>
              <w:keepNext w:val="0"/>
              <w:keepLines w:val="0"/>
              <w:widowControl w:val="0"/>
              <w:suppressLineNumbers w:val="0"/>
              <w:spacing w:before="0" w:beforeAutospacing="0" w:after="0" w:afterAutospacing="0" w:line="273" w:lineRule="auto"/>
              <w:ind w:left="0" w:right="0" w:firstLine="315" w:firstLineChars="15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1C875320">
            <w:pPr>
              <w:keepNext w:val="0"/>
              <w:keepLines w:val="0"/>
              <w:widowControl w:val="0"/>
              <w:suppressLineNumbers w:val="0"/>
              <w:spacing w:before="0" w:beforeAutospacing="0" w:after="0" w:afterAutospacing="0" w:line="273" w:lineRule="auto"/>
              <w:ind w:left="0" w:right="0" w:firstLine="48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704B451A">
            <w:pPr>
              <w:keepNext w:val="0"/>
              <w:keepLines w:val="0"/>
              <w:widowControl w:val="0"/>
              <w:suppressLineNumbers w:val="0"/>
              <w:spacing w:before="0" w:beforeAutospacing="0" w:after="0" w:afterAutospacing="0" w:line="273" w:lineRule="auto"/>
              <w:ind w:left="0" w:right="0" w:firstLine="480"/>
              <w:jc w:val="center"/>
              <w:rPr>
                <w:rFonts w:hint="eastAsia" w:ascii="宋体" w:hAnsi="宋体" w:eastAsia="宋体" w:cs="Times New Roman"/>
                <w:color w:val="auto"/>
                <w:kern w:val="2"/>
                <w:sz w:val="21"/>
                <w:szCs w:val="21"/>
                <w:highlight w:val="none"/>
              </w:rPr>
            </w:pPr>
          </w:p>
        </w:tc>
      </w:tr>
      <w:tr w14:paraId="4929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61E078BE">
            <w:pPr>
              <w:keepNext w:val="0"/>
              <w:keepLines w:val="0"/>
              <w:widowControl w:val="0"/>
              <w:suppressLineNumbers w:val="0"/>
              <w:spacing w:before="0" w:beforeAutospacing="0" w:after="0" w:afterAutospacing="0" w:line="273" w:lineRule="auto"/>
              <w:ind w:left="0" w:right="0" w:firstLine="48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（二）混凝土模板支撑工程：搭设高度8m及以上，或搭设跨度18m及以上，或施工总荷载（设计值）15kN/m2及以上，或集中线荷载（设计值）20kN/m及以上。</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4D843493">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461240C7">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6CF2C1C0">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760F1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2C9579DD">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（三）承重支撑体系：用于钢结构安装等满堂支撑体系，承受单点集中荷载7kN及以上。</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17023696">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086BDCB1">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7EB64458">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6F57C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7A494094">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三、起重吊装及起重机械安装拆卸工程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7A88FC0C">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64479975">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39A98DEA">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5B1EF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78AACDF2">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（一）采用非常规起重设备、方法，且单件起吊重量在100kN及以上的起重吊装工程。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1424EA92">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3EAAC632">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354FA88A">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775E3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45F7C9E2">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（二）起重量300kN及以上，或搭设总高度200m及以上，或搭设基础标高在200m及以上的起重机械安装和拆卸工程。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548B222D">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788878E3">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3A407B2A">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618CB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6E7B2318">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四、脚手架工程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2E6A94DD">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7CE5F849">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28BBC15C">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73F48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176B96B1">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（一）搭设高度50m及以上的落地式钢管脚手架工程。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37385172">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22B7BB73">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70B95548">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4B31A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37A5EFC9">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（二）提升高度在150m及以上的附着式升降脚手架工程或附着式升降操作平台工程。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7D307E67">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26ECF02F">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1E24AE63">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08FF4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3F6BEB2D">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（三）分段架体搭设高度20m及以上的悬挑式脚手架工程。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7CE47BF4">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bidi="ar"/>
              </w:rPr>
              <w:t xml:space="preserve">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74F2F119">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24F50B46">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14846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247E3F95">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五、拆除工程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7ECC86AF">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15F2E663">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16515FBD">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5F915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599F718D">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（一）码头、桥梁、高架、烟囱、水塔或拆除中容易引起有毒有害气（液）体或粉尘扩散、易燃易爆事故发生的特殊建、构筑物的拆除工程。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29E07058">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3D024C1E">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359267A2">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162A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2694F64B">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（二）文物保护建筑、优秀历史建筑或历史文化风貌区影响范围内的拆除工程。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2ACB6136">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3476053B">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766973ED">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787CA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179C92C0">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六、暗挖工程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452B07D0">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3929176E">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651BCDC1">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5B3DB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691D3D7A">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采用矿山法、盾构法、顶管法施工的隧道、洞室工程。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16B32853">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05CCB93E">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108BA209">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09315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534FE5AA">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七、其它</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48907146">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7683DEF2">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4EEA2B2E">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1FFEE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164C3116">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（一）施工高度50m及以上的建筑幕墙安装工程。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27725E51">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6D2661B4">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3D805AD2">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4CF69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40061CA3">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（二）跨度36m及以上的钢结构安装工程，或跨度60m及以上的网架和索膜结构安装工程。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02BEA354">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2DBC2FDB">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50B136C9">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76C99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655E833D">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（三）开挖深度16m及以上的人工挖孔桩工程。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5E65A621">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6A92A7AE">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49B0BC61">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20204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6F33FEF0">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（四）水下作业工程。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47D271FD">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75B6903F">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12C2139E">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506DC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41639F42">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（五）重量1000kN及以上的大型结构整体顶升、平移、转体等施工工艺。</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729FC855">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6B876FB5">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10F327E2">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r w14:paraId="7069E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shd w:val="clear" w:color="auto" w:fill="auto"/>
            <w:vAlign w:val="top"/>
          </w:tcPr>
          <w:p w14:paraId="6487069C">
            <w:pPr>
              <w:keepNext w:val="0"/>
              <w:keepLines w:val="0"/>
              <w:widowControl w:val="0"/>
              <w:suppressLineNumbers w:val="0"/>
              <w:spacing w:before="0" w:beforeAutospacing="0" w:after="0" w:afterAutospacing="0" w:line="273" w:lineRule="auto"/>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（六）采用新技术、新工艺、新材料、新设备可能影响工程施工安全，尚无国家、行业及地方技术标准的分部分项工程。</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726BB9D3">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14:paraId="4C6BDC1A">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w:t>
            </w:r>
          </w:p>
        </w:tc>
        <w:tc>
          <w:tcPr>
            <w:tcW w:w="1063" w:type="dxa"/>
            <w:tcBorders>
              <w:top w:val="single" w:color="auto" w:sz="4" w:space="0"/>
              <w:left w:val="single" w:color="auto" w:sz="4" w:space="0"/>
              <w:bottom w:val="single" w:color="auto" w:sz="4" w:space="0"/>
              <w:right w:val="single" w:color="auto" w:sz="4" w:space="0"/>
            </w:tcBorders>
            <w:shd w:val="clear" w:color="auto" w:fill="auto"/>
            <w:vAlign w:val="center"/>
          </w:tcPr>
          <w:p w14:paraId="6A195041">
            <w:pPr>
              <w:keepNext w:val="0"/>
              <w:keepLines w:val="0"/>
              <w:widowControl w:val="0"/>
              <w:suppressLineNumbers w:val="0"/>
              <w:spacing w:before="0" w:beforeAutospacing="0" w:after="0" w:afterAutospacing="0" w:line="273" w:lineRule="auto"/>
              <w:ind w:left="0" w:right="0"/>
              <w:jc w:val="center"/>
              <w:rPr>
                <w:rFonts w:hint="eastAsia" w:ascii="宋体" w:hAnsi="宋体" w:eastAsia="宋体" w:cs="Times New Roman"/>
                <w:color w:val="auto"/>
                <w:kern w:val="2"/>
                <w:sz w:val="21"/>
                <w:szCs w:val="21"/>
                <w:highlight w:val="none"/>
              </w:rPr>
            </w:pPr>
          </w:p>
        </w:tc>
      </w:tr>
    </w:tbl>
    <w:p w14:paraId="5701CB58">
      <w:pPr>
        <w:keepNext w:val="0"/>
        <w:keepLines w:val="0"/>
        <w:widowControl w:val="0"/>
        <w:suppressLineNumbers w:val="0"/>
        <w:spacing w:before="0" w:beforeAutospacing="0" w:after="0" w:afterAutospacing="0" w:line="360" w:lineRule="auto"/>
        <w:ind w:left="0" w:right="0" w:firstLine="3000" w:firstLineChars="125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2DC4C441">
      <w:pPr>
        <w:keepNext w:val="0"/>
        <w:keepLines w:val="0"/>
        <w:widowControl w:val="0"/>
        <w:suppressLineNumbers w:val="0"/>
        <w:spacing w:before="0" w:beforeAutospacing="0" w:after="0" w:afterAutospacing="0" w:line="360" w:lineRule="auto"/>
        <w:ind w:left="0" w:right="0" w:firstLine="3000" w:firstLineChars="1250"/>
        <w:jc w:val="both"/>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投标人名称（盖法人公章）：</w:t>
      </w:r>
    </w:p>
    <w:p w14:paraId="3E1B31DB">
      <w:pPr>
        <w:keepNext w:val="0"/>
        <w:keepLines w:val="0"/>
        <w:widowControl w:val="0"/>
        <w:suppressLineNumbers w:val="0"/>
        <w:spacing w:before="0" w:beforeAutospacing="0" w:after="0" w:afterAutospacing="0" w:line="360" w:lineRule="auto"/>
        <w:ind w:left="0" w:right="0" w:firstLine="3000" w:firstLineChars="1250"/>
        <w:jc w:val="both"/>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法定代表人或被授权人（签字或盖章）：</w:t>
      </w:r>
    </w:p>
    <w:p w14:paraId="533B70E0">
      <w:pPr>
        <w:keepNext w:val="0"/>
        <w:keepLines w:val="0"/>
        <w:widowControl w:val="0"/>
        <w:suppressLineNumbers w:val="0"/>
        <w:spacing w:before="0" w:beforeAutospacing="0" w:after="0" w:afterAutospacing="0" w:line="360" w:lineRule="auto"/>
        <w:ind w:left="0" w:right="0" w:firstLine="3120" w:firstLineChars="1300"/>
        <w:jc w:val="both"/>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2"/>
          <w:sz w:val="24"/>
          <w:szCs w:val="24"/>
          <w:highlight w:val="none"/>
          <w:lang w:val="en-US" w:eastAsia="zh-CN" w:bidi="ar"/>
        </w:rPr>
        <w:t>日  期：   年   月   日</w:t>
      </w:r>
    </w:p>
    <w:p w14:paraId="2B0CB0B6">
      <w:pPr>
        <w:pStyle w:val="14"/>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trike/>
          <w:dstrike w:val="0"/>
          <w:color w:val="auto"/>
          <w:kern w:val="2"/>
          <w:sz w:val="24"/>
          <w:szCs w:val="24"/>
          <w:highlight w:val="none"/>
        </w:rPr>
      </w:pPr>
      <w:r>
        <w:rPr>
          <w:rFonts w:hint="eastAsia" w:ascii="宋体" w:hAnsi="Courier New" w:eastAsia="宋体" w:cs="Times New Roman"/>
          <w:color w:val="auto"/>
          <w:kern w:val="44"/>
          <w:sz w:val="28"/>
          <w:szCs w:val="28"/>
          <w:highlight w:val="none"/>
          <w:lang w:val="en-US" w:eastAsia="zh-CN" w:bidi="ar"/>
        </w:rPr>
        <w:br w:type="page"/>
      </w:r>
    </w:p>
    <w:p w14:paraId="3805187B">
      <w:pPr>
        <w:pStyle w:val="14"/>
        <w:keepNext w:val="0"/>
        <w:keepLines w:val="0"/>
        <w:widowControl w:val="0"/>
        <w:suppressLineNumbers w:val="0"/>
        <w:spacing w:before="0" w:beforeAutospacing="0" w:after="0" w:afterAutospacing="0"/>
        <w:ind w:left="0" w:right="0" w:firstLine="42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 xml:space="preserve"> </w:t>
      </w:r>
    </w:p>
    <w:p w14:paraId="4C6E3C4F">
      <w:pPr>
        <w:pStyle w:val="14"/>
        <w:keepNext w:val="0"/>
        <w:keepLines w:val="0"/>
        <w:widowControl w:val="0"/>
        <w:suppressLineNumbers w:val="0"/>
        <w:spacing w:before="0" w:beforeAutospacing="0" w:after="0" w:afterAutospacing="0"/>
        <w:ind w:left="0" w:right="0" w:firstLine="42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 xml:space="preserve"> </w:t>
      </w:r>
    </w:p>
    <w:p w14:paraId="4DBCF819">
      <w:pPr>
        <w:pStyle w:val="14"/>
        <w:keepNext w:val="0"/>
        <w:keepLines w:val="0"/>
        <w:widowControl w:val="0"/>
        <w:suppressLineNumbers w:val="0"/>
        <w:spacing w:before="0" w:beforeAutospacing="0" w:after="0" w:afterAutospacing="0"/>
        <w:ind w:left="0" w:right="0" w:firstLine="42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 xml:space="preserve"> </w:t>
      </w:r>
    </w:p>
    <w:p w14:paraId="2736603A">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15C11E2B">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546431C7">
      <w:pPr>
        <w:keepNext w:val="0"/>
        <w:keepLines w:val="0"/>
        <w:widowControl w:val="0"/>
        <w:suppressLineNumbers w:val="0"/>
        <w:topLinePunct/>
        <w:adjustRightInd w:val="0"/>
        <w:snapToGrid w:val="0"/>
        <w:spacing w:before="0" w:beforeAutospacing="0" w:after="0" w:afterAutospacing="0" w:line="360" w:lineRule="auto"/>
        <w:ind w:left="0" w:right="0"/>
        <w:jc w:val="center"/>
        <w:outlineLvl w:val="0"/>
        <w:rPr>
          <w:rFonts w:hint="eastAsia" w:ascii="宋体" w:hAnsi="宋体" w:eastAsia="宋体" w:cs="Times New Roman"/>
          <w:b/>
          <w:bCs w:val="0"/>
          <w:color w:val="auto"/>
          <w:spacing w:val="4"/>
          <w:kern w:val="0"/>
          <w:sz w:val="30"/>
          <w:szCs w:val="30"/>
          <w:highlight w:val="none"/>
        </w:rPr>
      </w:pPr>
      <w:bookmarkStart w:id="164" w:name="_Toc14697669"/>
      <w:bookmarkEnd w:id="164"/>
      <w:bookmarkStart w:id="165" w:name="_Toc21343"/>
      <w:bookmarkEnd w:id="165"/>
      <w:bookmarkStart w:id="166" w:name="_Toc5194"/>
      <w:bookmarkEnd w:id="166"/>
      <w:bookmarkStart w:id="167" w:name="_Toc7019447"/>
      <w:r>
        <w:rPr>
          <w:rFonts w:hint="eastAsia" w:ascii="宋体" w:hAnsi="宋体" w:eastAsia="宋体" w:cs="宋体"/>
          <w:b/>
          <w:bCs w:val="0"/>
          <w:color w:val="auto"/>
          <w:spacing w:val="4"/>
          <w:kern w:val="0"/>
          <w:sz w:val="30"/>
          <w:szCs w:val="30"/>
          <w:highlight w:val="none"/>
          <w:lang w:val="en-US" w:eastAsia="zh-CN" w:bidi="ar"/>
        </w:rPr>
        <w:t>二、经济标投标文件格式</w:t>
      </w:r>
      <w:bookmarkEnd w:id="167"/>
    </w:p>
    <w:p w14:paraId="36F471ED">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0BC980DB">
      <w:pPr>
        <w:keepNext w:val="0"/>
        <w:keepLines w:val="0"/>
        <w:widowControl w:val="0"/>
        <w:suppressLineNumbers w:val="0"/>
        <w:spacing w:before="0" w:beforeAutospacing="0" w:after="0" w:afterAutospacing="0"/>
        <w:ind w:left="0" w:right="0"/>
        <w:jc w:val="both"/>
        <w:rPr>
          <w:rFonts w:hint="eastAsia" w:ascii="宋体" w:hAnsi="宋体" w:eastAsia="宋体" w:cs="Times New Roman"/>
          <w:b/>
          <w:bCs w:val="0"/>
          <w:color w:val="auto"/>
          <w:kern w:val="2"/>
          <w:sz w:val="24"/>
          <w:szCs w:val="24"/>
          <w:highlight w:val="none"/>
        </w:rPr>
      </w:pPr>
      <w:r>
        <w:rPr>
          <w:rFonts w:hint="eastAsia" w:ascii="宋体" w:hAnsi="宋体" w:eastAsia="宋体" w:cs="Times New Roman"/>
          <w:b/>
          <w:bCs w:val="0"/>
          <w:color w:val="auto"/>
          <w:kern w:val="2"/>
          <w:sz w:val="21"/>
          <w:szCs w:val="21"/>
          <w:highlight w:val="none"/>
          <w:lang w:val="en-US" w:eastAsia="zh-CN" w:bidi="ar"/>
        </w:rPr>
        <w:br w:type="page"/>
      </w:r>
      <w:r>
        <w:rPr>
          <w:rFonts w:hint="eastAsia" w:ascii="宋体" w:hAnsi="宋体" w:eastAsia="宋体" w:cs="宋体"/>
          <w:b/>
          <w:bCs w:val="0"/>
          <w:color w:val="auto"/>
          <w:kern w:val="2"/>
          <w:sz w:val="24"/>
          <w:szCs w:val="24"/>
          <w:highlight w:val="none"/>
          <w:lang w:val="en-US" w:eastAsia="zh-CN" w:bidi="ar"/>
        </w:rPr>
        <w:t>格式一：经济标封面</w:t>
      </w:r>
    </w:p>
    <w:p w14:paraId="3CEB5516">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423852B5">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5464D0B5">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36"/>
          <w:szCs w:val="36"/>
          <w:highlight w:val="none"/>
          <w:u w:val="single"/>
        </w:rPr>
      </w:pPr>
      <w:r>
        <w:rPr>
          <w:rFonts w:hint="eastAsia" w:ascii="宋体" w:hAnsi="宋体" w:eastAsia="宋体" w:cs="宋体"/>
          <w:color w:val="auto"/>
          <w:spacing w:val="4"/>
          <w:kern w:val="0"/>
          <w:sz w:val="36"/>
          <w:szCs w:val="36"/>
          <w:highlight w:val="none"/>
          <w:u w:val="single"/>
          <w:lang w:val="en-US" w:eastAsia="zh-CN" w:bidi="ar"/>
        </w:rPr>
        <w:t xml:space="preserve">[工程名称] </w:t>
      </w:r>
    </w:p>
    <w:p w14:paraId="59BE56FA">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18D07CEA">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1400BD5E">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32B202BF">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34BCCBFE">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84"/>
          <w:szCs w:val="84"/>
          <w:highlight w:val="none"/>
        </w:rPr>
      </w:pPr>
      <w:r>
        <w:rPr>
          <w:rFonts w:hint="eastAsia" w:ascii="宋体" w:hAnsi="宋体" w:eastAsia="宋体" w:cs="宋体"/>
          <w:color w:val="auto"/>
          <w:spacing w:val="4"/>
          <w:kern w:val="0"/>
          <w:sz w:val="84"/>
          <w:szCs w:val="84"/>
          <w:highlight w:val="none"/>
          <w:lang w:val="en-US" w:eastAsia="zh-CN" w:bidi="ar"/>
        </w:rPr>
        <w:t>投标文件</w:t>
      </w:r>
    </w:p>
    <w:p w14:paraId="4FFC797C">
      <w:pPr>
        <w:keepNext w:val="0"/>
        <w:keepLines w:val="0"/>
        <w:widowControl w:val="0"/>
        <w:suppressLineNumbers w:val="0"/>
        <w:topLinePunct/>
        <w:adjustRightInd w:val="0"/>
        <w:snapToGrid w:val="0"/>
        <w:spacing w:before="0" w:beforeAutospacing="0" w:after="0" w:afterAutospacing="0" w:line="360" w:lineRule="auto"/>
        <w:ind w:left="0" w:right="0"/>
        <w:jc w:val="center"/>
        <w:rPr>
          <w:rFonts w:hint="eastAsia" w:ascii="宋体" w:hAnsi="宋体" w:eastAsia="宋体" w:cs="Times New Roman"/>
          <w:color w:val="auto"/>
          <w:spacing w:val="4"/>
          <w:kern w:val="0"/>
          <w:sz w:val="36"/>
          <w:szCs w:val="36"/>
          <w:highlight w:val="none"/>
        </w:rPr>
      </w:pPr>
      <w:r>
        <w:rPr>
          <w:rFonts w:hint="eastAsia" w:ascii="宋体" w:hAnsi="宋体" w:eastAsia="宋体" w:cs="宋体"/>
          <w:color w:val="auto"/>
          <w:spacing w:val="4"/>
          <w:kern w:val="0"/>
          <w:sz w:val="36"/>
          <w:szCs w:val="36"/>
          <w:highlight w:val="none"/>
          <w:lang w:val="en-US" w:eastAsia="zh-CN" w:bidi="ar"/>
        </w:rPr>
        <w:t>第二册</w:t>
      </w:r>
      <w:r>
        <w:rPr>
          <w:rFonts w:hint="eastAsia" w:ascii="宋体" w:hAnsi="宋体" w:eastAsia="宋体" w:cs="Times New Roman"/>
          <w:color w:val="auto"/>
          <w:spacing w:val="4"/>
          <w:kern w:val="0"/>
          <w:sz w:val="36"/>
          <w:szCs w:val="36"/>
          <w:highlight w:val="none"/>
          <w:lang w:val="en-US" w:eastAsia="zh-CN" w:bidi="ar"/>
        </w:rPr>
        <w:t xml:space="preserve"> </w:t>
      </w:r>
      <w:r>
        <w:rPr>
          <w:rFonts w:hint="eastAsia" w:ascii="宋体" w:hAnsi="宋体" w:eastAsia="宋体" w:cs="宋体"/>
          <w:color w:val="auto"/>
          <w:spacing w:val="4"/>
          <w:kern w:val="0"/>
          <w:sz w:val="36"/>
          <w:szCs w:val="36"/>
          <w:highlight w:val="none"/>
          <w:lang w:val="en-US" w:eastAsia="zh-CN" w:bidi="ar"/>
        </w:rPr>
        <w:t>（经济标书）</w:t>
      </w:r>
    </w:p>
    <w:p w14:paraId="5B732270">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47B15DEB">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1334E82D">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3792837A">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70389866">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12FEC859">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6FBB6130">
      <w:pPr>
        <w:keepNext w:val="0"/>
        <w:keepLines w:val="0"/>
        <w:widowControl w:val="0"/>
        <w:suppressLineNumbers w:val="0"/>
        <w:topLinePunct/>
        <w:adjustRightInd w:val="0"/>
        <w:snapToGrid w:val="0"/>
        <w:spacing w:before="0" w:beforeAutospacing="0" w:after="0" w:afterAutospacing="0" w:line="360" w:lineRule="auto"/>
        <w:ind w:left="0" w:right="0" w:firstLine="616" w:firstLineChars="200"/>
        <w:jc w:val="left"/>
        <w:rPr>
          <w:rFonts w:hint="eastAsia" w:ascii="宋体" w:hAnsi="宋体" w:eastAsia="宋体" w:cs="Times New Roman"/>
          <w:color w:val="auto"/>
          <w:spacing w:val="4"/>
          <w:kern w:val="0"/>
          <w:sz w:val="30"/>
          <w:szCs w:val="30"/>
          <w:highlight w:val="none"/>
        </w:rPr>
      </w:pPr>
      <w:r>
        <w:rPr>
          <w:rFonts w:hint="eastAsia" w:ascii="宋体" w:hAnsi="宋体" w:eastAsia="宋体" w:cs="宋体"/>
          <w:color w:val="auto"/>
          <w:spacing w:val="4"/>
          <w:kern w:val="0"/>
          <w:sz w:val="30"/>
          <w:szCs w:val="30"/>
          <w:highlight w:val="none"/>
          <w:lang w:val="en-US" w:eastAsia="zh-CN" w:bidi="ar"/>
        </w:rPr>
        <w:t>投标人：</w:t>
      </w:r>
      <w:r>
        <w:rPr>
          <w:rFonts w:hint="eastAsia" w:ascii="宋体" w:hAnsi="宋体" w:eastAsia="宋体" w:cs="Times New Roman"/>
          <w:color w:val="auto"/>
          <w:spacing w:val="4"/>
          <w:kern w:val="0"/>
          <w:sz w:val="30"/>
          <w:szCs w:val="30"/>
          <w:highlight w:val="none"/>
          <w:u w:val="single"/>
          <w:lang w:val="en-US" w:eastAsia="zh-CN" w:bidi="ar"/>
        </w:rPr>
        <w:t xml:space="preserve">       </w:t>
      </w:r>
      <w:r>
        <w:rPr>
          <w:rFonts w:hint="eastAsia" w:ascii="宋体" w:hAnsi="宋体" w:eastAsia="宋体" w:cs="宋体"/>
          <w:color w:val="auto"/>
          <w:spacing w:val="4"/>
          <w:kern w:val="0"/>
          <w:sz w:val="30"/>
          <w:szCs w:val="30"/>
          <w:highlight w:val="none"/>
          <w:u w:val="single"/>
          <w:lang w:val="en-US" w:eastAsia="zh-CN" w:bidi="ar"/>
        </w:rPr>
        <w:t>（填写投标人单位名称）</w:t>
      </w:r>
      <w:r>
        <w:rPr>
          <w:rFonts w:hint="eastAsia" w:ascii="宋体" w:hAnsi="宋体" w:eastAsia="宋体" w:cs="Times New Roman"/>
          <w:color w:val="auto"/>
          <w:spacing w:val="4"/>
          <w:kern w:val="0"/>
          <w:sz w:val="30"/>
          <w:szCs w:val="30"/>
          <w:highlight w:val="none"/>
          <w:u w:val="single"/>
          <w:lang w:val="en-US" w:eastAsia="zh-CN" w:bidi="ar"/>
        </w:rPr>
        <w:t xml:space="preserve">       </w:t>
      </w:r>
      <w:r>
        <w:rPr>
          <w:rFonts w:hint="eastAsia" w:ascii="宋体" w:hAnsi="宋体" w:eastAsia="宋体" w:cs="宋体"/>
          <w:color w:val="auto"/>
          <w:spacing w:val="4"/>
          <w:kern w:val="0"/>
          <w:sz w:val="30"/>
          <w:szCs w:val="30"/>
          <w:highlight w:val="none"/>
          <w:u w:val="single"/>
          <w:lang w:val="en-US" w:eastAsia="zh-CN" w:bidi="ar"/>
        </w:rPr>
        <w:t>（盖章）</w:t>
      </w:r>
    </w:p>
    <w:p w14:paraId="34713414">
      <w:pPr>
        <w:keepNext w:val="0"/>
        <w:keepLines w:val="0"/>
        <w:widowControl w:val="0"/>
        <w:suppressLineNumbers w:val="0"/>
        <w:topLinePunct/>
        <w:adjustRightInd w:val="0"/>
        <w:snapToGrid w:val="0"/>
        <w:spacing w:before="0" w:beforeAutospacing="0" w:after="0" w:afterAutospacing="0" w:line="360" w:lineRule="auto"/>
        <w:ind w:left="0" w:right="0" w:firstLine="616" w:firstLineChars="200"/>
        <w:jc w:val="left"/>
        <w:rPr>
          <w:rFonts w:hint="eastAsia" w:ascii="宋体" w:hAnsi="宋体" w:eastAsia="宋体" w:cs="Times New Roman"/>
          <w:color w:val="auto"/>
          <w:spacing w:val="4"/>
          <w:kern w:val="0"/>
          <w:sz w:val="30"/>
          <w:szCs w:val="30"/>
          <w:highlight w:val="none"/>
        </w:rPr>
      </w:pPr>
      <w:r>
        <w:rPr>
          <w:rFonts w:hint="eastAsia" w:ascii="宋体" w:hAnsi="宋体" w:eastAsia="宋体" w:cs="Times New Roman"/>
          <w:color w:val="auto"/>
          <w:spacing w:val="4"/>
          <w:kern w:val="0"/>
          <w:sz w:val="30"/>
          <w:szCs w:val="30"/>
          <w:highlight w:val="none"/>
          <w:lang w:val="en-US" w:eastAsia="zh-CN" w:bidi="ar"/>
        </w:rPr>
        <w:t xml:space="preserve"> </w:t>
      </w:r>
    </w:p>
    <w:p w14:paraId="3612EC3D">
      <w:pPr>
        <w:keepNext w:val="0"/>
        <w:keepLines w:val="0"/>
        <w:widowControl w:val="0"/>
        <w:suppressLineNumbers w:val="0"/>
        <w:topLinePunct/>
        <w:adjustRightInd w:val="0"/>
        <w:snapToGrid w:val="0"/>
        <w:spacing w:before="0" w:beforeAutospacing="0" w:after="0" w:afterAutospacing="0" w:line="360" w:lineRule="auto"/>
        <w:ind w:left="0" w:right="0" w:firstLine="616" w:firstLineChars="200"/>
        <w:jc w:val="left"/>
        <w:rPr>
          <w:rFonts w:hint="eastAsia" w:ascii="宋体" w:hAnsi="宋体" w:eastAsia="宋体" w:cs="Times New Roman"/>
          <w:color w:val="auto"/>
          <w:spacing w:val="4"/>
          <w:kern w:val="0"/>
          <w:sz w:val="30"/>
          <w:szCs w:val="30"/>
          <w:highlight w:val="none"/>
        </w:rPr>
      </w:pPr>
      <w:r>
        <w:rPr>
          <w:rFonts w:hint="eastAsia" w:ascii="宋体" w:hAnsi="宋体" w:eastAsia="宋体" w:cs="宋体"/>
          <w:color w:val="auto"/>
          <w:spacing w:val="4"/>
          <w:kern w:val="0"/>
          <w:sz w:val="30"/>
          <w:szCs w:val="30"/>
          <w:highlight w:val="none"/>
          <w:lang w:val="en-US" w:eastAsia="zh-CN" w:bidi="ar"/>
        </w:rPr>
        <w:t>法定代表人或</w:t>
      </w:r>
    </w:p>
    <w:p w14:paraId="22511C41">
      <w:pPr>
        <w:keepNext w:val="0"/>
        <w:keepLines w:val="0"/>
        <w:widowControl w:val="0"/>
        <w:suppressLineNumbers w:val="0"/>
        <w:topLinePunct/>
        <w:adjustRightInd w:val="0"/>
        <w:snapToGrid w:val="0"/>
        <w:spacing w:before="0" w:beforeAutospacing="0" w:after="0" w:afterAutospacing="0" w:line="360" w:lineRule="auto"/>
        <w:ind w:left="0" w:right="0" w:firstLine="616" w:firstLineChars="200"/>
        <w:jc w:val="left"/>
        <w:rPr>
          <w:rFonts w:hint="eastAsia" w:ascii="宋体" w:hAnsi="宋体" w:eastAsia="宋体" w:cs="Times New Roman"/>
          <w:color w:val="auto"/>
          <w:spacing w:val="4"/>
          <w:kern w:val="0"/>
          <w:sz w:val="30"/>
          <w:szCs w:val="30"/>
          <w:highlight w:val="none"/>
        </w:rPr>
      </w:pPr>
      <w:r>
        <w:rPr>
          <w:rFonts w:hint="eastAsia" w:ascii="宋体" w:hAnsi="宋体" w:eastAsia="宋体" w:cs="宋体"/>
          <w:color w:val="auto"/>
          <w:spacing w:val="4"/>
          <w:kern w:val="0"/>
          <w:sz w:val="30"/>
          <w:szCs w:val="30"/>
          <w:highlight w:val="none"/>
          <w:lang w:val="en-US" w:eastAsia="zh-CN" w:bidi="ar"/>
        </w:rPr>
        <w:t>其委托代理人：</w:t>
      </w:r>
      <w:r>
        <w:rPr>
          <w:rFonts w:hint="eastAsia" w:ascii="宋体" w:hAnsi="宋体" w:eastAsia="宋体" w:cs="Times New Roman"/>
          <w:color w:val="auto"/>
          <w:spacing w:val="4"/>
          <w:kern w:val="0"/>
          <w:sz w:val="30"/>
          <w:szCs w:val="30"/>
          <w:highlight w:val="none"/>
          <w:u w:val="single"/>
          <w:lang w:val="en-US" w:eastAsia="zh-CN" w:bidi="ar"/>
        </w:rPr>
        <w:t xml:space="preserve">                        </w:t>
      </w:r>
      <w:r>
        <w:rPr>
          <w:rFonts w:hint="eastAsia" w:ascii="宋体" w:hAnsi="宋体" w:eastAsia="宋体" w:cs="宋体"/>
          <w:color w:val="auto"/>
          <w:spacing w:val="4"/>
          <w:kern w:val="0"/>
          <w:sz w:val="30"/>
          <w:szCs w:val="30"/>
          <w:highlight w:val="none"/>
          <w:u w:val="single"/>
          <w:lang w:val="en-US" w:eastAsia="zh-CN" w:bidi="ar"/>
        </w:rPr>
        <w:t>（签字或盖章）</w:t>
      </w:r>
    </w:p>
    <w:p w14:paraId="73A58ED2">
      <w:pPr>
        <w:keepNext w:val="0"/>
        <w:keepLines w:val="0"/>
        <w:widowControl w:val="0"/>
        <w:suppressLineNumbers w:val="0"/>
        <w:topLinePunct/>
        <w:adjustRightInd w:val="0"/>
        <w:snapToGrid w:val="0"/>
        <w:spacing w:before="0" w:beforeAutospacing="0" w:after="0" w:afterAutospacing="0" w:line="360" w:lineRule="auto"/>
        <w:ind w:left="0" w:right="0" w:firstLine="616" w:firstLineChars="200"/>
        <w:jc w:val="left"/>
        <w:rPr>
          <w:rFonts w:hint="eastAsia" w:ascii="宋体" w:hAnsi="宋体" w:eastAsia="宋体" w:cs="Times New Roman"/>
          <w:color w:val="auto"/>
          <w:spacing w:val="4"/>
          <w:kern w:val="0"/>
          <w:sz w:val="30"/>
          <w:szCs w:val="30"/>
          <w:highlight w:val="none"/>
        </w:rPr>
      </w:pPr>
      <w:r>
        <w:rPr>
          <w:rFonts w:hint="eastAsia" w:ascii="宋体" w:hAnsi="宋体" w:eastAsia="宋体" w:cs="宋体"/>
          <w:color w:val="auto"/>
          <w:spacing w:val="4"/>
          <w:kern w:val="0"/>
          <w:sz w:val="30"/>
          <w:szCs w:val="30"/>
          <w:highlight w:val="none"/>
          <w:lang w:val="en-US" w:eastAsia="zh-CN" w:bidi="ar"/>
        </w:rPr>
        <w:t>日</w:t>
      </w:r>
      <w:r>
        <w:rPr>
          <w:rFonts w:hint="eastAsia" w:ascii="宋体" w:hAnsi="宋体" w:eastAsia="宋体" w:cs="Times New Roman"/>
          <w:color w:val="auto"/>
          <w:spacing w:val="4"/>
          <w:kern w:val="0"/>
          <w:sz w:val="30"/>
          <w:szCs w:val="30"/>
          <w:highlight w:val="none"/>
          <w:lang w:val="en-US" w:eastAsia="zh-CN" w:bidi="ar"/>
        </w:rPr>
        <w:t xml:space="preserve">  </w:t>
      </w:r>
      <w:r>
        <w:rPr>
          <w:rFonts w:hint="eastAsia" w:ascii="宋体" w:hAnsi="宋体" w:eastAsia="宋体" w:cs="宋体"/>
          <w:color w:val="auto"/>
          <w:spacing w:val="4"/>
          <w:kern w:val="0"/>
          <w:sz w:val="30"/>
          <w:szCs w:val="30"/>
          <w:highlight w:val="none"/>
          <w:lang w:val="en-US" w:eastAsia="zh-CN" w:bidi="ar"/>
        </w:rPr>
        <w:t>期：</w:t>
      </w:r>
      <w:r>
        <w:rPr>
          <w:rFonts w:hint="eastAsia" w:ascii="宋体" w:hAnsi="宋体" w:eastAsia="宋体" w:cs="Times New Roman"/>
          <w:color w:val="auto"/>
          <w:spacing w:val="4"/>
          <w:kern w:val="0"/>
          <w:sz w:val="30"/>
          <w:szCs w:val="30"/>
          <w:highlight w:val="none"/>
          <w:u w:val="single"/>
          <w:lang w:val="en-US" w:eastAsia="zh-CN" w:bidi="ar"/>
        </w:rPr>
        <w:t xml:space="preserve">                                        </w:t>
      </w:r>
      <w:r>
        <w:rPr>
          <w:rFonts w:hint="eastAsia" w:ascii="宋体" w:hAnsi="宋体" w:eastAsia="宋体" w:cs="Times New Roman"/>
          <w:color w:val="auto"/>
          <w:spacing w:val="4"/>
          <w:kern w:val="0"/>
          <w:sz w:val="30"/>
          <w:szCs w:val="30"/>
          <w:highlight w:val="none"/>
          <w:lang w:val="en-US" w:eastAsia="zh-CN" w:bidi="ar"/>
        </w:rPr>
        <w:t xml:space="preserve"> </w:t>
      </w:r>
    </w:p>
    <w:p w14:paraId="5E11161E">
      <w:pPr>
        <w:keepNext w:val="0"/>
        <w:keepLines w:val="0"/>
        <w:widowControl w:val="0"/>
        <w:suppressLineNumbers w:val="0"/>
        <w:spacing w:before="0" w:beforeAutospacing="0" w:after="0" w:afterAutospacing="0"/>
        <w:ind w:left="0" w:right="0"/>
        <w:jc w:val="both"/>
        <w:rPr>
          <w:rFonts w:hint="eastAsia" w:ascii="宋体" w:hAnsi="宋体" w:eastAsia="宋体" w:cs="Times New Roman"/>
          <w:b/>
          <w:bCs w:val="0"/>
          <w:color w:val="auto"/>
          <w:kern w:val="2"/>
          <w:sz w:val="24"/>
          <w:szCs w:val="24"/>
          <w:highlight w:val="none"/>
        </w:rPr>
      </w:pPr>
      <w:r>
        <w:rPr>
          <w:rFonts w:hint="eastAsia" w:ascii="宋体" w:hAnsi="宋体" w:eastAsia="宋体" w:cs="Times New Roman"/>
          <w:color w:val="auto"/>
          <w:kern w:val="2"/>
          <w:sz w:val="21"/>
          <w:szCs w:val="21"/>
          <w:highlight w:val="none"/>
          <w:lang w:val="en-US" w:eastAsia="zh-CN" w:bidi="ar"/>
        </w:rPr>
        <w:br w:type="page"/>
      </w:r>
      <w:r>
        <w:rPr>
          <w:rFonts w:hint="eastAsia" w:ascii="宋体" w:hAnsi="宋体" w:eastAsia="宋体" w:cs="宋体"/>
          <w:b/>
          <w:bCs w:val="0"/>
          <w:color w:val="auto"/>
          <w:kern w:val="2"/>
          <w:sz w:val="24"/>
          <w:szCs w:val="24"/>
          <w:highlight w:val="none"/>
          <w:lang w:val="en-US" w:eastAsia="zh-CN" w:bidi="ar"/>
        </w:rPr>
        <w:t>格式二：工程量清单计价表</w:t>
      </w:r>
    </w:p>
    <w:p w14:paraId="4DDBDB8F">
      <w:pPr>
        <w:keepNext w:val="0"/>
        <w:keepLines w:val="0"/>
        <w:widowControl w:val="0"/>
        <w:suppressLineNumbers w:val="0"/>
        <w:topLinePunct/>
        <w:adjustRightInd w:val="0"/>
        <w:snapToGrid w:val="0"/>
        <w:spacing w:before="0" w:beforeAutospacing="0" w:after="0" w:afterAutospacing="0" w:line="360" w:lineRule="auto"/>
        <w:ind w:left="0" w:right="0" w:firstLine="498" w:firstLineChars="200"/>
        <w:jc w:val="both"/>
        <w:rPr>
          <w:rFonts w:hint="eastAsia" w:ascii="宋体" w:hAnsi="宋体" w:eastAsia="宋体" w:cs="Times New Roman"/>
          <w:b/>
          <w:bCs w:val="0"/>
          <w:color w:val="auto"/>
          <w:spacing w:val="4"/>
          <w:kern w:val="0"/>
          <w:sz w:val="24"/>
          <w:szCs w:val="24"/>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14:paraId="761B6BF3">
      <w:pPr>
        <w:keepNext w:val="0"/>
        <w:keepLines w:val="0"/>
        <w:widowControl w:val="0"/>
        <w:suppressLineNumbers w:val="0"/>
        <w:topLinePunct/>
        <w:adjustRightInd w:val="0"/>
        <w:snapToGrid w:val="0"/>
        <w:spacing w:before="156" w:beforeAutospacing="0" w:after="156" w:afterAutospacing="0" w:line="360" w:lineRule="auto"/>
        <w:ind w:left="0" w:right="0" w:firstLine="617"/>
        <w:jc w:val="center"/>
        <w:rPr>
          <w:rFonts w:hint="eastAsia" w:ascii="宋体" w:hAnsi="宋体" w:eastAsia="宋体" w:cs="Times New Roman"/>
          <w:b/>
          <w:bCs w:val="0"/>
          <w:color w:val="auto"/>
          <w:spacing w:val="4"/>
          <w:kern w:val="0"/>
          <w:sz w:val="36"/>
          <w:szCs w:val="36"/>
          <w:highlight w:val="none"/>
        </w:rPr>
      </w:pPr>
      <w:r>
        <w:rPr>
          <w:rFonts w:hint="eastAsia" w:ascii="宋体" w:hAnsi="宋体" w:eastAsia="宋体" w:cs="宋体"/>
          <w:b/>
          <w:bCs w:val="0"/>
          <w:color w:val="auto"/>
          <w:spacing w:val="4"/>
          <w:kern w:val="0"/>
          <w:sz w:val="36"/>
          <w:szCs w:val="36"/>
          <w:highlight w:val="none"/>
          <w:lang w:val="en-US" w:eastAsia="zh-CN" w:bidi="ar"/>
        </w:rPr>
        <w:t>工程量清单计价表</w:t>
      </w:r>
    </w:p>
    <w:p w14:paraId="6958DFE7">
      <w:pPr>
        <w:keepNext w:val="0"/>
        <w:keepLines w:val="0"/>
        <w:widowControl w:val="0"/>
        <w:suppressLineNumbers w:val="0"/>
        <w:topLinePunct/>
        <w:adjustRightInd w:val="0"/>
        <w:snapToGrid w:val="0"/>
        <w:spacing w:before="0" w:beforeAutospacing="0" w:after="0" w:afterAutospacing="0" w:line="360" w:lineRule="auto"/>
        <w:ind w:left="0" w:right="0" w:firstLine="498" w:firstLineChars="200"/>
        <w:jc w:val="both"/>
        <w:rPr>
          <w:rFonts w:hint="eastAsia" w:ascii="宋体" w:hAnsi="宋体" w:eastAsia="宋体" w:cs="Times New Roman"/>
          <w:b/>
          <w:bCs w:val="0"/>
          <w:color w:val="auto"/>
          <w:spacing w:val="4"/>
          <w:kern w:val="0"/>
          <w:sz w:val="24"/>
          <w:szCs w:val="24"/>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14:paraId="26CAE72E">
      <w:pPr>
        <w:keepNext w:val="0"/>
        <w:keepLines w:val="0"/>
        <w:widowControl w:val="0"/>
        <w:suppressLineNumbers w:val="0"/>
        <w:topLinePunct/>
        <w:adjustRightInd w:val="0"/>
        <w:snapToGrid w:val="0"/>
        <w:spacing w:before="0" w:beforeAutospacing="0" w:after="0" w:afterAutospacing="0" w:line="360" w:lineRule="auto"/>
        <w:ind w:left="0" w:right="0" w:firstLine="498" w:firstLineChars="200"/>
        <w:jc w:val="both"/>
        <w:rPr>
          <w:rFonts w:hint="eastAsia" w:ascii="宋体" w:hAnsi="宋体" w:eastAsia="宋体" w:cs="Times New Roman"/>
          <w:b/>
          <w:bCs w:val="0"/>
          <w:color w:val="auto"/>
          <w:spacing w:val="4"/>
          <w:kern w:val="0"/>
          <w:sz w:val="24"/>
          <w:szCs w:val="24"/>
          <w:highlight w:val="none"/>
        </w:rPr>
      </w:pPr>
      <w:r>
        <w:rPr>
          <w:rFonts w:hint="eastAsia" w:ascii="宋体" w:hAnsi="宋体" w:eastAsia="宋体" w:cs="宋体"/>
          <w:b/>
          <w:bCs w:val="0"/>
          <w:color w:val="auto"/>
          <w:spacing w:val="4"/>
          <w:kern w:val="0"/>
          <w:sz w:val="24"/>
          <w:szCs w:val="24"/>
          <w:highlight w:val="none"/>
          <w:lang w:val="en-US" w:eastAsia="zh-CN" w:bidi="ar"/>
        </w:rPr>
        <w:t>本部分内容详见招标文件第七章工程量清单。</w:t>
      </w:r>
    </w:p>
    <w:p w14:paraId="24C4E5F6">
      <w:pPr>
        <w:keepNext w:val="0"/>
        <w:keepLines w:val="0"/>
        <w:widowControl w:val="0"/>
        <w:suppressLineNumbers w:val="0"/>
        <w:topLinePunct/>
        <w:adjustRightInd w:val="0"/>
        <w:snapToGrid w:val="0"/>
        <w:spacing w:before="0" w:beforeAutospacing="0" w:after="0" w:afterAutospacing="0" w:line="360" w:lineRule="auto"/>
        <w:ind w:left="0" w:right="0" w:firstLine="496" w:firstLineChars="200"/>
        <w:jc w:val="both"/>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lang w:val="en-US" w:eastAsia="zh-CN" w:bidi="ar"/>
        </w:rPr>
        <w:t xml:space="preserve"> </w:t>
      </w:r>
    </w:p>
    <w:p w14:paraId="2C6FC48F">
      <w:pPr>
        <w:keepNext w:val="0"/>
        <w:keepLines w:val="0"/>
        <w:widowControl w:val="0"/>
        <w:suppressLineNumbers w:val="0"/>
        <w:spacing w:before="0" w:beforeAutospacing="0" w:after="0" w:afterAutospacing="0"/>
        <w:ind w:left="0" w:right="0"/>
        <w:jc w:val="both"/>
        <w:rPr>
          <w:rFonts w:hint="eastAsia" w:ascii="宋体" w:hAnsi="宋体" w:eastAsia="宋体" w:cs="Times New Roman"/>
          <w:b/>
          <w:bCs w:val="0"/>
          <w:color w:val="auto"/>
          <w:kern w:val="2"/>
          <w:sz w:val="24"/>
          <w:szCs w:val="24"/>
          <w:highlight w:val="none"/>
        </w:rPr>
      </w:pPr>
      <w:r>
        <w:rPr>
          <w:rFonts w:hint="eastAsia" w:ascii="宋体" w:hAnsi="宋体" w:eastAsia="宋体" w:cs="Times New Roman"/>
          <w:color w:val="auto"/>
          <w:kern w:val="2"/>
          <w:sz w:val="21"/>
          <w:szCs w:val="21"/>
          <w:highlight w:val="none"/>
          <w:lang w:val="en-US" w:eastAsia="zh-CN" w:bidi="ar"/>
        </w:rPr>
        <w:br w:type="page"/>
      </w:r>
      <w:r>
        <w:rPr>
          <w:rFonts w:hint="eastAsia" w:ascii="宋体" w:hAnsi="宋体" w:eastAsia="宋体" w:cs="宋体"/>
          <w:b/>
          <w:bCs w:val="0"/>
          <w:color w:val="auto"/>
          <w:kern w:val="2"/>
          <w:sz w:val="24"/>
          <w:szCs w:val="24"/>
          <w:highlight w:val="none"/>
          <w:lang w:val="en-US" w:eastAsia="zh-CN" w:bidi="ar"/>
        </w:rPr>
        <w:t>格式三：参与编制经济标投标文件人员名单</w:t>
      </w:r>
    </w:p>
    <w:p w14:paraId="002F81B6">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14:paraId="1E5F8784">
      <w:pPr>
        <w:keepNext w:val="0"/>
        <w:keepLines w:val="0"/>
        <w:widowControl w:val="0"/>
        <w:suppressLineNumbers w:val="0"/>
        <w:topLinePunct/>
        <w:adjustRightInd w:val="0"/>
        <w:snapToGrid w:val="0"/>
        <w:spacing w:before="156" w:beforeAutospacing="0" w:after="156" w:afterAutospacing="0" w:line="360" w:lineRule="auto"/>
        <w:ind w:left="0" w:right="0" w:firstLine="617"/>
        <w:jc w:val="center"/>
        <w:rPr>
          <w:rFonts w:hint="eastAsia" w:ascii="宋体" w:hAnsi="宋体" w:eastAsia="宋体" w:cs="Times New Roman"/>
          <w:color w:val="auto"/>
          <w:spacing w:val="4"/>
          <w:kern w:val="0"/>
          <w:sz w:val="36"/>
          <w:szCs w:val="36"/>
          <w:highlight w:val="none"/>
        </w:rPr>
      </w:pPr>
      <w:r>
        <w:rPr>
          <w:rFonts w:hint="eastAsia" w:ascii="宋体" w:hAnsi="宋体" w:eastAsia="宋体" w:cs="宋体"/>
          <w:color w:val="auto"/>
          <w:spacing w:val="4"/>
          <w:kern w:val="0"/>
          <w:sz w:val="36"/>
          <w:szCs w:val="36"/>
          <w:highlight w:val="none"/>
          <w:lang w:val="en-US" w:eastAsia="zh-CN" w:bidi="ar"/>
        </w:rPr>
        <w:t>参与编制经济标投标文件人员名单</w:t>
      </w:r>
    </w:p>
    <w:tbl>
      <w:tblPr>
        <w:tblStyle w:val="17"/>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92"/>
        <w:gridCol w:w="1382"/>
        <w:gridCol w:w="2341"/>
        <w:gridCol w:w="2245"/>
        <w:gridCol w:w="2304"/>
      </w:tblGrid>
      <w:tr w14:paraId="7658A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4" w:hRule="atLeast"/>
        </w:trPr>
        <w:tc>
          <w:tcPr>
            <w:tcW w:w="9464"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459C96B9">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投标单位名称</w:t>
            </w:r>
          </w:p>
        </w:tc>
      </w:tr>
      <w:tr w14:paraId="183BB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2" w:hRule="atLeast"/>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1A974F04">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姓名</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14:paraId="64A281B5">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职务</w:t>
            </w:r>
          </w:p>
        </w:tc>
        <w:tc>
          <w:tcPr>
            <w:tcW w:w="2341" w:type="dxa"/>
            <w:tcBorders>
              <w:top w:val="single" w:color="auto" w:sz="4" w:space="0"/>
              <w:left w:val="single" w:color="auto" w:sz="4" w:space="0"/>
              <w:bottom w:val="single" w:color="auto" w:sz="4" w:space="0"/>
              <w:right w:val="single" w:color="auto" w:sz="4" w:space="0"/>
            </w:tcBorders>
            <w:shd w:val="clear" w:color="auto" w:fill="auto"/>
            <w:vAlign w:val="center"/>
          </w:tcPr>
          <w:p w14:paraId="0C026E05">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所承担工作</w:t>
            </w:r>
          </w:p>
        </w:tc>
        <w:tc>
          <w:tcPr>
            <w:tcW w:w="2245" w:type="dxa"/>
            <w:tcBorders>
              <w:top w:val="single" w:color="auto" w:sz="4" w:space="0"/>
              <w:left w:val="single" w:color="auto" w:sz="4" w:space="0"/>
              <w:bottom w:val="single" w:color="auto" w:sz="4" w:space="0"/>
              <w:right w:val="single" w:color="auto" w:sz="4" w:space="0"/>
            </w:tcBorders>
            <w:shd w:val="clear" w:color="auto" w:fill="auto"/>
            <w:vAlign w:val="center"/>
          </w:tcPr>
          <w:p w14:paraId="457995D7">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身份证号码</w:t>
            </w:r>
          </w:p>
        </w:tc>
        <w:tc>
          <w:tcPr>
            <w:tcW w:w="2304" w:type="dxa"/>
            <w:tcBorders>
              <w:top w:val="single" w:color="auto" w:sz="4" w:space="0"/>
              <w:left w:val="single" w:color="auto" w:sz="4" w:space="0"/>
              <w:bottom w:val="single" w:color="auto" w:sz="4" w:space="0"/>
              <w:right w:val="single" w:color="auto" w:sz="4" w:space="0"/>
            </w:tcBorders>
            <w:shd w:val="clear" w:color="auto" w:fill="auto"/>
            <w:vAlign w:val="center"/>
          </w:tcPr>
          <w:p w14:paraId="7D42770A">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本人签名栏</w:t>
            </w:r>
          </w:p>
        </w:tc>
      </w:tr>
      <w:tr w14:paraId="3DE7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8" w:hRule="atLeast"/>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734ACEFE">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14:paraId="532CD14B">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341" w:type="dxa"/>
            <w:tcBorders>
              <w:top w:val="single" w:color="auto" w:sz="4" w:space="0"/>
              <w:left w:val="single" w:color="auto" w:sz="4" w:space="0"/>
              <w:bottom w:val="single" w:color="auto" w:sz="4" w:space="0"/>
              <w:right w:val="single" w:color="auto" w:sz="4" w:space="0"/>
            </w:tcBorders>
            <w:shd w:val="clear" w:color="auto" w:fill="auto"/>
            <w:vAlign w:val="center"/>
          </w:tcPr>
          <w:p w14:paraId="7D943C0D">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245" w:type="dxa"/>
            <w:tcBorders>
              <w:top w:val="single" w:color="auto" w:sz="4" w:space="0"/>
              <w:left w:val="single" w:color="auto" w:sz="4" w:space="0"/>
              <w:bottom w:val="single" w:color="auto" w:sz="4" w:space="0"/>
              <w:right w:val="single" w:color="auto" w:sz="4" w:space="0"/>
            </w:tcBorders>
            <w:shd w:val="clear" w:color="auto" w:fill="auto"/>
            <w:vAlign w:val="center"/>
          </w:tcPr>
          <w:p w14:paraId="4B945CB5">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304" w:type="dxa"/>
            <w:tcBorders>
              <w:top w:val="single" w:color="auto" w:sz="4" w:space="0"/>
              <w:left w:val="single" w:color="auto" w:sz="4" w:space="0"/>
              <w:bottom w:val="single" w:color="auto" w:sz="4" w:space="0"/>
              <w:right w:val="single" w:color="auto" w:sz="4" w:space="0"/>
            </w:tcBorders>
            <w:shd w:val="clear" w:color="auto" w:fill="auto"/>
            <w:vAlign w:val="center"/>
          </w:tcPr>
          <w:p w14:paraId="4F8CD1DF">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r>
      <w:tr w14:paraId="64DFC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13559465">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14:paraId="2A7A32B2">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341" w:type="dxa"/>
            <w:tcBorders>
              <w:top w:val="single" w:color="auto" w:sz="4" w:space="0"/>
              <w:left w:val="single" w:color="auto" w:sz="4" w:space="0"/>
              <w:bottom w:val="single" w:color="auto" w:sz="4" w:space="0"/>
              <w:right w:val="single" w:color="auto" w:sz="4" w:space="0"/>
            </w:tcBorders>
            <w:shd w:val="clear" w:color="auto" w:fill="auto"/>
            <w:vAlign w:val="center"/>
          </w:tcPr>
          <w:p w14:paraId="562896F9">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245" w:type="dxa"/>
            <w:tcBorders>
              <w:top w:val="single" w:color="auto" w:sz="4" w:space="0"/>
              <w:left w:val="single" w:color="auto" w:sz="4" w:space="0"/>
              <w:bottom w:val="single" w:color="auto" w:sz="4" w:space="0"/>
              <w:right w:val="single" w:color="auto" w:sz="4" w:space="0"/>
            </w:tcBorders>
            <w:shd w:val="clear" w:color="auto" w:fill="auto"/>
            <w:vAlign w:val="center"/>
          </w:tcPr>
          <w:p w14:paraId="0C5F1AC4">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304" w:type="dxa"/>
            <w:tcBorders>
              <w:top w:val="single" w:color="auto" w:sz="4" w:space="0"/>
              <w:left w:val="single" w:color="auto" w:sz="4" w:space="0"/>
              <w:bottom w:val="single" w:color="auto" w:sz="4" w:space="0"/>
              <w:right w:val="single" w:color="auto" w:sz="4" w:space="0"/>
            </w:tcBorders>
            <w:shd w:val="clear" w:color="auto" w:fill="auto"/>
            <w:vAlign w:val="center"/>
          </w:tcPr>
          <w:p w14:paraId="040AEB17">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r>
      <w:tr w14:paraId="37BC3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38F1A9ED">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14:paraId="36E21AF6">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341" w:type="dxa"/>
            <w:tcBorders>
              <w:top w:val="single" w:color="auto" w:sz="4" w:space="0"/>
              <w:left w:val="single" w:color="auto" w:sz="4" w:space="0"/>
              <w:bottom w:val="single" w:color="auto" w:sz="4" w:space="0"/>
              <w:right w:val="single" w:color="auto" w:sz="4" w:space="0"/>
            </w:tcBorders>
            <w:shd w:val="clear" w:color="auto" w:fill="auto"/>
            <w:vAlign w:val="center"/>
          </w:tcPr>
          <w:p w14:paraId="3E4199CF">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245" w:type="dxa"/>
            <w:tcBorders>
              <w:top w:val="single" w:color="auto" w:sz="4" w:space="0"/>
              <w:left w:val="single" w:color="auto" w:sz="4" w:space="0"/>
              <w:bottom w:val="single" w:color="auto" w:sz="4" w:space="0"/>
              <w:right w:val="single" w:color="auto" w:sz="4" w:space="0"/>
            </w:tcBorders>
            <w:shd w:val="clear" w:color="auto" w:fill="auto"/>
            <w:vAlign w:val="center"/>
          </w:tcPr>
          <w:p w14:paraId="02C22A61">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304" w:type="dxa"/>
            <w:tcBorders>
              <w:top w:val="single" w:color="auto" w:sz="4" w:space="0"/>
              <w:left w:val="single" w:color="auto" w:sz="4" w:space="0"/>
              <w:bottom w:val="single" w:color="auto" w:sz="4" w:space="0"/>
              <w:right w:val="single" w:color="auto" w:sz="4" w:space="0"/>
            </w:tcBorders>
            <w:shd w:val="clear" w:color="auto" w:fill="auto"/>
            <w:vAlign w:val="center"/>
          </w:tcPr>
          <w:p w14:paraId="03A41EEF">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r>
      <w:tr w14:paraId="182E6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48A1EB3B">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14:paraId="077AD703">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341" w:type="dxa"/>
            <w:tcBorders>
              <w:top w:val="single" w:color="auto" w:sz="4" w:space="0"/>
              <w:left w:val="single" w:color="auto" w:sz="4" w:space="0"/>
              <w:bottom w:val="single" w:color="auto" w:sz="4" w:space="0"/>
              <w:right w:val="single" w:color="auto" w:sz="4" w:space="0"/>
            </w:tcBorders>
            <w:shd w:val="clear" w:color="auto" w:fill="auto"/>
            <w:vAlign w:val="center"/>
          </w:tcPr>
          <w:p w14:paraId="5C4131F4">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245" w:type="dxa"/>
            <w:tcBorders>
              <w:top w:val="single" w:color="auto" w:sz="4" w:space="0"/>
              <w:left w:val="single" w:color="auto" w:sz="4" w:space="0"/>
              <w:bottom w:val="single" w:color="auto" w:sz="4" w:space="0"/>
              <w:right w:val="single" w:color="auto" w:sz="4" w:space="0"/>
            </w:tcBorders>
            <w:shd w:val="clear" w:color="auto" w:fill="auto"/>
            <w:vAlign w:val="center"/>
          </w:tcPr>
          <w:p w14:paraId="78964790">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304" w:type="dxa"/>
            <w:tcBorders>
              <w:top w:val="single" w:color="auto" w:sz="4" w:space="0"/>
              <w:left w:val="single" w:color="auto" w:sz="4" w:space="0"/>
              <w:bottom w:val="single" w:color="auto" w:sz="4" w:space="0"/>
              <w:right w:val="single" w:color="auto" w:sz="4" w:space="0"/>
            </w:tcBorders>
            <w:shd w:val="clear" w:color="auto" w:fill="auto"/>
            <w:vAlign w:val="center"/>
          </w:tcPr>
          <w:p w14:paraId="61834F7B">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r>
      <w:tr w14:paraId="5540D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0458963F">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14:paraId="54044482">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341" w:type="dxa"/>
            <w:tcBorders>
              <w:top w:val="single" w:color="auto" w:sz="4" w:space="0"/>
              <w:left w:val="single" w:color="auto" w:sz="4" w:space="0"/>
              <w:bottom w:val="single" w:color="auto" w:sz="4" w:space="0"/>
              <w:right w:val="single" w:color="auto" w:sz="4" w:space="0"/>
            </w:tcBorders>
            <w:shd w:val="clear" w:color="auto" w:fill="auto"/>
            <w:vAlign w:val="center"/>
          </w:tcPr>
          <w:p w14:paraId="2D1D413A">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245" w:type="dxa"/>
            <w:tcBorders>
              <w:top w:val="single" w:color="auto" w:sz="4" w:space="0"/>
              <w:left w:val="single" w:color="auto" w:sz="4" w:space="0"/>
              <w:bottom w:val="single" w:color="auto" w:sz="4" w:space="0"/>
              <w:right w:val="single" w:color="auto" w:sz="4" w:space="0"/>
            </w:tcBorders>
            <w:shd w:val="clear" w:color="auto" w:fill="auto"/>
            <w:vAlign w:val="center"/>
          </w:tcPr>
          <w:p w14:paraId="3247C25C">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304" w:type="dxa"/>
            <w:tcBorders>
              <w:top w:val="single" w:color="auto" w:sz="4" w:space="0"/>
              <w:left w:val="single" w:color="auto" w:sz="4" w:space="0"/>
              <w:bottom w:val="single" w:color="auto" w:sz="4" w:space="0"/>
              <w:right w:val="single" w:color="auto" w:sz="4" w:space="0"/>
            </w:tcBorders>
            <w:shd w:val="clear" w:color="auto" w:fill="auto"/>
            <w:vAlign w:val="center"/>
          </w:tcPr>
          <w:p w14:paraId="29E7FC2E">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r>
      <w:tr w14:paraId="4C8D0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33398CC6">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14:paraId="64037E2A">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341" w:type="dxa"/>
            <w:tcBorders>
              <w:top w:val="single" w:color="auto" w:sz="4" w:space="0"/>
              <w:left w:val="single" w:color="auto" w:sz="4" w:space="0"/>
              <w:bottom w:val="single" w:color="auto" w:sz="4" w:space="0"/>
              <w:right w:val="single" w:color="auto" w:sz="4" w:space="0"/>
            </w:tcBorders>
            <w:shd w:val="clear" w:color="auto" w:fill="auto"/>
            <w:vAlign w:val="center"/>
          </w:tcPr>
          <w:p w14:paraId="606BBBBD">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245" w:type="dxa"/>
            <w:tcBorders>
              <w:top w:val="single" w:color="auto" w:sz="4" w:space="0"/>
              <w:left w:val="single" w:color="auto" w:sz="4" w:space="0"/>
              <w:bottom w:val="single" w:color="auto" w:sz="4" w:space="0"/>
              <w:right w:val="single" w:color="auto" w:sz="4" w:space="0"/>
            </w:tcBorders>
            <w:shd w:val="clear" w:color="auto" w:fill="auto"/>
            <w:vAlign w:val="center"/>
          </w:tcPr>
          <w:p w14:paraId="751CC07D">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304" w:type="dxa"/>
            <w:tcBorders>
              <w:top w:val="single" w:color="auto" w:sz="4" w:space="0"/>
              <w:left w:val="single" w:color="auto" w:sz="4" w:space="0"/>
              <w:bottom w:val="single" w:color="auto" w:sz="4" w:space="0"/>
              <w:right w:val="single" w:color="auto" w:sz="4" w:space="0"/>
            </w:tcBorders>
            <w:shd w:val="clear" w:color="auto" w:fill="auto"/>
            <w:vAlign w:val="center"/>
          </w:tcPr>
          <w:p w14:paraId="28DA461D">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r>
      <w:tr w14:paraId="48200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2" w:hRule="atLeast"/>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59D2737A">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14:paraId="721D858D">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341" w:type="dxa"/>
            <w:tcBorders>
              <w:top w:val="single" w:color="auto" w:sz="4" w:space="0"/>
              <w:left w:val="single" w:color="auto" w:sz="4" w:space="0"/>
              <w:bottom w:val="single" w:color="auto" w:sz="4" w:space="0"/>
              <w:right w:val="single" w:color="auto" w:sz="4" w:space="0"/>
            </w:tcBorders>
            <w:shd w:val="clear" w:color="auto" w:fill="auto"/>
            <w:vAlign w:val="center"/>
          </w:tcPr>
          <w:p w14:paraId="71E8C169">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245" w:type="dxa"/>
            <w:tcBorders>
              <w:top w:val="single" w:color="auto" w:sz="4" w:space="0"/>
              <w:left w:val="single" w:color="auto" w:sz="4" w:space="0"/>
              <w:bottom w:val="single" w:color="auto" w:sz="4" w:space="0"/>
              <w:right w:val="single" w:color="auto" w:sz="4" w:space="0"/>
            </w:tcBorders>
            <w:shd w:val="clear" w:color="auto" w:fill="auto"/>
            <w:vAlign w:val="center"/>
          </w:tcPr>
          <w:p w14:paraId="1DB8212F">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304" w:type="dxa"/>
            <w:tcBorders>
              <w:top w:val="single" w:color="auto" w:sz="4" w:space="0"/>
              <w:left w:val="single" w:color="auto" w:sz="4" w:space="0"/>
              <w:bottom w:val="single" w:color="auto" w:sz="4" w:space="0"/>
              <w:right w:val="single" w:color="auto" w:sz="4" w:space="0"/>
            </w:tcBorders>
            <w:shd w:val="clear" w:color="auto" w:fill="auto"/>
            <w:vAlign w:val="center"/>
          </w:tcPr>
          <w:p w14:paraId="42A2A699">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r>
      <w:tr w14:paraId="098D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2" w:hRule="atLeast"/>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14:paraId="4E0220FE">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14:paraId="4FD05E1C">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341" w:type="dxa"/>
            <w:tcBorders>
              <w:top w:val="single" w:color="auto" w:sz="4" w:space="0"/>
              <w:left w:val="single" w:color="auto" w:sz="4" w:space="0"/>
              <w:bottom w:val="single" w:color="auto" w:sz="4" w:space="0"/>
              <w:right w:val="single" w:color="auto" w:sz="4" w:space="0"/>
            </w:tcBorders>
            <w:shd w:val="clear" w:color="auto" w:fill="auto"/>
            <w:vAlign w:val="center"/>
          </w:tcPr>
          <w:p w14:paraId="348D9003">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245" w:type="dxa"/>
            <w:tcBorders>
              <w:top w:val="single" w:color="auto" w:sz="4" w:space="0"/>
              <w:left w:val="single" w:color="auto" w:sz="4" w:space="0"/>
              <w:bottom w:val="single" w:color="auto" w:sz="4" w:space="0"/>
              <w:right w:val="single" w:color="auto" w:sz="4" w:space="0"/>
            </w:tcBorders>
            <w:shd w:val="clear" w:color="auto" w:fill="auto"/>
            <w:vAlign w:val="center"/>
          </w:tcPr>
          <w:p w14:paraId="39F78284">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c>
          <w:tcPr>
            <w:tcW w:w="2304" w:type="dxa"/>
            <w:tcBorders>
              <w:top w:val="single" w:color="auto" w:sz="4" w:space="0"/>
              <w:left w:val="single" w:color="auto" w:sz="4" w:space="0"/>
              <w:bottom w:val="single" w:color="auto" w:sz="4" w:space="0"/>
              <w:right w:val="single" w:color="auto" w:sz="4" w:space="0"/>
            </w:tcBorders>
            <w:shd w:val="clear" w:color="auto" w:fill="auto"/>
            <w:vAlign w:val="center"/>
          </w:tcPr>
          <w:p w14:paraId="3BCC6F63">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Times New Roman"/>
                <w:color w:val="auto"/>
                <w:kern w:val="2"/>
                <w:sz w:val="24"/>
                <w:szCs w:val="24"/>
                <w:highlight w:val="none"/>
              </w:rPr>
            </w:pPr>
          </w:p>
        </w:tc>
      </w:tr>
    </w:tbl>
    <w:p w14:paraId="4DA3D2DD">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14:paraId="5C48A55B">
      <w:pPr>
        <w:keepNext w:val="0"/>
        <w:keepLines w:val="0"/>
        <w:widowControl w:val="0"/>
        <w:suppressLineNumbers w:val="0"/>
        <w:autoSpaceDE w:val="0"/>
        <w:autoSpaceDN w:val="0"/>
        <w:adjustRightInd w:val="0"/>
        <w:spacing w:before="0" w:beforeAutospacing="0" w:after="0" w:afterAutospacing="0" w:line="360" w:lineRule="auto"/>
        <w:ind w:left="0" w:right="0" w:firstLine="368"/>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注：参与编制经济标书所有人员名单应包括如编制各种专业工程量清单投标报价、负责清样校对、负责打印及扫描等所有人员在内的人员名单。</w:t>
      </w:r>
      <w:r>
        <w:rPr>
          <w:rFonts w:hint="eastAsia" w:ascii="宋体" w:hAnsi="宋体" w:eastAsia="宋体" w:cs="Times New Roman"/>
          <w:bCs/>
          <w:color w:val="auto"/>
          <w:kern w:val="2"/>
          <w:sz w:val="24"/>
          <w:szCs w:val="24"/>
          <w:highlight w:val="none"/>
          <w:lang w:val="en-US" w:eastAsia="zh-CN" w:bidi="ar"/>
        </w:rPr>
        <w:t xml:space="preserve"> </w:t>
      </w:r>
    </w:p>
    <w:p w14:paraId="3F5B728B">
      <w:pPr>
        <w:keepNext w:val="0"/>
        <w:keepLines w:val="0"/>
        <w:widowControl w:val="0"/>
        <w:suppressLineNumbers w:val="0"/>
        <w:autoSpaceDE w:val="0"/>
        <w:autoSpaceDN w:val="0"/>
        <w:adjustRightInd w:val="0"/>
        <w:spacing w:before="0" w:beforeAutospacing="0" w:after="0" w:afterAutospacing="0"/>
        <w:ind w:left="0" w:right="0"/>
        <w:jc w:val="both"/>
        <w:rPr>
          <w:rFonts w:hint="eastAsia" w:ascii="宋体" w:hAnsi="宋体" w:eastAsia="宋体" w:cs="Times New Roman"/>
          <w:b/>
          <w:bCs w:val="0"/>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br w:type="page"/>
      </w:r>
      <w:r>
        <w:rPr>
          <w:rFonts w:hint="eastAsia" w:ascii="宋体" w:hAnsi="宋体" w:eastAsia="宋体" w:cs="宋体"/>
          <w:b/>
          <w:bCs w:val="0"/>
          <w:color w:val="auto"/>
          <w:kern w:val="2"/>
          <w:sz w:val="24"/>
          <w:szCs w:val="24"/>
          <w:highlight w:val="none"/>
          <w:lang w:val="en-US" w:eastAsia="zh-CN" w:bidi="ar"/>
        </w:rPr>
        <w:t>格式四：对投标文件编制的承诺</w:t>
      </w:r>
    </w:p>
    <w:p w14:paraId="634DABDD">
      <w:pPr>
        <w:keepNext w:val="0"/>
        <w:keepLines w:val="0"/>
        <w:widowControl w:val="0"/>
        <w:suppressLineNumbers w:val="0"/>
        <w:autoSpaceDE w:val="0"/>
        <w:autoSpaceDN w:val="0"/>
        <w:adjustRightInd w:val="0"/>
        <w:spacing w:before="0" w:beforeAutospacing="0" w:after="0" w:afterAutospacing="0"/>
        <w:ind w:left="0" w:right="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 xml:space="preserve"> </w:t>
      </w:r>
    </w:p>
    <w:p w14:paraId="281063A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color w:val="auto"/>
          <w:kern w:val="0"/>
          <w:sz w:val="32"/>
          <w:szCs w:val="32"/>
          <w:highlight w:val="none"/>
        </w:rPr>
      </w:pPr>
      <w:r>
        <w:rPr>
          <w:rFonts w:hint="eastAsia" w:ascii="宋体" w:hAnsi="宋体" w:eastAsia="宋体" w:cs="宋体"/>
          <w:b/>
          <w:bCs w:val="0"/>
          <w:color w:val="auto"/>
          <w:kern w:val="0"/>
          <w:sz w:val="32"/>
          <w:szCs w:val="32"/>
          <w:highlight w:val="none"/>
          <w:lang w:val="en-US" w:eastAsia="zh-CN" w:bidi="ar"/>
        </w:rPr>
        <w:t>对投标文件编制的承诺</w:t>
      </w:r>
    </w:p>
    <w:p w14:paraId="133D97C9">
      <w:pPr>
        <w:keepNext w:val="0"/>
        <w:keepLines w:val="0"/>
        <w:widowControl w:val="0"/>
        <w:suppressLineNumbers w:val="0"/>
        <w:spacing w:before="0" w:beforeAutospacing="0" w:after="0" w:afterAutospacing="0" w:line="360" w:lineRule="auto"/>
        <w:ind w:left="-2" w:leftChars="-1" w:right="0" w:firstLine="540" w:firstLineChars="225"/>
        <w:jc w:val="both"/>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本公司授权</w:t>
      </w:r>
      <w:r>
        <w:rPr>
          <w:rFonts w:hint="eastAsia" w:ascii="宋体" w:hAnsi="宋体"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u w:val="single"/>
          <w:lang w:val="en-US" w:eastAsia="zh-CN" w:bidi="ar"/>
        </w:rPr>
        <w:t>（身份证号：</w:t>
      </w:r>
      <w:r>
        <w:rPr>
          <w:rFonts w:hint="eastAsia" w:ascii="宋体" w:hAnsi="宋体"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u w:val="single"/>
          <w:lang w:val="en-US" w:eastAsia="zh-CN" w:bidi="ar"/>
        </w:rPr>
        <w:t>）</w:t>
      </w:r>
      <w:r>
        <w:rPr>
          <w:rFonts w:hint="eastAsia" w:ascii="宋体" w:hAnsi="宋体" w:eastAsia="宋体" w:cs="宋体"/>
          <w:color w:val="auto"/>
          <w:kern w:val="0"/>
          <w:sz w:val="24"/>
          <w:szCs w:val="24"/>
          <w:highlight w:val="none"/>
          <w:lang w:val="en-US" w:eastAsia="zh-CN" w:bidi="ar"/>
        </w:rPr>
        <w:t>负责对投标文件的编制及内容进行解释、说明，并承诺以下事项：</w:t>
      </w:r>
    </w:p>
    <w:p w14:paraId="2767A049">
      <w:pPr>
        <w:keepNext w:val="0"/>
        <w:keepLines w:val="0"/>
        <w:widowControl w:val="0"/>
        <w:suppressLineNumbers w:val="0"/>
        <w:spacing w:before="0" w:beforeAutospacing="0" w:after="0" w:afterAutospacing="0" w:line="360" w:lineRule="auto"/>
        <w:ind w:left="-2" w:leftChars="-1" w:right="0" w:firstLine="540" w:firstLineChars="225"/>
        <w:jc w:val="both"/>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1.被授权人清楚投标文件编制的具体情况，包括技术方案文件、工程量清单、以及投标文件的加密打包的理解；</w:t>
      </w:r>
    </w:p>
    <w:p w14:paraId="3E72B6D5">
      <w:pPr>
        <w:keepNext w:val="0"/>
        <w:keepLines w:val="0"/>
        <w:widowControl w:val="0"/>
        <w:suppressLineNumbers w:val="0"/>
        <w:spacing w:before="0" w:beforeAutospacing="0" w:after="0" w:afterAutospacing="0" w:line="360" w:lineRule="auto"/>
        <w:ind w:left="-2" w:leftChars="-1" w:right="0" w:firstLine="540" w:firstLineChars="225"/>
        <w:jc w:val="both"/>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2.在本项目开标至评标结束前，努力确保被授权人在项目评标所在地附近；</w:t>
      </w:r>
    </w:p>
    <w:p w14:paraId="4B17E4E5">
      <w:pPr>
        <w:keepNext w:val="0"/>
        <w:keepLines w:val="0"/>
        <w:widowControl w:val="0"/>
        <w:suppressLineNumbers w:val="0"/>
        <w:spacing w:before="0" w:beforeAutospacing="0" w:after="0" w:afterAutospacing="0" w:line="360" w:lineRule="auto"/>
        <w:ind w:left="-2" w:leftChars="-1" w:right="0" w:firstLine="540" w:firstLineChars="225"/>
        <w:jc w:val="both"/>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3.从评标委员会要求澄清起二小时内，被授权人应如实地书面澄清。</w:t>
      </w:r>
    </w:p>
    <w:p w14:paraId="4F0B829B">
      <w:pPr>
        <w:keepNext w:val="0"/>
        <w:keepLines w:val="0"/>
        <w:widowControl w:val="0"/>
        <w:suppressLineNumbers w:val="0"/>
        <w:spacing w:before="0" w:beforeAutospacing="0" w:after="0" w:afterAutospacing="0" w:line="360" w:lineRule="auto"/>
        <w:ind w:left="-2" w:leftChars="-1" w:right="0" w:firstLine="540" w:firstLineChars="225"/>
        <w:jc w:val="both"/>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如由于未遵守上述承诺内容之一导致无法进行澄清的，我公司认可和接受评标委员会作出的评审结论。</w:t>
      </w:r>
      <w:r>
        <w:rPr>
          <w:rFonts w:hint="eastAsia" w:ascii="宋体" w:hAnsi="宋体" w:eastAsia="宋体" w:cs="Times New Roman"/>
          <w:color w:val="auto"/>
          <w:kern w:val="0"/>
          <w:sz w:val="24"/>
          <w:szCs w:val="24"/>
          <w:highlight w:val="none"/>
          <w:lang w:val="en-US" w:eastAsia="zh-CN" w:bidi="ar"/>
        </w:rPr>
        <w:t xml:space="preserve">                                 </w:t>
      </w:r>
    </w:p>
    <w:p w14:paraId="53978A06">
      <w:pPr>
        <w:keepNext w:val="0"/>
        <w:keepLines w:val="0"/>
        <w:widowControl w:val="0"/>
        <w:suppressLineNumbers w:val="0"/>
        <w:spacing w:before="0" w:beforeAutospacing="0" w:after="0" w:afterAutospacing="0" w:line="360" w:lineRule="auto"/>
        <w:ind w:left="0" w:right="0" w:firstLine="360" w:firstLineChars="150"/>
        <w:jc w:val="both"/>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 xml:space="preserve"> </w:t>
      </w:r>
    </w:p>
    <w:p w14:paraId="06CDE98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附件：《投标文件编制情况》</w:t>
      </w:r>
    </w:p>
    <w:p w14:paraId="5F1EA2F5">
      <w:pPr>
        <w:keepNext w:val="0"/>
        <w:keepLines w:val="0"/>
        <w:widowControl w:val="0"/>
        <w:suppressLineNumbers w:val="0"/>
        <w:spacing w:before="0" w:beforeAutospacing="0" w:after="0" w:afterAutospacing="0" w:line="360" w:lineRule="auto"/>
        <w:ind w:left="0" w:right="90" w:firstLine="3240" w:firstLineChars="1350"/>
        <w:jc w:val="both"/>
        <w:rPr>
          <w:rFonts w:hint="eastAsia" w:ascii="宋体" w:hAnsi="宋体" w:eastAsia="宋体" w:cs="Times New Roman"/>
          <w:color w:val="auto"/>
          <w:kern w:val="2"/>
          <w:sz w:val="24"/>
          <w:szCs w:val="24"/>
          <w:highlight w:val="none"/>
          <w:u w:val="single"/>
        </w:rPr>
      </w:pP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投标人名称（盖法人公章）：</w:t>
      </w:r>
      <w:r>
        <w:rPr>
          <w:rFonts w:hint="eastAsia" w:ascii="宋体" w:hAnsi="宋体" w:eastAsia="宋体" w:cs="Times New Roman"/>
          <w:color w:val="auto"/>
          <w:kern w:val="2"/>
          <w:sz w:val="24"/>
          <w:szCs w:val="24"/>
          <w:highlight w:val="none"/>
          <w:u w:val="single"/>
          <w:lang w:val="en-US" w:eastAsia="zh-CN" w:bidi="ar"/>
        </w:rPr>
        <w:t xml:space="preserve">                  </w:t>
      </w:r>
    </w:p>
    <w:p w14:paraId="52257743">
      <w:pPr>
        <w:keepNext w:val="0"/>
        <w:keepLines w:val="0"/>
        <w:widowControl w:val="0"/>
        <w:suppressLineNumbers w:val="0"/>
        <w:spacing w:before="0" w:beforeAutospacing="0" w:after="0" w:afterAutospacing="0" w:line="360" w:lineRule="auto"/>
        <w:ind w:left="0" w:right="0" w:firstLine="2160" w:firstLineChars="900"/>
        <w:jc w:val="both"/>
        <w:rPr>
          <w:rFonts w:hint="eastAsia" w:ascii="宋体" w:hAnsi="宋体" w:eastAsia="宋体" w:cs="Times New Roman"/>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法定代表人或被授权人（签字或盖章）：</w:t>
      </w:r>
      <w:r>
        <w:rPr>
          <w:rFonts w:hint="eastAsia" w:ascii="宋体" w:hAnsi="宋体" w:eastAsia="宋体" w:cs="Times New Roman"/>
          <w:color w:val="auto"/>
          <w:kern w:val="2"/>
          <w:sz w:val="24"/>
          <w:szCs w:val="24"/>
          <w:highlight w:val="none"/>
          <w:u w:val="single"/>
          <w:lang w:val="en-US" w:eastAsia="zh-CN" w:bidi="ar"/>
        </w:rPr>
        <w:t xml:space="preserve">                  </w:t>
      </w:r>
    </w:p>
    <w:p w14:paraId="5375105D">
      <w:pPr>
        <w:keepNext w:val="0"/>
        <w:keepLines w:val="0"/>
        <w:widowControl w:val="0"/>
        <w:suppressLineNumbers w:val="0"/>
        <w:spacing w:before="0" w:beforeAutospacing="0" w:after="0" w:afterAutospacing="0" w:line="360" w:lineRule="auto"/>
        <w:ind w:left="0" w:right="0" w:firstLine="4440" w:firstLineChars="1850"/>
        <w:jc w:val="center"/>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日期：</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年</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月</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日</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Times New Roman"/>
          <w:color w:val="auto"/>
          <w:kern w:val="2"/>
          <w:sz w:val="18"/>
          <w:szCs w:val="18"/>
          <w:highlight w:val="none"/>
          <w:lang w:val="en-US" w:eastAsia="zh-CN" w:bidi="ar"/>
        </w:rPr>
        <w:t xml:space="preserve"> </w:t>
      </w:r>
      <w:r>
        <w:rPr>
          <w:rFonts w:hint="eastAsia" w:ascii="宋体" w:hAnsi="宋体" w:eastAsia="宋体" w:cs="Times New Roman"/>
          <w:color w:val="auto"/>
          <w:kern w:val="2"/>
          <w:sz w:val="24"/>
          <w:szCs w:val="24"/>
          <w:highlight w:val="none"/>
          <w:lang w:val="en-US" w:eastAsia="zh-CN" w:bidi="ar"/>
        </w:rPr>
        <w:t xml:space="preserve">    </w:t>
      </w:r>
    </w:p>
    <w:p w14:paraId="178B73F1">
      <w:pPr>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b/>
          <w:bCs w:val="0"/>
          <w:color w:val="auto"/>
          <w:kern w:val="0"/>
          <w:sz w:val="32"/>
          <w:szCs w:val="32"/>
          <w:highlight w:val="none"/>
        </w:rPr>
      </w:pPr>
      <w:r>
        <w:rPr>
          <w:rFonts w:hint="eastAsia" w:ascii="宋体" w:hAnsi="宋体" w:eastAsia="宋体" w:cs="Times New Roman"/>
          <w:b/>
          <w:bCs w:val="0"/>
          <w:color w:val="auto"/>
          <w:kern w:val="0"/>
          <w:sz w:val="32"/>
          <w:szCs w:val="32"/>
          <w:highlight w:val="none"/>
          <w:lang w:val="en-US" w:eastAsia="zh-CN" w:bidi="ar"/>
        </w:rPr>
        <w:t xml:space="preserve"> </w:t>
      </w:r>
    </w:p>
    <w:p w14:paraId="7ADC0D05">
      <w:pPr>
        <w:keepNext w:val="0"/>
        <w:keepLines w:val="0"/>
        <w:widowControl w:val="0"/>
        <w:suppressLineNumbers w:val="0"/>
        <w:spacing w:before="0" w:beforeAutospacing="0" w:after="0" w:afterAutospacing="0" w:line="360" w:lineRule="auto"/>
        <w:ind w:left="0" w:right="0" w:firstLine="643" w:firstLineChars="200"/>
        <w:jc w:val="center"/>
        <w:rPr>
          <w:rFonts w:hint="eastAsia" w:ascii="宋体" w:hAnsi="宋体" w:eastAsia="宋体" w:cs="Times New Roman"/>
          <w:color w:val="auto"/>
          <w:kern w:val="0"/>
          <w:sz w:val="18"/>
          <w:szCs w:val="18"/>
          <w:highlight w:val="none"/>
        </w:rPr>
      </w:pPr>
      <w:r>
        <w:rPr>
          <w:rFonts w:hint="eastAsia" w:ascii="宋体" w:hAnsi="宋体" w:eastAsia="宋体" w:cs="宋体"/>
          <w:b/>
          <w:bCs w:val="0"/>
          <w:color w:val="auto"/>
          <w:kern w:val="0"/>
          <w:sz w:val="32"/>
          <w:szCs w:val="32"/>
          <w:highlight w:val="none"/>
          <w:lang w:val="en-US" w:eastAsia="zh-CN" w:bidi="ar"/>
        </w:rPr>
        <w:t>投标文件编制情况</w:t>
      </w:r>
    </w:p>
    <w:tbl>
      <w:tblPr>
        <w:tblStyle w:val="17"/>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22"/>
      </w:tblGrid>
      <w:tr w14:paraId="38AA2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9" w:hRule="atLeast"/>
          <w:jc w:val="center"/>
        </w:trPr>
        <w:tc>
          <w:tcPr>
            <w:tcW w:w="8522" w:type="dxa"/>
            <w:tcBorders>
              <w:top w:val="nil"/>
              <w:left w:val="nil"/>
              <w:bottom w:val="nil"/>
              <w:right w:val="nil"/>
            </w:tcBorders>
            <w:shd w:val="clear" w:color="auto" w:fill="auto"/>
            <w:vAlign w:val="top"/>
          </w:tcPr>
          <w:p w14:paraId="0728D00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1.投标文件报价编制方式: □自行编制的，编制的负责人：</w:t>
            </w:r>
            <w:r>
              <w:rPr>
                <w:rFonts w:hint="eastAsia" w:ascii="宋体" w:hAnsi="宋体" w:eastAsia="宋体" w:cs="宋体"/>
                <w:color w:val="auto"/>
                <w:kern w:val="2"/>
                <w:sz w:val="24"/>
                <w:szCs w:val="24"/>
                <w:highlight w:val="none"/>
                <w:u w:val="single"/>
                <w:lang w:val="en-US" w:eastAsia="zh-CN" w:bidi="ar"/>
              </w:rPr>
              <w:t xml:space="preserve"> （盖造价工程师执业专用章或全国建设工程造价员章，执业单位应与投标人一致）</w:t>
            </w:r>
            <w:r>
              <w:rPr>
                <w:rFonts w:hint="eastAsia" w:ascii="宋体" w:hAnsi="宋体"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。□委托编制的，受委托单位</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，编制的负责人：</w:t>
            </w:r>
            <w:r>
              <w:rPr>
                <w:rFonts w:hint="eastAsia" w:ascii="宋体" w:hAnsi="宋体" w:eastAsia="宋体" w:cs="宋体"/>
                <w:color w:val="auto"/>
                <w:kern w:val="2"/>
                <w:sz w:val="24"/>
                <w:szCs w:val="24"/>
                <w:highlight w:val="none"/>
                <w:u w:val="single"/>
                <w:lang w:val="en-US" w:eastAsia="zh-CN" w:bidi="ar"/>
              </w:rPr>
              <w:t xml:space="preserve"> （盖造价工程师执业专用章或全国建设工程造价员章，执业单位应与受委托单位一致）</w:t>
            </w:r>
            <w:r>
              <w:rPr>
                <w:rFonts w:hint="eastAsia" w:ascii="宋体" w:hAnsi="宋体"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w:t>
            </w:r>
          </w:p>
          <w:p w14:paraId="61E4F1D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2.投标文件加密打包的电脑情况投标文件加密打包的电脑     自有    □      外包    □     其他    □</w:t>
            </w:r>
          </w:p>
          <w:p w14:paraId="54679330">
            <w:pPr>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电脑类型</w:t>
            </w:r>
          </w:p>
          <w:p w14:paraId="3B644553">
            <w:pPr>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电脑所属单位</w:t>
            </w:r>
          </w:p>
          <w:p w14:paraId="348C123A">
            <w:pPr>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电脑所在地址</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       （如××市××区(县) ××街（路）××号××大厦××房）</w:t>
            </w:r>
          </w:p>
        </w:tc>
      </w:tr>
    </w:tbl>
    <w:p w14:paraId="28847FDE">
      <w:pPr>
        <w:keepNext w:val="0"/>
        <w:keepLines w:val="0"/>
        <w:widowControl w:val="0"/>
        <w:suppressLineNumbers w:val="0"/>
        <w:spacing w:before="0" w:beforeAutospacing="0" w:after="0" w:afterAutospacing="0" w:line="320" w:lineRule="exact"/>
        <w:ind w:left="0" w:right="0"/>
        <w:jc w:val="both"/>
        <w:rPr>
          <w:rFonts w:hint="eastAsia" w:ascii="仿宋_GB2312" w:hAnsi="楷体" w:eastAsia="仿宋_GB2312" w:cs="Times New Roman"/>
          <w:color w:val="auto"/>
          <w:kern w:val="2"/>
          <w:sz w:val="21"/>
          <w:szCs w:val="21"/>
          <w:highlight w:val="none"/>
        </w:rPr>
      </w:pPr>
      <w:r>
        <w:rPr>
          <w:rFonts w:hint="eastAsia" w:ascii="仿宋_GB2312" w:hAnsi="楷体" w:eastAsia="仿宋_GB2312" w:cs="Times New Roman"/>
          <w:color w:val="auto"/>
          <w:kern w:val="2"/>
          <w:sz w:val="21"/>
          <w:szCs w:val="21"/>
          <w:highlight w:val="none"/>
          <w:lang w:val="en-US" w:eastAsia="zh-CN" w:bidi="ar"/>
        </w:rPr>
        <w:t xml:space="preserve"> </w:t>
      </w:r>
    </w:p>
    <w:p w14:paraId="247DA6D2">
      <w:pPr>
        <w:keepNext w:val="0"/>
        <w:keepLines w:val="0"/>
        <w:widowControl w:val="0"/>
        <w:suppressLineNumbers w:val="0"/>
        <w:snapToGrid w:val="0"/>
        <w:spacing w:before="0" w:beforeAutospacing="0" w:after="0" w:afterAutospacing="0" w:line="360" w:lineRule="auto"/>
        <w:ind w:left="0" w:right="0"/>
        <w:jc w:val="center"/>
        <w:rPr>
          <w:rFonts w:hint="default" w:ascii="Arial" w:hAnsi="Arial" w:eastAsia="宋体" w:cs="Times New Roman"/>
          <w:b/>
          <w:bCs w:val="0"/>
          <w:color w:val="auto"/>
          <w:kern w:val="44"/>
          <w:sz w:val="36"/>
          <w:szCs w:val="36"/>
          <w:highlight w:val="none"/>
        </w:rPr>
      </w:pPr>
      <w:r>
        <w:rPr>
          <w:rFonts w:hint="default" w:ascii="Calibri" w:hAnsi="Calibri" w:eastAsia="宋体" w:cs="Times New Roman"/>
          <w:color w:val="auto"/>
          <w:kern w:val="2"/>
          <w:sz w:val="24"/>
          <w:szCs w:val="24"/>
          <w:highlight w:val="none"/>
          <w:lang w:val="en-US" w:eastAsia="zh-CN" w:bidi="ar"/>
        </w:rPr>
        <w:br w:type="page"/>
      </w:r>
      <w:bookmarkStart w:id="168" w:name="_Toc2272568"/>
      <w:bookmarkEnd w:id="168"/>
      <w:bookmarkStart w:id="169" w:name="_Toc21525513"/>
      <w:r>
        <w:rPr>
          <w:rStyle w:val="24"/>
          <w:rFonts w:hint="eastAsia" w:ascii="宋体" w:hAnsi="宋体" w:eastAsia="宋体" w:cs="宋体"/>
          <w:color w:val="auto"/>
          <w:kern w:val="2"/>
          <w:sz w:val="24"/>
          <w:szCs w:val="24"/>
          <w:highlight w:val="none"/>
          <w:lang w:val="en-US" w:eastAsia="zh-CN" w:bidi="ar"/>
        </w:rPr>
        <w:t>第五章</w:t>
      </w:r>
      <w:r>
        <w:rPr>
          <w:rStyle w:val="24"/>
          <w:rFonts w:hint="eastAsia" w:ascii="Calibri" w:hAnsi="Calibri" w:eastAsia="宋体" w:cs="Times New Roman"/>
          <w:color w:val="auto"/>
          <w:kern w:val="2"/>
          <w:sz w:val="24"/>
          <w:szCs w:val="24"/>
          <w:highlight w:val="none"/>
          <w:lang w:val="en-US" w:eastAsia="zh-CN" w:bidi="ar"/>
        </w:rPr>
        <w:t xml:space="preserve">  </w:t>
      </w:r>
      <w:r>
        <w:rPr>
          <w:rStyle w:val="24"/>
          <w:rFonts w:hint="eastAsia" w:ascii="宋体" w:hAnsi="宋体" w:eastAsia="宋体" w:cs="宋体"/>
          <w:color w:val="auto"/>
          <w:kern w:val="2"/>
          <w:sz w:val="24"/>
          <w:szCs w:val="24"/>
          <w:highlight w:val="none"/>
          <w:lang w:val="en-US" w:eastAsia="zh-CN" w:bidi="ar"/>
        </w:rPr>
        <w:t>技术条件（工程建设标准）</w:t>
      </w:r>
      <w:bookmarkEnd w:id="169"/>
    </w:p>
    <w:p w14:paraId="37B515FC">
      <w:pPr>
        <w:rPr>
          <w:rFonts w:hint="eastAsia" w:ascii="宋体" w:hAnsi="宋体" w:eastAsia="宋体" w:cs="宋体"/>
          <w:b/>
          <w:bCs w:val="0"/>
          <w:color w:val="auto"/>
          <w:spacing w:val="0"/>
          <w:kern w:val="2"/>
          <w:sz w:val="30"/>
          <w:szCs w:val="30"/>
          <w:highlight w:val="none"/>
        </w:rPr>
      </w:pPr>
    </w:p>
    <w:p w14:paraId="2072B4F3">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注：另册。</w:t>
      </w:r>
    </w:p>
    <w:p w14:paraId="757DCA08">
      <w:pPr>
        <w:keepNext w:val="0"/>
        <w:keepLines w:val="0"/>
        <w:widowControl/>
        <w:suppressLineNumbers w:val="0"/>
        <w:pBdr>
          <w:top w:val="none" w:color="auto" w:sz="0" w:space="0"/>
          <w:left w:val="none" w:color="auto" w:sz="0" w:space="0"/>
          <w:bottom w:val="none" w:color="auto" w:sz="0" w:space="0"/>
          <w:right w:val="none" w:color="auto" w:sz="0" w:space="0"/>
        </w:pBdr>
        <w:shd w:val="clear" w:fill="FFFFFF"/>
        <w:topLinePunct/>
        <w:adjustRightInd w:val="0"/>
        <w:snapToGrid w:val="0"/>
        <w:spacing w:before="0" w:beforeAutospacing="0" w:after="0" w:afterAutospacing="0" w:line="360" w:lineRule="auto"/>
        <w:ind w:left="0" w:right="0" w:firstLine="576" w:firstLineChars="200"/>
        <w:jc w:val="left"/>
        <w:rPr>
          <w:rFonts w:hint="eastAsia" w:ascii="宋体" w:hAnsi="宋体" w:eastAsia="宋体" w:cs="宋体"/>
          <w:bCs/>
          <w:i w:val="0"/>
          <w:caps w:val="0"/>
          <w:color w:val="auto"/>
          <w:spacing w:val="4"/>
          <w:kern w:val="2"/>
          <w:sz w:val="28"/>
          <w:szCs w:val="28"/>
          <w:highlight w:val="none"/>
          <w:shd w:val="clear" w:fill="FFFFFF"/>
        </w:rPr>
      </w:pPr>
    </w:p>
    <w:p w14:paraId="16EE2FBB">
      <w:pPr>
        <w:pStyle w:val="14"/>
        <w:keepNext w:val="0"/>
        <w:keepLines w:val="0"/>
        <w:widowControl w:val="0"/>
        <w:suppressLineNumbers w:val="0"/>
        <w:snapToGrid w:val="0"/>
        <w:spacing w:before="0" w:beforeAutospacing="1" w:after="0" w:afterAutospacing="1" w:line="360" w:lineRule="auto"/>
        <w:ind w:left="420" w:leftChars="200" w:right="0"/>
        <w:jc w:val="left"/>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14:paraId="50C759D3">
      <w:pPr>
        <w:keepNext w:val="0"/>
        <w:keepLines w:val="0"/>
        <w:widowControl w:val="0"/>
        <w:suppressLineNumbers w:val="0"/>
        <w:spacing w:before="0" w:beforeAutospacing="0" w:after="0" w:afterAutospacing="0"/>
        <w:ind w:left="0" w:right="0"/>
        <w:jc w:val="both"/>
        <w:rPr>
          <w:rFonts w:hint="eastAsia" w:ascii="Calibri" w:hAnsi="Calibri" w:eastAsia="宋体" w:cs="Times New Roman"/>
          <w:color w:val="auto"/>
          <w:kern w:val="2"/>
          <w:sz w:val="21"/>
          <w:szCs w:val="21"/>
          <w:highlight w:val="none"/>
        </w:rPr>
      </w:pPr>
      <w:bookmarkStart w:id="170" w:name="_Toc21525514"/>
      <w:bookmarkEnd w:id="170"/>
      <w:bookmarkStart w:id="171" w:name="_Toc2272569"/>
      <w:r>
        <w:rPr>
          <w:rFonts w:hint="eastAsia" w:ascii="Calibri" w:hAnsi="Calibri" w:eastAsia="宋体" w:cs="Times New Roman"/>
          <w:color w:val="auto"/>
          <w:kern w:val="2"/>
          <w:sz w:val="21"/>
          <w:szCs w:val="21"/>
          <w:highlight w:val="none"/>
          <w:lang w:val="en-US" w:eastAsia="zh-CN" w:bidi="ar"/>
        </w:rPr>
        <w:br w:type="page"/>
      </w:r>
      <w:bookmarkEnd w:id="171"/>
    </w:p>
    <w:p w14:paraId="45D4A04B">
      <w:pPr>
        <w:pStyle w:val="2"/>
        <w:widowControl/>
        <w:rPr>
          <w:rFonts w:hint="default" w:ascii="Arial" w:hAnsi="Arial" w:eastAsia="宋体" w:cs="Times New Roman"/>
          <w:b/>
          <w:bCs w:val="0"/>
          <w:color w:val="auto"/>
          <w:kern w:val="44"/>
          <w:sz w:val="28"/>
          <w:szCs w:val="28"/>
          <w:highlight w:val="none"/>
        </w:rPr>
      </w:pPr>
      <w:r>
        <w:rPr>
          <w:rFonts w:hint="eastAsia" w:ascii="宋体" w:hAnsi="宋体" w:eastAsia="宋体" w:cs="宋体"/>
          <w:b/>
          <w:bCs w:val="0"/>
          <w:color w:val="auto"/>
          <w:kern w:val="44"/>
          <w:sz w:val="28"/>
          <w:szCs w:val="28"/>
          <w:highlight w:val="none"/>
        </w:rPr>
        <w:t>第六章</w:t>
      </w:r>
      <w:r>
        <w:rPr>
          <w:rFonts w:hint="default" w:ascii="Arial" w:hAnsi="Arial" w:eastAsia="宋体" w:cs="Times New Roman"/>
          <w:b/>
          <w:bCs w:val="0"/>
          <w:color w:val="auto"/>
          <w:kern w:val="44"/>
          <w:sz w:val="28"/>
          <w:szCs w:val="28"/>
          <w:highlight w:val="none"/>
        </w:rPr>
        <w:t xml:space="preserve">  </w:t>
      </w:r>
      <w:r>
        <w:rPr>
          <w:rFonts w:hint="eastAsia" w:ascii="宋体" w:hAnsi="宋体" w:eastAsia="宋体" w:cs="宋体"/>
          <w:b/>
          <w:bCs w:val="0"/>
          <w:color w:val="auto"/>
          <w:kern w:val="44"/>
          <w:sz w:val="28"/>
          <w:szCs w:val="28"/>
          <w:highlight w:val="none"/>
        </w:rPr>
        <w:t>图纸及勘察资料</w:t>
      </w:r>
    </w:p>
    <w:p w14:paraId="392D2D9F">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注：另册。</w:t>
      </w:r>
    </w:p>
    <w:p w14:paraId="21E40C71">
      <w:pPr>
        <w:pStyle w:val="14"/>
        <w:keepNext w:val="0"/>
        <w:keepLines w:val="0"/>
        <w:widowControl w:val="0"/>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 xml:space="preserve"> </w:t>
      </w:r>
    </w:p>
    <w:p w14:paraId="5FE7C2CF">
      <w:pPr>
        <w:keepNext w:val="0"/>
        <w:keepLines w:val="0"/>
        <w:widowControl w:val="0"/>
        <w:suppressLineNumbers w:val="0"/>
        <w:topLinePunct/>
        <w:adjustRightInd w:val="0"/>
        <w:snapToGrid w:val="0"/>
        <w:spacing w:before="156" w:beforeAutospacing="0" w:after="156" w:afterAutospacing="0" w:line="360" w:lineRule="auto"/>
        <w:ind w:left="0" w:right="0" w:firstLine="496" w:firstLineChars="200"/>
        <w:jc w:val="both"/>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注：本项目所有招标图纸、资料知识产权属招标人所有，不得用于除本次招标项目外其它用途，否则应承担由此所引起的全部法律责任。</w:t>
      </w:r>
    </w:p>
    <w:p w14:paraId="4C040887">
      <w:pPr>
        <w:pStyle w:val="2"/>
        <w:widowControl/>
        <w:rPr>
          <w:rFonts w:hint="default" w:ascii="Arial" w:hAnsi="Arial" w:eastAsia="宋体" w:cs="Times New Roman"/>
          <w:b/>
          <w:bCs w:val="0"/>
          <w:color w:val="auto"/>
          <w:kern w:val="44"/>
          <w:sz w:val="28"/>
          <w:szCs w:val="28"/>
          <w:highlight w:val="none"/>
        </w:rPr>
      </w:pPr>
      <w:r>
        <w:rPr>
          <w:rFonts w:hint="default" w:ascii="Arial" w:hAnsi="Arial" w:eastAsia="宋体" w:cs="Times New Roman"/>
          <w:b/>
          <w:bCs w:val="0"/>
          <w:color w:val="auto"/>
          <w:kern w:val="44"/>
          <w:sz w:val="24"/>
          <w:szCs w:val="24"/>
          <w:highlight w:val="none"/>
        </w:rPr>
        <w:br w:type="page"/>
      </w:r>
      <w:bookmarkStart w:id="172" w:name="_Toc2272570"/>
      <w:bookmarkEnd w:id="172"/>
      <w:bookmarkStart w:id="173" w:name="_Toc21525515"/>
      <w:r>
        <w:rPr>
          <w:rFonts w:hint="eastAsia" w:ascii="宋体" w:hAnsi="宋体" w:eastAsia="宋体" w:cs="宋体"/>
          <w:b/>
          <w:bCs w:val="0"/>
          <w:color w:val="auto"/>
          <w:kern w:val="44"/>
          <w:sz w:val="28"/>
          <w:szCs w:val="28"/>
          <w:highlight w:val="none"/>
        </w:rPr>
        <w:t>第七章</w:t>
      </w:r>
      <w:bookmarkEnd w:id="173"/>
      <w:r>
        <w:rPr>
          <w:rFonts w:hint="default" w:ascii="Arial" w:hAnsi="Arial" w:eastAsia="宋体" w:cs="Times New Roman"/>
          <w:b/>
          <w:bCs w:val="0"/>
          <w:color w:val="auto"/>
          <w:kern w:val="44"/>
          <w:sz w:val="28"/>
          <w:szCs w:val="28"/>
          <w:highlight w:val="none"/>
        </w:rPr>
        <w:t xml:space="preserve">  </w:t>
      </w:r>
      <w:r>
        <w:rPr>
          <w:rFonts w:hint="eastAsia" w:ascii="宋体" w:hAnsi="宋体" w:eastAsia="宋体" w:cs="宋体"/>
          <w:b/>
          <w:bCs w:val="0"/>
          <w:color w:val="auto"/>
          <w:kern w:val="44"/>
          <w:sz w:val="28"/>
          <w:szCs w:val="28"/>
          <w:highlight w:val="none"/>
        </w:rPr>
        <w:t>工程量清单</w:t>
      </w:r>
    </w:p>
    <w:p w14:paraId="12242397">
      <w:pPr>
        <w:keepNext w:val="0"/>
        <w:keepLines w:val="0"/>
        <w:widowControl w:val="0"/>
        <w:suppressLineNumbers w:val="0"/>
        <w:spacing w:before="0" w:beforeAutospacing="0" w:after="0" w:afterAutospacing="0"/>
        <w:ind w:left="0" w:right="0"/>
        <w:jc w:val="center"/>
        <w:rPr>
          <w:rFonts w:hint="eastAsia" w:ascii="宋体" w:hAnsi="Calibri" w:eastAsia="宋体" w:cs="Times New Roman"/>
          <w:b/>
          <w:bCs w:val="0"/>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注：另册。</w:t>
      </w:r>
    </w:p>
    <w:p w14:paraId="0B221B4B">
      <w:pPr>
        <w:pStyle w:val="14"/>
        <w:keepNext w:val="0"/>
        <w:keepLines w:val="0"/>
        <w:widowControl w:val="0"/>
        <w:suppressLineNumbers w:val="0"/>
        <w:spacing w:before="0" w:beforeAutospacing="1" w:after="0" w:afterAutospacing="0" w:line="360" w:lineRule="auto"/>
        <w:ind w:left="-2" w:leftChars="-1" w:right="0" w:firstLine="960" w:firstLineChars="400"/>
        <w:jc w:val="both"/>
        <w:rPr>
          <w:rFonts w:hint="eastAsia" w:ascii="宋体" w:hAnsi="Times New Roman" w:eastAsia="宋体" w:cs="Times New Roman"/>
          <w:color w:val="auto"/>
          <w:kern w:val="2"/>
          <w:sz w:val="24"/>
          <w:szCs w:val="24"/>
          <w:highlight w:val="none"/>
        </w:rPr>
      </w:pPr>
      <w:r>
        <w:rPr>
          <w:rFonts w:hint="eastAsia" w:ascii="宋体" w:hAnsi="Times New Roman" w:eastAsia="宋体" w:cs="Times New Roman"/>
          <w:color w:val="auto"/>
          <w:kern w:val="2"/>
          <w:sz w:val="24"/>
          <w:szCs w:val="24"/>
          <w:highlight w:val="none"/>
          <w:lang w:val="en-US" w:eastAsia="zh-CN" w:bidi="ar"/>
        </w:rPr>
        <w:t xml:space="preserve"> </w:t>
      </w:r>
    </w:p>
    <w:p w14:paraId="3FDF27F4">
      <w:pPr>
        <w:pStyle w:val="2"/>
        <w:widowControl/>
        <w:rPr>
          <w:rFonts w:hint="eastAsia" w:ascii="宋体" w:hAnsi="Arial" w:eastAsia="宋体" w:cs="Times New Roman"/>
          <w:b/>
          <w:bCs w:val="0"/>
          <w:color w:val="auto"/>
          <w:kern w:val="44"/>
          <w:sz w:val="28"/>
          <w:szCs w:val="28"/>
          <w:highlight w:val="none"/>
        </w:rPr>
      </w:pPr>
      <w:r>
        <w:rPr>
          <w:rFonts w:hint="default" w:ascii="Arial" w:hAnsi="Arial" w:eastAsia="宋体" w:cs="Times New Roman"/>
          <w:b/>
          <w:bCs w:val="0"/>
          <w:color w:val="auto"/>
          <w:kern w:val="44"/>
          <w:sz w:val="24"/>
          <w:szCs w:val="24"/>
          <w:highlight w:val="none"/>
        </w:rPr>
        <w:br w:type="page"/>
      </w:r>
      <w:bookmarkStart w:id="174" w:name="_Toc2272571"/>
      <w:bookmarkEnd w:id="174"/>
      <w:bookmarkStart w:id="175" w:name="_Toc21525516"/>
      <w:r>
        <w:rPr>
          <w:rFonts w:hint="eastAsia" w:ascii="宋体" w:hAnsi="宋体" w:eastAsia="宋体" w:cs="宋体"/>
          <w:b/>
          <w:bCs w:val="0"/>
          <w:color w:val="auto"/>
          <w:kern w:val="44"/>
          <w:sz w:val="28"/>
          <w:szCs w:val="28"/>
          <w:highlight w:val="none"/>
        </w:rPr>
        <w:t>第八章</w:t>
      </w:r>
      <w:bookmarkEnd w:id="175"/>
      <w:r>
        <w:rPr>
          <w:rFonts w:hint="default" w:ascii="Arial" w:hAnsi="Arial" w:eastAsia="宋体" w:cs="Times New Roman"/>
          <w:b/>
          <w:bCs w:val="0"/>
          <w:color w:val="auto"/>
          <w:kern w:val="44"/>
          <w:sz w:val="28"/>
          <w:szCs w:val="28"/>
          <w:highlight w:val="none"/>
        </w:rPr>
        <w:t xml:space="preserve">  </w:t>
      </w:r>
      <w:r>
        <w:rPr>
          <w:rFonts w:hint="eastAsia" w:ascii="宋体" w:hAnsi="宋体" w:eastAsia="宋体" w:cs="宋体"/>
          <w:b/>
          <w:bCs w:val="0"/>
          <w:color w:val="auto"/>
          <w:kern w:val="44"/>
          <w:sz w:val="28"/>
          <w:szCs w:val="28"/>
          <w:highlight w:val="none"/>
        </w:rPr>
        <w:t>最高投标限价</w:t>
      </w:r>
    </w:p>
    <w:p w14:paraId="38ED44AF">
      <w:pPr>
        <w:keepNext w:val="0"/>
        <w:keepLines w:val="0"/>
        <w:widowControl w:val="0"/>
        <w:suppressLineNumbers w:val="0"/>
        <w:spacing w:before="0" w:beforeAutospacing="0" w:after="0" w:afterAutospacing="0" w:line="360" w:lineRule="auto"/>
        <w:ind w:left="0" w:right="0" w:firstLine="480"/>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招标人应当在发布招标文件时，公布最高投标限价的总价，分部分项工程费、措施项目费、其他项目费、税金，以及绿色施工安全防护措施费、暂列金额等投标人不可竞争的固定报价。</w:t>
      </w:r>
    </w:p>
    <w:p w14:paraId="6E8C77F3">
      <w:pPr>
        <w:keepNext w:val="0"/>
        <w:keepLines w:val="0"/>
        <w:widowControl w:val="0"/>
        <w:suppressLineNumbers w:val="0"/>
        <w:spacing w:before="0" w:beforeAutospacing="0" w:after="0" w:afterAutospacing="0"/>
        <w:ind w:left="0" w:right="0" w:firstLine="480" w:firstLineChars="200"/>
        <w:jc w:val="both"/>
        <w:rPr>
          <w:rFonts w:hint="eastAsia" w:ascii="宋体" w:hAnsi="宋体" w:eastAsia="宋体" w:cs="宋体"/>
          <w:color w:val="auto"/>
          <w:kern w:val="2"/>
          <w:sz w:val="24"/>
          <w:szCs w:val="24"/>
          <w:highlight w:val="none"/>
          <w:u w:val="single"/>
          <w:lang w:val="en-US" w:eastAsia="zh-CN" w:bidi="ar"/>
        </w:rPr>
      </w:pPr>
      <w:r>
        <w:rPr>
          <w:rFonts w:hint="eastAsia" w:ascii="宋体" w:hAnsi="宋体" w:eastAsia="宋体" w:cs="宋体"/>
          <w:color w:val="auto"/>
          <w:kern w:val="2"/>
          <w:sz w:val="24"/>
          <w:szCs w:val="24"/>
          <w:highlight w:val="none"/>
          <w:u w:val="single"/>
          <w:lang w:val="en-US" w:eastAsia="zh-CN" w:bidi="ar"/>
        </w:rPr>
        <w:t>具体见本项目《最高投标限价公布函》。</w:t>
      </w:r>
    </w:p>
    <w:p w14:paraId="0A6B503D">
      <w:pPr>
        <w:rPr>
          <w:rFonts w:hint="eastAsia" w:ascii="宋体" w:hAnsi="宋体" w:eastAsia="宋体" w:cs="宋体"/>
          <w:color w:val="auto"/>
          <w:kern w:val="2"/>
          <w:sz w:val="24"/>
          <w:szCs w:val="24"/>
          <w:highlight w:val="none"/>
          <w:u w:val="single"/>
          <w:lang w:val="en-US" w:eastAsia="zh-CN" w:bidi="ar"/>
        </w:rPr>
      </w:pPr>
      <w:r>
        <w:rPr>
          <w:rFonts w:hint="eastAsia" w:ascii="宋体" w:hAnsi="宋体" w:eastAsia="宋体" w:cs="宋体"/>
          <w:color w:val="auto"/>
          <w:kern w:val="2"/>
          <w:sz w:val="24"/>
          <w:szCs w:val="24"/>
          <w:highlight w:val="none"/>
          <w:u w:val="single"/>
          <w:lang w:val="en-US" w:eastAsia="zh-CN" w:bidi="ar"/>
        </w:rPr>
        <w:br w:type="page"/>
      </w:r>
    </w:p>
    <w:p w14:paraId="525254D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特别说明：中标人根据立项分别签订合同</w:t>
      </w:r>
    </w:p>
    <w:p w14:paraId="48BBBBF9">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
          <w:bCs w:val="0"/>
          <w:color w:val="auto"/>
          <w:spacing w:val="40"/>
          <w:kern w:val="2"/>
          <w:sz w:val="48"/>
          <w:szCs w:val="48"/>
          <w:highlight w:val="none"/>
          <w:lang w:eastAsia="zh-CN" w:bidi="ar"/>
        </w:rPr>
      </w:pPr>
    </w:p>
    <w:p w14:paraId="36188499">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b/>
          <w:bCs w:val="0"/>
          <w:color w:val="auto"/>
          <w:spacing w:val="26"/>
          <w:kern w:val="2"/>
          <w:sz w:val="110"/>
          <w:szCs w:val="110"/>
          <w:highlight w:val="none"/>
        </w:rPr>
      </w:pPr>
      <w:r>
        <w:rPr>
          <w:rFonts w:hint="eastAsia" w:ascii="宋体" w:hAnsi="宋体" w:eastAsia="宋体" w:cs="宋体"/>
          <w:b/>
          <w:bCs w:val="0"/>
          <w:color w:val="auto"/>
          <w:spacing w:val="40"/>
          <w:kern w:val="2"/>
          <w:sz w:val="48"/>
          <w:szCs w:val="48"/>
          <w:highlight w:val="none"/>
          <w:lang w:eastAsia="zh-CN" w:bidi="ar"/>
        </w:rPr>
        <w:t>广州天河体育中心整体景观提升（开幕式）建筑工程、广州天河体育中心篮球城维修改造项目、广州市羽毛球运动管理中心训练馆改造项目、广州天河体育中心田径副场改造项目施工总承包</w:t>
      </w:r>
      <w:r>
        <w:rPr>
          <w:rFonts w:hint="eastAsia" w:ascii="宋体" w:hAnsi="宋体" w:eastAsia="宋体" w:cs="Times New Roman"/>
          <w:b/>
          <w:bCs w:val="0"/>
          <w:color w:val="auto"/>
          <w:spacing w:val="26"/>
          <w:kern w:val="2"/>
          <w:sz w:val="110"/>
          <w:szCs w:val="110"/>
          <w:highlight w:val="none"/>
          <w:lang w:val="en-US" w:eastAsia="zh-CN" w:bidi="ar"/>
        </w:rPr>
        <w:t xml:space="preserve"> </w:t>
      </w:r>
    </w:p>
    <w:p w14:paraId="01C2CC88">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b/>
          <w:bCs w:val="0"/>
          <w:color w:val="auto"/>
          <w:spacing w:val="26"/>
          <w:kern w:val="2"/>
          <w:sz w:val="110"/>
          <w:szCs w:val="110"/>
          <w:highlight w:val="none"/>
        </w:rPr>
      </w:pPr>
      <w:r>
        <w:rPr>
          <w:rFonts w:hint="eastAsia" w:ascii="宋体" w:hAnsi="宋体" w:eastAsia="宋体" w:cs="Times New Roman"/>
          <w:b/>
          <w:bCs w:val="0"/>
          <w:color w:val="auto"/>
          <w:spacing w:val="26"/>
          <w:kern w:val="2"/>
          <w:sz w:val="110"/>
          <w:szCs w:val="110"/>
          <w:highlight w:val="none"/>
          <w:lang w:val="en-US" w:eastAsia="zh-CN" w:bidi="ar"/>
        </w:rPr>
        <w:t xml:space="preserve"> </w:t>
      </w:r>
    </w:p>
    <w:p w14:paraId="6F4684E5">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b/>
          <w:bCs w:val="0"/>
          <w:color w:val="auto"/>
          <w:spacing w:val="26"/>
          <w:kern w:val="2"/>
          <w:sz w:val="110"/>
          <w:szCs w:val="110"/>
          <w:highlight w:val="none"/>
        </w:rPr>
      </w:pPr>
      <w:r>
        <w:rPr>
          <w:rFonts w:hint="eastAsia" w:ascii="宋体" w:hAnsi="宋体" w:eastAsia="宋体" w:cs="宋体"/>
          <w:b/>
          <w:bCs w:val="0"/>
          <w:color w:val="auto"/>
          <w:spacing w:val="26"/>
          <w:kern w:val="2"/>
          <w:sz w:val="110"/>
          <w:szCs w:val="110"/>
          <w:highlight w:val="none"/>
          <w:lang w:val="en-US" w:eastAsia="zh-CN" w:bidi="ar"/>
        </w:rPr>
        <w:t>招标文件</w:t>
      </w:r>
    </w:p>
    <w:p w14:paraId="57A01F43">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b/>
          <w:bCs w:val="0"/>
          <w:color w:val="auto"/>
          <w:kern w:val="2"/>
          <w:sz w:val="48"/>
          <w:szCs w:val="48"/>
          <w:highlight w:val="none"/>
        </w:rPr>
      </w:pPr>
      <w:r>
        <w:rPr>
          <w:rFonts w:hint="eastAsia" w:ascii="宋体" w:hAnsi="宋体" w:eastAsia="宋体" w:cs="宋体"/>
          <w:b/>
          <w:bCs w:val="0"/>
          <w:color w:val="auto"/>
          <w:kern w:val="2"/>
          <w:sz w:val="48"/>
          <w:szCs w:val="48"/>
          <w:highlight w:val="none"/>
          <w:lang w:val="en-US" w:eastAsia="zh-CN" w:bidi="ar"/>
        </w:rPr>
        <w:t>第三章合同条款(格式）</w:t>
      </w:r>
    </w:p>
    <w:p w14:paraId="49F49EB8">
      <w:pPr>
        <w:keepNext w:val="0"/>
        <w:keepLines w:val="0"/>
        <w:widowControl w:val="0"/>
        <w:suppressLineNumbers w:val="0"/>
        <w:spacing w:before="0" w:beforeAutospacing="0" w:after="0" w:afterAutospacing="0" w:line="360" w:lineRule="auto"/>
        <w:ind w:left="0" w:right="0" w:firstLine="2560" w:firstLineChars="800"/>
        <w:jc w:val="both"/>
        <w:rPr>
          <w:rFonts w:hint="eastAsia" w:ascii="宋体" w:hAnsi="Calibri" w:eastAsia="宋体" w:cs="Times New Roman"/>
          <w:color w:val="auto"/>
          <w:kern w:val="2"/>
          <w:sz w:val="32"/>
          <w:szCs w:val="32"/>
          <w:highlight w:val="none"/>
        </w:rPr>
      </w:pPr>
      <w:r>
        <w:rPr>
          <w:rFonts w:hint="eastAsia" w:ascii="宋体" w:hAnsi="宋体" w:eastAsia="宋体" w:cs="Times New Roman"/>
          <w:color w:val="auto"/>
          <w:kern w:val="2"/>
          <w:sz w:val="32"/>
          <w:szCs w:val="32"/>
          <w:highlight w:val="none"/>
          <w:lang w:val="en-US" w:eastAsia="zh-CN" w:bidi="ar"/>
        </w:rPr>
        <w:t xml:space="preserve"> </w:t>
      </w:r>
    </w:p>
    <w:p w14:paraId="6069C734">
      <w:pPr>
        <w:keepNext w:val="0"/>
        <w:keepLines w:val="0"/>
        <w:widowControl w:val="0"/>
        <w:suppressLineNumbers w:val="0"/>
        <w:spacing w:before="0" w:beforeAutospacing="0" w:after="0" w:afterAutospacing="0" w:line="360" w:lineRule="auto"/>
        <w:ind w:left="0" w:right="0"/>
        <w:jc w:val="both"/>
        <w:rPr>
          <w:rFonts w:hint="eastAsia" w:ascii="宋体" w:hAnsi="Calibri" w:eastAsia="宋体" w:cs="Times New Roman"/>
          <w:color w:val="auto"/>
          <w:kern w:val="2"/>
          <w:sz w:val="52"/>
          <w:szCs w:val="52"/>
          <w:highlight w:val="none"/>
        </w:rPr>
      </w:pPr>
      <w:r>
        <w:rPr>
          <w:rFonts w:hint="eastAsia" w:ascii="宋体" w:hAnsi="宋体" w:eastAsia="宋体" w:cs="Times New Roman"/>
          <w:color w:val="auto"/>
          <w:kern w:val="2"/>
          <w:sz w:val="52"/>
          <w:szCs w:val="52"/>
          <w:highlight w:val="none"/>
          <w:lang w:val="en-US" w:eastAsia="zh-CN" w:bidi="ar"/>
        </w:rPr>
        <w:t xml:space="preserve"> </w:t>
      </w:r>
    </w:p>
    <w:p w14:paraId="0D916BAC">
      <w:pPr>
        <w:pStyle w:val="14"/>
        <w:keepNext w:val="0"/>
        <w:keepLines w:val="0"/>
        <w:widowControl w:val="0"/>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 xml:space="preserve"> </w:t>
      </w:r>
    </w:p>
    <w:p w14:paraId="28331AF2">
      <w:pPr>
        <w:pStyle w:val="14"/>
        <w:keepNext w:val="0"/>
        <w:keepLines w:val="0"/>
        <w:widowControl w:val="0"/>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 xml:space="preserve"> </w:t>
      </w:r>
    </w:p>
    <w:p w14:paraId="5EC37E01">
      <w:pPr>
        <w:keepNext w:val="0"/>
        <w:keepLines w:val="0"/>
        <w:widowControl w:val="0"/>
        <w:suppressLineNumbers w:val="0"/>
        <w:spacing w:before="0" w:beforeAutospacing="0" w:after="0" w:afterAutospacing="0"/>
        <w:ind w:left="0" w:right="0"/>
        <w:jc w:val="both"/>
        <w:rPr>
          <w:rFonts w:hint="eastAsia" w:ascii="Calibri" w:hAnsi="Calibri" w:eastAsia="宋体" w:cs="Times New Roman"/>
          <w:color w:val="auto"/>
          <w:kern w:val="2"/>
          <w:sz w:val="21"/>
          <w:szCs w:val="21"/>
          <w:highlight w:val="none"/>
        </w:rPr>
      </w:pPr>
      <w:r>
        <w:rPr>
          <w:rFonts w:hint="eastAsia" w:ascii="Calibri" w:hAnsi="Calibri" w:eastAsia="宋体" w:cs="Times New Roman"/>
          <w:color w:val="auto"/>
          <w:kern w:val="2"/>
          <w:sz w:val="21"/>
          <w:szCs w:val="21"/>
          <w:highlight w:val="none"/>
          <w:lang w:val="en-US" w:eastAsia="zh-CN" w:bidi="ar"/>
        </w:rPr>
        <w:t xml:space="preserve"> </w:t>
      </w:r>
    </w:p>
    <w:p w14:paraId="27C6B79B">
      <w:pPr>
        <w:pStyle w:val="14"/>
        <w:keepNext w:val="0"/>
        <w:keepLines w:val="0"/>
        <w:widowControl w:val="0"/>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 xml:space="preserve"> </w:t>
      </w:r>
    </w:p>
    <w:p w14:paraId="5E0BD385">
      <w:pPr>
        <w:keepNext w:val="0"/>
        <w:keepLines w:val="0"/>
        <w:widowControl w:val="0"/>
        <w:suppressLineNumbers w:val="0"/>
        <w:spacing w:before="0" w:beforeAutospacing="0" w:after="0" w:afterAutospacing="0"/>
        <w:ind w:left="0" w:right="0"/>
        <w:jc w:val="both"/>
        <w:rPr>
          <w:rFonts w:hint="eastAsia" w:ascii="Calibri" w:hAnsi="Calibri" w:eastAsia="宋体" w:cs="Times New Roman"/>
          <w:color w:val="auto"/>
          <w:kern w:val="2"/>
          <w:sz w:val="21"/>
          <w:szCs w:val="21"/>
          <w:highlight w:val="none"/>
        </w:rPr>
      </w:pPr>
      <w:r>
        <w:rPr>
          <w:rFonts w:hint="eastAsia" w:ascii="Calibri" w:hAnsi="Calibri" w:eastAsia="宋体" w:cs="Times New Roman"/>
          <w:color w:val="auto"/>
          <w:kern w:val="2"/>
          <w:sz w:val="21"/>
          <w:szCs w:val="21"/>
          <w:highlight w:val="none"/>
          <w:lang w:val="en-US" w:eastAsia="zh-CN" w:bidi="ar"/>
        </w:rPr>
        <w:t xml:space="preserve"> </w:t>
      </w:r>
    </w:p>
    <w:p w14:paraId="438CEF88">
      <w:pPr>
        <w:pStyle w:val="14"/>
        <w:keepNext w:val="0"/>
        <w:keepLines w:val="0"/>
        <w:widowControl w:val="0"/>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 xml:space="preserve"> </w:t>
      </w:r>
    </w:p>
    <w:p w14:paraId="37D04BBA">
      <w:pPr>
        <w:keepNext w:val="0"/>
        <w:keepLines w:val="0"/>
        <w:widowControl w:val="0"/>
        <w:suppressLineNumbers w:val="0"/>
        <w:spacing w:before="0" w:beforeAutospacing="0" w:after="0" w:afterAutospacing="0" w:line="360" w:lineRule="auto"/>
        <w:ind w:left="0" w:right="0" w:firstLine="1200" w:firstLineChars="400"/>
        <w:jc w:val="both"/>
        <w:rPr>
          <w:rFonts w:hint="eastAsia" w:ascii="宋体" w:hAnsi="Calibri" w:eastAsia="宋体" w:cs="Times New Roman"/>
          <w:color w:val="auto"/>
          <w:kern w:val="2"/>
          <w:sz w:val="30"/>
          <w:szCs w:val="30"/>
          <w:highlight w:val="none"/>
          <w:u w:val="single"/>
        </w:rPr>
      </w:pPr>
      <w:r>
        <w:rPr>
          <w:rFonts w:hint="eastAsia" w:ascii="宋体" w:hAnsi="宋体" w:eastAsia="宋体" w:cs="宋体"/>
          <w:color w:val="auto"/>
          <w:kern w:val="2"/>
          <w:sz w:val="30"/>
          <w:szCs w:val="30"/>
          <w:highlight w:val="none"/>
          <w:lang w:val="en-US" w:eastAsia="zh-CN" w:bidi="ar"/>
        </w:rPr>
        <w:t>招 标 单 位：</w:t>
      </w:r>
      <w:r>
        <w:rPr>
          <w:rFonts w:hint="eastAsia" w:ascii="宋体" w:hAnsi="宋体" w:eastAsia="宋体" w:cs="宋体"/>
          <w:color w:val="auto"/>
          <w:kern w:val="2"/>
          <w:sz w:val="30"/>
          <w:szCs w:val="30"/>
          <w:highlight w:val="none"/>
          <w:u w:val="single"/>
          <w:lang w:val="en-US" w:eastAsia="zh-CN" w:bidi="ar"/>
        </w:rPr>
        <w:t>广州市重点公共建设项目管理中心</w:t>
      </w:r>
    </w:p>
    <w:p w14:paraId="738E1D61">
      <w:pPr>
        <w:keepNext w:val="0"/>
        <w:keepLines w:val="0"/>
        <w:widowControl w:val="0"/>
        <w:suppressLineNumbers w:val="0"/>
        <w:spacing w:before="0" w:beforeAutospacing="0" w:after="0" w:afterAutospacing="0" w:line="360" w:lineRule="auto"/>
        <w:ind w:left="0" w:right="0" w:firstLine="1245" w:firstLineChars="415"/>
        <w:jc w:val="both"/>
        <w:rPr>
          <w:rFonts w:hint="eastAsia" w:ascii="宋体" w:hAnsi="Calibri" w:eastAsia="宋体" w:cs="Times New Roman"/>
          <w:color w:val="auto"/>
          <w:kern w:val="2"/>
          <w:sz w:val="30"/>
          <w:szCs w:val="30"/>
          <w:highlight w:val="none"/>
          <w:u w:val="single"/>
        </w:rPr>
      </w:pPr>
      <w:r>
        <w:rPr>
          <w:rFonts w:hint="eastAsia" w:ascii="宋体" w:hAnsi="宋体" w:eastAsia="宋体" w:cs="宋体"/>
          <w:color w:val="auto"/>
          <w:kern w:val="2"/>
          <w:sz w:val="30"/>
          <w:szCs w:val="30"/>
          <w:highlight w:val="none"/>
          <w:lang w:val="en-US" w:eastAsia="zh-CN" w:bidi="ar"/>
        </w:rPr>
        <w:t>招标代理单位：</w:t>
      </w:r>
      <w:r>
        <w:rPr>
          <w:rFonts w:hint="eastAsia" w:ascii="宋体" w:hAnsi="宋体" w:eastAsia="宋体" w:cs="宋体"/>
          <w:color w:val="auto"/>
          <w:kern w:val="2"/>
          <w:sz w:val="30"/>
          <w:szCs w:val="30"/>
          <w:highlight w:val="none"/>
          <w:u w:val="single"/>
          <w:lang w:val="en-US" w:eastAsia="zh-CN" w:bidi="ar"/>
        </w:rPr>
        <w:t>广东建瀚工程管理有限公司</w:t>
      </w:r>
    </w:p>
    <w:p w14:paraId="27867B75">
      <w:pPr>
        <w:keepNext w:val="0"/>
        <w:keepLines w:val="0"/>
        <w:widowControl w:val="0"/>
        <w:suppressLineNumbers w:val="0"/>
        <w:spacing w:before="0" w:beforeAutospacing="0" w:after="0" w:afterAutospacing="0" w:line="360" w:lineRule="auto"/>
        <w:ind w:left="0" w:right="0" w:firstLine="1264" w:firstLineChars="395"/>
        <w:jc w:val="both"/>
        <w:rPr>
          <w:rFonts w:hint="eastAsia" w:ascii="宋体" w:hAnsi="Calibri" w:eastAsia="宋体" w:cs="Times New Roman"/>
          <w:color w:val="auto"/>
          <w:kern w:val="2"/>
          <w:sz w:val="32"/>
          <w:szCs w:val="32"/>
          <w:highlight w:val="none"/>
        </w:rPr>
      </w:pPr>
      <w:r>
        <w:rPr>
          <w:rFonts w:hint="eastAsia" w:ascii="宋体" w:hAnsi="宋体" w:eastAsia="宋体" w:cs="宋体"/>
          <w:color w:val="auto"/>
          <w:kern w:val="2"/>
          <w:sz w:val="32"/>
          <w:szCs w:val="32"/>
          <w:highlight w:val="none"/>
          <w:lang w:val="en-US" w:eastAsia="zh-CN" w:bidi="ar"/>
        </w:rPr>
        <w:t>日       期：</w:t>
      </w:r>
      <w:r>
        <w:rPr>
          <w:rFonts w:hint="eastAsia" w:ascii="宋体" w:hAnsi="宋体" w:eastAsia="宋体" w:cs="宋体"/>
          <w:color w:val="auto"/>
          <w:kern w:val="2"/>
          <w:sz w:val="32"/>
          <w:szCs w:val="32"/>
          <w:highlight w:val="none"/>
          <w:u w:val="single"/>
          <w:lang w:val="en-US" w:eastAsia="zh-CN" w:bidi="ar"/>
        </w:rPr>
        <w:t>2024</w:t>
      </w:r>
      <w:r>
        <w:rPr>
          <w:rFonts w:hint="eastAsia" w:ascii="宋体" w:hAnsi="宋体" w:eastAsia="宋体" w:cs="宋体"/>
          <w:color w:val="auto"/>
          <w:kern w:val="2"/>
          <w:sz w:val="32"/>
          <w:szCs w:val="32"/>
          <w:highlight w:val="none"/>
          <w:lang w:val="en-US" w:eastAsia="zh-CN" w:bidi="ar"/>
        </w:rPr>
        <w:t>年</w:t>
      </w:r>
      <w:r>
        <w:rPr>
          <w:rFonts w:hint="eastAsia" w:ascii="宋体" w:hAnsi="宋体" w:eastAsia="宋体" w:cs="宋体"/>
          <w:color w:val="auto"/>
          <w:kern w:val="2"/>
          <w:sz w:val="32"/>
          <w:szCs w:val="32"/>
          <w:highlight w:val="none"/>
          <w:u w:val="single"/>
          <w:lang w:val="en-US" w:eastAsia="zh-CN" w:bidi="ar"/>
        </w:rPr>
        <w:t>9</w:t>
      </w:r>
      <w:bookmarkStart w:id="176" w:name="_GoBack"/>
      <w:bookmarkEnd w:id="176"/>
      <w:r>
        <w:rPr>
          <w:rFonts w:hint="eastAsia" w:ascii="宋体" w:hAnsi="宋体" w:eastAsia="宋体" w:cs="宋体"/>
          <w:color w:val="auto"/>
          <w:kern w:val="2"/>
          <w:sz w:val="32"/>
          <w:szCs w:val="32"/>
          <w:highlight w:val="none"/>
          <w:lang w:val="en-US" w:eastAsia="zh-CN" w:bidi="ar"/>
        </w:rPr>
        <w:t>月</w:t>
      </w:r>
    </w:p>
    <w:p w14:paraId="47687561">
      <w:pPr>
        <w:keepNext w:val="0"/>
        <w:keepLines w:val="0"/>
        <w:widowControl w:val="0"/>
        <w:suppressLineNumbers w:val="0"/>
        <w:spacing w:before="0" w:beforeAutospacing="0" w:after="0" w:afterAutospacing="0" w:line="360" w:lineRule="auto"/>
        <w:ind w:left="0" w:right="0"/>
        <w:jc w:val="center"/>
        <w:rPr>
          <w:rFonts w:hint="eastAsia" w:ascii="宋体" w:hAnsi="Calibri" w:eastAsia="宋体" w:cs="Times New Roman"/>
          <w:b/>
          <w:bCs w:val="0"/>
          <w:color w:val="auto"/>
          <w:kern w:val="2"/>
          <w:sz w:val="36"/>
          <w:szCs w:val="36"/>
          <w:highlight w:val="none"/>
        </w:rPr>
      </w:pPr>
      <w:r>
        <w:rPr>
          <w:rFonts w:hint="eastAsia" w:ascii="宋体" w:hAnsi="Calibri" w:eastAsia="宋体" w:cs="Times New Roman"/>
          <w:b/>
          <w:bCs w:val="0"/>
          <w:color w:val="auto"/>
          <w:kern w:val="2"/>
          <w:sz w:val="36"/>
          <w:szCs w:val="36"/>
          <w:highlight w:val="none"/>
          <w:lang w:val="en-US" w:eastAsia="zh-CN" w:bidi="ar"/>
        </w:rPr>
        <w:br w:type="page"/>
      </w:r>
      <w:r>
        <w:rPr>
          <w:rFonts w:hint="eastAsia" w:ascii="宋体" w:hAnsi="宋体" w:eastAsia="宋体" w:cs="宋体"/>
          <w:b/>
          <w:bCs w:val="0"/>
          <w:color w:val="auto"/>
          <w:kern w:val="2"/>
          <w:sz w:val="36"/>
          <w:szCs w:val="36"/>
          <w:highlight w:val="none"/>
          <w:lang w:val="en-US" w:eastAsia="zh-CN" w:bidi="ar"/>
        </w:rPr>
        <w:t>重要提示</w:t>
      </w:r>
    </w:p>
    <w:p w14:paraId="29396F7F">
      <w:pPr>
        <w:pStyle w:val="14"/>
        <w:keepNext w:val="0"/>
        <w:keepLines w:val="0"/>
        <w:widowControl/>
        <w:suppressLineNumbers w:val="0"/>
        <w:topLinePunct/>
        <w:adjustRightInd w:val="0"/>
        <w:snapToGrid w:val="0"/>
        <w:spacing w:before="0" w:beforeAutospacing="1" w:after="0" w:afterAutospacing="1" w:line="360" w:lineRule="auto"/>
        <w:ind w:left="0" w:right="0" w:firstLine="498" w:firstLineChars="200"/>
        <w:jc w:val="left"/>
        <w:rPr>
          <w:rFonts w:hint="eastAsia" w:ascii="宋体" w:hAnsi="宋体" w:eastAsia="宋体" w:cs="Times New Roman"/>
          <w:b/>
          <w:bCs w:val="0"/>
          <w:color w:val="auto"/>
          <w:spacing w:val="4"/>
          <w:kern w:val="0"/>
          <w:sz w:val="24"/>
          <w:szCs w:val="24"/>
          <w:highlight w:val="none"/>
        </w:rPr>
      </w:pPr>
      <w:r>
        <w:rPr>
          <w:rFonts w:hint="eastAsia" w:ascii="宋体" w:hAnsi="宋体" w:eastAsia="宋体" w:cs="Times New Roman"/>
          <w:b/>
          <w:bCs w:val="0"/>
          <w:color w:val="auto"/>
          <w:spacing w:val="4"/>
          <w:kern w:val="0"/>
          <w:sz w:val="24"/>
          <w:szCs w:val="24"/>
          <w:highlight w:val="none"/>
          <w:lang w:val="en-US" w:eastAsia="zh-CN" w:bidi="ar"/>
        </w:rPr>
        <w:t xml:space="preserve"> </w:t>
      </w:r>
    </w:p>
    <w:p w14:paraId="0854AD2C">
      <w:pPr>
        <w:keepNext w:val="0"/>
        <w:keepLines w:val="0"/>
        <w:widowControl w:val="0"/>
        <w:suppressLineNumbers w:val="0"/>
        <w:adjustRightInd w:val="0"/>
        <w:snapToGrid w:val="0"/>
        <w:spacing w:before="0" w:beforeAutospacing="0" w:after="0" w:afterAutospacing="0" w:line="360" w:lineRule="auto"/>
        <w:ind w:left="0" w:right="0" w:firstLine="551" w:firstLineChars="196"/>
        <w:jc w:val="both"/>
        <w:rPr>
          <w:rFonts w:hint="eastAsia" w:ascii="宋体" w:hAnsi="Calibri" w:eastAsia="宋体" w:cs="Times New Roman"/>
          <w:b/>
          <w:bCs w:val="0"/>
          <w:color w:val="auto"/>
          <w:kern w:val="0"/>
          <w:sz w:val="28"/>
          <w:szCs w:val="28"/>
          <w:highlight w:val="none"/>
        </w:rPr>
      </w:pPr>
      <w:r>
        <w:rPr>
          <w:rFonts w:hint="eastAsia" w:ascii="宋体" w:hAnsi="宋体" w:eastAsia="宋体" w:cs="宋体"/>
          <w:b/>
          <w:bCs w:val="0"/>
          <w:color w:val="auto"/>
          <w:kern w:val="0"/>
          <w:sz w:val="28"/>
          <w:szCs w:val="28"/>
          <w:highlight w:val="none"/>
          <w:lang w:val="en-US" w:eastAsia="zh-CN" w:bidi="ar"/>
        </w:rPr>
        <w:t>1.本章由“合同选择补充文本”和“合同范本”两部分组成。“合同选择补充文本”部分根据本招标项目的实际情况对合同范本中的合同协议书、合同专用条款、合同附件的部分内容进行了选择、填充或修改，其中：选择项以“□”标示，标注“√”的选项即为本招标项目合同采用，标注“×”的选项为本招标项目合同不采用；填充或修改的以下划线标示。两部分如有不一致的表述，以“合同选择补充文本”优先适用。</w:t>
      </w:r>
    </w:p>
    <w:p w14:paraId="62EA6507">
      <w:pPr>
        <w:pStyle w:val="14"/>
        <w:keepNext w:val="0"/>
        <w:keepLines w:val="0"/>
        <w:widowControl/>
        <w:suppressLineNumbers w:val="0"/>
        <w:topLinePunct/>
        <w:adjustRightInd w:val="0"/>
        <w:snapToGrid w:val="0"/>
        <w:spacing w:before="0" w:beforeAutospacing="1" w:after="0" w:afterAutospacing="1" w:line="360" w:lineRule="auto"/>
        <w:ind w:left="0" w:right="0" w:firstLine="578" w:firstLineChars="200"/>
        <w:jc w:val="left"/>
        <w:rPr>
          <w:rFonts w:hint="eastAsia" w:ascii="宋体" w:hAnsi="宋体" w:eastAsia="宋体" w:cs="Times New Roman"/>
          <w:b/>
          <w:bCs w:val="0"/>
          <w:color w:val="auto"/>
          <w:spacing w:val="4"/>
          <w:kern w:val="0"/>
          <w:sz w:val="28"/>
          <w:szCs w:val="28"/>
          <w:highlight w:val="none"/>
        </w:rPr>
      </w:pPr>
      <w:r>
        <w:rPr>
          <w:rFonts w:hint="eastAsia" w:ascii="宋体" w:hAnsi="宋体" w:eastAsia="宋体" w:cs="宋体"/>
          <w:b/>
          <w:bCs w:val="0"/>
          <w:color w:val="auto"/>
          <w:spacing w:val="4"/>
          <w:kern w:val="0"/>
          <w:sz w:val="28"/>
          <w:szCs w:val="28"/>
          <w:highlight w:val="none"/>
          <w:lang w:val="en-US" w:eastAsia="zh-CN" w:bidi="ar"/>
        </w:rPr>
        <w:t>2.本招标项目使用的合同范本是指《广州市重点公共建设项目管理中心施工总承包合同范本》（2015年8月版，2018年修订）。</w:t>
      </w:r>
    </w:p>
    <w:p w14:paraId="177EDB77">
      <w:pPr>
        <w:pStyle w:val="14"/>
        <w:keepNext w:val="0"/>
        <w:keepLines w:val="0"/>
        <w:widowControl/>
        <w:suppressLineNumbers w:val="0"/>
        <w:topLinePunct/>
        <w:adjustRightInd w:val="0"/>
        <w:snapToGrid w:val="0"/>
        <w:spacing w:before="0" w:beforeAutospacing="1" w:after="0" w:afterAutospacing="1" w:line="360" w:lineRule="auto"/>
        <w:ind w:left="0" w:right="0" w:firstLine="578" w:firstLineChars="200"/>
        <w:jc w:val="left"/>
        <w:rPr>
          <w:rFonts w:hint="eastAsia" w:ascii="宋体" w:hAnsi="宋体" w:eastAsia="宋体" w:cs="Times New Roman"/>
          <w:b/>
          <w:bCs w:val="0"/>
          <w:color w:val="auto"/>
          <w:spacing w:val="4"/>
          <w:kern w:val="0"/>
          <w:sz w:val="28"/>
          <w:szCs w:val="28"/>
          <w:highlight w:val="none"/>
        </w:rPr>
      </w:pPr>
      <w:r>
        <w:rPr>
          <w:rFonts w:hint="eastAsia" w:ascii="宋体" w:hAnsi="宋体" w:eastAsia="宋体" w:cs="宋体"/>
          <w:b/>
          <w:bCs w:val="0"/>
          <w:color w:val="auto"/>
          <w:spacing w:val="4"/>
          <w:kern w:val="0"/>
          <w:sz w:val="28"/>
          <w:szCs w:val="28"/>
          <w:highlight w:val="none"/>
          <w:lang w:val="en-US" w:eastAsia="zh-CN" w:bidi="ar"/>
        </w:rPr>
        <w:t>3.正式合同依据本章、招标文件其他相关部分和中标人的投标文件签订。</w:t>
      </w:r>
    </w:p>
    <w:p w14:paraId="768CADE5">
      <w:pPr>
        <w:pStyle w:val="14"/>
        <w:keepNext w:val="0"/>
        <w:keepLines w:val="0"/>
        <w:widowControl/>
        <w:suppressLineNumbers w:val="0"/>
        <w:topLinePunct/>
        <w:adjustRightInd w:val="0"/>
        <w:snapToGrid w:val="0"/>
        <w:spacing w:before="0" w:beforeAutospacing="1" w:after="0" w:afterAutospacing="1" w:line="360" w:lineRule="auto"/>
        <w:ind w:left="0" w:right="0" w:firstLine="578" w:firstLineChars="200"/>
        <w:jc w:val="left"/>
        <w:rPr>
          <w:rFonts w:hint="eastAsia" w:ascii="宋体" w:hAnsi="宋体" w:eastAsia="宋体" w:cs="Times New Roman"/>
          <w:b/>
          <w:bCs w:val="0"/>
          <w:color w:val="auto"/>
          <w:spacing w:val="4"/>
          <w:kern w:val="0"/>
          <w:sz w:val="28"/>
          <w:szCs w:val="28"/>
          <w:highlight w:val="none"/>
        </w:rPr>
      </w:pPr>
      <w:r>
        <w:rPr>
          <w:rFonts w:hint="eastAsia" w:ascii="宋体" w:hAnsi="宋体" w:eastAsia="宋体" w:cs="宋体"/>
          <w:b/>
          <w:bCs w:val="0"/>
          <w:color w:val="auto"/>
          <w:spacing w:val="4"/>
          <w:kern w:val="0"/>
          <w:sz w:val="28"/>
          <w:szCs w:val="28"/>
          <w:highlight w:val="none"/>
          <w:lang w:val="en-US" w:eastAsia="zh-CN" w:bidi="ar"/>
        </w:rPr>
        <w:t>4.发包人确定中标单位后，将组织招标代理按照招标文件的要求对中标单位的投标文件进行全面复核，主要复核中标单位投标文件中的项目经理部投入人员情况、主要施工机械设备投入情况、投标报价等。如有不利于本合同履行的事项，中标人应在签订合同前提供相关承诺函以保证项目顺利推进，该承诺函将作为本合同的附件。</w:t>
      </w:r>
    </w:p>
    <w:p w14:paraId="7EEE7B24">
      <w:pPr>
        <w:pStyle w:val="14"/>
        <w:keepNext w:val="0"/>
        <w:keepLines w:val="0"/>
        <w:widowControl/>
        <w:suppressLineNumbers w:val="0"/>
        <w:topLinePunct/>
        <w:adjustRightInd w:val="0"/>
        <w:snapToGrid w:val="0"/>
        <w:spacing w:before="0" w:beforeAutospacing="1" w:after="0" w:afterAutospacing="1" w:line="360" w:lineRule="auto"/>
        <w:ind w:left="0" w:right="0" w:firstLine="578" w:firstLineChars="200"/>
        <w:jc w:val="left"/>
        <w:rPr>
          <w:rFonts w:hint="eastAsia" w:ascii="宋体" w:hAnsi="宋体" w:eastAsia="宋体" w:cs="Times New Roman"/>
          <w:b/>
          <w:bCs w:val="0"/>
          <w:color w:val="auto"/>
          <w:spacing w:val="4"/>
          <w:kern w:val="0"/>
          <w:sz w:val="28"/>
          <w:szCs w:val="28"/>
          <w:highlight w:val="none"/>
        </w:rPr>
      </w:pPr>
      <w:r>
        <w:rPr>
          <w:rFonts w:hint="eastAsia" w:ascii="宋体" w:hAnsi="宋体" w:eastAsia="宋体" w:cs="Times New Roman"/>
          <w:b/>
          <w:bCs w:val="0"/>
          <w:color w:val="auto"/>
          <w:spacing w:val="4"/>
          <w:kern w:val="0"/>
          <w:sz w:val="28"/>
          <w:szCs w:val="28"/>
          <w:highlight w:val="none"/>
          <w:lang w:val="en-US" w:eastAsia="zh-CN" w:bidi="ar"/>
        </w:rPr>
        <w:t xml:space="preserve">  </w:t>
      </w:r>
    </w:p>
    <w:p w14:paraId="424AAACE">
      <w:pPr>
        <w:pStyle w:val="14"/>
        <w:keepNext w:val="0"/>
        <w:keepLines w:val="0"/>
        <w:widowControl/>
        <w:suppressLineNumbers w:val="0"/>
        <w:topLinePunct/>
        <w:adjustRightInd w:val="0"/>
        <w:snapToGrid w:val="0"/>
        <w:spacing w:before="0" w:beforeLines="50" w:beforeAutospacing="0" w:after="0" w:afterAutospacing="1"/>
        <w:ind w:left="0" w:right="0"/>
        <w:jc w:val="left"/>
        <w:outlineLvl w:val="1"/>
        <w:rPr>
          <w:rFonts w:hint="eastAsia" w:ascii="宋体" w:hAnsi="宋体" w:eastAsia="宋体" w:cs="Times New Roman"/>
          <w:b/>
          <w:bCs w:val="0"/>
          <w:color w:val="auto"/>
          <w:spacing w:val="4"/>
          <w:kern w:val="0"/>
          <w:sz w:val="30"/>
          <w:szCs w:val="30"/>
          <w:highlight w:val="none"/>
        </w:rPr>
      </w:pPr>
      <w:r>
        <w:rPr>
          <w:rFonts w:hint="eastAsia" w:ascii="宋体" w:hAnsi="宋体" w:eastAsia="宋体" w:cs="Times New Roman"/>
          <w:b/>
          <w:bCs w:val="0"/>
          <w:color w:val="auto"/>
          <w:spacing w:val="4"/>
          <w:kern w:val="0"/>
          <w:sz w:val="30"/>
          <w:szCs w:val="30"/>
          <w:highlight w:val="none"/>
          <w:lang w:val="en-US" w:eastAsia="zh-CN" w:bidi="ar"/>
        </w:rPr>
        <w:t xml:space="preserve"> </w:t>
      </w:r>
    </w:p>
    <w:p w14:paraId="32442FEE">
      <w:pPr>
        <w:pStyle w:val="14"/>
        <w:keepNext w:val="0"/>
        <w:keepLines w:val="0"/>
        <w:widowControl/>
        <w:suppressLineNumbers w:val="0"/>
        <w:topLinePunct/>
        <w:adjustRightInd w:val="0"/>
        <w:snapToGrid w:val="0"/>
        <w:spacing w:before="0" w:beforeLines="50" w:beforeAutospacing="0" w:after="0" w:afterAutospacing="1"/>
        <w:ind w:left="0" w:right="0"/>
        <w:jc w:val="center"/>
        <w:outlineLvl w:val="1"/>
        <w:rPr>
          <w:rFonts w:hint="eastAsia" w:ascii="宋体" w:hAnsi="宋体" w:eastAsia="宋体" w:cs="Times New Roman"/>
          <w:b/>
          <w:bCs w:val="0"/>
          <w:color w:val="auto"/>
          <w:spacing w:val="4"/>
          <w:kern w:val="0"/>
          <w:sz w:val="44"/>
          <w:szCs w:val="44"/>
          <w:highlight w:val="none"/>
        </w:rPr>
      </w:pPr>
      <w:r>
        <w:rPr>
          <w:rFonts w:hint="eastAsia" w:ascii="宋体" w:hAnsi="宋体" w:eastAsia="黑体" w:cs="Times New Roman"/>
          <w:b/>
          <w:bCs w:val="0"/>
          <w:color w:val="auto"/>
          <w:spacing w:val="4"/>
          <w:kern w:val="0"/>
          <w:sz w:val="30"/>
          <w:szCs w:val="30"/>
          <w:highlight w:val="none"/>
          <w:lang w:val="en-US" w:eastAsia="zh-CN" w:bidi="ar"/>
        </w:rPr>
        <w:br w:type="page"/>
      </w:r>
      <w:r>
        <w:rPr>
          <w:rFonts w:hint="eastAsia" w:ascii="宋体" w:hAnsi="宋体" w:eastAsia="宋体" w:cs="宋体"/>
          <w:b/>
          <w:bCs w:val="0"/>
          <w:color w:val="auto"/>
          <w:spacing w:val="4"/>
          <w:kern w:val="0"/>
          <w:sz w:val="44"/>
          <w:szCs w:val="44"/>
          <w:highlight w:val="none"/>
          <w:lang w:val="en-US" w:eastAsia="zh-CN" w:bidi="ar"/>
        </w:rPr>
        <w:t>一、合同选择补充文本</w:t>
      </w:r>
    </w:p>
    <w:p w14:paraId="47EA2A27">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Calibri" w:eastAsia="宋体" w:cs="Times New Roman"/>
          <w:b/>
          <w:bCs w:val="0"/>
          <w:color w:val="auto"/>
          <w:kern w:val="0"/>
          <w:sz w:val="44"/>
          <w:szCs w:val="44"/>
          <w:highlight w:val="none"/>
        </w:rPr>
      </w:pPr>
      <w:r>
        <w:rPr>
          <w:rFonts w:hint="eastAsia" w:ascii="宋体" w:hAnsi="宋体" w:eastAsia="宋体" w:cs="宋体"/>
          <w:b/>
          <w:bCs w:val="0"/>
          <w:color w:val="auto"/>
          <w:kern w:val="0"/>
          <w:sz w:val="44"/>
          <w:szCs w:val="44"/>
          <w:highlight w:val="none"/>
          <w:lang w:val="en-US" w:eastAsia="zh-CN" w:bidi="ar"/>
        </w:rPr>
        <w:t>第一篇合同协议书</w:t>
      </w:r>
    </w:p>
    <w:p w14:paraId="2E7C6427">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 xml:space="preserve"> </w:t>
      </w:r>
    </w:p>
    <w:p w14:paraId="68065162">
      <w:pPr>
        <w:keepNext w:val="0"/>
        <w:keepLines w:val="0"/>
        <w:widowControl w:val="0"/>
        <w:suppressLineNumbers w:val="0"/>
        <w:spacing w:before="0" w:beforeAutospacing="0" w:after="0" w:afterAutospacing="0" w:line="360" w:lineRule="auto"/>
        <w:ind w:left="0" w:right="0" w:firstLine="482"/>
        <w:jc w:val="left"/>
        <w:rPr>
          <w:rFonts w:hint="eastAsia" w:ascii="宋体" w:hAnsi="Calibri" w:eastAsia="宋体" w:cs="Times New Roman"/>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广州市重点公共建设项目管理中心</w:t>
      </w:r>
      <w:r>
        <w:rPr>
          <w:rFonts w:hint="eastAsia" w:ascii="宋体" w:hAnsi="宋体" w:eastAsia="宋体" w:cs="宋体"/>
          <w:color w:val="auto"/>
          <w:kern w:val="0"/>
          <w:sz w:val="24"/>
          <w:szCs w:val="24"/>
          <w:highlight w:val="none"/>
          <w:lang w:val="en-US" w:eastAsia="zh-CN" w:bidi="ar"/>
        </w:rPr>
        <w:t>（以下称发包人）与（以下称承包人）依照《中华人民共和国民法典》、《中华人民共和国建筑法》、《中华人民共和国招</w:t>
      </w:r>
      <w:r>
        <w:rPr>
          <w:rFonts w:hint="default" w:ascii="宋体" w:hAnsi="宋体" w:eastAsia="宋体" w:cs="宋体"/>
          <w:color w:val="auto"/>
          <w:kern w:val="0"/>
          <w:sz w:val="24"/>
          <w:szCs w:val="24"/>
          <w:highlight w:val="none"/>
          <w:lang w:eastAsia="zh-CN" w:bidi="ar"/>
        </w:rPr>
        <w:t>标</w:t>
      </w:r>
      <w:r>
        <w:rPr>
          <w:rFonts w:hint="eastAsia" w:ascii="宋体" w:hAnsi="宋体" w:eastAsia="宋体" w:cs="宋体"/>
          <w:color w:val="auto"/>
          <w:kern w:val="0"/>
          <w:sz w:val="24"/>
          <w:szCs w:val="24"/>
          <w:highlight w:val="none"/>
          <w:lang w:val="en-US" w:eastAsia="zh-CN" w:bidi="ar"/>
        </w:rPr>
        <w:t>投标法》及其他有关法律、行政法规、部门规章、地方性法规和规章，遵循平等、自愿、公平和诚实信用的原则，就</w:t>
      </w:r>
      <w:r>
        <w:rPr>
          <w:rFonts w:hint="eastAsia" w:ascii="宋体" w:hAnsi="宋体" w:eastAsia="宋体" w:cs="宋体"/>
          <w:color w:val="auto"/>
          <w:kern w:val="2"/>
          <w:sz w:val="24"/>
          <w:szCs w:val="24"/>
          <w:highlight w:val="none"/>
          <w:u w:val="single"/>
          <w:lang w:eastAsia="zh-CN" w:bidi="ar"/>
        </w:rPr>
        <w:t>广州天河体育中心整体景观提升（开幕式）建筑工程、广州天河体育中心篮球城维修改造项目、广州市羽毛球运动管理中心训练馆改造项目、广州天河体育中心田径副场改造项目施工总承包</w:t>
      </w:r>
      <w:r>
        <w:rPr>
          <w:rFonts w:hint="eastAsia" w:ascii="宋体" w:hAnsi="宋体" w:eastAsia="宋体" w:cs="宋体"/>
          <w:color w:val="auto"/>
          <w:kern w:val="0"/>
          <w:sz w:val="24"/>
          <w:szCs w:val="24"/>
          <w:highlight w:val="none"/>
          <w:lang w:val="en-US" w:eastAsia="zh-CN" w:bidi="ar"/>
        </w:rPr>
        <w:t>（以下称本工程）事宜协商一致，订立本合同。</w:t>
      </w:r>
    </w:p>
    <w:p w14:paraId="50A2D634">
      <w:pPr>
        <w:keepNext w:val="0"/>
        <w:keepLines w:val="0"/>
        <w:widowControl w:val="0"/>
        <w:suppressLineNumbers w:val="0"/>
        <w:spacing w:before="0" w:beforeAutospacing="0" w:after="0" w:afterAutospacing="0" w:line="360" w:lineRule="auto"/>
        <w:ind w:left="0" w:right="0" w:firstLine="482"/>
        <w:jc w:val="left"/>
        <w:rPr>
          <w:rFonts w:hint="eastAsia" w:ascii="宋体" w:hAnsi="Calibri" w:eastAsia="宋体" w:cs="Times New Roman"/>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1、工程概况</w:t>
      </w:r>
    </w:p>
    <w:p w14:paraId="7D0C978F">
      <w:pPr>
        <w:keepNext w:val="0"/>
        <w:keepLines w:val="0"/>
        <w:widowControl w:val="0"/>
        <w:suppressLineNumbers w:val="0"/>
        <w:spacing w:before="0" w:beforeAutospacing="0" w:after="0" w:afterAutospacing="0" w:line="360" w:lineRule="auto"/>
        <w:ind w:left="0" w:right="0" w:firstLine="482"/>
        <w:jc w:val="left"/>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（1）工程名称：</w:t>
      </w:r>
      <w:r>
        <w:rPr>
          <w:rFonts w:hint="eastAsia" w:ascii="宋体" w:hAnsi="宋体" w:eastAsia="宋体" w:cs="宋体"/>
          <w:color w:val="auto"/>
          <w:kern w:val="2"/>
          <w:sz w:val="24"/>
          <w:szCs w:val="24"/>
          <w:highlight w:val="none"/>
          <w:u w:val="single"/>
          <w:lang w:eastAsia="zh-CN" w:bidi="ar"/>
        </w:rPr>
        <w:t>广州天河体育中心整体景观提升（开幕式）建筑工程、广州天河体育中心篮球城维修改造项目、广州市羽毛球运动管理中心训练馆改造项目、广州天河体育中心田径副场改造项目施工总承包</w:t>
      </w:r>
      <w:r>
        <w:rPr>
          <w:rFonts w:hint="eastAsia" w:ascii="宋体" w:hAnsi="宋体" w:eastAsia="宋体" w:cs="宋体"/>
          <w:color w:val="auto"/>
          <w:kern w:val="0"/>
          <w:sz w:val="24"/>
          <w:szCs w:val="24"/>
          <w:highlight w:val="none"/>
          <w:lang w:val="en-US" w:eastAsia="zh-CN" w:bidi="ar"/>
        </w:rPr>
        <w:t>。</w:t>
      </w:r>
    </w:p>
    <w:p w14:paraId="6EAFFE85">
      <w:pPr>
        <w:keepNext w:val="0"/>
        <w:keepLines w:val="0"/>
        <w:widowControl w:val="0"/>
        <w:suppressLineNumbers w:val="0"/>
        <w:spacing w:before="0" w:beforeAutospacing="0" w:after="0" w:afterAutospacing="0" w:line="360" w:lineRule="auto"/>
        <w:ind w:left="0" w:right="0" w:firstLine="482"/>
        <w:jc w:val="left"/>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（2）工程地点：</w:t>
      </w:r>
      <w:r>
        <w:rPr>
          <w:rFonts w:hint="eastAsia" w:ascii="宋体" w:hAnsi="宋体" w:eastAsia="宋体" w:cs="宋体"/>
          <w:color w:val="auto"/>
          <w:kern w:val="2"/>
          <w:sz w:val="24"/>
          <w:szCs w:val="24"/>
          <w:highlight w:val="none"/>
          <w:u w:val="single"/>
          <w:lang w:val="en-US" w:eastAsia="zh-CN" w:bidi="ar"/>
        </w:rPr>
        <w:t>广州市</w:t>
      </w:r>
      <w:r>
        <w:rPr>
          <w:rFonts w:hint="eastAsia" w:ascii="宋体" w:hAnsi="宋体" w:eastAsia="宋体" w:cs="宋体"/>
          <w:color w:val="auto"/>
          <w:kern w:val="2"/>
          <w:sz w:val="24"/>
          <w:szCs w:val="24"/>
          <w:highlight w:val="none"/>
          <w:u w:val="single"/>
          <w:lang w:eastAsia="zh-CN" w:bidi="ar"/>
        </w:rPr>
        <w:t>天河体育中心</w:t>
      </w:r>
      <w:r>
        <w:rPr>
          <w:rFonts w:hint="eastAsia" w:ascii="宋体" w:hAnsi="宋体" w:eastAsia="宋体" w:cs="宋体"/>
          <w:color w:val="auto"/>
          <w:kern w:val="2"/>
          <w:sz w:val="24"/>
          <w:szCs w:val="24"/>
          <w:highlight w:val="none"/>
          <w:u w:val="single"/>
          <w:lang w:val="en-US" w:eastAsia="zh-CN" w:bidi="ar"/>
        </w:rPr>
        <w:t>内。</w:t>
      </w:r>
    </w:p>
    <w:p w14:paraId="28B03CFA">
      <w:pPr>
        <w:keepNext w:val="0"/>
        <w:keepLines w:val="0"/>
        <w:widowControl w:val="0"/>
        <w:suppressLineNumbers w:val="0"/>
        <w:spacing w:before="0" w:beforeAutospacing="0" w:after="0" w:afterAutospacing="0" w:line="360" w:lineRule="auto"/>
        <w:ind w:left="0" w:right="0" w:firstLine="482"/>
        <w:jc w:val="left"/>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（3）工程立项批准文号：</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w:t>
      </w:r>
    </w:p>
    <w:p w14:paraId="38503820">
      <w:pPr>
        <w:keepNext w:val="0"/>
        <w:keepLines w:val="0"/>
        <w:widowControl w:val="0"/>
        <w:suppressLineNumbers w:val="0"/>
        <w:spacing w:before="0" w:beforeAutospacing="0" w:after="0" w:afterAutospacing="0" w:line="360" w:lineRule="auto"/>
        <w:ind w:left="0" w:right="0" w:firstLine="482"/>
        <w:jc w:val="left"/>
        <w:rPr>
          <w:rFonts w:hint="eastAsia" w:ascii="宋体" w:hAnsi="Calibri" w:eastAsia="宋体" w:cs="Times New Roman"/>
          <w:b/>
          <w:bCs w:val="0"/>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（4）资金来源：</w:t>
      </w:r>
      <w:r>
        <w:rPr>
          <w:rFonts w:hint="eastAsia" w:ascii="宋体" w:hAnsi="宋体" w:eastAsia="宋体" w:cs="宋体"/>
          <w:color w:val="auto"/>
          <w:kern w:val="2"/>
          <w:sz w:val="24"/>
          <w:szCs w:val="24"/>
          <w:highlight w:val="none"/>
          <w:u w:val="single"/>
          <w:lang w:val="en-US" w:eastAsia="zh-CN" w:bidi="ar"/>
        </w:rPr>
        <w:t>财政资金</w:t>
      </w:r>
      <w:r>
        <w:rPr>
          <w:rFonts w:hint="eastAsia" w:ascii="宋体" w:hAnsi="宋体" w:eastAsia="宋体" w:cs="宋体"/>
          <w:color w:val="auto"/>
          <w:kern w:val="2"/>
          <w:sz w:val="24"/>
          <w:szCs w:val="24"/>
          <w:highlight w:val="none"/>
          <w:lang w:val="en-US" w:eastAsia="zh-CN" w:bidi="ar"/>
        </w:rPr>
        <w:t>。</w:t>
      </w:r>
    </w:p>
    <w:p w14:paraId="49DEF485">
      <w:pPr>
        <w:keepNext w:val="0"/>
        <w:keepLines w:val="0"/>
        <w:widowControl w:val="0"/>
        <w:suppressLineNumbers w:val="0"/>
        <w:spacing w:before="0" w:beforeAutospacing="0" w:after="0" w:afterAutospacing="0" w:line="360" w:lineRule="auto"/>
        <w:ind w:left="0" w:right="0" w:firstLine="482"/>
        <w:jc w:val="left"/>
        <w:rPr>
          <w:rFonts w:hint="eastAsia" w:ascii="宋体" w:hAnsi="Calibri" w:eastAsia="宋体" w:cs="Times New Roman"/>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2、工程内容、承包范围和承包方式</w:t>
      </w:r>
    </w:p>
    <w:p w14:paraId="70A889BD">
      <w:pPr>
        <w:keepNext w:val="0"/>
        <w:keepLines w:val="0"/>
        <w:widowControl w:val="0"/>
        <w:suppressLineNumbers w:val="0"/>
        <w:spacing w:before="0" w:beforeAutospacing="0" w:after="0" w:afterAutospacing="0" w:line="360" w:lineRule="auto"/>
        <w:ind w:left="0" w:right="0" w:firstLine="537" w:firstLineChars="224"/>
        <w:jc w:val="both"/>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0"/>
          <w:sz w:val="24"/>
          <w:szCs w:val="24"/>
          <w:highlight w:val="none"/>
          <w:lang w:val="en-US" w:eastAsia="zh-CN" w:bidi="ar"/>
        </w:rPr>
        <w:t>2.1工程内容：</w:t>
      </w:r>
      <w:r>
        <w:rPr>
          <w:rFonts w:hint="eastAsia" w:ascii="宋体" w:hAnsi="宋体" w:eastAsia="宋体" w:cs="宋体"/>
          <w:color w:val="auto"/>
          <w:kern w:val="2"/>
          <w:sz w:val="24"/>
          <w:szCs w:val="24"/>
          <w:highlight w:val="none"/>
          <w:u w:val="single"/>
          <w:lang w:val="en-US" w:eastAsia="zh-CN" w:bidi="ar"/>
        </w:rPr>
        <w:t>广州天河体育中心整体景观提升（开幕式）、广州天河体育中心篮球城、广州市羽毛球运动管理中心训练馆、广州天河体育中心田径副场均位于广州天河体育中心内，广州天河体育中心整体景观提升（开幕式）建筑工程、广州天河体育中心篮球城维修改造项目、广州市羽毛球运动管理中心训练馆改造项目、广州天河体育中心田径副场改造项目施工总承包采用合并招标，招标项目概况如下：</w:t>
      </w:r>
    </w:p>
    <w:p w14:paraId="5403E134">
      <w:pPr>
        <w:keepNext w:val="0"/>
        <w:keepLines w:val="0"/>
        <w:widowControl w:val="0"/>
        <w:suppressLineNumbers w:val="0"/>
        <w:spacing w:before="0" w:beforeAutospacing="0" w:after="0" w:afterAutospacing="0" w:line="360" w:lineRule="auto"/>
        <w:ind w:left="0" w:right="0" w:firstLine="537" w:firstLineChars="224"/>
        <w:jc w:val="both"/>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u w:val="single"/>
          <w:lang w:val="en-US" w:eastAsia="zh-CN" w:bidi="ar"/>
        </w:rPr>
        <w:t>（一）广州天河体育中心整体景观提升（开幕式）建筑工程建设内容包括本项目主要为广州天河体育中心室外整体景观的提升改造，改造工程室外用地面积194076㎡。其中，绿化面积83723㎡，道路广场面积110344㎡ ；改造内容（包括但不限于）：拆除场地内多处的建筑及临时构筑物、对部分小体量的功能性建筑进行外立面翻新及第五立面美化处理、游泳馆外立面翻新（高度25.62米）、沥青道路、人行道路、南广场门楼、室外配套工程（围蔽设施、公厕等）、配套公用工程（强弱电、给排水等）、室外无障碍设备设施及其他工程等。</w:t>
      </w:r>
    </w:p>
    <w:p w14:paraId="7EB0B60B">
      <w:pPr>
        <w:keepNext w:val="0"/>
        <w:keepLines w:val="0"/>
        <w:widowControl w:val="0"/>
        <w:suppressLineNumbers w:val="0"/>
        <w:spacing w:before="0" w:beforeAutospacing="0" w:after="0" w:afterAutospacing="0" w:line="360" w:lineRule="auto"/>
        <w:ind w:left="0" w:right="0" w:firstLine="537" w:firstLineChars="224"/>
        <w:jc w:val="both"/>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u w:val="single"/>
          <w:lang w:val="en-US" w:eastAsia="zh-CN" w:bidi="ar"/>
        </w:rPr>
        <w:t>（二）广州天河体育中心篮球城维修改造项目建设内容包括拆除工程、室外及其他工程，以及赛事专项工程等，项目改造范围5263㎡。</w:t>
      </w:r>
    </w:p>
    <w:p w14:paraId="062C6DD0">
      <w:pPr>
        <w:keepNext w:val="0"/>
        <w:keepLines w:val="0"/>
        <w:widowControl w:val="0"/>
        <w:suppressLineNumbers w:val="0"/>
        <w:spacing w:before="0" w:beforeAutospacing="0" w:after="0" w:afterAutospacing="0" w:line="360" w:lineRule="auto"/>
        <w:ind w:left="0" w:right="0" w:firstLine="537" w:firstLineChars="224"/>
        <w:jc w:val="both"/>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u w:val="single"/>
          <w:lang w:val="en-US" w:eastAsia="zh-CN" w:bidi="ar"/>
        </w:rPr>
        <w:t>（三）广州市羽毛球运动管理中心训练馆改造项目1栋三层，建筑高度14.6m，改造总建筑面积为4768.24平方米，其中首层3578.63平方米，二层884.08平方米；三层305.53平方米；室外三部钢结构楼梯维护，更换地砖，共75.10平方米。改造范围主要包括拆除外运工程、建筑工程、室内装修工程、给排水工程、消防工程、通风空调工程、智能化工程、景观提升、室外及其他工程、赛事专项工程。</w:t>
      </w:r>
    </w:p>
    <w:p w14:paraId="7470DCD9">
      <w:pPr>
        <w:keepNext w:val="0"/>
        <w:keepLines w:val="0"/>
        <w:widowControl w:val="0"/>
        <w:suppressLineNumbers w:val="0"/>
        <w:spacing w:before="0" w:beforeAutospacing="0" w:after="0" w:afterAutospacing="0" w:line="360" w:lineRule="auto"/>
        <w:ind w:left="0" w:right="0" w:firstLine="537" w:firstLineChars="224"/>
        <w:jc w:val="both"/>
        <w:rPr>
          <w:rFonts w:hint="eastAsia" w:ascii="宋体" w:hAnsi="Calibri" w:eastAsia="宋体" w:cs="Times New Roman"/>
          <w:color w:val="auto"/>
          <w:kern w:val="2"/>
          <w:sz w:val="24"/>
          <w:szCs w:val="24"/>
          <w:highlight w:val="none"/>
        </w:rPr>
      </w:pPr>
      <w:r>
        <w:rPr>
          <w:rFonts w:hint="eastAsia" w:ascii="宋体" w:hAnsi="宋体" w:eastAsia="宋体" w:cs="宋体"/>
          <w:color w:val="auto"/>
          <w:kern w:val="2"/>
          <w:sz w:val="24"/>
          <w:szCs w:val="24"/>
          <w:highlight w:val="none"/>
          <w:u w:val="single"/>
          <w:lang w:val="en-US" w:eastAsia="zh-CN" w:bidi="ar"/>
        </w:rPr>
        <w:t>（四）广州天河体育中心田径副场改造项目建筑高度17.875m，改造总建筑面积66.6㎡；改造范围首层卫生间的维修改造，含装饰装修、卫生洁具更换、水电及排风设备更换。</w:t>
      </w:r>
    </w:p>
    <w:p w14:paraId="7811CC6B">
      <w:pPr>
        <w:keepNext w:val="0"/>
        <w:keepLines w:val="0"/>
        <w:widowControl w:val="0"/>
        <w:suppressLineNumbers w:val="0"/>
        <w:spacing w:before="0" w:beforeAutospacing="0" w:after="0" w:afterAutospacing="0" w:line="360" w:lineRule="auto"/>
        <w:ind w:left="0" w:right="0" w:firstLine="555" w:firstLineChars="224"/>
        <w:jc w:val="both"/>
        <w:rPr>
          <w:rFonts w:hint="eastAsia" w:ascii="宋体" w:hAnsi="宋体" w:eastAsia="宋体" w:cs="宋体"/>
          <w:color w:val="auto"/>
          <w:spacing w:val="4"/>
          <w:kern w:val="2"/>
          <w:sz w:val="24"/>
          <w:szCs w:val="24"/>
          <w:highlight w:val="none"/>
        </w:rPr>
      </w:pPr>
      <w:r>
        <w:rPr>
          <w:rFonts w:hint="eastAsia" w:ascii="宋体" w:hAnsi="宋体" w:eastAsia="宋体" w:cs="宋体"/>
          <w:color w:val="auto"/>
          <w:spacing w:val="4"/>
          <w:kern w:val="2"/>
          <w:sz w:val="24"/>
          <w:szCs w:val="24"/>
          <w:highlight w:val="none"/>
          <w:lang w:val="en-US" w:eastAsia="zh-CN" w:bidi="ar"/>
        </w:rPr>
        <w:t>2.2承包范围：</w:t>
      </w:r>
    </w:p>
    <w:p w14:paraId="1C48787D">
      <w:pPr>
        <w:keepNext w:val="0"/>
        <w:keepLines w:val="0"/>
        <w:widowControl w:val="0"/>
        <w:suppressLineNumbers w:val="0"/>
        <w:spacing w:before="0" w:beforeAutospacing="0" w:after="0" w:afterAutospacing="0" w:line="360" w:lineRule="auto"/>
        <w:ind w:left="0" w:right="0" w:firstLine="537" w:firstLineChars="224"/>
        <w:jc w:val="both"/>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u w:val="single"/>
          <w:lang w:val="en-US" w:eastAsia="zh-CN" w:bidi="ar"/>
        </w:rPr>
        <w:t>（1）广州天河体育中心整体景观提升（开幕式）建筑工程招标内容包括立项范围内所有的前期工程（含临水、临电、工地视频监控等）、拆除工程、外立面翻新及第五立面美化处理、土建工程、沥青道路、人行道路、南广场门楼、室外配套工程（围蔽设施、公厕等）、配套公用工程（强弱电、给排水等）、室外无障碍设备设施及其他工程等。</w:t>
      </w:r>
    </w:p>
    <w:p w14:paraId="507F666B">
      <w:pPr>
        <w:keepNext w:val="0"/>
        <w:keepLines w:val="0"/>
        <w:widowControl w:val="0"/>
        <w:suppressLineNumbers w:val="0"/>
        <w:spacing w:before="0" w:beforeAutospacing="0" w:after="0" w:afterAutospacing="0" w:line="360" w:lineRule="auto"/>
        <w:ind w:left="0" w:right="0" w:firstLine="537" w:firstLineChars="224"/>
        <w:jc w:val="both"/>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u w:val="single"/>
          <w:lang w:val="en-US" w:eastAsia="zh-CN" w:bidi="ar"/>
        </w:rPr>
        <w:t>（2）广州天河体育中心篮球城维修改造项目招标内容包括立项范围内所有的前期工程（含临水、临电、工地视频监控等）、拆除工程、室外及其他工程，以及赛事专项工程等。</w:t>
      </w:r>
    </w:p>
    <w:p w14:paraId="7E945721">
      <w:pPr>
        <w:keepNext w:val="0"/>
        <w:keepLines w:val="0"/>
        <w:widowControl w:val="0"/>
        <w:suppressLineNumbers w:val="0"/>
        <w:spacing w:before="0" w:beforeAutospacing="0" w:after="0" w:afterAutospacing="0" w:line="360" w:lineRule="auto"/>
        <w:ind w:left="0" w:right="0" w:firstLine="537" w:firstLineChars="224"/>
        <w:jc w:val="both"/>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u w:val="single"/>
          <w:lang w:val="en-US" w:eastAsia="zh-CN" w:bidi="ar"/>
        </w:rPr>
        <w:t>（3）广州市羽毛球运动管理中心训练馆改造项目招标内容包括立项范围内所有的前期工程（含临水、临电、工地视频监控等）、拆除外运工程、建筑工程、室内装修工程、给排水工程、消防工程、通风空调工程、智能化工程、景观提升、室外及其他工程、赛事专项工程。</w:t>
      </w:r>
    </w:p>
    <w:p w14:paraId="47BD35F0">
      <w:pPr>
        <w:keepNext w:val="0"/>
        <w:keepLines w:val="0"/>
        <w:widowControl w:val="0"/>
        <w:suppressLineNumbers w:val="0"/>
        <w:spacing w:before="0" w:beforeAutospacing="0" w:after="0" w:afterAutospacing="0" w:line="360" w:lineRule="auto"/>
        <w:ind w:left="0" w:right="0" w:firstLine="537" w:firstLineChars="224"/>
        <w:jc w:val="both"/>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u w:val="single"/>
          <w:lang w:val="en-US" w:eastAsia="zh-CN" w:bidi="ar"/>
        </w:rPr>
        <w:t>（</w:t>
      </w:r>
      <w:r>
        <w:rPr>
          <w:rFonts w:hint="default" w:ascii="宋体" w:hAnsi="宋体" w:eastAsia="宋体" w:cs="宋体"/>
          <w:color w:val="auto"/>
          <w:kern w:val="2"/>
          <w:sz w:val="24"/>
          <w:szCs w:val="24"/>
          <w:highlight w:val="none"/>
          <w:u w:val="single"/>
          <w:lang w:eastAsia="zh-CN" w:bidi="ar"/>
        </w:rPr>
        <w:t>4</w:t>
      </w:r>
      <w:r>
        <w:rPr>
          <w:rFonts w:hint="eastAsia" w:ascii="宋体" w:hAnsi="宋体" w:eastAsia="宋体" w:cs="宋体"/>
          <w:color w:val="auto"/>
          <w:kern w:val="2"/>
          <w:sz w:val="24"/>
          <w:szCs w:val="24"/>
          <w:highlight w:val="none"/>
          <w:u w:val="single"/>
          <w:lang w:val="en-US" w:eastAsia="zh-CN" w:bidi="ar"/>
        </w:rPr>
        <w:t>）广州天河体育中心田径副场改造项目招标内容包括立项范围内所有的前期工程（含临水、临电、工地视频监控等）、装饰装修、卫生洁具更换、水电及排风设备更换等。</w:t>
      </w:r>
    </w:p>
    <w:p w14:paraId="6D6AB77E">
      <w:pPr>
        <w:keepNext w:val="0"/>
        <w:keepLines w:val="0"/>
        <w:widowControl w:val="0"/>
        <w:suppressLineNumbers w:val="0"/>
        <w:spacing w:before="0" w:beforeAutospacing="0" w:after="0" w:afterAutospacing="0" w:line="360" w:lineRule="auto"/>
        <w:ind w:left="470" w:leftChars="224" w:right="0" w:rightChars="0"/>
        <w:jc w:val="both"/>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u w:val="single"/>
          <w:lang w:val="en-US" w:eastAsia="zh-CN" w:bidi="ar"/>
        </w:rPr>
        <w:t>（5）施工总承包管理和配合服务，包括对本项目由招标人另行发包的专业工程实施总承包管理和配合服务，具体内容以招标文件为准。</w:t>
      </w:r>
    </w:p>
    <w:p w14:paraId="1438B146">
      <w:pPr>
        <w:keepNext w:val="0"/>
        <w:keepLines w:val="0"/>
        <w:widowControl w:val="0"/>
        <w:suppressLineNumbers w:val="0"/>
        <w:spacing w:before="0" w:beforeAutospacing="0" w:after="0" w:afterAutospacing="0"/>
        <w:ind w:left="0" w:right="0"/>
        <w:jc w:val="both"/>
        <w:rPr>
          <w:color w:val="auto"/>
          <w:highlight w:val="none"/>
        </w:rPr>
      </w:pPr>
      <w:r>
        <w:rPr>
          <w:rFonts w:hint="eastAsia" w:ascii="宋体" w:hAnsi="宋体" w:eastAsia="宋体" w:cs="宋体"/>
          <w:color w:val="auto"/>
          <w:kern w:val="2"/>
          <w:sz w:val="24"/>
          <w:szCs w:val="24"/>
          <w:highlight w:val="none"/>
          <w:u w:val="single"/>
          <w:lang w:val="en-US" w:eastAsia="zh-CN" w:bidi="ar"/>
        </w:rPr>
        <w:t>具体以招标文件、招标图纸、工程量清单及有关资料说明为准</w:t>
      </w:r>
    </w:p>
    <w:p w14:paraId="69678C6B">
      <w:pPr>
        <w:keepNext w:val="0"/>
        <w:keepLines w:val="0"/>
        <w:widowControl w:val="0"/>
        <w:suppressLineNumbers w:val="0"/>
        <w:spacing w:before="0" w:beforeAutospacing="0" w:after="0" w:afterAutospacing="0" w:line="360" w:lineRule="auto"/>
        <w:ind w:right="0" w:firstLine="555" w:firstLineChars="224"/>
        <w:jc w:val="both"/>
        <w:rPr>
          <w:rFonts w:hint="eastAsia" w:ascii="宋体" w:hAnsi="Calibri" w:eastAsia="宋体" w:cs="宋体"/>
          <w:color w:val="auto"/>
          <w:spacing w:val="4"/>
          <w:kern w:val="2"/>
          <w:sz w:val="24"/>
          <w:szCs w:val="24"/>
          <w:highlight w:val="none"/>
        </w:rPr>
      </w:pPr>
    </w:p>
    <w:p w14:paraId="646B8C1B">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2.3承包方式：</w:t>
      </w:r>
      <w:r>
        <w:rPr>
          <w:rFonts w:hint="eastAsia" w:ascii="宋体" w:hAnsi="Calibri" w:eastAsia="宋体" w:cs="Times New Roman"/>
          <w:color w:val="auto"/>
          <w:kern w:val="0"/>
          <w:sz w:val="24"/>
          <w:szCs w:val="24"/>
          <w:highlight w:val="none"/>
          <w:lang w:val="en-US" w:eastAsia="zh-CN" w:bidi="ar"/>
        </w:rPr>
        <w:tab/>
      </w:r>
    </w:p>
    <w:p w14:paraId="548D2DD4">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由承包人按照本合同约定范围和图纸内容实行工程施工总承包，包括但不限于包工、包料（</w:t>
      </w:r>
      <w:r>
        <w:rPr>
          <w:rFonts w:hint="eastAsia" w:ascii="宋体" w:hAnsi="宋体" w:eastAsia="宋体" w:cs="宋体"/>
          <w:b/>
          <w:bCs w:val="0"/>
          <w:color w:val="auto"/>
          <w:kern w:val="0"/>
          <w:sz w:val="21"/>
          <w:szCs w:val="21"/>
          <w:highlight w:val="none"/>
          <w:lang w:val="en-US" w:eastAsia="zh-CN" w:bidi="ar"/>
        </w:rPr>
        <w:t>×</w:t>
      </w:r>
      <w:r>
        <w:rPr>
          <w:rFonts w:hint="eastAsia" w:ascii="宋体" w:hAnsi="宋体" w:eastAsia="宋体" w:cs="宋体"/>
          <w:color w:val="auto"/>
          <w:kern w:val="0"/>
          <w:sz w:val="24"/>
          <w:szCs w:val="24"/>
          <w:highlight w:val="none"/>
          <w:lang w:val="en-US" w:eastAsia="zh-CN" w:bidi="ar"/>
        </w:rPr>
        <w:t>甲供材料设备除外）、包工期、包质量、包安全生产、包文明施工、包各系统调试及联合调试、包承包范围内工程竣工验收通过、包移交、包结算、包运行维护管理（含本场馆在赛事期间</w:t>
      </w:r>
      <w:r>
        <w:rPr>
          <w:rFonts w:hint="default" w:ascii="宋体" w:hAnsi="宋体" w:eastAsia="宋体" w:cs="宋体"/>
          <w:color w:val="auto"/>
          <w:kern w:val="0"/>
          <w:sz w:val="24"/>
          <w:szCs w:val="24"/>
          <w:highlight w:val="none"/>
          <w:lang w:eastAsia="zh-CN" w:bidi="ar"/>
        </w:rPr>
        <w:t>、开幕式期间</w:t>
      </w:r>
      <w:r>
        <w:rPr>
          <w:rFonts w:hint="eastAsia" w:ascii="宋体" w:hAnsi="宋体" w:eastAsia="宋体" w:cs="宋体"/>
          <w:color w:val="auto"/>
          <w:kern w:val="0"/>
          <w:sz w:val="24"/>
          <w:szCs w:val="24"/>
          <w:highlight w:val="none"/>
          <w:lang w:val="en-US" w:eastAsia="zh-CN" w:bidi="ar"/>
        </w:rPr>
        <w:t>的工程运维保障）及相关部门报建/报批手续、包创优工程的组织实施工作和资料整理（如有）、包城市建设档案组卷移交和市重点建设项目档案组卷移交（如有）、</w:t>
      </w:r>
      <w:r>
        <w:rPr>
          <w:rFonts w:hint="eastAsia" w:ascii="宋体" w:hAnsi="宋体" w:eastAsia="宋体" w:cs="宋体"/>
          <w:b/>
          <w:bCs w:val="0"/>
          <w:color w:val="auto"/>
          <w:kern w:val="0"/>
          <w:sz w:val="21"/>
          <w:szCs w:val="21"/>
          <w:highlight w:val="none"/>
          <w:lang w:val="en-US" w:eastAsia="zh-CN" w:bidi="ar"/>
        </w:rPr>
        <w:t>√</w:t>
      </w:r>
      <w:r>
        <w:rPr>
          <w:rFonts w:hint="eastAsia" w:ascii="宋体" w:hAnsi="宋体" w:eastAsia="宋体" w:cs="宋体"/>
          <w:color w:val="auto"/>
          <w:kern w:val="0"/>
          <w:sz w:val="24"/>
          <w:szCs w:val="24"/>
          <w:highlight w:val="none"/>
          <w:lang w:val="en-US" w:eastAsia="zh-CN" w:bidi="ar"/>
        </w:rPr>
        <w:t>包施工总承包管理和现场整体组织、包专业协调及配合、</w:t>
      </w:r>
      <w:r>
        <w:rPr>
          <w:rFonts w:hint="eastAsia" w:ascii="宋体" w:hAnsi="宋体" w:eastAsia="宋体" w:cs="宋体"/>
          <w:b/>
          <w:bCs w:val="0"/>
          <w:color w:val="auto"/>
          <w:kern w:val="2"/>
          <w:sz w:val="24"/>
          <w:szCs w:val="24"/>
          <w:highlight w:val="none"/>
          <w:u w:val="single"/>
          <w:lang w:val="en-US" w:eastAsia="zh-CN" w:bidi="ar"/>
        </w:rPr>
        <w:t>包工程保险（含建筑（安装）工程一切险、安全生产责任险及其他保险）、</w:t>
      </w:r>
      <w:r>
        <w:rPr>
          <w:rFonts w:hint="eastAsia" w:ascii="宋体" w:hAnsi="宋体" w:eastAsia="宋体" w:cs="宋体"/>
          <w:color w:val="auto"/>
          <w:kern w:val="2"/>
          <w:sz w:val="24"/>
          <w:szCs w:val="24"/>
          <w:highlight w:val="none"/>
          <w:u w:val="single"/>
          <w:lang w:val="en-US" w:eastAsia="zh-CN" w:bidi="ar"/>
        </w:rPr>
        <w:t>包竣工图编制（须满足规划等各专项验收要求）</w:t>
      </w:r>
      <w:r>
        <w:rPr>
          <w:rFonts w:hint="eastAsia" w:ascii="宋体" w:hAnsi="宋体" w:eastAsia="宋体" w:cs="宋体"/>
          <w:color w:val="auto"/>
          <w:kern w:val="0"/>
          <w:sz w:val="24"/>
          <w:szCs w:val="24"/>
          <w:highlight w:val="none"/>
          <w:lang w:val="en-US" w:eastAsia="zh-CN" w:bidi="ar"/>
        </w:rPr>
        <w:t>等。合同价款按如下约定执行：</w:t>
      </w:r>
    </w:p>
    <w:p w14:paraId="484A5200">
      <w:pPr>
        <w:keepNext w:val="0"/>
        <w:keepLines w:val="0"/>
        <w:widowControl w:val="0"/>
        <w:suppressLineNumbers w:val="0"/>
        <w:adjustRightInd w:val="0"/>
        <w:snapToGrid w:val="0"/>
        <w:spacing w:before="0" w:beforeAutospacing="0" w:after="0" w:afterAutospacing="0" w:line="360" w:lineRule="auto"/>
        <w:ind w:left="0" w:right="11" w:firstLine="42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4"/>
          <w:szCs w:val="24"/>
          <w:highlight w:val="none"/>
          <w:lang w:val="en-US" w:eastAsia="zh-CN" w:bidi="ar"/>
        </w:rPr>
        <w:t>（1）合同价款固定不变，结算价即为合同价（暂列金额除外）。</w:t>
      </w:r>
    </w:p>
    <w:p w14:paraId="575CE393">
      <w:pPr>
        <w:keepNext w:val="0"/>
        <w:keepLines w:val="0"/>
        <w:widowControl w:val="0"/>
        <w:suppressLineNumbers w:val="0"/>
        <w:adjustRightInd w:val="0"/>
        <w:snapToGrid w:val="0"/>
        <w:spacing w:before="0" w:beforeAutospacing="0" w:after="0" w:afterAutospacing="0" w:line="360" w:lineRule="auto"/>
        <w:ind w:left="0" w:right="11" w:firstLine="42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4"/>
          <w:szCs w:val="24"/>
          <w:highlight w:val="none"/>
          <w:lang w:val="en-US" w:eastAsia="zh-CN" w:bidi="ar"/>
        </w:rPr>
        <w:t>（2）合同价款总价包干，若招标范围和承包内容不发生变化，则本工程结算价即为合同价（招标文件及本合同另有约定可以调整的项目除外）。</w:t>
      </w:r>
    </w:p>
    <w:p w14:paraId="0474FA99">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4"/>
          <w:szCs w:val="24"/>
          <w:highlight w:val="none"/>
          <w:lang w:val="en-US" w:eastAsia="zh-CN" w:bidi="ar"/>
        </w:rPr>
        <w:t>（3）工程量清单综合单价包干和综合合价项目包干且不因施工期间人工、材料及机械价格变化、施工条件、工程规模的变化和政府造价管理部门调整各项收费等而调整，招标文件及本合同另有约定的除外。工程结算价不超过合同价款110%，且最终以有权结算终审部门审定为准。</w:t>
      </w:r>
    </w:p>
    <w:p w14:paraId="10514DB0">
      <w:pPr>
        <w:keepNext w:val="0"/>
        <w:keepLines w:val="0"/>
        <w:widowControl w:val="0"/>
        <w:suppressLineNumbers w:val="0"/>
        <w:adjustRightInd w:val="0"/>
        <w:snapToGrid w:val="0"/>
        <w:spacing w:before="0" w:beforeAutospacing="0" w:after="0" w:afterAutospacing="0" w:line="360" w:lineRule="auto"/>
        <w:ind w:left="0" w:right="11" w:firstLine="42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4"/>
          <w:szCs w:val="24"/>
          <w:highlight w:val="none"/>
          <w:lang w:val="en-US" w:eastAsia="zh-CN" w:bidi="ar"/>
        </w:rPr>
        <w:t>（4）其他：。</w:t>
      </w:r>
    </w:p>
    <w:p w14:paraId="30BFEA34">
      <w:pPr>
        <w:keepNext w:val="0"/>
        <w:keepLines w:val="0"/>
        <w:widowControl w:val="0"/>
        <w:suppressLineNumbers w:val="0"/>
        <w:spacing w:before="0" w:beforeAutospacing="0" w:after="0" w:afterAutospacing="0" w:line="360" w:lineRule="auto"/>
        <w:ind w:left="0" w:right="0" w:firstLine="564" w:firstLineChars="235"/>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2.4发包人根据工程实施情况，有权对承包人的承包范围及内容进行适当调整，并按合同专用条款第50.4（2）款的约定处理，承包人必须无条件服从。</w:t>
      </w:r>
    </w:p>
    <w:p w14:paraId="77798908">
      <w:pPr>
        <w:keepNext w:val="0"/>
        <w:keepLines w:val="0"/>
        <w:widowControl w:val="0"/>
        <w:suppressLineNumbers w:val="0"/>
        <w:adjustRightInd w:val="0"/>
        <w:snapToGrid w:val="0"/>
        <w:spacing w:before="0" w:beforeAutospacing="0" w:after="0" w:afterAutospacing="0" w:line="360" w:lineRule="auto"/>
        <w:ind w:left="0" w:right="11" w:firstLine="482" w:firstLineChars="200"/>
        <w:jc w:val="both"/>
        <w:rPr>
          <w:rFonts w:hint="eastAsia" w:ascii="宋体" w:hAnsi="Calibri" w:eastAsia="宋体" w:cs="Times New Roman"/>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3、合同工期</w:t>
      </w:r>
    </w:p>
    <w:p w14:paraId="1804358A">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3.1广州天河体育中心整体景观提升（开幕式）建筑工程：计划2024年10月1日开工（具体开工日期以总监理工程师发出的开工令为准），至2025年5月30日完成全部实体工程,2025年6月30日竣工验收。总工期约272个日历天。</w:t>
      </w:r>
    </w:p>
    <w:p w14:paraId="4F1F8E18">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广州天河体育中心篮球城维修改造项目：计划2024年1月1日开工，至2025年3月30日完成全部实体工程,2025年4月30日竣工验收。总工期约119个日历天。</w:t>
      </w:r>
    </w:p>
    <w:p w14:paraId="37F32774">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广州市羽毛球运动管理中心训练馆改造项目：计划2024年10月1日开工，至2025年3月30日完成全部实体工程,2025年5月30日竣工验收。总工期约241个日历天。</w:t>
      </w:r>
    </w:p>
    <w:p w14:paraId="580C4344">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val="en-US" w:eastAsia="zh-CN" w:bidi="ar"/>
        </w:rPr>
        <w:t>广州天河体育中心田径副场改造项目：计划2024年11月1日开工，至2024年12月30日完成全部实体工程,2025年1月30日竣工验收。总工期约90个日历天。具体开工日期以总监理工程师发出的开工令为准。</w:t>
      </w:r>
    </w:p>
    <w:p w14:paraId="20756D94">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3.2关键节点工期要求：</w:t>
      </w:r>
    </w:p>
    <w:p w14:paraId="1182B0D7">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w:t>
      </w:r>
    </w:p>
    <w:p w14:paraId="2DD412B1">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w:t>
      </w:r>
    </w:p>
    <w:p w14:paraId="554D1403">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（3）。</w:t>
      </w:r>
    </w:p>
    <w:p w14:paraId="65401561">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3.3发包人根据工程实施情况，有权对本合同工程工期（包括关键节点工期和竣工日期）进行适当调整，并按合同专用条款第50.4（1）款的约定处理，承包人必须采取一切有效措施保证竣工日期，不得延误，并不得要求另行增加费用；如不能按经发包人批准或下达的计划完成任务，由承包人按合同专用条款第38.8（5）款的约定承担违约责任。</w:t>
      </w:r>
    </w:p>
    <w:p w14:paraId="6876CFAE">
      <w:pPr>
        <w:keepNext w:val="0"/>
        <w:keepLines w:val="0"/>
        <w:widowControl w:val="0"/>
        <w:suppressLineNumbers w:val="0"/>
        <w:adjustRightInd w:val="0"/>
        <w:snapToGrid w:val="0"/>
        <w:spacing w:before="0" w:beforeAutospacing="0" w:after="0" w:afterAutospacing="0" w:line="360" w:lineRule="auto"/>
        <w:ind w:left="0" w:right="11" w:firstLine="482" w:firstLineChars="200"/>
        <w:jc w:val="both"/>
        <w:rPr>
          <w:rFonts w:hint="eastAsia" w:ascii="宋体" w:hAnsi="Calibri" w:eastAsia="宋体" w:cs="Times New Roman"/>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4、质量标准和目标（如有更新则按更新后的执行，下同）</w:t>
      </w:r>
    </w:p>
    <w:p w14:paraId="648C043A">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（1）质量标准：</w:t>
      </w:r>
    </w:p>
    <w:p w14:paraId="19114A65">
      <w:pPr>
        <w:keepNext w:val="0"/>
        <w:keepLines w:val="0"/>
        <w:widowControl w:val="0"/>
        <w:suppressLineNumbers w:val="0"/>
        <w:adjustRightInd w:val="0"/>
        <w:snapToGrid w:val="0"/>
        <w:spacing w:before="0" w:beforeAutospacing="0" w:after="0" w:afterAutospacing="0" w:line="360" w:lineRule="auto"/>
        <w:ind w:left="0" w:right="11" w:firstLine="403" w:firstLineChars="192"/>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4"/>
          <w:szCs w:val="24"/>
          <w:highlight w:val="none"/>
          <w:lang w:val="en-US" w:eastAsia="zh-CN" w:bidi="ar"/>
        </w:rPr>
        <w:t>1）《建筑工程施工质量验收统一标准》</w:t>
      </w:r>
      <w:r>
        <w:rPr>
          <w:rFonts w:hint="eastAsia" w:ascii="宋体" w:hAnsi="宋体" w:eastAsia="宋体" w:cs="宋体"/>
          <w:color w:val="auto"/>
          <w:kern w:val="0"/>
          <w:sz w:val="24"/>
          <w:szCs w:val="24"/>
          <w:highlight w:val="none"/>
          <w:u w:val="single"/>
          <w:lang w:val="en-US" w:eastAsia="zh-CN" w:bidi="ar"/>
        </w:rPr>
        <w:t>（GB50300-2013）</w:t>
      </w:r>
      <w:r>
        <w:rPr>
          <w:rFonts w:hint="eastAsia" w:ascii="宋体" w:hAnsi="宋体" w:eastAsia="宋体" w:cs="宋体"/>
          <w:color w:val="auto"/>
          <w:kern w:val="0"/>
          <w:sz w:val="24"/>
          <w:szCs w:val="24"/>
          <w:highlight w:val="none"/>
          <w:lang w:val="en-US" w:eastAsia="zh-CN" w:bidi="ar"/>
        </w:rPr>
        <w:t>及相应配套的各专业验收规范等。</w:t>
      </w:r>
    </w:p>
    <w:p w14:paraId="04F58843">
      <w:pPr>
        <w:keepNext w:val="0"/>
        <w:keepLines w:val="0"/>
        <w:widowControl w:val="0"/>
        <w:suppressLineNumbers w:val="0"/>
        <w:adjustRightInd w:val="0"/>
        <w:snapToGrid w:val="0"/>
        <w:spacing w:before="0" w:beforeAutospacing="0" w:after="0" w:afterAutospacing="0" w:line="360" w:lineRule="auto"/>
        <w:ind w:left="0" w:right="11" w:firstLine="42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2）《城镇道路工程施工与质量验收规范》（CJJ1-2008）、《城市桥梁工程施工与质量验收规范》（CJJ2-2008）、《给水排水管道工程施工及验收规范》（GB 50268-2008）及相应配套的各专业验收规范等。</w:t>
      </w:r>
    </w:p>
    <w:p w14:paraId="4CAC5820">
      <w:pPr>
        <w:keepNext w:val="0"/>
        <w:keepLines w:val="0"/>
        <w:widowControl w:val="0"/>
        <w:suppressLineNumbers w:val="0"/>
        <w:adjustRightInd w:val="0"/>
        <w:snapToGrid w:val="0"/>
        <w:spacing w:before="0" w:beforeAutospacing="0" w:after="0" w:afterAutospacing="0" w:line="360" w:lineRule="auto"/>
        <w:ind w:left="0" w:right="11" w:firstLine="42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3）《园林绿化工程施工及验收规范》（CJJ82-2012）、《城市绿化工程施工及验收规范》（DB440100/T114-2007）及相应配套的各专业验收规范等。</w:t>
      </w:r>
    </w:p>
    <w:p w14:paraId="44FFD67C">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（2）质量目标：</w:t>
      </w:r>
    </w:p>
    <w:p w14:paraId="54BCD37D">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一次竣工验收合格。 </w:t>
      </w:r>
    </w:p>
    <w:p w14:paraId="176CED04">
      <w:pPr>
        <w:keepNext w:val="0"/>
        <w:keepLines w:val="0"/>
        <w:widowControl w:val="0"/>
        <w:suppressLineNumbers w:val="0"/>
        <w:adjustRightInd w:val="0"/>
        <w:snapToGrid w:val="0"/>
        <w:spacing w:before="0" w:beforeAutospacing="0" w:after="0" w:afterAutospacing="0" w:line="360" w:lineRule="auto"/>
        <w:ind w:left="0" w:right="11" w:firstLine="42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4"/>
          <w:szCs w:val="24"/>
          <w:highlight w:val="none"/>
          <w:lang w:val="en-US" w:eastAsia="zh-CN" w:bidi="ar"/>
        </w:rPr>
        <w:t>必须取得广州市建筑装饰建设工程优质奖。</w:t>
      </w:r>
    </w:p>
    <w:p w14:paraId="5E81CA03">
      <w:pPr>
        <w:keepNext w:val="0"/>
        <w:keepLines w:val="0"/>
        <w:widowControl w:val="0"/>
        <w:suppressLineNumbers w:val="0"/>
        <w:adjustRightInd w:val="0"/>
        <w:snapToGrid w:val="0"/>
        <w:spacing w:before="0" w:beforeAutospacing="0" w:after="0" w:afterAutospacing="0" w:line="360" w:lineRule="auto"/>
        <w:ind w:left="0" w:right="11" w:firstLine="42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4"/>
          <w:szCs w:val="24"/>
          <w:highlight w:val="none"/>
          <w:lang w:val="en-US" w:eastAsia="zh-CN" w:bidi="ar"/>
        </w:rPr>
        <w:t>必须取得广州市建设工程优质奖，争创广东省建设工程优质奖。</w:t>
      </w:r>
    </w:p>
    <w:p w14:paraId="77189C7B">
      <w:pPr>
        <w:keepNext w:val="0"/>
        <w:keepLines w:val="0"/>
        <w:widowControl w:val="0"/>
        <w:suppressLineNumbers w:val="0"/>
        <w:adjustRightInd w:val="0"/>
        <w:snapToGrid w:val="0"/>
        <w:spacing w:before="0" w:beforeAutospacing="0" w:after="0" w:afterAutospacing="0" w:line="360" w:lineRule="auto"/>
        <w:ind w:left="0" w:right="11" w:firstLine="42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4"/>
          <w:szCs w:val="24"/>
          <w:highlight w:val="none"/>
          <w:lang w:val="en-US" w:eastAsia="zh-CN" w:bidi="ar"/>
        </w:rPr>
        <w:t>必须取得广东省建设工程优质奖，争创国家优质工程奖。</w:t>
      </w:r>
    </w:p>
    <w:p w14:paraId="3D7518C4">
      <w:pPr>
        <w:keepNext w:val="0"/>
        <w:keepLines w:val="0"/>
        <w:widowControl w:val="0"/>
        <w:suppressLineNumbers w:val="0"/>
        <w:adjustRightInd w:val="0"/>
        <w:snapToGrid w:val="0"/>
        <w:spacing w:before="0" w:beforeAutospacing="0" w:after="0" w:afterAutospacing="0" w:line="360" w:lineRule="auto"/>
        <w:ind w:left="0" w:leftChars="0" w:right="11" w:rightChars="0" w:firstLine="420" w:firstLineChars="200"/>
        <w:jc w:val="both"/>
        <w:rPr>
          <w:rFonts w:hint="eastAsia" w:ascii="宋体" w:hAnsi="宋体" w:eastAsia="宋体" w:cs="宋体"/>
          <w:color w:val="auto"/>
          <w:kern w:val="0"/>
          <w:sz w:val="24"/>
          <w:szCs w:val="24"/>
          <w:highlight w:val="none"/>
          <w:u w:val="single"/>
          <w:lang w:bidi="ar"/>
        </w:rPr>
      </w:pP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4"/>
          <w:szCs w:val="24"/>
          <w:highlight w:val="none"/>
          <w:lang w:val="en-US" w:eastAsia="zh-CN" w:bidi="ar"/>
        </w:rPr>
        <w:t>其他：</w:t>
      </w:r>
      <w:r>
        <w:rPr>
          <w:rFonts w:hint="eastAsia" w:ascii="宋体" w:hAnsi="宋体" w:eastAsia="宋体" w:cs="宋体"/>
          <w:color w:val="auto"/>
          <w:kern w:val="0"/>
          <w:sz w:val="24"/>
          <w:szCs w:val="24"/>
          <w:highlight w:val="none"/>
          <w:u w:val="single"/>
          <w:lang w:val="en-US" w:eastAsia="zh-CN" w:bidi="ar"/>
        </w:rPr>
        <w:t>广州天河体育中心整体景观提升（开幕式）建筑工程质量标准：一次竣工验收合格，确保满足残特奥开幕式的相关要求。</w:t>
      </w:r>
    </w:p>
    <w:p w14:paraId="4BF63216">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
        </w:rPr>
        <w:t>广州天河体育中心篮球城维修改造项目、广州市羽毛球运动管理中心训练馆改造项目、广州天河体育中心田径副场改造项目质量标准：一次性竣工验收合格率（100%）。满足全运会及残特奥会的赛事要求。</w:t>
      </w:r>
    </w:p>
    <w:p w14:paraId="4D5528B5">
      <w:pPr>
        <w:keepNext w:val="0"/>
        <w:keepLines w:val="0"/>
        <w:widowControl w:val="0"/>
        <w:suppressLineNumbers w:val="0"/>
        <w:adjustRightInd w:val="0"/>
        <w:snapToGrid w:val="0"/>
        <w:spacing w:before="0" w:beforeAutospacing="0" w:after="0" w:afterAutospacing="0" w:line="360" w:lineRule="auto"/>
        <w:ind w:left="0" w:right="11" w:firstLine="482" w:firstLineChars="200"/>
        <w:jc w:val="both"/>
        <w:rPr>
          <w:rFonts w:hint="eastAsia" w:ascii="宋体" w:hAnsi="Calibri" w:eastAsia="宋体" w:cs="Times New Roman"/>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5、职业健康安全管理目标和环境管理目标</w:t>
      </w:r>
    </w:p>
    <w:p w14:paraId="12A1610E">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（1）职业健康安全管理目标：事故隐患排查治理覆盖率100%，一般事故隐患整改率100%，重大事故隐患挂牌督办率100%、整改率100%；安全生产非法违法行为举报投诉查办率达到100%。</w:t>
      </w:r>
    </w:p>
    <w:p w14:paraId="33BE2E42">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1）杜绝发生一般事故等级及以上的伤亡事故且工伤责任事故死亡人数为零。</w:t>
      </w:r>
    </w:p>
    <w:p w14:paraId="41FEBF43">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2）确保</w:t>
      </w:r>
    </w:p>
    <w:p w14:paraId="69BD9665">
      <w:pPr>
        <w:pStyle w:val="14"/>
        <w:keepNext w:val="0"/>
        <w:keepLines w:val="0"/>
        <w:widowControl w:val="0"/>
        <w:suppressLineNumbers w:val="0"/>
        <w:topLinePunct/>
        <w:adjustRightInd w:val="0"/>
        <w:snapToGrid w:val="0"/>
        <w:spacing w:before="0" w:beforeAutospacing="1" w:after="0" w:afterAutospacing="1" w:line="360" w:lineRule="auto"/>
        <w:ind w:left="0" w:right="0" w:firstLine="420" w:firstLineChars="200"/>
        <w:jc w:val="both"/>
        <w:rPr>
          <w:rFonts w:hint="eastAsia" w:ascii="Calibri" w:hAnsi="Calibri" w:eastAsia="宋体" w:cs="Times New Roman"/>
          <w:color w:val="auto"/>
          <w:kern w:val="0"/>
          <w:sz w:val="24"/>
          <w:szCs w:val="24"/>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4"/>
          <w:szCs w:val="24"/>
          <w:highlight w:val="none"/>
          <w:lang w:val="en-US" w:eastAsia="zh-CN" w:bidi="ar"/>
        </w:rPr>
        <w:t>达到广州市安全文明样板工地标准。</w:t>
      </w:r>
    </w:p>
    <w:p w14:paraId="7327E1A6">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×广州市安全文明样板工地，争创广东省安全文明样板工地。</w:t>
      </w:r>
    </w:p>
    <w:p w14:paraId="6BF73649">
      <w:pPr>
        <w:keepNext w:val="0"/>
        <w:keepLines w:val="0"/>
        <w:widowControl w:val="0"/>
        <w:suppressLineNumbers w:val="0"/>
        <w:adjustRightInd w:val="0"/>
        <w:snapToGrid w:val="0"/>
        <w:spacing w:before="0" w:beforeAutospacing="0" w:after="0" w:afterAutospacing="0" w:line="360" w:lineRule="auto"/>
        <w:ind w:left="0" w:right="11" w:firstLine="42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4"/>
          <w:szCs w:val="24"/>
          <w:highlight w:val="none"/>
          <w:lang w:val="en-US" w:eastAsia="zh-CN" w:bidi="ar"/>
        </w:rPr>
        <w:t>其他：达到广东省建设工程安全生产文明施工优良样板工地。</w:t>
      </w:r>
    </w:p>
    <w:p w14:paraId="2235E0CA">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（2）环境管理目标：</w:t>
      </w:r>
    </w:p>
    <w:p w14:paraId="4AB6420A">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严格执行《广州市重点公共建设项目管理办公室建设项目环境管理规定》、《广州市重点公共建设项目管理办公室建设项目环境管理文明施工标准》、《广州市建设工程现场文明施工管理办法》（穗建质〔2008〕937号）、《广州市城乡建设委员会关于印发广州市加强建筑工地环保管理工作方案的通知》(穗建质〔2014〕754号) 、《广州市提升建设工程安全文明施工管理水平的工作指引》（穗建质〔2017〕815号）、《广州市建设工程安全文明施工规程（试行版）》（穗建质〔2021) 316 号）、《危险性较大的分部分项工程安全管理规定》(中华人民共和国住房和城乡建设部令第37号)、《关于加强建设工程安全生产管理 落实建设各方主体责任的暂行规定》（穗建规字〔</w:t>
      </w:r>
      <w:r>
        <w:rPr>
          <w:rFonts w:hint="eastAsia" w:ascii="宋体" w:hAnsi="宋体" w:eastAsia="宋体" w:cs="宋体"/>
          <w:color w:val="auto"/>
          <w:spacing w:val="4"/>
          <w:kern w:val="0"/>
          <w:sz w:val="24"/>
          <w:szCs w:val="24"/>
          <w:highlight w:val="none"/>
          <w:lang w:val="en-US" w:eastAsia="zh-CN" w:bidi="ar"/>
        </w:rPr>
        <w:t>2020〕34号）</w:t>
      </w:r>
      <w:r>
        <w:rPr>
          <w:rFonts w:hint="eastAsia" w:ascii="宋体" w:hAnsi="宋体" w:eastAsia="宋体" w:cs="宋体"/>
          <w:color w:val="auto"/>
          <w:kern w:val="0"/>
          <w:sz w:val="24"/>
          <w:szCs w:val="24"/>
          <w:highlight w:val="none"/>
          <w:lang w:val="en-US" w:eastAsia="zh-CN" w:bidi="ar"/>
        </w:rPr>
        <w:t>、《广州市住</w:t>
      </w:r>
    </w:p>
    <w:p w14:paraId="10DE3DC7">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房和城乡建设局等</w:t>
      </w:r>
      <w:r>
        <w:rPr>
          <w:rFonts w:hint="eastAsia" w:ascii="宋体" w:hAnsi="宋体"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8 部门关于印发建设工程扬尘防治“6 个 100%”管理标准图集（V2.0版）的通知》《广州市住房和城乡建设委员会关于印发建设工程扬尘防治“6个100%”管理标准细化措施的通知》（穗建质〔2018〕1394号）、</w:t>
      </w:r>
      <w:r>
        <w:rPr>
          <w:rFonts w:hint="eastAsia" w:ascii="宋体" w:hAnsi="宋体" w:eastAsia="宋体" w:cs="宋体"/>
          <w:color w:val="auto"/>
          <w:kern w:val="2"/>
          <w:sz w:val="24"/>
          <w:szCs w:val="24"/>
          <w:highlight w:val="none"/>
          <w:lang w:val="en-US" w:eastAsia="zh-CN" w:bidi="ar"/>
        </w:rPr>
        <w:t>广州市住房和城乡建设局关于印发广州市房屋建筑工程安全防护指导图集（防高坠篇）的通知、《广州市建设工程绿色施工围蔽指导图集（V2.0版）》（穗建质</w:t>
      </w:r>
      <w:r>
        <w:rPr>
          <w:rFonts w:hint="eastAsia" w:ascii="宋体" w:hAnsi="宋体" w:eastAsia="宋体" w:cs="宋体"/>
          <w:color w:val="auto"/>
          <w:kern w:val="0"/>
          <w:sz w:val="24"/>
          <w:szCs w:val="24"/>
          <w:highlight w:val="none"/>
          <w:lang w:val="en-US" w:eastAsia="zh-CN" w:bidi="ar"/>
        </w:rPr>
        <w:t>〔2020〕1号</w:t>
      </w:r>
      <w:r>
        <w:rPr>
          <w:rFonts w:hint="eastAsia" w:ascii="宋体" w:hAnsi="宋体" w:eastAsia="宋体" w:cs="宋体"/>
          <w:color w:val="auto"/>
          <w:kern w:val="2"/>
          <w:sz w:val="24"/>
          <w:szCs w:val="24"/>
          <w:highlight w:val="none"/>
          <w:lang w:val="en-US" w:eastAsia="zh-CN" w:bidi="ar"/>
        </w:rPr>
        <w:t>）和《广东省建筑垃圾管理条例》（广东省第十三届人民代表大会常务委员会公告第126号）</w:t>
      </w:r>
      <w:r>
        <w:rPr>
          <w:rFonts w:hint="eastAsia" w:ascii="宋体" w:hAnsi="宋体" w:eastAsia="宋体" w:cs="宋体"/>
          <w:color w:val="auto"/>
          <w:kern w:val="0"/>
          <w:sz w:val="24"/>
          <w:szCs w:val="24"/>
          <w:highlight w:val="none"/>
          <w:lang w:val="en-US" w:eastAsia="zh-CN" w:bidi="ar"/>
        </w:rPr>
        <w:t>等国家、省、市现行标准、规定和文件要求</w:t>
      </w: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u w:val="single"/>
          <w:lang w:val="en-US" w:eastAsia="zh-CN" w:bidi="ar"/>
        </w:rPr>
        <w:t>确保噪声污染、扬尘污染等环境污染问题零投诉</w:t>
      </w:r>
      <w:r>
        <w:rPr>
          <w:rFonts w:hint="eastAsia" w:ascii="宋体" w:hAnsi="宋体" w:eastAsia="宋体" w:cs="宋体"/>
          <w:color w:val="auto"/>
          <w:kern w:val="0"/>
          <w:sz w:val="24"/>
          <w:szCs w:val="24"/>
          <w:highlight w:val="none"/>
          <w:lang w:val="en-US" w:eastAsia="zh-CN" w:bidi="ar"/>
        </w:rPr>
        <w:t>。</w:t>
      </w:r>
    </w:p>
    <w:p w14:paraId="1D67CE1E">
      <w:pPr>
        <w:keepNext w:val="0"/>
        <w:keepLines w:val="0"/>
        <w:widowControl w:val="0"/>
        <w:suppressLineNumbers w:val="0"/>
        <w:adjustRightInd w:val="0"/>
        <w:snapToGrid w:val="0"/>
        <w:spacing w:before="0" w:beforeAutospacing="0" w:after="0" w:afterAutospacing="0" w:line="360" w:lineRule="auto"/>
        <w:ind w:left="0" w:right="11" w:firstLine="482" w:firstLineChars="200"/>
        <w:jc w:val="both"/>
        <w:rPr>
          <w:rFonts w:hint="eastAsia" w:ascii="宋体" w:hAnsi="Calibri" w:eastAsia="宋体" w:cs="Times New Roman"/>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6、合同价款</w:t>
      </w:r>
    </w:p>
    <w:p w14:paraId="0C3FEC6B">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6.1本合同以人民币为报价和结算货币，除非发包人、承包人双方另有约定。</w:t>
      </w:r>
    </w:p>
    <w:p w14:paraId="6083C5B7">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6.2本合同价款为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 </w:t>
      </w:r>
      <w:r>
        <w:rPr>
          <w:rFonts w:hint="eastAsia" w:ascii="宋体" w:hAnsi="宋体" w:eastAsia="宋体" w:cs="宋体"/>
          <w:b/>
          <w:bCs w:val="0"/>
          <w:color w:val="auto"/>
          <w:kern w:val="0"/>
          <w:sz w:val="24"/>
          <w:szCs w:val="24"/>
          <w:highlight w:val="none"/>
          <w:lang w:val="en-US" w:eastAsia="zh-CN" w:bidi="ar"/>
        </w:rPr>
        <w:t>元</w:t>
      </w:r>
      <w:r>
        <w:rPr>
          <w:rFonts w:hint="eastAsia" w:ascii="宋体" w:hAnsi="宋体" w:eastAsia="宋体" w:cs="宋体"/>
          <w:color w:val="auto"/>
          <w:kern w:val="0"/>
          <w:sz w:val="24"/>
          <w:szCs w:val="24"/>
          <w:highlight w:val="none"/>
          <w:lang w:val="en-US" w:eastAsia="zh-CN" w:bidi="ar"/>
        </w:rPr>
        <w:t>（大写：</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），由以下四部分费用组成：</w:t>
      </w:r>
    </w:p>
    <w:p w14:paraId="03C3D163">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（1）分部分项工程量清单计价汇总合计</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w:t>
      </w:r>
    </w:p>
    <w:p w14:paraId="0085861E">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（2）措施项目清单计价汇总合计</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元，其中，绿色施工安全防护措施费</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w:t>
      </w:r>
    </w:p>
    <w:p w14:paraId="61774423">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（3）其他项目清单计价汇总合计</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元，其中，暂列金额</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w:t>
      </w:r>
    </w:p>
    <w:p w14:paraId="68CED54F">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（4）税金项目计价汇总合计</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w:t>
      </w:r>
    </w:p>
    <w:p w14:paraId="43769FF6">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6.3本工程执行《建设工程工程量清单计价规范（GB50500-2013）》、《广东省建设工程计价依据的通知（2018）》（粤建市〔2019〕6号）的相关规定。国家及广东省、广州市有最新规定的，从其规定。</w:t>
      </w:r>
    </w:p>
    <w:p w14:paraId="54BFE1C4">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6.4承包人应在本工程开工前按《广东省人力资源和社会保障厅 广东省财政厅 国家税务总局广东省税务局关于印发广东省工伤保险基金省级统筹实施方案的通知》（粤人社规[2019]20号）</w:t>
      </w:r>
      <w:r>
        <w:rPr>
          <w:rFonts w:hint="eastAsia" w:ascii="宋体" w:hAnsi="宋体" w:eastAsia="宋体" w:cs="宋体"/>
          <w:color w:val="auto"/>
          <w:kern w:val="2"/>
          <w:sz w:val="24"/>
          <w:szCs w:val="24"/>
          <w:highlight w:val="none"/>
          <w:lang w:val="en-US" w:eastAsia="zh-CN" w:bidi="ar"/>
        </w:rPr>
        <w:t>和《关于进一步做好我省建筑业工伤保险工作的实施意见》（粤人社规﹝</w:t>
      </w:r>
      <w:r>
        <w:rPr>
          <w:rFonts w:hint="default" w:ascii="Calibri" w:hAnsi="Calibri" w:eastAsia="宋体" w:cs="Calibri"/>
          <w:color w:val="auto"/>
          <w:kern w:val="2"/>
          <w:sz w:val="24"/>
          <w:szCs w:val="24"/>
          <w:highlight w:val="none"/>
          <w:lang w:val="en-US" w:eastAsia="zh-CN" w:bidi="ar"/>
        </w:rPr>
        <w:t>2015</w:t>
      </w:r>
      <w:r>
        <w:rPr>
          <w:rFonts w:hint="eastAsia" w:ascii="宋体" w:hAnsi="宋体" w:eastAsia="宋体" w:cs="宋体"/>
          <w:color w:val="auto"/>
          <w:kern w:val="2"/>
          <w:sz w:val="24"/>
          <w:szCs w:val="24"/>
          <w:highlight w:val="none"/>
          <w:lang w:val="en-US" w:eastAsia="zh-CN" w:bidi="ar"/>
        </w:rPr>
        <w:t>﹞</w:t>
      </w:r>
      <w:r>
        <w:rPr>
          <w:rFonts w:hint="default" w:ascii="Calibri" w:hAnsi="Calibri" w:eastAsia="宋体" w:cs="Calibri"/>
          <w:color w:val="auto"/>
          <w:kern w:val="2"/>
          <w:sz w:val="24"/>
          <w:szCs w:val="24"/>
          <w:highlight w:val="none"/>
          <w:lang w:val="en-US" w:eastAsia="zh-CN" w:bidi="ar"/>
        </w:rPr>
        <w:t>5</w:t>
      </w:r>
      <w:r>
        <w:rPr>
          <w:rFonts w:hint="eastAsia" w:ascii="宋体" w:hAnsi="宋体" w:eastAsia="宋体" w:cs="宋体"/>
          <w:color w:val="auto"/>
          <w:kern w:val="2"/>
          <w:sz w:val="24"/>
          <w:szCs w:val="24"/>
          <w:highlight w:val="none"/>
          <w:lang w:val="en-US" w:eastAsia="zh-CN" w:bidi="ar"/>
        </w:rPr>
        <w:t>号）</w:t>
      </w:r>
      <w:r>
        <w:rPr>
          <w:rFonts w:hint="eastAsia" w:ascii="宋体" w:hAnsi="宋体" w:eastAsia="宋体" w:cs="宋体"/>
          <w:color w:val="auto"/>
          <w:kern w:val="0"/>
          <w:sz w:val="24"/>
          <w:szCs w:val="24"/>
          <w:highlight w:val="none"/>
          <w:lang w:val="en-US" w:eastAsia="zh-CN" w:bidi="ar"/>
        </w:rPr>
        <w:t>的规定缴纳工伤保险费；按照《广州市住房和城乡建设局关于全面推进房屋建筑工程安全生产责任保险工作的通知》（穗建质[2023]689号）足额投保安全生产责任险。如因承包人未按规定缴纳或投保导致本工程施工许可证未能如期取得的，由此引起的相关责任全部由承包人承担。</w:t>
      </w:r>
    </w:p>
    <w:p w14:paraId="16DA3105">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6.5承包人应在本工程开工前按</w:t>
      </w:r>
      <w:r>
        <w:rPr>
          <w:rFonts w:hint="eastAsia" w:ascii="宋体" w:hAnsi="宋体" w:eastAsia="宋体" w:cs="宋体"/>
          <w:b/>
          <w:bCs w:val="0"/>
          <w:color w:val="auto"/>
          <w:kern w:val="0"/>
          <w:sz w:val="24"/>
          <w:szCs w:val="24"/>
          <w:highlight w:val="none"/>
          <w:u w:val="single"/>
          <w:lang w:val="en-US" w:eastAsia="zh-CN" w:bidi="ar"/>
        </w:rPr>
        <w:t>《广州市建设领域工人工资支付分账管理实施细则》（穗建规字〔2020〕37号）</w:t>
      </w:r>
      <w:r>
        <w:rPr>
          <w:rFonts w:hint="eastAsia" w:ascii="宋体" w:hAnsi="宋体" w:eastAsia="宋体" w:cs="宋体"/>
          <w:color w:val="auto"/>
          <w:kern w:val="0"/>
          <w:sz w:val="24"/>
          <w:szCs w:val="24"/>
          <w:highlight w:val="none"/>
          <w:lang w:val="en-US" w:eastAsia="zh-CN" w:bidi="ar"/>
        </w:rPr>
        <w:t>的规定开立工人工资支付专用账户，并按《广州市住房和城乡建设局广州市人力资源和社会保障局关于加强房屋建筑工程实名制管理保障农民工工资的通知》（穗建筑〔2024〕263号）的要求保障工人工资发放。如因承包人未按规定开立、使用、变更、撤销工人工资支付专用账户导致本工程施工许可证未能如期办理、拖欠或克扣工人工资造成群体性事件或其他不良行为的，由此引起的相关责任全部由承包人承担。</w:t>
      </w:r>
    </w:p>
    <w:p w14:paraId="689D279C">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微软雅黑" w:hAnsi="Calibri" w:eastAsia="微软雅黑" w:cs="Times New Roman"/>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6.6承包人应当按照</w:t>
      </w:r>
      <w:r>
        <w:rPr>
          <w:rFonts w:hint="eastAsia" w:ascii="宋体" w:hAnsi="宋体" w:eastAsia="宋体" w:cs="宋体"/>
          <w:color w:val="auto"/>
          <w:kern w:val="2"/>
          <w:sz w:val="24"/>
          <w:szCs w:val="24"/>
          <w:highlight w:val="none"/>
          <w:lang w:val="en-US" w:eastAsia="zh-CN" w:bidi="ar"/>
        </w:rPr>
        <w:t>《广州市住房和城乡建设局关于印发&lt;广州市建筑施工实名制管理办法&gt;的通知》（穗建规字〔2020〕18号）和《广州市住房和城乡建设局 广州市人力资源和社会保障局关于加强房屋建筑工程实名制管理保障农民工工资的通知》（穗建筑〔2024〕263号）等文件</w:t>
      </w:r>
      <w:r>
        <w:rPr>
          <w:rFonts w:hint="eastAsia" w:ascii="宋体" w:hAnsi="宋体" w:eastAsia="宋体" w:cs="宋体"/>
          <w:color w:val="auto"/>
          <w:kern w:val="0"/>
          <w:sz w:val="24"/>
          <w:szCs w:val="24"/>
          <w:highlight w:val="none"/>
          <w:lang w:val="en-US" w:eastAsia="zh-CN" w:bidi="ar"/>
        </w:rPr>
        <w:t>的有关要求，利用信息技术手段，为施工现场人员（即实名管理对象，指建筑项目负责人、现场管理人员和作业工人）建立实名制管理机构，建立健全实名制信息采集、登记、报送、审核和档案管理的有关制度，落实实名管理制度。如</w:t>
      </w:r>
      <w:r>
        <w:rPr>
          <w:rFonts w:hint="eastAsia" w:ascii="宋体" w:hAnsi="宋体" w:eastAsia="宋体" w:cs="宋体"/>
          <w:color w:val="auto"/>
          <w:kern w:val="2"/>
          <w:sz w:val="24"/>
          <w:szCs w:val="24"/>
          <w:highlight w:val="none"/>
          <w:lang w:val="en-US" w:eastAsia="zh-CN" w:bidi="ar"/>
        </w:rPr>
        <w:t>未按规定建立建筑施工实名制信息登记档案或档案不符合规定标准的，由此引起的一切责任和后果（包括不限于被纳入企业“黑名单”、按招标及合同文件规定被发包人拒绝参与其后续工程招标项目投标等）均由承包人自行承担。</w:t>
      </w:r>
    </w:p>
    <w:p w14:paraId="442D6613">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承包人对实名管理负总责，应当对其专业分包单位和劳务分包单位实施统一管理，监督其用工单位按时足额支付作业工人工资，督促其落实实名管理制度。发包人直接发包的专业承包单位应按照其与承包人签订的附件《施工总承包管理协议书》的约定和承包人的要求开展实名管理的相关工作。</w:t>
      </w:r>
    </w:p>
    <w:p w14:paraId="6014FD73">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6.7</w:t>
      </w:r>
      <w:r>
        <w:rPr>
          <w:rFonts w:hint="eastAsia" w:ascii="宋体" w:hAnsi="宋体" w:eastAsia="宋体" w:cs="宋体"/>
          <w:color w:val="auto"/>
          <w:kern w:val="2"/>
          <w:sz w:val="24"/>
          <w:szCs w:val="24"/>
          <w:highlight w:val="none"/>
          <w:lang w:val="en-US" w:eastAsia="zh-CN" w:bidi="ar"/>
        </w:rPr>
        <w:t>发包人、承包人双方一致同意，</w:t>
      </w:r>
      <w:r>
        <w:rPr>
          <w:rFonts w:hint="eastAsia" w:ascii="宋体" w:hAnsi="宋体" w:eastAsia="宋体" w:cs="宋体"/>
          <w:color w:val="auto"/>
          <w:kern w:val="0"/>
          <w:sz w:val="24"/>
          <w:szCs w:val="24"/>
          <w:highlight w:val="none"/>
          <w:lang w:val="en-US" w:eastAsia="zh-CN" w:bidi="ar"/>
        </w:rPr>
        <w:t>如本合同工程纳入广州市年度审计项目计划，且审计机关对于结算评审提出修正意见的，双方应当本着实事求是的原则予以纠正。</w:t>
      </w:r>
    </w:p>
    <w:p w14:paraId="69AE8580">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6.8本工程由项目业主单位（或项目使用单位）负责会计核算及相关财务管理工作。本合同款项支付方式详见附件20，具体如下：</w:t>
      </w:r>
    </w:p>
    <w:p w14:paraId="5397DE48">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outlineLvl w:val="2"/>
        <w:rPr>
          <w:rFonts w:hint="eastAsia" w:ascii="宋体" w:hAnsi="宋体" w:eastAsia="宋体" w:cs="Times New Roman"/>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承包人在达到本合同付款条件并按照合同约定申请支付合同价款时，应向发包人提交相应合法有效的支付申请材料和收款票据（票据类型包括但不限于发票，下同；由承包人向项目业主单位（或项目使用单位）开具，即付款方名称为“</w:t>
      </w:r>
      <w:r>
        <w:rPr>
          <w:rFonts w:hint="eastAsia" w:ascii="宋体" w:hAnsi="宋体" w:eastAsia="宋体" w:cs="Times New Roman"/>
          <w:bCs/>
          <w:color w:val="auto"/>
          <w:kern w:val="0"/>
          <w:sz w:val="24"/>
          <w:szCs w:val="24"/>
          <w:highlight w:val="none"/>
          <w:u w:val="single"/>
          <w:lang w:val="en-US" w:eastAsia="zh-CN" w:bidi="ar"/>
        </w:rPr>
        <w:t xml:space="preserve">            </w:t>
      </w:r>
      <w:r>
        <w:rPr>
          <w:rFonts w:hint="eastAsia" w:ascii="宋体" w:hAnsi="宋体" w:eastAsia="宋体" w:cs="宋体"/>
          <w:bCs/>
          <w:color w:val="auto"/>
          <w:kern w:val="0"/>
          <w:sz w:val="24"/>
          <w:szCs w:val="24"/>
          <w:highlight w:val="none"/>
          <w:lang w:val="en-US" w:eastAsia="zh-CN" w:bidi="ar"/>
        </w:rPr>
        <w:t>”）。</w:t>
      </w:r>
    </w:p>
    <w:p w14:paraId="0A74B1D1">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outlineLvl w:val="2"/>
        <w:rPr>
          <w:rFonts w:hint="eastAsia" w:ascii="宋体" w:hAnsi="宋体" w:eastAsia="宋体" w:cs="宋体"/>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承包人按相关规定及财务制度（含发包人的财务管理制度）提交完备且无误的支付申请材料后，发包人对承包人提交的支付申请材料进行审核，发包人在审核确定且项目资金到位后5个工作日内，把相关资料连同承包人提交的发票向资金核拨管理部门申请拨付有关款项至承包人，具体支付时间以资金核拨管理部门实际支付时间为准。承包人承诺不因财政或上级主管部门等原因导致的支付延迟而向发包人及项目业主单位（或项目使用单位）索赔费用或主张相关违约责任，并且此情况不能成为承包人中止或拒绝履行合同约定义务的理由。</w:t>
      </w:r>
    </w:p>
    <w:p w14:paraId="523E2A1F">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6.9本工程竣工验收且移交给项目业主单位（或项目使用单位）使用管理后，本合同项下属于发包人在工程质量保修阶段所涉及的权利和义务即由项目业主单位（或项目使用单位）享有和承担，即：由项目业主单位（或项目使用单位）牵头组织完成项目合同约定范围内的工程质量保修期服务，发包人负责监督协调，承包人在本合同中约定的工程质量保修所涉及的权利和义务不变。</w:t>
      </w:r>
    </w:p>
    <w:p w14:paraId="6899882F">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本工程的工程质量保证金，由承包人向项目业主单位（或项目使用单位）提交申请支付资料，项目业主单位（或项目使用单位）按相关审批手续组织审核后，由项目业主单位（或项目使用单位）将相关付款资料和承包人提交的发票送财政部门或资金主管部门办理拨款手续。</w:t>
      </w:r>
    </w:p>
    <w:p w14:paraId="6279ED7B">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val="en-US" w:eastAsia="zh-CN" w:bidi="ar"/>
        </w:rPr>
        <w:t>6.10本工程实施过程中可能存在设施设备厂家赛事赞助事宜，不论是本合同承包范围内或不属于本合同承包范围的潜在的设施设备发生赛事赞助供应情形的（如有），承包人均应承诺（承诺书格式见附件22）同意使用上述赛事赞助设施设备并无条件服从发包人就设施设备的入场、安装及验收工作所发出的指令。</w:t>
      </w:r>
    </w:p>
    <w:p w14:paraId="791CEDEC">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宋体" w:eastAsia="宋体" w:cs="宋体"/>
          <w:color w:val="auto"/>
          <w:kern w:val="0"/>
          <w:sz w:val="24"/>
          <w:szCs w:val="24"/>
          <w:highlight w:val="none"/>
          <w:lang w:val="en-US" w:eastAsia="zh-CN" w:bidi="ar"/>
        </w:rPr>
      </w:pPr>
    </w:p>
    <w:p w14:paraId="6D5522F7">
      <w:pPr>
        <w:keepNext w:val="0"/>
        <w:keepLines w:val="0"/>
        <w:widowControl w:val="0"/>
        <w:suppressLineNumbers w:val="0"/>
        <w:adjustRightInd w:val="0"/>
        <w:snapToGrid w:val="0"/>
        <w:spacing w:before="0" w:beforeAutospacing="0" w:after="0" w:afterAutospacing="0" w:line="360" w:lineRule="auto"/>
        <w:ind w:left="0" w:right="11" w:firstLine="482" w:firstLineChars="200"/>
        <w:jc w:val="both"/>
        <w:rPr>
          <w:rFonts w:hint="eastAsia" w:ascii="宋体" w:hAnsi="Calibri" w:eastAsia="宋体" w:cs="Times New Roman"/>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7、组成合同的文件</w:t>
      </w:r>
    </w:p>
    <w:p w14:paraId="1B00B89A">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下列文件应被认为是组成本合同的一部分，并互为补充和解释，如各文件存在冲突之处，以如下排列次序在前者优先适用：</w:t>
      </w:r>
    </w:p>
    <w:p w14:paraId="36F6017C">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（1）相关政府主管部门关于本工程的有关文件；</w:t>
      </w:r>
    </w:p>
    <w:p w14:paraId="549046B8">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（2）本合同履行期间发包人与承包人双方签订的补充合同（协议）或修正文件；</w:t>
      </w:r>
    </w:p>
    <w:p w14:paraId="02B4A0E4">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（3）合同协议书；</w:t>
      </w:r>
    </w:p>
    <w:p w14:paraId="427AC5AB">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（4）中标通知书；</w:t>
      </w:r>
    </w:p>
    <w:p w14:paraId="3D89832E">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（5）合同专用条款；</w:t>
      </w:r>
    </w:p>
    <w:p w14:paraId="4CA24E19">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（6）发包人针对工程管理的各项制度、规定</w:t>
      </w:r>
      <w:r>
        <w:rPr>
          <w:rFonts w:hint="eastAsia" w:ascii="宋体" w:hAnsi="宋体" w:eastAsia="宋体" w:cs="宋体"/>
          <w:b/>
          <w:bCs w:val="0"/>
          <w:color w:val="auto"/>
          <w:kern w:val="0"/>
          <w:sz w:val="24"/>
          <w:szCs w:val="24"/>
          <w:highlight w:val="none"/>
          <w:lang w:val="en-US" w:eastAsia="zh-CN" w:bidi="ar"/>
        </w:rPr>
        <w:t>（包括继续沿用发包人更名前相关制度、规定，</w:t>
      </w:r>
      <w:r>
        <w:rPr>
          <w:rFonts w:hint="eastAsia" w:ascii="宋体" w:hAnsi="宋体" w:eastAsia="宋体" w:cs="宋体"/>
          <w:color w:val="auto"/>
          <w:kern w:val="0"/>
          <w:sz w:val="24"/>
          <w:szCs w:val="24"/>
          <w:highlight w:val="none"/>
          <w:lang w:val="en-US" w:eastAsia="zh-CN" w:bidi="ar"/>
        </w:rPr>
        <w:t>如有更新则按更新后的执行，下同）；</w:t>
      </w:r>
    </w:p>
    <w:p w14:paraId="1A660A28">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（7）合同附件[属本条第（1）项和第（6）项内容的除外]；</w:t>
      </w:r>
    </w:p>
    <w:p w14:paraId="476DB8AB">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（8）合同通用条款；</w:t>
      </w:r>
    </w:p>
    <w:p w14:paraId="1A00DF20">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（9）招标文件[含招标文件补充文件、澄清文件、答疑文件、招标图等，属本条第（7）项内容的除外]；</w:t>
      </w:r>
    </w:p>
    <w:p w14:paraId="72F50FC0">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（10）承包人投标文件及其附件[含投标文件澄清等，属本条第（7）项内容的除外]；</w:t>
      </w:r>
    </w:p>
    <w:p w14:paraId="604B6B07">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（11）国家及广东省、广州市的标准、规范及有关技术文件；</w:t>
      </w:r>
    </w:p>
    <w:p w14:paraId="4BBF819D">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（12）组成合同的其他文件。</w:t>
      </w:r>
    </w:p>
    <w:p w14:paraId="40A93ED2">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通过上述顺序解释仍无法明确的事项，由发包人与承包人协商解决；如协商不成，由发包人按照公平合理和有利于本工程建设的原则作出决定，如承包人对此决定不服的，应在接到发包人决定之日起三日内提出书面异议。如期满不提出书面异议的，视为同意发包人的决定。发包人收到承包人的书面异议后应作出进一步的决定。如承包人还不服的，可按合同专用条款第40条的约定处理，但在有关部门没有作出正式裁决之前，承包人必须无条件先行执行发包人的决定。</w:t>
      </w:r>
    </w:p>
    <w:p w14:paraId="3396423A">
      <w:pPr>
        <w:keepNext w:val="0"/>
        <w:keepLines w:val="0"/>
        <w:widowControl w:val="0"/>
        <w:suppressLineNumbers w:val="0"/>
        <w:adjustRightInd w:val="0"/>
        <w:snapToGrid w:val="0"/>
        <w:spacing w:before="0" w:beforeAutospacing="0" w:after="0" w:afterAutospacing="0" w:line="360" w:lineRule="auto"/>
        <w:ind w:left="0" w:right="11" w:firstLine="482"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8、</w:t>
      </w:r>
      <w:r>
        <w:rPr>
          <w:rFonts w:hint="eastAsia" w:ascii="宋体" w:hAnsi="宋体" w:eastAsia="宋体" w:cs="宋体"/>
          <w:color w:val="auto"/>
          <w:kern w:val="0"/>
          <w:sz w:val="24"/>
          <w:szCs w:val="24"/>
          <w:highlight w:val="none"/>
          <w:lang w:val="en-US" w:eastAsia="zh-CN" w:bidi="ar"/>
        </w:rPr>
        <w:t>承包人应在收到中标通知书之日起5日内以书面形式向发包人提交其法定代表人、本工程指挥长、项目经理（项目负责人）的姓名、身份证复印件、职务、职称、联系方式（包括办公电话、手机、传真号码）、通信地址等信息作为合同附件。</w:t>
      </w:r>
    </w:p>
    <w:p w14:paraId="6D57DF88">
      <w:pPr>
        <w:keepNext w:val="0"/>
        <w:keepLines w:val="0"/>
        <w:widowControl w:val="0"/>
        <w:suppressLineNumbers w:val="0"/>
        <w:adjustRightInd w:val="0"/>
        <w:snapToGrid w:val="0"/>
        <w:spacing w:before="0" w:beforeAutospacing="0" w:after="0" w:afterAutospacing="0" w:line="360" w:lineRule="auto"/>
        <w:ind w:left="0" w:right="11" w:firstLine="482"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9、</w:t>
      </w:r>
      <w:r>
        <w:rPr>
          <w:rFonts w:hint="eastAsia" w:ascii="宋体" w:hAnsi="宋体" w:eastAsia="宋体" w:cs="宋体"/>
          <w:color w:val="auto"/>
          <w:kern w:val="0"/>
          <w:sz w:val="24"/>
          <w:szCs w:val="24"/>
          <w:highlight w:val="none"/>
          <w:lang w:val="en-US" w:eastAsia="zh-CN" w:bidi="ar"/>
        </w:rPr>
        <w:t>在本合同有效期内，承包人的单位名称变更的，应及时以书面形式通知发包人并附上变更登记资料；法定代表人变更的，应在变更后15日内向发包人提交新法定代表人的姓名、身份证复印件、职务、职称、联系电话、通信地址等信息。</w:t>
      </w:r>
    </w:p>
    <w:p w14:paraId="62E05030">
      <w:pPr>
        <w:keepNext w:val="0"/>
        <w:keepLines w:val="0"/>
        <w:widowControl w:val="0"/>
        <w:suppressLineNumbers w:val="0"/>
        <w:adjustRightInd w:val="0"/>
        <w:snapToGrid w:val="0"/>
        <w:spacing w:before="0" w:beforeAutospacing="0" w:after="0" w:afterAutospacing="0" w:line="360" w:lineRule="auto"/>
        <w:ind w:left="0" w:right="11" w:firstLine="482"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10、</w:t>
      </w:r>
      <w:r>
        <w:rPr>
          <w:rFonts w:hint="eastAsia" w:ascii="宋体" w:hAnsi="宋体" w:eastAsia="宋体" w:cs="宋体"/>
          <w:color w:val="auto"/>
          <w:kern w:val="0"/>
          <w:sz w:val="24"/>
          <w:szCs w:val="24"/>
          <w:highlight w:val="none"/>
          <w:lang w:val="en-US" w:eastAsia="zh-CN" w:bidi="ar"/>
        </w:rPr>
        <w:t>在本合同有效期内，现场管理机构各部主要组织管理人员[包括但不限于工程指挥长、项目经理（项目负责人）、技术负责人]应与投标文件保持一致，且需常驻工地。发包人不要求更换时不得更换。因特殊情况需要更换的，承包人应以书面形式向监理单位提出意向（附前任和后任人员的详细履历资料），经总监理工程师签署意见后向发包人提出申请，征得发包人及项目业主同意后方可更换。出现前述情形，承包人除按合同专用条款的有关约定承担违约责任外，还应在更换后7日内将新指挥长、新项目经理（项目负责人）的姓名、职务、职称、联系电话、通信地址等信息提交给发包人。</w:t>
      </w:r>
    </w:p>
    <w:p w14:paraId="45FEED23">
      <w:pPr>
        <w:keepNext w:val="0"/>
        <w:keepLines w:val="0"/>
        <w:widowControl w:val="0"/>
        <w:suppressLineNumbers w:val="0"/>
        <w:spacing w:before="0" w:beforeAutospacing="0" w:after="0" w:afterAutospacing="0"/>
        <w:ind w:left="0" w:right="0" w:firstLine="420"/>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bCs w:val="0"/>
          <w:color w:val="auto"/>
          <w:kern w:val="0"/>
          <w:sz w:val="24"/>
          <w:szCs w:val="24"/>
          <w:highlight w:val="none"/>
          <w:lang w:val="en-US" w:eastAsia="zh-CN" w:bidi="ar"/>
        </w:rPr>
        <w:t>11、</w:t>
      </w:r>
      <w:r>
        <w:rPr>
          <w:rFonts w:hint="eastAsia" w:ascii="宋体" w:hAnsi="宋体" w:eastAsia="宋体" w:cs="宋体"/>
          <w:color w:val="auto"/>
          <w:kern w:val="0"/>
          <w:sz w:val="24"/>
          <w:szCs w:val="24"/>
          <w:highlight w:val="none"/>
          <w:lang w:val="en-US" w:eastAsia="zh-CN" w:bidi="ar"/>
        </w:rPr>
        <w:t>发包人已建立工程项目信息管理系统，承包人应投入足够的人员并配备足够的设备与该系统连接，确保及时准确地按发包人要求进行信息沟通及管理。</w:t>
      </w:r>
    </w:p>
    <w:p w14:paraId="11D3E391">
      <w:pPr>
        <w:keepNext w:val="0"/>
        <w:keepLines w:val="0"/>
        <w:widowControl w:val="0"/>
        <w:suppressLineNumbers w:val="0"/>
        <w:adjustRightInd/>
        <w:snapToGrid/>
        <w:spacing w:before="0" w:beforeAutospacing="0" w:after="0" w:afterAutospacing="0" w:line="240" w:lineRule="auto"/>
        <w:ind w:left="0" w:right="0" w:firstLine="420" w:firstLineChars="0"/>
        <w:jc w:val="both"/>
        <w:rPr>
          <w:rFonts w:hint="eastAsia" w:ascii="宋体" w:hAnsi="宋体" w:eastAsia="宋体" w:cs="宋体"/>
          <w:b w:val="0"/>
          <w:bCs w:val="0"/>
          <w:color w:val="auto"/>
          <w:kern w:val="0"/>
          <w:sz w:val="24"/>
          <w:szCs w:val="24"/>
          <w:highlight w:val="none"/>
          <w:lang w:bidi="ar"/>
        </w:rPr>
      </w:pPr>
      <w:r>
        <w:rPr>
          <w:rFonts w:hint="eastAsia" w:ascii="宋体" w:hAnsi="宋体" w:eastAsia="宋体" w:cs="宋体"/>
          <w:color w:val="auto"/>
          <w:kern w:val="0"/>
          <w:sz w:val="24"/>
          <w:szCs w:val="24"/>
          <w:highlight w:val="none"/>
          <w:lang w:val="en-US" w:eastAsia="zh-CN" w:bidi="ar"/>
        </w:rPr>
        <w:t>承包人应就本合同在发包人工程项目信息管理系统开通账号，账号操作人在该系统上的所有操作行为均视为承包人行为、已获得承包人授权及认可；通过该账号提交的信息、文件与资料，无论是否加盖承包人公章，均视为已获得承包人认可并属承包人向发包人提交的正式文件与资料。与该账号操作相关的行为与内容，其法律效果和法律责任一律由承包人承受及承担。前述信息、文件与资料如有需要形成纸质文件并加盖公章的，承包人必须按发包人要求提供。</w:t>
      </w:r>
    </w:p>
    <w:p w14:paraId="79A99460">
      <w:pPr>
        <w:keepNext w:val="0"/>
        <w:keepLines w:val="0"/>
        <w:widowControl w:val="0"/>
        <w:suppressLineNumbers w:val="0"/>
        <w:adjustRightInd w:val="0"/>
        <w:snapToGrid w:val="0"/>
        <w:spacing w:before="0" w:beforeAutospacing="0" w:after="0" w:afterAutospacing="0" w:line="360" w:lineRule="auto"/>
        <w:ind w:left="0" w:right="11" w:firstLine="482"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12、</w:t>
      </w:r>
      <w:r>
        <w:rPr>
          <w:rFonts w:hint="eastAsia" w:ascii="宋体" w:hAnsi="宋体" w:eastAsia="宋体" w:cs="宋体"/>
          <w:color w:val="auto"/>
          <w:kern w:val="0"/>
          <w:sz w:val="24"/>
          <w:szCs w:val="24"/>
          <w:highlight w:val="none"/>
          <w:lang w:val="en-US" w:eastAsia="zh-CN" w:bidi="ar"/>
        </w:rPr>
        <w:t>合同协议书中有关词语含义与合同通用条款、合同专用条款中分别赋予它们的定义相同。</w:t>
      </w:r>
    </w:p>
    <w:p w14:paraId="0C61D0E6">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13、承包人向发包人承诺按照合同约定进行采购、施工、竣工验收、移交、结算、管理及配合服务，并在缺陷责任期及质量保修期内承担相应的工程维修责任。</w:t>
      </w:r>
    </w:p>
    <w:p w14:paraId="109103A9">
      <w:pPr>
        <w:keepNext w:val="0"/>
        <w:keepLines w:val="0"/>
        <w:widowControl w:val="0"/>
        <w:suppressLineNumbers w:val="0"/>
        <w:adjustRightInd w:val="0"/>
        <w:snapToGrid w:val="0"/>
        <w:spacing w:before="0" w:beforeAutospacing="0" w:after="0" w:afterAutospacing="0" w:line="360" w:lineRule="auto"/>
        <w:ind w:left="0" w:right="11" w:firstLine="482"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14、</w:t>
      </w:r>
      <w:r>
        <w:rPr>
          <w:rFonts w:hint="eastAsia" w:ascii="宋体" w:hAnsi="宋体" w:eastAsia="宋体" w:cs="宋体"/>
          <w:color w:val="auto"/>
          <w:kern w:val="0"/>
          <w:sz w:val="24"/>
          <w:szCs w:val="24"/>
          <w:highlight w:val="none"/>
          <w:lang w:val="en-US" w:eastAsia="zh-CN" w:bidi="ar"/>
        </w:rPr>
        <w:t>发包人向承包人承诺按照合同约定的期限和方式支付合同价款及按合同约定应支付的其他款项。</w:t>
      </w:r>
    </w:p>
    <w:p w14:paraId="5D464747">
      <w:pPr>
        <w:keepNext w:val="0"/>
        <w:keepLines w:val="0"/>
        <w:widowControl w:val="0"/>
        <w:suppressLineNumbers w:val="0"/>
        <w:adjustRightInd w:val="0"/>
        <w:snapToGrid w:val="0"/>
        <w:spacing w:before="0" w:beforeAutospacing="0" w:after="0" w:afterAutospacing="0" w:line="360" w:lineRule="auto"/>
        <w:ind w:left="0" w:right="11" w:firstLine="482" w:firstLineChars="200"/>
        <w:jc w:val="both"/>
        <w:rPr>
          <w:rFonts w:hint="eastAsia" w:ascii="宋体" w:hAnsi="Calibri" w:eastAsia="宋体" w:cs="Times New Roman"/>
          <w:color w:val="auto"/>
          <w:kern w:val="0"/>
          <w:sz w:val="24"/>
          <w:szCs w:val="24"/>
          <w:highlight w:val="none"/>
          <w:u w:val="single"/>
        </w:rPr>
      </w:pPr>
      <w:r>
        <w:rPr>
          <w:rFonts w:hint="eastAsia" w:ascii="宋体" w:hAnsi="宋体" w:eastAsia="宋体" w:cs="宋体"/>
          <w:b/>
          <w:bCs w:val="0"/>
          <w:color w:val="auto"/>
          <w:kern w:val="0"/>
          <w:sz w:val="24"/>
          <w:szCs w:val="24"/>
          <w:highlight w:val="none"/>
          <w:lang w:val="en-US" w:eastAsia="zh-CN" w:bidi="ar"/>
        </w:rPr>
        <w:t>15、</w:t>
      </w:r>
      <w:r>
        <w:rPr>
          <w:rFonts w:hint="eastAsia" w:ascii="宋体" w:hAnsi="宋体" w:eastAsia="宋体" w:cs="宋体"/>
          <w:b/>
          <w:bCs w:val="0"/>
          <w:color w:val="auto"/>
          <w:kern w:val="0"/>
          <w:sz w:val="24"/>
          <w:szCs w:val="24"/>
          <w:highlight w:val="none"/>
          <w:u w:val="single"/>
          <w:lang w:val="en-US" w:eastAsia="zh-CN" w:bidi="ar"/>
        </w:rPr>
        <w:t>在出现以下情况时，发包人有权拒绝承包人参与发包人后续招标项目的投标：</w:t>
      </w:r>
    </w:p>
    <w:p w14:paraId="67E66E97">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u w:val="single"/>
        </w:rPr>
      </w:pPr>
      <w:r>
        <w:rPr>
          <w:rFonts w:hint="eastAsia" w:ascii="宋体" w:hAnsi="宋体" w:eastAsia="宋体" w:cs="宋体"/>
          <w:color w:val="auto"/>
          <w:kern w:val="0"/>
          <w:sz w:val="24"/>
          <w:szCs w:val="24"/>
          <w:highlight w:val="none"/>
          <w:u w:val="single"/>
          <w:lang w:val="en-US" w:eastAsia="zh-CN" w:bidi="ar"/>
        </w:rPr>
        <w:t>（1）承包人因过错行为被生效法律文书认定承担违约或侵权责任的；</w:t>
      </w:r>
    </w:p>
    <w:p w14:paraId="49538868">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u w:val="single"/>
        </w:rPr>
      </w:pPr>
      <w:r>
        <w:rPr>
          <w:rFonts w:hint="eastAsia" w:ascii="宋体" w:hAnsi="宋体" w:eastAsia="宋体" w:cs="宋体"/>
          <w:color w:val="auto"/>
          <w:kern w:val="0"/>
          <w:sz w:val="24"/>
          <w:szCs w:val="24"/>
          <w:highlight w:val="none"/>
          <w:u w:val="single"/>
          <w:lang w:val="en-US" w:eastAsia="zh-CN" w:bidi="ar"/>
        </w:rPr>
        <w:t>（2）承包人就其与发包人之间的争议问题向人民法院提起诉讼或向仲裁机构提请仲裁，且该诉讼（或仲裁）案件尚未审理终结的；</w:t>
      </w:r>
    </w:p>
    <w:p w14:paraId="3E973111">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u w:val="single"/>
        </w:rPr>
      </w:pPr>
      <w:r>
        <w:rPr>
          <w:rFonts w:hint="eastAsia" w:ascii="宋体" w:hAnsi="宋体" w:eastAsia="宋体" w:cs="宋体"/>
          <w:color w:val="auto"/>
          <w:kern w:val="0"/>
          <w:sz w:val="24"/>
          <w:szCs w:val="24"/>
          <w:highlight w:val="none"/>
          <w:u w:val="single"/>
          <w:lang w:val="en-US" w:eastAsia="zh-CN" w:bidi="ar"/>
        </w:rPr>
        <w:t>（3）承包人不按合同及有关规定按时、足额支付分包单位合同价款及工人工资被投诉，经发包人查证属实的，或因此致使工人集体上访、集聚围阻而造成社会不良影响的；</w:t>
      </w:r>
    </w:p>
    <w:p w14:paraId="71F834B1">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u w:val="single"/>
        </w:rPr>
      </w:pPr>
      <w:r>
        <w:rPr>
          <w:rFonts w:hint="eastAsia" w:ascii="宋体" w:hAnsi="宋体" w:eastAsia="宋体" w:cs="宋体"/>
          <w:color w:val="auto"/>
          <w:kern w:val="0"/>
          <w:sz w:val="24"/>
          <w:szCs w:val="24"/>
          <w:highlight w:val="none"/>
          <w:u w:val="single"/>
          <w:lang w:val="en-US" w:eastAsia="zh-CN" w:bidi="ar"/>
        </w:rPr>
        <w:t>（4）因承包人原因导致发包人被其他单位或个人以诉讼或仲裁方式追索工程款或其他费用，但承包人未按照合同约定承担发包人由此产生的一切经济损失（包括但不限于发包人由此支出的所有诉讼或仲裁费用、律师代理费及其他费用），在收到发包人赔付通知后拒绝赔付的；</w:t>
      </w:r>
    </w:p>
    <w:p w14:paraId="733A3228">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u w:val="single"/>
        </w:rPr>
      </w:pPr>
      <w:r>
        <w:rPr>
          <w:rFonts w:hint="eastAsia" w:ascii="宋体" w:hAnsi="宋体" w:eastAsia="宋体" w:cs="宋体"/>
          <w:color w:val="auto"/>
          <w:kern w:val="0"/>
          <w:sz w:val="24"/>
          <w:szCs w:val="24"/>
          <w:highlight w:val="none"/>
          <w:u w:val="single"/>
          <w:lang w:val="en-US" w:eastAsia="zh-CN" w:bidi="ar"/>
        </w:rPr>
        <w:t>（5）承包人违反合同约定应承担两次以上严重违约责任的；</w:t>
      </w:r>
    </w:p>
    <w:p w14:paraId="4F472D8C">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u w:val="single"/>
        </w:rPr>
      </w:pPr>
      <w:r>
        <w:rPr>
          <w:rFonts w:hint="eastAsia" w:ascii="宋体" w:hAnsi="宋体" w:eastAsia="宋体" w:cs="宋体"/>
          <w:color w:val="auto"/>
          <w:kern w:val="0"/>
          <w:sz w:val="24"/>
          <w:szCs w:val="24"/>
          <w:highlight w:val="none"/>
          <w:u w:val="single"/>
          <w:lang w:val="en-US" w:eastAsia="zh-CN" w:bidi="ar"/>
        </w:rPr>
        <w:t>（6）承包人自行调换或未按照发包人要求及时更换项目经理的。经发包人同意撤换的项目经理，该项目经理自撤换之日起半年内不允许其参加发包人后续工程项目的投标；</w:t>
      </w:r>
    </w:p>
    <w:p w14:paraId="3D4AD77A">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u w:val="single"/>
        </w:rPr>
      </w:pPr>
      <w:r>
        <w:rPr>
          <w:rFonts w:hint="eastAsia" w:ascii="宋体" w:hAnsi="宋体" w:eastAsia="宋体" w:cs="宋体"/>
          <w:color w:val="auto"/>
          <w:kern w:val="0"/>
          <w:sz w:val="24"/>
          <w:szCs w:val="24"/>
          <w:highlight w:val="none"/>
          <w:u w:val="single"/>
          <w:lang w:val="en-US" w:eastAsia="zh-CN" w:bidi="ar"/>
        </w:rPr>
        <w:t>（7）承包人委派的项目经理长期不到位（即连续三个月或以上达不到合同约定的出勤率）。</w:t>
      </w:r>
    </w:p>
    <w:p w14:paraId="52667EBF">
      <w:pPr>
        <w:keepNext w:val="0"/>
        <w:keepLines w:val="0"/>
        <w:widowControl w:val="0"/>
        <w:suppressLineNumbers w:val="0"/>
        <w:adjustRightInd w:val="0"/>
        <w:snapToGrid w:val="0"/>
        <w:spacing w:before="0" w:beforeAutospacing="0" w:after="0" w:afterAutospacing="0" w:line="360" w:lineRule="auto"/>
        <w:ind w:left="0" w:right="11" w:firstLine="482" w:firstLineChars="200"/>
        <w:jc w:val="both"/>
        <w:rPr>
          <w:rFonts w:hint="eastAsia" w:ascii="宋体" w:hAnsi="Calibri" w:eastAsia="宋体" w:cs="Times New Roman"/>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16、合同生效</w:t>
      </w:r>
    </w:p>
    <w:p w14:paraId="17086A72">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本合同自发包人、承包人双方签字盖章（公章或合同专用章）之日起生效，委托代理人签字的需经另一方书面同意。本合同有效期至本工程质量保修期满且竣工结算满60日及双方的责任、义务履行完毕时终止。</w:t>
      </w:r>
    </w:p>
    <w:p w14:paraId="0F935B3D">
      <w:pPr>
        <w:keepNext w:val="0"/>
        <w:keepLines w:val="0"/>
        <w:widowControl w:val="0"/>
        <w:suppressLineNumbers w:val="0"/>
        <w:adjustRightInd w:val="0"/>
        <w:snapToGrid w:val="0"/>
        <w:spacing w:before="0" w:beforeAutospacing="0" w:after="0" w:afterAutospacing="0" w:line="360" w:lineRule="auto"/>
        <w:ind w:left="0" w:right="11" w:firstLine="482" w:firstLineChars="200"/>
        <w:jc w:val="both"/>
        <w:outlineLvl w:val="1"/>
        <w:rPr>
          <w:rFonts w:hint="eastAsia" w:ascii="宋体" w:hAnsi="Calibri" w:eastAsia="宋体" w:cs="Times New Roman"/>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17、合同份数</w:t>
      </w:r>
    </w:p>
    <w:p w14:paraId="66C6DA60">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本合同正本一式两份，发包人、承包人各执一份；副本八份，其中发包人执六份，承包人执两份。合同正、副本具有同等效力，但当合同正本与副本的表述不一致时，以合同正本为准。</w:t>
      </w:r>
    </w:p>
    <w:p w14:paraId="4D6234EC">
      <w:pPr>
        <w:keepNext w:val="0"/>
        <w:keepLines w:val="0"/>
        <w:widowControl w:val="0"/>
        <w:suppressLineNumbers w:val="0"/>
        <w:adjustRightInd w:val="0"/>
        <w:snapToGrid w:val="0"/>
        <w:spacing w:before="0" w:beforeAutospacing="0" w:after="0" w:afterAutospacing="0" w:line="360" w:lineRule="auto"/>
        <w:ind w:left="0" w:right="11" w:firstLine="482" w:firstLineChars="200"/>
        <w:jc w:val="both"/>
        <w:rPr>
          <w:rFonts w:hint="eastAsia" w:ascii="宋体" w:hAnsi="Calibri" w:eastAsia="宋体" w:cs="Times New Roman"/>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18、</w:t>
      </w:r>
      <w:r>
        <w:rPr>
          <w:rFonts w:hint="eastAsia" w:ascii="宋体" w:hAnsi="宋体" w:eastAsia="宋体" w:cs="宋体"/>
          <w:color w:val="auto"/>
          <w:kern w:val="0"/>
          <w:sz w:val="24"/>
          <w:szCs w:val="24"/>
          <w:highlight w:val="none"/>
          <w:lang w:val="en-US" w:eastAsia="zh-CN" w:bidi="ar"/>
        </w:rPr>
        <w:t>中标通知书和招标答疑及澄清文件附在合同协议书后。</w:t>
      </w:r>
    </w:p>
    <w:p w14:paraId="44C8DCC2">
      <w:pPr>
        <w:keepNext w:val="0"/>
        <w:keepLines w:val="0"/>
        <w:widowControl w:val="0"/>
        <w:suppressLineNumbers w:val="0"/>
        <w:adjustRightInd w:val="0"/>
        <w:snapToGrid w:val="0"/>
        <w:spacing w:before="0" w:beforeAutospacing="0" w:after="0" w:afterAutospacing="0" w:line="360" w:lineRule="auto"/>
        <w:ind w:left="0" w:right="11" w:firstLine="482" w:firstLineChars="200"/>
        <w:jc w:val="both"/>
        <w:rPr>
          <w:rFonts w:hint="eastAsia" w:ascii="宋体" w:hAnsi="Calibri" w:eastAsia="宋体" w:cs="Times New Roman"/>
          <w:b/>
          <w:bCs w:val="0"/>
          <w:color w:val="auto"/>
          <w:kern w:val="0"/>
          <w:sz w:val="24"/>
          <w:szCs w:val="24"/>
          <w:highlight w:val="none"/>
        </w:rPr>
      </w:pPr>
      <w:r>
        <w:rPr>
          <w:rFonts w:hint="eastAsia" w:ascii="宋体" w:hAnsi="Calibri" w:eastAsia="宋体" w:cs="Times New Roman"/>
          <w:b/>
          <w:bCs w:val="0"/>
          <w:color w:val="auto"/>
          <w:kern w:val="0"/>
          <w:sz w:val="24"/>
          <w:szCs w:val="24"/>
          <w:highlight w:val="none"/>
          <w:lang w:val="en-US" w:eastAsia="zh-CN" w:bidi="ar"/>
        </w:rPr>
        <w:t xml:space="preserve"> </w:t>
      </w:r>
    </w:p>
    <w:p w14:paraId="3477151E">
      <w:pPr>
        <w:pStyle w:val="14"/>
        <w:keepNext w:val="0"/>
        <w:keepLines w:val="0"/>
        <w:widowControl w:val="0"/>
        <w:suppressLineNumbers w:val="0"/>
        <w:adjustRightInd w:val="0"/>
        <w:snapToGrid w:val="0"/>
        <w:spacing w:before="0" w:beforeAutospacing="1" w:after="120" w:afterAutospacing="0" w:line="360" w:lineRule="auto"/>
        <w:ind w:left="0" w:right="11" w:firstLine="420"/>
        <w:jc w:val="both"/>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（本页以下无正文）</w:t>
      </w:r>
    </w:p>
    <w:p w14:paraId="73522668">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Times New Roman"/>
          <w:color w:val="auto"/>
          <w:spacing w:val="-20"/>
          <w:kern w:val="0"/>
          <w:sz w:val="24"/>
          <w:szCs w:val="24"/>
          <w:highlight w:val="none"/>
        </w:rPr>
      </w:pPr>
      <w:r>
        <w:rPr>
          <w:rFonts w:hint="eastAsia" w:ascii="宋体" w:hAnsi="宋体" w:eastAsia="宋体" w:cs="Times New Roman"/>
          <w:color w:val="auto"/>
          <w:spacing w:val="-20"/>
          <w:kern w:val="0"/>
          <w:sz w:val="24"/>
          <w:szCs w:val="24"/>
          <w:highlight w:val="none"/>
          <w:lang w:val="en-US" w:eastAsia="zh-CN" w:bidi="ar"/>
        </w:rPr>
        <w:t xml:space="preserve"> </w:t>
      </w:r>
    </w:p>
    <w:p w14:paraId="1C114051">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Times New Roman"/>
          <w:color w:val="auto"/>
          <w:spacing w:val="-20"/>
          <w:kern w:val="0"/>
          <w:sz w:val="24"/>
          <w:szCs w:val="24"/>
          <w:highlight w:val="none"/>
        </w:rPr>
      </w:pPr>
      <w:r>
        <w:rPr>
          <w:rFonts w:hint="eastAsia" w:ascii="宋体" w:hAnsi="宋体" w:eastAsia="宋体" w:cs="宋体"/>
          <w:color w:val="auto"/>
          <w:spacing w:val="-20"/>
          <w:kern w:val="0"/>
          <w:sz w:val="24"/>
          <w:szCs w:val="24"/>
          <w:highlight w:val="none"/>
          <w:lang w:val="en-US" w:eastAsia="zh-CN" w:bidi="ar"/>
        </w:rPr>
        <w:t>发包人：</w:t>
      </w:r>
      <w:r>
        <w:rPr>
          <w:rFonts w:hint="eastAsia" w:ascii="宋体" w:hAnsi="宋体" w:eastAsia="宋体" w:cs="宋体"/>
          <w:b/>
          <w:bCs w:val="0"/>
          <w:color w:val="auto"/>
          <w:spacing w:val="-20"/>
          <w:kern w:val="0"/>
          <w:sz w:val="24"/>
          <w:szCs w:val="24"/>
          <w:highlight w:val="none"/>
          <w:lang w:val="en-US" w:eastAsia="zh-CN" w:bidi="ar"/>
        </w:rPr>
        <w:t xml:space="preserve">广州市重点公共建设项目管理中心       </w:t>
      </w:r>
      <w:r>
        <w:rPr>
          <w:rFonts w:hint="eastAsia" w:ascii="宋体" w:hAnsi="宋体" w:eastAsia="宋体" w:cs="宋体"/>
          <w:color w:val="auto"/>
          <w:spacing w:val="-20"/>
          <w:kern w:val="0"/>
          <w:sz w:val="24"/>
          <w:szCs w:val="24"/>
          <w:highlight w:val="none"/>
          <w:lang w:val="en-US" w:eastAsia="zh-CN" w:bidi="ar"/>
        </w:rPr>
        <w:t>承包人：</w:t>
      </w:r>
    </w:p>
    <w:p w14:paraId="02A9C511">
      <w:pPr>
        <w:keepNext w:val="0"/>
        <w:keepLines w:val="0"/>
        <w:widowControl w:val="0"/>
        <w:suppressLineNumbers w:val="0"/>
        <w:adjustRightInd w:val="0"/>
        <w:snapToGrid w:val="0"/>
        <w:spacing w:before="0" w:beforeAutospacing="0" w:after="0" w:afterAutospacing="0" w:line="360" w:lineRule="auto"/>
        <w:ind w:left="0" w:right="11" w:firstLine="2640" w:firstLineChars="110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（盖章）                 （盖章）</w:t>
      </w:r>
    </w:p>
    <w:p w14:paraId="7ABF79F4">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Times New Roman"/>
          <w:color w:val="auto"/>
          <w:kern w:val="0"/>
          <w:sz w:val="24"/>
          <w:szCs w:val="24"/>
          <w:highlight w:val="none"/>
        </w:rPr>
      </w:pPr>
      <w:r>
        <w:rPr>
          <w:rFonts w:hint="eastAsia" w:ascii="宋体" w:hAnsi="Calibri" w:eastAsia="宋体" w:cs="Times New Roman"/>
          <w:color w:val="auto"/>
          <w:kern w:val="0"/>
          <w:sz w:val="24"/>
          <w:szCs w:val="24"/>
          <w:highlight w:val="none"/>
          <w:lang w:val="en-US" w:eastAsia="zh-CN" w:bidi="ar"/>
        </w:rPr>
        <w:tab/>
      </w:r>
    </w:p>
    <w:p w14:paraId="3C6214B0">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法定代表人：                               法定代表人：</w:t>
      </w:r>
    </w:p>
    <w:p w14:paraId="4B754867">
      <w:pPr>
        <w:keepNext w:val="0"/>
        <w:keepLines w:val="0"/>
        <w:widowControl w:val="0"/>
        <w:suppressLineNumbers w:val="0"/>
        <w:adjustRightInd w:val="0"/>
        <w:snapToGrid w:val="0"/>
        <w:spacing w:before="0" w:beforeAutospacing="0" w:after="0" w:afterAutospacing="0" w:line="360" w:lineRule="auto"/>
        <w:ind w:left="-2" w:leftChars="-1" w:right="11"/>
        <w:jc w:val="both"/>
        <w:rPr>
          <w:rFonts w:hint="eastAsia" w:ascii="宋体" w:hAnsi="Calibri"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地址：广州市广州大学城内环东星运路1号 地址：</w:t>
      </w:r>
    </w:p>
    <w:p w14:paraId="77E141B4">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邮政编码：510006                       邮政编码：</w:t>
      </w:r>
    </w:p>
    <w:p w14:paraId="59DA3F32">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电话：020-22905694                     电话：</w:t>
      </w:r>
    </w:p>
    <w:p w14:paraId="35F8FE9E">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传真：020-22905691                     传真：</w:t>
      </w:r>
    </w:p>
    <w:p w14:paraId="31140CBA">
      <w:pPr>
        <w:keepNext w:val="0"/>
        <w:keepLines w:val="0"/>
        <w:widowControl w:val="0"/>
        <w:suppressLineNumbers w:val="0"/>
        <w:adjustRightInd w:val="0"/>
        <w:snapToGrid w:val="0"/>
        <w:spacing w:before="0" w:beforeAutospacing="0" w:after="0" w:afterAutospacing="0" w:line="360" w:lineRule="auto"/>
        <w:ind w:left="-2" w:leftChars="-1" w:right="11" w:firstLine="4680" w:firstLineChars="195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开户银行：</w:t>
      </w:r>
    </w:p>
    <w:p w14:paraId="10179CA7">
      <w:pPr>
        <w:keepNext w:val="0"/>
        <w:keepLines w:val="0"/>
        <w:widowControl w:val="0"/>
        <w:suppressLineNumbers w:val="0"/>
        <w:adjustRightInd w:val="0"/>
        <w:snapToGrid w:val="0"/>
        <w:spacing w:before="0" w:beforeAutospacing="0" w:after="0" w:afterAutospacing="0" w:line="360" w:lineRule="auto"/>
        <w:ind w:left="-2" w:leftChars="-1" w:right="11" w:firstLine="4680" w:firstLineChars="195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银行账号：</w:t>
      </w:r>
    </w:p>
    <w:p w14:paraId="1797D86F">
      <w:pPr>
        <w:keepNext w:val="0"/>
        <w:keepLines w:val="0"/>
        <w:widowControl w:val="0"/>
        <w:suppressLineNumbers w:val="0"/>
        <w:adjustRightInd w:val="0"/>
        <w:snapToGrid w:val="0"/>
        <w:spacing w:before="0" w:beforeAutospacing="0" w:after="0" w:afterAutospacing="0" w:line="360" w:lineRule="auto"/>
        <w:ind w:left="-2" w:leftChars="-1" w:right="11" w:firstLine="4680" w:firstLineChars="1950"/>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纳税人识别号：</w:t>
      </w:r>
    </w:p>
    <w:p w14:paraId="06953755">
      <w:pPr>
        <w:keepNext w:val="0"/>
        <w:keepLines w:val="0"/>
        <w:widowControl w:val="0"/>
        <w:suppressLineNumbers w:val="0"/>
        <w:adjustRightInd w:val="0"/>
        <w:snapToGrid w:val="0"/>
        <w:spacing w:before="0" w:beforeAutospacing="0" w:after="0" w:afterAutospacing="0" w:line="360" w:lineRule="auto"/>
        <w:ind w:left="-2" w:leftChars="-1" w:right="11"/>
        <w:jc w:val="both"/>
        <w:rPr>
          <w:rFonts w:hint="eastAsia" w:ascii="宋体"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签订时间：年  月  日                   签订时间：  年   月    日</w:t>
      </w:r>
    </w:p>
    <w:p w14:paraId="36F050B3">
      <w:pPr>
        <w:keepNext w:val="0"/>
        <w:keepLines w:val="0"/>
        <w:widowControl w:val="0"/>
        <w:suppressLineNumbers w:val="0"/>
        <w:adjustRightInd w:val="0"/>
        <w:snapToGrid w:val="0"/>
        <w:spacing w:before="0" w:beforeAutospacing="0" w:after="0" w:afterAutospacing="0" w:line="360" w:lineRule="auto"/>
        <w:ind w:left="-2" w:leftChars="-1" w:right="11"/>
        <w:jc w:val="center"/>
        <w:rPr>
          <w:rFonts w:hint="eastAsia" w:ascii="宋体" w:hAnsi="Calibri" w:eastAsia="宋体" w:cs="Times New Roman"/>
          <w:b/>
          <w:bCs w:val="0"/>
          <w:color w:val="auto"/>
          <w:kern w:val="0"/>
          <w:sz w:val="44"/>
          <w:szCs w:val="44"/>
          <w:highlight w:val="none"/>
        </w:rPr>
      </w:pPr>
      <w:r>
        <w:rPr>
          <w:rFonts w:hint="eastAsia" w:ascii="宋体" w:hAnsi="宋体"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合同订立地点：广东省广州市番禺区。</w:t>
      </w:r>
      <w:r>
        <w:rPr>
          <w:rFonts w:hint="eastAsia" w:ascii="宋体" w:hAnsi="Calibri" w:eastAsia="宋体" w:cs="Times New Roman"/>
          <w:b/>
          <w:bCs w:val="0"/>
          <w:color w:val="auto"/>
          <w:kern w:val="0"/>
          <w:sz w:val="44"/>
          <w:szCs w:val="44"/>
          <w:highlight w:val="none"/>
          <w:lang w:val="en-US" w:eastAsia="zh-CN" w:bidi="ar"/>
        </w:rPr>
        <w:br w:type="page"/>
      </w:r>
      <w:r>
        <w:rPr>
          <w:rFonts w:hint="eastAsia" w:ascii="宋体" w:hAnsi="宋体" w:eastAsia="宋体" w:cs="宋体"/>
          <w:b/>
          <w:bCs w:val="0"/>
          <w:color w:val="auto"/>
          <w:kern w:val="0"/>
          <w:sz w:val="44"/>
          <w:szCs w:val="44"/>
          <w:highlight w:val="none"/>
          <w:lang w:val="en-US" w:eastAsia="zh-CN" w:bidi="ar"/>
        </w:rPr>
        <w:t>第二篇合同专用条款</w:t>
      </w:r>
    </w:p>
    <w:p w14:paraId="76A2A509">
      <w:pPr>
        <w:keepNext w:val="0"/>
        <w:keepLines w:val="0"/>
        <w:widowControl w:val="0"/>
        <w:suppressLineNumbers w:val="0"/>
        <w:adjustRightInd w:val="0"/>
        <w:spacing w:before="0" w:beforeAutospacing="0" w:after="0" w:afterAutospacing="0" w:line="300" w:lineRule="auto"/>
        <w:ind w:left="0" w:right="0"/>
        <w:jc w:val="center"/>
        <w:outlineLvl w:val="0"/>
        <w:rPr>
          <w:rFonts w:hint="eastAsia" w:ascii="宋体" w:hAnsi="Calibri" w:eastAsia="宋体" w:cs="Times New Roman"/>
          <w:b/>
          <w:bCs w:val="0"/>
          <w:color w:val="auto"/>
          <w:kern w:val="2"/>
          <w:sz w:val="32"/>
          <w:szCs w:val="32"/>
          <w:highlight w:val="none"/>
        </w:rPr>
      </w:pPr>
      <w:r>
        <w:rPr>
          <w:rFonts w:hint="eastAsia" w:ascii="宋体" w:hAnsi="宋体" w:eastAsia="宋体" w:cs="宋体"/>
          <w:b/>
          <w:bCs w:val="0"/>
          <w:color w:val="auto"/>
          <w:kern w:val="2"/>
          <w:sz w:val="32"/>
          <w:szCs w:val="32"/>
          <w:highlight w:val="none"/>
          <w:lang w:val="en-US" w:eastAsia="zh-CN" w:bidi="ar"/>
        </w:rPr>
        <w:t>(一) 合同专用条款填充表（填“无”的表示没有该项内容）</w:t>
      </w:r>
    </w:p>
    <w:tbl>
      <w:tblPr>
        <w:tblStyle w:val="17"/>
        <w:tblW w:w="8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50"/>
        <w:gridCol w:w="7350"/>
      </w:tblGrid>
      <w:tr w14:paraId="55D35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4"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07905B">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序号</w:t>
            </w:r>
          </w:p>
        </w:tc>
        <w:tc>
          <w:tcPr>
            <w:tcW w:w="7350" w:type="dxa"/>
            <w:tcBorders>
              <w:top w:val="single" w:color="auto" w:sz="4" w:space="0"/>
              <w:left w:val="nil"/>
              <w:bottom w:val="single" w:color="auto" w:sz="4" w:space="0"/>
              <w:right w:val="single" w:color="auto" w:sz="4" w:space="0"/>
            </w:tcBorders>
            <w:shd w:val="clear" w:color="auto" w:fill="auto"/>
            <w:noWrap/>
            <w:vAlign w:val="center"/>
          </w:tcPr>
          <w:p w14:paraId="6327ACF2">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需要填充的条款编号及内容</w:t>
            </w:r>
          </w:p>
        </w:tc>
      </w:tr>
      <w:tr w14:paraId="25A0B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5"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EF5E09">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7350" w:type="dxa"/>
            <w:tcBorders>
              <w:top w:val="single" w:color="auto" w:sz="4" w:space="0"/>
              <w:left w:val="nil"/>
              <w:bottom w:val="single" w:color="auto" w:sz="4" w:space="0"/>
              <w:right w:val="single" w:color="auto" w:sz="4" w:space="0"/>
            </w:tcBorders>
            <w:shd w:val="clear" w:color="auto" w:fill="auto"/>
            <w:noWrap/>
            <w:vAlign w:val="center"/>
          </w:tcPr>
          <w:p w14:paraId="0979B8B2">
            <w:pPr>
              <w:keepNext w:val="0"/>
              <w:keepLines w:val="0"/>
              <w:widowControl w:val="0"/>
              <w:suppressLineNumbers w:val="0"/>
              <w:adjustRightInd w:val="0"/>
              <w:snapToGrid w:val="0"/>
              <w:spacing w:before="0" w:beforeAutospacing="0" w:after="0" w:afterAutospacing="0" w:line="300" w:lineRule="auto"/>
              <w:ind w:left="0" w:right="0" w:firstLine="401" w:firstLineChars="191"/>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1.6设计单位</w:t>
            </w:r>
          </w:p>
          <w:p w14:paraId="1471FC61">
            <w:pPr>
              <w:pStyle w:val="14"/>
              <w:keepNext w:val="0"/>
              <w:keepLines w:val="0"/>
              <w:widowControl w:val="0"/>
              <w:suppressLineNumbers w:val="0"/>
              <w:topLinePunct/>
              <w:adjustRightInd w:val="0"/>
              <w:snapToGrid w:val="0"/>
              <w:spacing w:before="0" w:beforeAutospacing="1" w:after="0" w:afterAutospacing="1" w:line="360" w:lineRule="auto"/>
              <w:ind w:left="0" w:right="0" w:firstLine="420" w:firstLineChars="200"/>
              <w:jc w:val="both"/>
              <w:rPr>
                <w:rFonts w:hint="eastAsia" w:ascii="宋体" w:hAnsi="宋体" w:eastAsia="宋体" w:cs="Times New Roman"/>
                <w:color w:val="auto"/>
                <w:kern w:val="0"/>
                <w:sz w:val="21"/>
                <w:szCs w:val="21"/>
                <w:highlight w:val="none"/>
                <w:u w:val="single"/>
              </w:rPr>
            </w:pPr>
            <w:r>
              <w:rPr>
                <w:rFonts w:hint="eastAsia" w:ascii="宋体" w:hAnsi="宋体" w:eastAsia="宋体" w:cs="宋体"/>
                <w:color w:val="auto"/>
                <w:kern w:val="0"/>
                <w:sz w:val="21"/>
                <w:szCs w:val="21"/>
                <w:highlight w:val="none"/>
                <w:lang w:val="en-US" w:eastAsia="zh-CN" w:bidi="ar"/>
              </w:rPr>
              <w:t>本工程的设计单位：</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2"/>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p>
        </w:tc>
      </w:tr>
      <w:tr w14:paraId="0C0C5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5"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427BBC">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7350" w:type="dxa"/>
            <w:tcBorders>
              <w:top w:val="single" w:color="auto" w:sz="4" w:space="0"/>
              <w:left w:val="nil"/>
              <w:bottom w:val="single" w:color="auto" w:sz="4" w:space="0"/>
              <w:right w:val="single" w:color="auto" w:sz="4" w:space="0"/>
            </w:tcBorders>
            <w:shd w:val="clear" w:color="auto" w:fill="auto"/>
            <w:noWrap/>
            <w:vAlign w:val="center"/>
          </w:tcPr>
          <w:p w14:paraId="2772BB8C">
            <w:pPr>
              <w:keepNext w:val="0"/>
              <w:keepLines w:val="0"/>
              <w:widowControl w:val="0"/>
              <w:suppressLineNumbers w:val="0"/>
              <w:adjustRightInd w:val="0"/>
              <w:snapToGrid w:val="0"/>
              <w:spacing w:before="0" w:beforeAutospacing="0" w:after="0" w:afterAutospacing="0" w:line="300" w:lineRule="auto"/>
              <w:ind w:left="0" w:right="0" w:firstLine="401" w:firstLineChars="191"/>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1.7监理单位</w:t>
            </w:r>
          </w:p>
          <w:p w14:paraId="17DBD7C2">
            <w:pPr>
              <w:keepNext w:val="0"/>
              <w:keepLines w:val="0"/>
              <w:widowControl w:val="0"/>
              <w:suppressLineNumbers w:val="0"/>
              <w:adjustRightInd w:val="0"/>
              <w:snapToGrid w:val="0"/>
              <w:spacing w:before="0" w:beforeAutospacing="0" w:after="0" w:afterAutospacing="0" w:line="300" w:lineRule="auto"/>
              <w:ind w:left="0" w:right="0" w:firstLine="401" w:firstLineChars="191"/>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本工程的监理单位是：</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u w:val="single"/>
                <w:lang w:val="en-US" w:eastAsia="zh-CN" w:bidi="ar"/>
              </w:rPr>
              <w:t xml:space="preserve">               。</w:t>
            </w:r>
          </w:p>
        </w:tc>
      </w:tr>
      <w:tr w14:paraId="02D41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5"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901C0E">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7350" w:type="dxa"/>
            <w:tcBorders>
              <w:top w:val="single" w:color="auto" w:sz="4" w:space="0"/>
              <w:left w:val="nil"/>
              <w:bottom w:val="single" w:color="auto" w:sz="4" w:space="0"/>
              <w:right w:val="single" w:color="auto" w:sz="4" w:space="0"/>
            </w:tcBorders>
            <w:shd w:val="clear" w:color="auto" w:fill="auto"/>
            <w:noWrap/>
            <w:vAlign w:val="center"/>
          </w:tcPr>
          <w:p w14:paraId="0A0B6AE4">
            <w:pPr>
              <w:keepNext w:val="0"/>
              <w:keepLines w:val="0"/>
              <w:widowControl w:val="0"/>
              <w:suppressLineNumbers w:val="0"/>
              <w:adjustRightInd w:val="0"/>
              <w:snapToGrid w:val="0"/>
              <w:spacing w:before="0" w:beforeAutospacing="0" w:after="0" w:afterAutospacing="0" w:line="300" w:lineRule="auto"/>
              <w:ind w:left="0" w:right="0"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1.33施工图审查单位</w:t>
            </w:r>
          </w:p>
          <w:p w14:paraId="14662D8B">
            <w:pPr>
              <w:keepNext w:val="0"/>
              <w:keepLines w:val="0"/>
              <w:widowControl w:val="0"/>
              <w:suppressLineNumbers w:val="0"/>
              <w:adjustRightInd w:val="0"/>
              <w:snapToGrid w:val="0"/>
              <w:spacing w:before="0" w:beforeAutospacing="0" w:after="0" w:afterAutospacing="0" w:line="300" w:lineRule="auto"/>
              <w:ind w:left="0" w:right="0" w:firstLine="401" w:firstLineChars="191"/>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本工程的施工图审查单位是：</w:t>
            </w:r>
            <w:r>
              <w:rPr>
                <w:rFonts w:hint="eastAsia" w:ascii="宋体" w:hAnsi="宋体" w:eastAsia="宋体" w:cs="宋体"/>
                <w:color w:val="auto"/>
                <w:kern w:val="0"/>
                <w:sz w:val="21"/>
                <w:szCs w:val="21"/>
                <w:highlight w:val="none"/>
                <w:u w:val="single"/>
                <w:lang w:val="en-US" w:eastAsia="zh-CN" w:bidi="ar"/>
              </w:rPr>
              <w:t>另行通知 。</w:t>
            </w:r>
            <w:r>
              <w:rPr>
                <w:rFonts w:hint="eastAsia" w:ascii="宋体" w:hAnsi="Calibri" w:eastAsia="宋体" w:cs="宋体"/>
                <w:color w:val="auto"/>
                <w:kern w:val="0"/>
                <w:sz w:val="21"/>
                <w:szCs w:val="21"/>
                <w:highlight w:val="none"/>
                <w:lang w:val="en-US" w:eastAsia="zh-CN" w:bidi="ar"/>
              </w:rPr>
              <w:t> </w:t>
            </w:r>
          </w:p>
        </w:tc>
      </w:tr>
      <w:tr w14:paraId="16988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5"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9BFD13">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7350" w:type="dxa"/>
            <w:tcBorders>
              <w:top w:val="single" w:color="auto" w:sz="4" w:space="0"/>
              <w:left w:val="nil"/>
              <w:bottom w:val="single" w:color="auto" w:sz="4" w:space="0"/>
              <w:right w:val="single" w:color="auto" w:sz="4" w:space="0"/>
            </w:tcBorders>
            <w:shd w:val="clear" w:color="auto" w:fill="auto"/>
            <w:noWrap/>
            <w:vAlign w:val="center"/>
          </w:tcPr>
          <w:p w14:paraId="5F0F9A4A">
            <w:pPr>
              <w:keepNext w:val="0"/>
              <w:keepLines w:val="0"/>
              <w:widowControl w:val="0"/>
              <w:suppressLineNumbers w:val="0"/>
              <w:adjustRightInd w:val="0"/>
              <w:snapToGrid w:val="0"/>
              <w:spacing w:before="0" w:beforeAutospacing="0" w:after="0" w:afterAutospacing="0" w:line="300" w:lineRule="auto"/>
              <w:ind w:left="0" w:right="0" w:firstLine="401" w:firstLineChars="191"/>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1.34设计咨询单位</w:t>
            </w:r>
          </w:p>
          <w:p w14:paraId="6A96776E">
            <w:pPr>
              <w:keepNext w:val="0"/>
              <w:keepLines w:val="0"/>
              <w:widowControl w:val="0"/>
              <w:suppressLineNumbers w:val="0"/>
              <w:adjustRightInd w:val="0"/>
              <w:snapToGrid w:val="0"/>
              <w:spacing w:before="0" w:beforeAutospacing="0" w:after="0" w:afterAutospacing="0" w:line="300" w:lineRule="auto"/>
              <w:ind w:left="0" w:right="0" w:firstLine="401" w:firstLineChars="191"/>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本工程的设计咨询单位是：</w:t>
            </w:r>
            <w:r>
              <w:rPr>
                <w:rFonts w:hint="eastAsia" w:ascii="宋体" w:hAnsi="宋体" w:eastAsia="宋体" w:cs="宋体"/>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tc>
      </w:tr>
      <w:tr w14:paraId="2AEFA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5"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00A439">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7350" w:type="dxa"/>
            <w:tcBorders>
              <w:top w:val="single" w:color="auto" w:sz="4" w:space="0"/>
              <w:left w:val="nil"/>
              <w:bottom w:val="single" w:color="auto" w:sz="4" w:space="0"/>
              <w:right w:val="single" w:color="auto" w:sz="4" w:space="0"/>
            </w:tcBorders>
            <w:shd w:val="clear" w:color="auto" w:fill="auto"/>
            <w:noWrap/>
            <w:vAlign w:val="center"/>
          </w:tcPr>
          <w:p w14:paraId="53FA3F05">
            <w:pPr>
              <w:keepNext w:val="0"/>
              <w:keepLines w:val="0"/>
              <w:widowControl w:val="0"/>
              <w:suppressLineNumbers w:val="0"/>
              <w:adjustRightInd w:val="0"/>
              <w:snapToGrid w:val="0"/>
              <w:spacing w:before="0" w:beforeAutospacing="0" w:after="0" w:afterAutospacing="0" w:line="300" w:lineRule="auto"/>
              <w:ind w:left="0" w:right="0" w:firstLine="401" w:firstLineChars="191"/>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1.35技术督导单位</w:t>
            </w:r>
          </w:p>
          <w:p w14:paraId="157188D3">
            <w:pPr>
              <w:keepNext w:val="0"/>
              <w:keepLines w:val="0"/>
              <w:widowControl w:val="0"/>
              <w:suppressLineNumbers w:val="0"/>
              <w:adjustRightInd w:val="0"/>
              <w:snapToGrid w:val="0"/>
              <w:spacing w:before="0" w:beforeAutospacing="0" w:after="0" w:afterAutospacing="0" w:line="300" w:lineRule="auto"/>
              <w:ind w:left="0" w:right="0" w:firstLine="401" w:firstLineChars="191"/>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本工程的技术督导单位是：</w:t>
            </w:r>
            <w:r>
              <w:rPr>
                <w:rFonts w:hint="eastAsia" w:ascii="宋体" w:hAnsi="宋体" w:eastAsia="宋体" w:cs="宋体"/>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tc>
      </w:tr>
      <w:tr w14:paraId="5D31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5"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317040">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7350" w:type="dxa"/>
            <w:tcBorders>
              <w:top w:val="single" w:color="auto" w:sz="4" w:space="0"/>
              <w:left w:val="nil"/>
              <w:bottom w:val="single" w:color="auto" w:sz="4" w:space="0"/>
              <w:right w:val="single" w:color="auto" w:sz="4" w:space="0"/>
            </w:tcBorders>
            <w:shd w:val="clear" w:color="auto" w:fill="auto"/>
            <w:noWrap/>
            <w:vAlign w:val="center"/>
          </w:tcPr>
          <w:p w14:paraId="31150FBD">
            <w:pPr>
              <w:keepNext w:val="0"/>
              <w:keepLines w:val="0"/>
              <w:widowControl w:val="0"/>
              <w:suppressLineNumbers w:val="0"/>
              <w:adjustRightInd w:val="0"/>
              <w:snapToGrid w:val="0"/>
              <w:spacing w:before="0" w:beforeAutospacing="0" w:after="0" w:afterAutospacing="0" w:line="300" w:lineRule="auto"/>
              <w:ind w:left="0" w:right="11" w:firstLine="401" w:firstLineChars="191"/>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1.36施工总承包管理单位：（</w:t>
            </w:r>
            <w:r>
              <w:rPr>
                <w:rFonts w:hint="eastAsia" w:ascii="宋体" w:hAnsi="宋体" w:eastAsia="宋体" w:cs="宋体"/>
                <w:color w:val="auto"/>
                <w:kern w:val="0"/>
                <w:sz w:val="21"/>
                <w:szCs w:val="21"/>
                <w:highlight w:val="none"/>
                <w:u w:val="single"/>
                <w:lang w:val="en-US" w:eastAsia="zh-CN" w:bidi="ar"/>
              </w:rPr>
              <w:t>特指本项目中标单位）。</w:t>
            </w:r>
          </w:p>
        </w:tc>
      </w:tr>
      <w:tr w14:paraId="2F66C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5"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866B28">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7350" w:type="dxa"/>
            <w:tcBorders>
              <w:top w:val="single" w:color="auto" w:sz="4" w:space="0"/>
              <w:left w:val="nil"/>
              <w:bottom w:val="single" w:color="auto" w:sz="4" w:space="0"/>
              <w:right w:val="single" w:color="auto" w:sz="4" w:space="0"/>
            </w:tcBorders>
            <w:shd w:val="clear" w:color="auto" w:fill="auto"/>
            <w:noWrap/>
            <w:vAlign w:val="center"/>
          </w:tcPr>
          <w:p w14:paraId="252BD2AD">
            <w:pPr>
              <w:keepNext w:val="0"/>
              <w:keepLines w:val="0"/>
              <w:widowControl w:val="0"/>
              <w:suppressLineNumbers w:val="0"/>
              <w:adjustRightInd w:val="0"/>
              <w:snapToGrid w:val="0"/>
              <w:spacing w:before="0" w:beforeAutospacing="0" w:after="0" w:afterAutospacing="0" w:line="300" w:lineRule="auto"/>
              <w:ind w:left="105" w:leftChars="50" w:right="11" w:firstLine="294" w:firstLineChars="14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1.43招标当期：《广州地区建设工程常用材料税前综合价格》指2024年7月份，《广州地区建设工程材料（设备）厂商价格信息》指2024年第二季度</w:t>
            </w:r>
            <w:r>
              <w:rPr>
                <w:rFonts w:hint="eastAsia" w:ascii="宋体" w:hAnsi="宋体" w:eastAsia="宋体" w:cs="宋体"/>
                <w:i w:val="0"/>
                <w:caps w:val="0"/>
                <w:color w:val="auto"/>
                <w:spacing w:val="0"/>
                <w:kern w:val="0"/>
                <w:sz w:val="21"/>
                <w:szCs w:val="21"/>
                <w:highlight w:val="none"/>
                <w:shd w:val="clear" w:fill="auto"/>
                <w:lang w:bidi="ar"/>
              </w:rPr>
              <w:t>。</w:t>
            </w:r>
          </w:p>
        </w:tc>
      </w:tr>
      <w:tr w14:paraId="0CAAB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5"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9ED862">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7350" w:type="dxa"/>
            <w:tcBorders>
              <w:top w:val="single" w:color="auto" w:sz="4" w:space="0"/>
              <w:left w:val="nil"/>
              <w:bottom w:val="single" w:color="auto" w:sz="4" w:space="0"/>
              <w:right w:val="single" w:color="auto" w:sz="4" w:space="0"/>
            </w:tcBorders>
            <w:shd w:val="clear" w:color="auto" w:fill="auto"/>
            <w:noWrap/>
            <w:vAlign w:val="center"/>
          </w:tcPr>
          <w:p w14:paraId="70971C25">
            <w:pPr>
              <w:keepNext w:val="0"/>
              <w:keepLines w:val="0"/>
              <w:widowControl w:val="0"/>
              <w:suppressLineNumbers w:val="0"/>
              <w:adjustRightInd w:val="0"/>
              <w:snapToGrid w:val="0"/>
              <w:spacing w:before="0" w:beforeAutospacing="0" w:after="0" w:afterAutospacing="0" w:line="300" w:lineRule="auto"/>
              <w:ind w:left="0" w:right="11" w:firstLine="401" w:firstLineChars="191"/>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5.1监理单位</w:t>
            </w:r>
          </w:p>
          <w:p w14:paraId="73A34CD9">
            <w:pPr>
              <w:keepNext w:val="0"/>
              <w:keepLines w:val="0"/>
              <w:widowControl w:val="0"/>
              <w:suppressLineNumbers w:val="0"/>
              <w:adjustRightInd w:val="0"/>
              <w:snapToGrid w:val="0"/>
              <w:spacing w:before="0" w:beforeAutospacing="0" w:after="0" w:afterAutospacing="0" w:line="300" w:lineRule="auto"/>
              <w:ind w:left="0" w:right="0" w:firstLine="401" w:firstLineChars="191"/>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发包人委托</w:t>
            </w:r>
            <w:r>
              <w:rPr>
                <w:rFonts w:hint="eastAsia" w:ascii="宋体" w:hAnsi="宋体" w:eastAsia="宋体" w:cs="宋体"/>
                <w:color w:val="auto"/>
                <w:kern w:val="0"/>
                <w:sz w:val="21"/>
                <w:szCs w:val="21"/>
                <w:highlight w:val="none"/>
                <w:u w:val="single"/>
                <w:lang w:val="en-US" w:eastAsia="zh-CN" w:bidi="ar"/>
              </w:rPr>
              <w:t xml:space="preserve"> （另行通知） </w:t>
            </w:r>
            <w:r>
              <w:rPr>
                <w:rFonts w:hint="eastAsia" w:ascii="宋体" w:hAnsi="宋体" w:eastAsia="宋体" w:cs="宋体"/>
                <w:color w:val="auto"/>
                <w:kern w:val="0"/>
                <w:sz w:val="21"/>
                <w:szCs w:val="21"/>
                <w:highlight w:val="none"/>
                <w:lang w:val="en-US" w:eastAsia="zh-CN" w:bidi="ar"/>
              </w:rPr>
              <w:t>为本工程的监理单位，总监理工程师为</w:t>
            </w:r>
            <w:r>
              <w:rPr>
                <w:rFonts w:hint="eastAsia" w:ascii="宋体" w:hAnsi="Calibri" w:eastAsia="宋体" w:cs="宋体"/>
                <w:color w:val="auto"/>
                <w:kern w:val="0"/>
                <w:sz w:val="21"/>
                <w:szCs w:val="21"/>
                <w:highlight w:val="none"/>
                <w:u w:val="single"/>
                <w:lang w:val="en-US" w:eastAsia="zh-CN" w:bidi="ar"/>
              </w:rPr>
              <w:t> </w:t>
            </w:r>
            <w:r>
              <w:rPr>
                <w:rFonts w:hint="eastAsia" w:ascii="宋体" w:hAnsi="宋体" w:eastAsia="宋体" w:cs="宋体"/>
                <w:color w:val="auto"/>
                <w:kern w:val="0"/>
                <w:sz w:val="21"/>
                <w:szCs w:val="21"/>
                <w:highlight w:val="none"/>
                <w:u w:val="single"/>
                <w:lang w:val="en-US" w:eastAsia="zh-CN" w:bidi="ar"/>
              </w:rPr>
              <w:t xml:space="preserve"> （另行通知） </w:t>
            </w:r>
            <w:r>
              <w:rPr>
                <w:rFonts w:hint="eastAsia" w:ascii="宋体" w:hAnsi="宋体" w:eastAsia="宋体" w:cs="宋体"/>
                <w:color w:val="auto"/>
                <w:kern w:val="0"/>
                <w:sz w:val="21"/>
                <w:szCs w:val="21"/>
                <w:highlight w:val="none"/>
                <w:lang w:val="en-US" w:eastAsia="zh-CN" w:bidi="ar"/>
              </w:rPr>
              <w:t>。监理单位的职责以发包人与监理单位签订的《委托监理合同》为准。</w:t>
            </w:r>
          </w:p>
        </w:tc>
      </w:tr>
      <w:tr w14:paraId="58099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5"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11D23F">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7350" w:type="dxa"/>
            <w:tcBorders>
              <w:top w:val="single" w:color="auto" w:sz="4" w:space="0"/>
              <w:left w:val="nil"/>
              <w:bottom w:val="single" w:color="auto" w:sz="4" w:space="0"/>
              <w:right w:val="single" w:color="auto" w:sz="4" w:space="0"/>
            </w:tcBorders>
            <w:shd w:val="clear" w:color="auto" w:fill="auto"/>
            <w:noWrap/>
            <w:vAlign w:val="center"/>
          </w:tcPr>
          <w:p w14:paraId="3DEBFCAF">
            <w:pPr>
              <w:keepNext w:val="0"/>
              <w:keepLines w:val="0"/>
              <w:widowControl w:val="0"/>
              <w:suppressLineNumbers w:val="0"/>
              <w:adjustRightInd w:val="0"/>
              <w:snapToGrid w:val="0"/>
              <w:spacing w:before="0" w:beforeAutospacing="0" w:after="0" w:afterAutospacing="0" w:line="300" w:lineRule="auto"/>
              <w:ind w:left="0" w:right="11" w:firstLine="401" w:firstLineChars="191"/>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5.2技术督导单位</w:t>
            </w:r>
          </w:p>
          <w:p w14:paraId="1FF68CA7">
            <w:pPr>
              <w:keepNext w:val="0"/>
              <w:keepLines w:val="0"/>
              <w:widowControl w:val="0"/>
              <w:suppressLineNumbers w:val="0"/>
              <w:adjustRightInd w:val="0"/>
              <w:snapToGrid w:val="0"/>
              <w:spacing w:before="0" w:beforeAutospacing="0" w:after="0" w:afterAutospacing="0" w:line="300" w:lineRule="auto"/>
              <w:ind w:left="0" w:right="11" w:firstLine="401" w:firstLineChars="191"/>
              <w:jc w:val="both"/>
              <w:rPr>
                <w:rFonts w:hint="eastAsia" w:ascii="宋体" w:hAnsi="Calibri" w:eastAsia="宋体" w:cs="Times New Roman"/>
                <w:color w:val="auto"/>
                <w:kern w:val="0"/>
                <w:sz w:val="21"/>
                <w:szCs w:val="21"/>
                <w:highlight w:val="none"/>
                <w:u w:val="single"/>
              </w:rPr>
            </w:pPr>
            <w:r>
              <w:rPr>
                <w:rFonts w:hint="eastAsia" w:ascii="宋体" w:hAnsi="宋体" w:eastAsia="宋体" w:cs="宋体"/>
                <w:color w:val="auto"/>
                <w:kern w:val="0"/>
                <w:sz w:val="21"/>
                <w:szCs w:val="21"/>
                <w:highlight w:val="none"/>
                <w:lang w:val="en-US" w:eastAsia="zh-CN" w:bidi="ar"/>
              </w:rPr>
              <w:t>发包人委托</w:t>
            </w:r>
            <w:r>
              <w:rPr>
                <w:rFonts w:hint="eastAsia" w:ascii="宋体" w:hAnsi="宋体" w:eastAsia="宋体" w:cs="宋体"/>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为本工程的技术督导单位，总督导工程师为</w:t>
            </w:r>
          </w:p>
          <w:p w14:paraId="5CAF89A2">
            <w:pPr>
              <w:keepNext w:val="0"/>
              <w:keepLines w:val="0"/>
              <w:widowControl w:val="0"/>
              <w:suppressLineNumbers w:val="0"/>
              <w:adjustRightInd w:val="0"/>
              <w:snapToGrid w:val="0"/>
              <w:spacing w:before="0" w:beforeAutospacing="0" w:after="0" w:afterAutospacing="0" w:line="300" w:lineRule="auto"/>
              <w:ind w:left="0" w:right="11" w:firstLine="42" w:firstLineChars="2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。技术督导单位的职责以发包人与技术督导单位签订的《技术督导（管理）合同》为准。</w:t>
            </w:r>
          </w:p>
        </w:tc>
      </w:tr>
      <w:tr w14:paraId="3F131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5"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C86CDC">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7350" w:type="dxa"/>
            <w:tcBorders>
              <w:top w:val="single" w:color="auto" w:sz="4" w:space="0"/>
              <w:left w:val="nil"/>
              <w:bottom w:val="single" w:color="auto" w:sz="4" w:space="0"/>
              <w:right w:val="single" w:color="auto" w:sz="4" w:space="0"/>
            </w:tcBorders>
            <w:shd w:val="clear" w:color="auto" w:fill="auto"/>
            <w:noWrap/>
            <w:vAlign w:val="center"/>
          </w:tcPr>
          <w:p w14:paraId="49884DD2">
            <w:pPr>
              <w:keepNext w:val="0"/>
              <w:keepLines w:val="0"/>
              <w:widowControl w:val="0"/>
              <w:suppressLineNumbers w:val="0"/>
              <w:adjustRightInd w:val="0"/>
              <w:snapToGrid w:val="0"/>
              <w:spacing w:before="0" w:beforeAutospacing="0" w:after="0" w:afterAutospacing="0" w:line="300" w:lineRule="auto"/>
              <w:ind w:left="0" w:right="11"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50.7其他约定事项：</w:t>
            </w:r>
            <w:r>
              <w:rPr>
                <w:rFonts w:hint="eastAsia" w:ascii="宋体" w:hAnsi="宋体" w:eastAsia="宋体" w:cs="宋体"/>
                <w:color w:val="auto"/>
                <w:kern w:val="0"/>
                <w:sz w:val="21"/>
                <w:szCs w:val="21"/>
                <w:highlight w:val="none"/>
                <w:u w:val="single"/>
                <w:lang w:val="en-US" w:eastAsia="zh-CN" w:bidi="ar"/>
              </w:rPr>
              <w:t>无。</w:t>
            </w:r>
          </w:p>
        </w:tc>
      </w:tr>
    </w:tbl>
    <w:p w14:paraId="2FE74BDE">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b/>
          <w:bCs w:val="0"/>
          <w:color w:val="auto"/>
          <w:kern w:val="0"/>
          <w:sz w:val="24"/>
          <w:szCs w:val="24"/>
          <w:highlight w:val="none"/>
        </w:rPr>
      </w:pPr>
      <w:r>
        <w:rPr>
          <w:rFonts w:hint="eastAsia" w:ascii="宋体" w:hAnsi="宋体" w:eastAsia="宋体" w:cs="Times New Roman"/>
          <w:b/>
          <w:bCs w:val="0"/>
          <w:color w:val="auto"/>
          <w:kern w:val="0"/>
          <w:sz w:val="24"/>
          <w:szCs w:val="24"/>
          <w:highlight w:val="none"/>
          <w:lang w:val="en-US" w:eastAsia="zh-CN" w:bidi="ar"/>
        </w:rPr>
        <w:t xml:space="preserve"> </w:t>
      </w:r>
    </w:p>
    <w:p w14:paraId="44E59A56">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b/>
          <w:bCs w:val="0"/>
          <w:color w:val="auto"/>
          <w:kern w:val="2"/>
          <w:sz w:val="32"/>
          <w:szCs w:val="32"/>
          <w:highlight w:val="none"/>
        </w:rPr>
      </w:pPr>
      <w:r>
        <w:rPr>
          <w:rFonts w:hint="eastAsia" w:ascii="宋体" w:hAnsi="Calibri" w:eastAsia="宋体" w:cs="Times New Roman"/>
          <w:b/>
          <w:bCs w:val="0"/>
          <w:color w:val="auto"/>
          <w:kern w:val="0"/>
          <w:sz w:val="24"/>
          <w:szCs w:val="24"/>
          <w:highlight w:val="none"/>
          <w:lang w:val="en-US" w:eastAsia="zh-CN" w:bidi="ar"/>
        </w:rPr>
        <w:br w:type="page"/>
      </w:r>
      <w:r>
        <w:rPr>
          <w:rFonts w:hint="eastAsia" w:ascii="宋体" w:hAnsi="宋体" w:eastAsia="宋体" w:cs="宋体"/>
          <w:b/>
          <w:bCs w:val="0"/>
          <w:color w:val="auto"/>
          <w:kern w:val="2"/>
          <w:sz w:val="32"/>
          <w:szCs w:val="32"/>
          <w:highlight w:val="none"/>
          <w:lang w:val="en-US" w:eastAsia="zh-CN" w:bidi="ar"/>
        </w:rPr>
        <w:t>(二) 合同专用条款选择表</w:t>
      </w:r>
    </w:p>
    <w:tbl>
      <w:tblPr>
        <w:tblStyle w:val="17"/>
        <w:tblW w:w="8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44"/>
        <w:gridCol w:w="8215"/>
      </w:tblGrid>
      <w:tr w14:paraId="6F28A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4"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E439A3">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序号</w:t>
            </w:r>
          </w:p>
        </w:tc>
        <w:tc>
          <w:tcPr>
            <w:tcW w:w="8215" w:type="dxa"/>
            <w:tcBorders>
              <w:top w:val="single" w:color="auto" w:sz="4" w:space="0"/>
              <w:left w:val="nil"/>
              <w:bottom w:val="single" w:color="auto" w:sz="4" w:space="0"/>
              <w:right w:val="single" w:color="auto" w:sz="4" w:space="0"/>
            </w:tcBorders>
            <w:shd w:val="clear" w:color="auto" w:fill="auto"/>
            <w:noWrap/>
            <w:vAlign w:val="center"/>
          </w:tcPr>
          <w:p w14:paraId="2611072D">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需要选择的条款编号及内容</w:t>
            </w:r>
          </w:p>
        </w:tc>
      </w:tr>
      <w:tr w14:paraId="56273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2CDC46">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8215" w:type="dxa"/>
            <w:tcBorders>
              <w:top w:val="single" w:color="auto" w:sz="4" w:space="0"/>
              <w:left w:val="nil"/>
              <w:bottom w:val="single" w:color="auto" w:sz="4" w:space="0"/>
              <w:right w:val="single" w:color="auto" w:sz="4" w:space="0"/>
            </w:tcBorders>
            <w:shd w:val="clear" w:color="auto" w:fill="auto"/>
            <w:noWrap/>
            <w:vAlign w:val="center"/>
          </w:tcPr>
          <w:p w14:paraId="2412B076">
            <w:pPr>
              <w:keepNext w:val="0"/>
              <w:keepLines w:val="0"/>
              <w:widowControl w:val="0"/>
              <w:suppressLineNumbers w:val="0"/>
              <w:adjustRightInd w:val="0"/>
              <w:snapToGrid w:val="0"/>
              <w:spacing w:before="0" w:beforeAutospacing="0" w:after="0" w:afterAutospacing="0" w:line="300" w:lineRule="auto"/>
              <w:ind w:left="0" w:right="0" w:firstLine="411" w:firstLineChars="196"/>
              <w:jc w:val="both"/>
              <w:rPr>
                <w:rFonts w:hint="eastAsia" w:ascii="宋体" w:hAnsi="Calibri" w:eastAsia="宋体" w:cs="Times New Roman"/>
                <w:b/>
                <w:bCs w:val="0"/>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1.39甲供材料设备管理费</w:t>
            </w:r>
          </w:p>
        </w:tc>
      </w:tr>
      <w:tr w14:paraId="6450F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5"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3D5C73">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8215" w:type="dxa"/>
            <w:tcBorders>
              <w:top w:val="single" w:color="auto" w:sz="4" w:space="0"/>
              <w:left w:val="nil"/>
              <w:bottom w:val="single" w:color="auto" w:sz="4" w:space="0"/>
              <w:right w:val="single" w:color="auto" w:sz="4" w:space="0"/>
            </w:tcBorders>
            <w:shd w:val="clear" w:color="auto" w:fill="auto"/>
            <w:noWrap/>
            <w:vAlign w:val="center"/>
          </w:tcPr>
          <w:p w14:paraId="36415080">
            <w:pPr>
              <w:keepNext w:val="0"/>
              <w:keepLines w:val="0"/>
              <w:widowControl w:val="0"/>
              <w:suppressLineNumbers w:val="0"/>
              <w:adjustRightInd w:val="0"/>
              <w:snapToGrid w:val="0"/>
              <w:spacing w:before="0" w:beforeAutospacing="0" w:after="0" w:afterAutospacing="0" w:line="300" w:lineRule="auto"/>
              <w:ind w:left="0" w:right="0" w:firstLine="411" w:firstLineChars="196"/>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1.40甲招乙供材料设备管理费</w:t>
            </w:r>
          </w:p>
        </w:tc>
      </w:tr>
      <w:tr w14:paraId="3FCEB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7E8B38">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8215" w:type="dxa"/>
            <w:tcBorders>
              <w:top w:val="single" w:color="auto" w:sz="4" w:space="0"/>
              <w:left w:val="nil"/>
              <w:bottom w:val="single" w:color="auto" w:sz="4" w:space="0"/>
              <w:right w:val="single" w:color="auto" w:sz="4" w:space="0"/>
            </w:tcBorders>
            <w:shd w:val="clear" w:color="auto" w:fill="auto"/>
            <w:noWrap/>
            <w:vAlign w:val="center"/>
          </w:tcPr>
          <w:p w14:paraId="60C6AC7D">
            <w:pPr>
              <w:keepNext w:val="0"/>
              <w:keepLines w:val="0"/>
              <w:widowControl w:val="0"/>
              <w:suppressLineNumbers w:val="0"/>
              <w:adjustRightInd w:val="0"/>
              <w:snapToGrid w:val="0"/>
              <w:spacing w:before="0" w:beforeAutospacing="0" w:after="0" w:afterAutospacing="0" w:line="300" w:lineRule="auto"/>
              <w:ind w:left="0" w:right="0" w:firstLine="411" w:firstLineChars="196"/>
              <w:jc w:val="both"/>
              <w:rPr>
                <w:rFonts w:hint="eastAsia" w:ascii="宋体" w:hAnsi="Calibri" w:eastAsia="宋体" w:cs="Times New Roman"/>
                <w:b/>
                <w:bCs w:val="0"/>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Calibri" w:eastAsia="宋体" w:cs="宋体"/>
                <w:b/>
                <w:bCs w:val="0"/>
                <w:color w:val="auto"/>
                <w:kern w:val="0"/>
                <w:sz w:val="21"/>
                <w:szCs w:val="21"/>
                <w:highlight w:val="none"/>
                <w:lang w:val="en-US" w:eastAsia="zh-CN" w:bidi="ar"/>
              </w:rPr>
              <w:t> </w:t>
            </w:r>
            <w:r>
              <w:rPr>
                <w:rFonts w:hint="eastAsia" w:ascii="宋体" w:hAnsi="宋体" w:eastAsia="宋体" w:cs="宋体"/>
                <w:color w:val="auto"/>
                <w:kern w:val="0"/>
                <w:sz w:val="21"/>
                <w:szCs w:val="21"/>
                <w:highlight w:val="none"/>
                <w:lang w:val="en-US" w:eastAsia="zh-CN" w:bidi="ar"/>
              </w:rPr>
              <w:t>1.42本工程综合考评委员会：指在本工程建设期间，由发包人组建的、代表发包人对各参建单位合同履约情况进行考核的机构。</w:t>
            </w:r>
          </w:p>
        </w:tc>
      </w:tr>
      <w:tr w14:paraId="6775B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5"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257ECE">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8215" w:type="dxa"/>
            <w:tcBorders>
              <w:top w:val="single" w:color="auto" w:sz="4" w:space="0"/>
              <w:left w:val="nil"/>
              <w:bottom w:val="single" w:color="auto" w:sz="4" w:space="0"/>
              <w:right w:val="single" w:color="auto" w:sz="4" w:space="0"/>
            </w:tcBorders>
            <w:shd w:val="clear" w:color="auto" w:fill="auto"/>
            <w:noWrap/>
            <w:vAlign w:val="center"/>
          </w:tcPr>
          <w:p w14:paraId="32D871D0">
            <w:pPr>
              <w:keepNext w:val="0"/>
              <w:keepLines w:val="0"/>
              <w:widowControl/>
              <w:suppressLineNumbers w:val="0"/>
              <w:adjustRightInd w:val="0"/>
              <w:snapToGrid w:val="0"/>
              <w:spacing w:before="0" w:beforeAutospacing="0" w:after="0" w:afterAutospacing="0" w:line="300" w:lineRule="auto"/>
              <w:ind w:left="0" w:right="0"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9.3根据工程需要，承包人应采用计算机信息管理，与发包人的工程管理系统接口一致，建立相应的信息交换网络，以便发包人及各有关单位与其进行数据交换，提高工作效率。对于智慧工地的建设（如有）按照《广州市住房和城乡建设局关于进一步推进全市房屋建筑工程智慧工地建设的通知（试行）》（穗建质[2023]683号文）的相关要求执行。</w:t>
            </w:r>
          </w:p>
          <w:p w14:paraId="09918FFE">
            <w:pPr>
              <w:keepNext w:val="0"/>
              <w:keepLines w:val="0"/>
              <w:widowControl w:val="0"/>
              <w:suppressLineNumbers w:val="0"/>
              <w:adjustRightInd w:val="0"/>
              <w:snapToGrid w:val="0"/>
              <w:spacing w:before="0" w:beforeAutospacing="0" w:after="0" w:afterAutospacing="0" w:line="300" w:lineRule="auto"/>
              <w:ind w:left="0" w:right="11"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√（8）网络视频监控要求</w:t>
            </w:r>
          </w:p>
          <w:p w14:paraId="71EFF704">
            <w:pPr>
              <w:keepNext w:val="0"/>
              <w:keepLines w:val="0"/>
              <w:widowControl w:val="0"/>
              <w:suppressLineNumbers w:val="0"/>
              <w:adjustRightInd w:val="0"/>
              <w:snapToGrid w:val="0"/>
              <w:spacing w:before="0" w:beforeAutospacing="0" w:after="0" w:afterAutospacing="0" w:line="300" w:lineRule="auto"/>
              <w:ind w:left="0" w:right="11"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网络视频监控要求（√  需满足建委要求的视频监控  √</w:t>
            </w:r>
            <w:r>
              <w:rPr>
                <w:rFonts w:hint="eastAsia" w:ascii="宋体" w:hAnsi="Calibri" w:eastAsia="宋体" w:cs="宋体"/>
                <w:b/>
                <w:bCs w:val="0"/>
                <w:color w:val="auto"/>
                <w:kern w:val="0"/>
                <w:sz w:val="21"/>
                <w:szCs w:val="21"/>
                <w:highlight w:val="none"/>
                <w:lang w:val="en-US" w:eastAsia="zh-CN" w:bidi="ar"/>
              </w:rPr>
              <w:t> </w:t>
            </w:r>
            <w:r>
              <w:rPr>
                <w:rFonts w:hint="eastAsia" w:ascii="宋体" w:hAnsi="宋体" w:eastAsia="宋体" w:cs="宋体"/>
                <w:color w:val="auto"/>
                <w:kern w:val="0"/>
                <w:sz w:val="21"/>
                <w:szCs w:val="21"/>
                <w:highlight w:val="none"/>
                <w:lang w:val="en-US" w:eastAsia="zh-CN" w:bidi="ar"/>
              </w:rPr>
              <w:t>及需满足发包人调度使用的远程工地视频监控系统）</w:t>
            </w:r>
          </w:p>
          <w:p w14:paraId="1056052F">
            <w:pPr>
              <w:keepNext w:val="0"/>
              <w:keepLines w:val="0"/>
              <w:widowControl w:val="0"/>
              <w:suppressLineNumbers w:val="0"/>
              <w:adjustRightInd w:val="0"/>
              <w:snapToGrid w:val="0"/>
              <w:spacing w:before="0" w:beforeAutospacing="0" w:after="0" w:afterAutospacing="0" w:line="300" w:lineRule="auto"/>
              <w:ind w:left="0" w:right="11"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1）承包人必须遵照《关于广州市建筑工地安装视频监控装置的通知》（穗建筑【2006】551号）、《关于全面启动广州市社会治安视频监控系统建设有关问题的通知》（穗视频建字【2006】1号）</w:t>
            </w:r>
            <w:r>
              <w:rPr>
                <w:rFonts w:hint="eastAsia" w:ascii="宋体" w:hAnsi="宋体" w:eastAsia="宋体" w:cs="宋体"/>
                <w:color w:val="auto"/>
                <w:kern w:val="0"/>
                <w:sz w:val="21"/>
                <w:szCs w:val="21"/>
                <w:highlight w:val="none"/>
                <w:u w:val="single"/>
                <w:lang w:val="en-US" w:eastAsia="zh-CN" w:bidi="ar"/>
              </w:rPr>
              <w:t>和《广州市住房和城乡建设委员会关于全市建设工地纳入视频监管的通知》（穗建质[2017]1166号）</w:t>
            </w:r>
            <w:r>
              <w:rPr>
                <w:rFonts w:hint="eastAsia" w:ascii="宋体" w:hAnsi="宋体" w:eastAsia="宋体" w:cs="宋体"/>
                <w:color w:val="auto"/>
                <w:kern w:val="0"/>
                <w:sz w:val="21"/>
                <w:szCs w:val="21"/>
                <w:highlight w:val="none"/>
                <w:lang w:val="en-US" w:eastAsia="zh-CN" w:bidi="ar"/>
              </w:rPr>
              <w:t>的要求，建立满足隐蔽工程和关键工序质量监控、安全文明施工监控、验收监控等需要的视频监控系统（以通过发包人验收为准）。</w:t>
            </w:r>
          </w:p>
          <w:p w14:paraId="1D70B339">
            <w:pPr>
              <w:keepNext w:val="0"/>
              <w:keepLines w:val="0"/>
              <w:widowControl w:val="0"/>
              <w:suppressLineNumbers w:val="0"/>
              <w:adjustRightInd w:val="0"/>
              <w:snapToGrid w:val="0"/>
              <w:spacing w:before="0" w:beforeAutospacing="0" w:after="0" w:afterAutospacing="0" w:line="300" w:lineRule="auto"/>
              <w:ind w:left="0" w:right="11"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2）施工现场视频监控的部位应当覆盖以下基本部位：大门及围墙、临时用电设施、深基坑、高支摸体系、附着式升降脚手架（整体提升架或爬架）、外用电梯、塔吊、物料提升机（龙门架、井字架）等。</w:t>
            </w:r>
          </w:p>
          <w:p w14:paraId="3A4E28D3">
            <w:pPr>
              <w:keepNext w:val="0"/>
              <w:keepLines w:val="0"/>
              <w:widowControl w:val="0"/>
              <w:suppressLineNumbers w:val="0"/>
              <w:adjustRightInd w:val="0"/>
              <w:snapToGrid w:val="0"/>
              <w:spacing w:before="0" w:beforeAutospacing="0" w:after="0" w:afterAutospacing="0" w:line="300" w:lineRule="auto"/>
              <w:ind w:left="0" w:right="11"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3）承包人应建立视频监控系统资料的收集、查阅、检索等档案系统，并安排专人负责。</w:t>
            </w:r>
          </w:p>
          <w:p w14:paraId="5457CD98">
            <w:pPr>
              <w:keepNext w:val="0"/>
              <w:keepLines w:val="0"/>
              <w:widowControl w:val="0"/>
              <w:suppressLineNumbers w:val="0"/>
              <w:adjustRightInd w:val="0"/>
              <w:snapToGrid w:val="0"/>
              <w:spacing w:before="0" w:beforeAutospacing="0" w:after="0" w:afterAutospacing="0" w:line="300" w:lineRule="auto"/>
              <w:ind w:left="0" w:right="0" w:firstLine="411" w:firstLineChars="196"/>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b/>
                <w:bCs w:val="0"/>
                <w:color w:val="auto"/>
                <w:kern w:val="0"/>
                <w:sz w:val="21"/>
                <w:szCs w:val="21"/>
                <w:highlight w:val="none"/>
                <w:lang w:val="en-US" w:eastAsia="zh-CN" w:bidi="ar"/>
              </w:rPr>
              <w:t>远程工地视频监控系统</w:t>
            </w:r>
          </w:p>
        </w:tc>
      </w:tr>
      <w:tr w14:paraId="60487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5"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C6220C">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8215" w:type="dxa"/>
            <w:tcBorders>
              <w:top w:val="single" w:color="auto" w:sz="4" w:space="0"/>
              <w:left w:val="nil"/>
              <w:bottom w:val="single" w:color="auto" w:sz="4" w:space="0"/>
              <w:right w:val="single" w:color="auto" w:sz="4" w:space="0"/>
            </w:tcBorders>
            <w:shd w:val="clear" w:color="auto" w:fill="auto"/>
            <w:noWrap/>
            <w:vAlign w:val="center"/>
          </w:tcPr>
          <w:p w14:paraId="7B3BB1DA">
            <w:pPr>
              <w:keepNext w:val="0"/>
              <w:keepLines w:val="0"/>
              <w:widowControl w:val="0"/>
              <w:suppressLineNumbers w:val="0"/>
              <w:adjustRightInd w:val="0"/>
              <w:snapToGrid w:val="0"/>
              <w:spacing w:before="0" w:beforeAutospacing="0" w:after="0" w:afterAutospacing="0" w:line="300" w:lineRule="auto"/>
              <w:ind w:left="0" w:right="0" w:firstLine="422" w:firstLineChars="200"/>
              <w:jc w:val="both"/>
              <w:rPr>
                <w:rFonts w:hint="eastAsia" w:ascii="宋体" w:hAnsi="Calibri" w:eastAsia="宋体" w:cs="Times New Roman"/>
                <w:color w:val="auto"/>
                <w:kern w:val="0"/>
                <w:sz w:val="21"/>
                <w:szCs w:val="21"/>
                <w:highlight w:val="none"/>
              </w:rPr>
            </w:pPr>
            <w:r>
              <w:rPr>
                <w:rFonts w:hint="eastAsia" w:ascii="宋体" w:hAnsi="Calibri" w:eastAsia="宋体" w:cs="宋体"/>
                <w:b/>
                <w:bCs w:val="0"/>
                <w:color w:val="auto"/>
                <w:kern w:val="0"/>
                <w:sz w:val="21"/>
                <w:szCs w:val="21"/>
                <w:highlight w:val="none"/>
                <w:lang w:val="en-US" w:eastAsia="zh-CN" w:bidi="ar"/>
              </w:rPr>
              <w:t> </w:t>
            </w:r>
            <w:r>
              <w:rPr>
                <w:rFonts w:hint="eastAsia" w:ascii="宋体" w:hAnsi="宋体" w:eastAsia="宋体" w:cs="宋体"/>
                <w:color w:val="auto"/>
                <w:kern w:val="0"/>
                <w:sz w:val="21"/>
                <w:szCs w:val="21"/>
                <w:highlight w:val="none"/>
                <w:lang w:val="en-US" w:eastAsia="zh-CN" w:bidi="ar"/>
              </w:rPr>
              <w:t>9.6施工总承包管理单位须按照本合同约定履行总承包管理和配合服务，包括但不限于下列工作内容：</w:t>
            </w:r>
          </w:p>
          <w:p w14:paraId="6CBE79FC">
            <w:pPr>
              <w:keepNext w:val="0"/>
              <w:keepLines w:val="0"/>
              <w:widowControl w:val="0"/>
              <w:suppressLineNumbers w:val="0"/>
              <w:adjustRightInd w:val="0"/>
              <w:snapToGrid w:val="0"/>
              <w:spacing w:before="0" w:beforeAutospacing="0" w:after="0" w:afterAutospacing="0" w:line="300" w:lineRule="auto"/>
              <w:ind w:left="0" w:right="0"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（8）对发包人另行发包的专业工程（含×甲供材料设备×甲招乙供材料设备×甲管乙供材料设备）的总承包管理及配合服务；</w:t>
            </w:r>
          </w:p>
        </w:tc>
      </w:tr>
      <w:tr w14:paraId="1E261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2"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1FD271">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8215" w:type="dxa"/>
            <w:tcBorders>
              <w:top w:val="single" w:color="auto" w:sz="4" w:space="0"/>
              <w:left w:val="nil"/>
              <w:bottom w:val="single" w:color="auto" w:sz="4" w:space="0"/>
              <w:right w:val="single" w:color="auto" w:sz="4" w:space="0"/>
            </w:tcBorders>
            <w:shd w:val="clear" w:color="auto" w:fill="auto"/>
            <w:noWrap/>
            <w:vAlign w:val="center"/>
          </w:tcPr>
          <w:p w14:paraId="19006424">
            <w:pPr>
              <w:keepNext w:val="0"/>
              <w:keepLines w:val="0"/>
              <w:widowControl w:val="0"/>
              <w:suppressLineNumbers w:val="0"/>
              <w:adjustRightInd w:val="0"/>
              <w:snapToGrid w:val="0"/>
              <w:spacing w:before="0" w:beforeAutospacing="0" w:after="0" w:afterAutospacing="0" w:line="300" w:lineRule="auto"/>
              <w:ind w:left="0" w:right="0"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Calibri" w:eastAsia="宋体" w:cs="宋体"/>
                <w:b/>
                <w:bCs w:val="0"/>
                <w:color w:val="auto"/>
                <w:kern w:val="0"/>
                <w:sz w:val="21"/>
                <w:szCs w:val="21"/>
                <w:highlight w:val="none"/>
                <w:lang w:val="en-US" w:eastAsia="zh-CN" w:bidi="ar"/>
              </w:rPr>
              <w:t> </w:t>
            </w:r>
            <w:r>
              <w:rPr>
                <w:rFonts w:hint="eastAsia" w:ascii="宋体" w:hAnsi="宋体" w:eastAsia="宋体" w:cs="宋体"/>
                <w:color w:val="auto"/>
                <w:kern w:val="0"/>
                <w:sz w:val="21"/>
                <w:szCs w:val="21"/>
                <w:highlight w:val="none"/>
                <w:lang w:val="en-US" w:eastAsia="zh-CN" w:bidi="ar"/>
              </w:rPr>
              <w:t>9.8分部验收工作计划的提交要求</w:t>
            </w:r>
          </w:p>
        </w:tc>
      </w:tr>
      <w:tr w14:paraId="13EBE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9212BE">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8215" w:type="dxa"/>
            <w:tcBorders>
              <w:top w:val="single" w:color="auto" w:sz="4" w:space="0"/>
              <w:left w:val="nil"/>
              <w:bottom w:val="single" w:color="auto" w:sz="4" w:space="0"/>
              <w:right w:val="single" w:color="auto" w:sz="4" w:space="0"/>
            </w:tcBorders>
            <w:shd w:val="clear" w:color="auto" w:fill="auto"/>
            <w:noWrap/>
            <w:vAlign w:val="center"/>
          </w:tcPr>
          <w:p w14:paraId="68675904">
            <w:pPr>
              <w:keepNext w:val="0"/>
              <w:keepLines w:val="0"/>
              <w:widowControl w:val="0"/>
              <w:suppressLineNumbers w:val="0"/>
              <w:adjustRightInd w:val="0"/>
              <w:snapToGrid w:val="0"/>
              <w:spacing w:before="0" w:beforeAutospacing="0" w:after="0" w:afterAutospacing="0" w:line="300" w:lineRule="auto"/>
              <w:ind w:left="0" w:right="0" w:firstLine="411" w:firstLineChars="196"/>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9.9分段结算工作计划的提交要求</w:t>
            </w:r>
          </w:p>
        </w:tc>
      </w:tr>
      <w:tr w14:paraId="55658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5"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A22945">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8215" w:type="dxa"/>
            <w:tcBorders>
              <w:top w:val="single" w:color="auto" w:sz="4" w:space="0"/>
              <w:left w:val="nil"/>
              <w:bottom w:val="single" w:color="auto" w:sz="4" w:space="0"/>
              <w:right w:val="single" w:color="auto" w:sz="4" w:space="0"/>
            </w:tcBorders>
            <w:shd w:val="clear" w:color="auto" w:fill="auto"/>
            <w:noWrap/>
            <w:vAlign w:val="center"/>
          </w:tcPr>
          <w:p w14:paraId="675DA01C">
            <w:pPr>
              <w:keepNext w:val="0"/>
              <w:keepLines w:val="0"/>
              <w:widowControl w:val="0"/>
              <w:suppressLineNumbers w:val="0"/>
              <w:adjustRightInd w:val="0"/>
              <w:snapToGrid w:val="0"/>
              <w:spacing w:before="0" w:beforeAutospacing="0" w:after="0" w:afterAutospacing="0" w:line="300" w:lineRule="auto"/>
              <w:ind w:left="0" w:right="0" w:firstLine="411" w:firstLineChars="196"/>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9.10分段结算工程结算资料提交要求</w:t>
            </w:r>
          </w:p>
        </w:tc>
      </w:tr>
      <w:tr w14:paraId="3C61F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6"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B6DCED">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8215" w:type="dxa"/>
            <w:tcBorders>
              <w:top w:val="single" w:color="auto" w:sz="4" w:space="0"/>
              <w:left w:val="nil"/>
              <w:bottom w:val="single" w:color="auto" w:sz="4" w:space="0"/>
              <w:right w:val="single" w:color="auto" w:sz="4" w:space="0"/>
            </w:tcBorders>
            <w:shd w:val="clear" w:color="auto" w:fill="auto"/>
            <w:noWrap/>
            <w:vAlign w:val="center"/>
          </w:tcPr>
          <w:p w14:paraId="6FB80946">
            <w:pPr>
              <w:keepNext w:val="0"/>
              <w:keepLines w:val="0"/>
              <w:widowControl w:val="0"/>
              <w:suppressLineNumbers w:val="0"/>
              <w:adjustRightInd w:val="0"/>
              <w:snapToGrid w:val="0"/>
              <w:spacing w:before="0" w:beforeAutospacing="0" w:after="0" w:afterAutospacing="0" w:line="300" w:lineRule="auto"/>
              <w:ind w:left="0" w:right="0" w:firstLine="367" w:firstLineChars="175"/>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15.1工程质量标准</w:t>
            </w:r>
          </w:p>
          <w:p w14:paraId="2D34F1A3">
            <w:pPr>
              <w:keepNext w:val="0"/>
              <w:keepLines w:val="0"/>
              <w:widowControl w:val="0"/>
              <w:suppressLineNumbers w:val="0"/>
              <w:adjustRightInd w:val="0"/>
              <w:snapToGrid w:val="0"/>
              <w:spacing w:before="0" w:beforeAutospacing="0" w:after="0" w:afterAutospacing="0" w:line="300" w:lineRule="auto"/>
              <w:ind w:left="0" w:right="0" w:firstLine="411" w:firstLineChars="196"/>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×（3）本工程推行分段结算，为配合分段结算工作，本工程的分部验收工作应按经发包人审定的分部验收工作计划执行。</w:t>
            </w:r>
          </w:p>
        </w:tc>
      </w:tr>
      <w:tr w14:paraId="4A43E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5"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2BBE33">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8215" w:type="dxa"/>
            <w:tcBorders>
              <w:top w:val="single" w:color="auto" w:sz="4" w:space="0"/>
              <w:left w:val="nil"/>
              <w:bottom w:val="single" w:color="auto" w:sz="4" w:space="0"/>
              <w:right w:val="single" w:color="auto" w:sz="4" w:space="0"/>
            </w:tcBorders>
            <w:shd w:val="clear" w:color="auto" w:fill="auto"/>
            <w:noWrap/>
            <w:vAlign w:val="center"/>
          </w:tcPr>
          <w:p w14:paraId="0252E599">
            <w:pPr>
              <w:keepNext w:val="0"/>
              <w:keepLines w:val="0"/>
              <w:widowControl w:val="0"/>
              <w:suppressLineNumbers w:val="0"/>
              <w:autoSpaceDE w:val="0"/>
              <w:autoSpaceDN w:val="0"/>
              <w:adjustRightInd w:val="0"/>
              <w:snapToGrid w:val="0"/>
              <w:spacing w:before="0" w:beforeAutospacing="0" w:after="0" w:afterAutospacing="0" w:line="300" w:lineRule="auto"/>
              <w:ind w:left="0" w:right="11" w:firstLine="461"/>
              <w:jc w:val="both"/>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24.2承包人应在进入现场前提交施工期间的环境保护方案一式四份，经总监理工程师批准后实施。环境保护方案必须包括：施工现场所必须的照明灯光、护板、围护、栅栏、警告标志和值班人员名单，以及建筑垃圾、施工和生活污水、噪音、粉尘的处理排放方案。在实施过程中所采用的材料、设备等应使总监理工程师和发包人满意。</w:t>
            </w:r>
          </w:p>
          <w:p w14:paraId="1CA96155">
            <w:pPr>
              <w:keepNext w:val="0"/>
              <w:keepLines w:val="0"/>
              <w:widowControl w:val="0"/>
              <w:suppressLineNumbers w:val="0"/>
              <w:autoSpaceDE w:val="0"/>
              <w:autoSpaceDN w:val="0"/>
              <w:adjustRightInd w:val="0"/>
              <w:snapToGrid w:val="0"/>
              <w:spacing w:before="0" w:beforeAutospacing="0" w:after="0" w:afterAutospacing="0" w:line="300" w:lineRule="auto"/>
              <w:ind w:left="0" w:right="0" w:firstLine="461"/>
              <w:jc w:val="both"/>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承包人应在现场布置足量洒水车，消除扬尘，并使总监理工程师和发包人满意。</w:t>
            </w:r>
          </w:p>
          <w:p w14:paraId="198C3713">
            <w:pPr>
              <w:keepNext w:val="0"/>
              <w:keepLines w:val="0"/>
              <w:widowControl w:val="0"/>
              <w:suppressLineNumbers w:val="0"/>
              <w:autoSpaceDE w:val="0"/>
              <w:autoSpaceDN w:val="0"/>
              <w:adjustRightInd w:val="0"/>
              <w:snapToGrid w:val="0"/>
              <w:spacing w:before="0" w:beforeAutospacing="0" w:after="0" w:afterAutospacing="0" w:line="300" w:lineRule="auto"/>
              <w:ind w:left="0" w:right="0" w:firstLine="461"/>
              <w:jc w:val="both"/>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对于承包人施工过程中造成的环境污染问题，经发包人或者总监理工程师指出后，承包人未能在24小时之内采取整治措施，或者所采取的整治措施未能有效消除污染的，发包人可以自行或者委托他人代为整治，由此所产生的一切损失、费用均由承包人承担。</w:t>
            </w:r>
          </w:p>
          <w:p w14:paraId="7B7D14BE">
            <w:pPr>
              <w:keepNext w:val="0"/>
              <w:keepLines w:val="0"/>
              <w:widowControl w:val="0"/>
              <w:suppressLineNumbers w:val="0"/>
              <w:autoSpaceDE w:val="0"/>
              <w:autoSpaceDN w:val="0"/>
              <w:adjustRightInd w:val="0"/>
              <w:snapToGrid w:val="0"/>
              <w:spacing w:before="0" w:beforeAutospacing="0" w:after="0" w:afterAutospacing="0" w:line="300" w:lineRule="auto"/>
              <w:ind w:left="0" w:right="11" w:firstLine="461"/>
              <w:jc w:val="both"/>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对于发包人直接发包的专业承包单位在施工过程中造成的环境污染（包括文明施工混乱），承包人必须配合发包人及监理单位，督促该专业承包单位立即采取整治措施，如果该专业承包单位不服从承包人的整治要求，承包人必须自行组织及时完成环境污染的整治工作并向总监理工程师及发包人书面汇报其过程及效果，由此产生的费用经总监理工程师及发包人审核确认，从该专业承包单位的工程款项中扣除，由发包人将该笔款项直接支付给承包人。由于承包人管理督促不力或漠视不理，以致专业承包单位未能及时整治或不进行整治而造成的一切损失均由承包人承担，同时承包人还必须按合同专用条款第38.12款[√ 和第38.7（5）款]的约定承担相应的违约责任。</w:t>
            </w:r>
          </w:p>
        </w:tc>
      </w:tr>
      <w:tr w14:paraId="57D8E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5"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4DFC0E">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8215" w:type="dxa"/>
            <w:tcBorders>
              <w:top w:val="single" w:color="auto" w:sz="4" w:space="0"/>
              <w:left w:val="nil"/>
              <w:bottom w:val="single" w:color="auto" w:sz="4" w:space="0"/>
              <w:right w:val="single" w:color="auto" w:sz="4" w:space="0"/>
            </w:tcBorders>
            <w:shd w:val="clear" w:color="auto" w:fill="auto"/>
            <w:noWrap/>
            <w:vAlign w:val="center"/>
          </w:tcPr>
          <w:p w14:paraId="19B16C78">
            <w:pPr>
              <w:keepNext w:val="0"/>
              <w:keepLines w:val="0"/>
              <w:widowControl w:val="0"/>
              <w:suppressLineNumbers w:val="0"/>
              <w:autoSpaceDE w:val="0"/>
              <w:autoSpaceDN w:val="0"/>
              <w:adjustRightInd w:val="0"/>
              <w:snapToGrid w:val="0"/>
              <w:spacing w:before="0" w:beforeAutospacing="0" w:after="0" w:afterAutospacing="0" w:line="300" w:lineRule="auto"/>
              <w:ind w:left="0" w:right="11" w:firstLine="461"/>
              <w:jc w:val="both"/>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25.2确定合同价款的方式</w:t>
            </w:r>
          </w:p>
          <w:p w14:paraId="4F5CB56D">
            <w:pPr>
              <w:keepNext w:val="0"/>
              <w:keepLines w:val="0"/>
              <w:widowControl w:val="0"/>
              <w:suppressLineNumbers w:val="0"/>
              <w:autoSpaceDE w:val="0"/>
              <w:autoSpaceDN w:val="0"/>
              <w:adjustRightInd w:val="0"/>
              <w:snapToGrid w:val="0"/>
              <w:spacing w:before="0" w:beforeAutospacing="0" w:after="0" w:afterAutospacing="0" w:line="300" w:lineRule="auto"/>
              <w:ind w:left="0" w:right="11" w:firstLine="461"/>
              <w:jc w:val="both"/>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×（1）采用合同协议书第2.3款约定的合同价款固定不变。</w:t>
            </w:r>
          </w:p>
          <w:p w14:paraId="4D34C2F3">
            <w:pPr>
              <w:keepNext w:val="0"/>
              <w:keepLines w:val="0"/>
              <w:widowControl w:val="0"/>
              <w:suppressLineNumbers w:val="0"/>
              <w:autoSpaceDE w:val="0"/>
              <w:autoSpaceDN w:val="0"/>
              <w:adjustRightInd w:val="0"/>
              <w:snapToGrid w:val="0"/>
              <w:spacing w:before="0" w:beforeAutospacing="0" w:after="0" w:afterAutospacing="0" w:line="300" w:lineRule="auto"/>
              <w:ind w:left="0" w:right="11" w:firstLine="461"/>
              <w:jc w:val="both"/>
              <w:rPr>
                <w:rFonts w:hint="eastAsia" w:ascii="宋体" w:hAnsi="Calibri" w:eastAsia="宋体" w:cs="宋体"/>
                <w:b/>
                <w:bCs w:val="0"/>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×（2）合同价款总价包干，若招标范围和承包内容不发生变化，则本工程结算价即为合同价（招标文件及本合同另有约定可以调整的项目除外）。</w:t>
            </w:r>
          </w:p>
          <w:p w14:paraId="502028C6">
            <w:pPr>
              <w:keepNext w:val="0"/>
              <w:keepLines w:val="0"/>
              <w:widowControl w:val="0"/>
              <w:suppressLineNumbers w:val="0"/>
              <w:adjustRightInd w:val="0"/>
              <w:snapToGrid w:val="0"/>
              <w:spacing w:before="0" w:beforeAutospacing="0" w:after="0" w:afterAutospacing="0" w:line="300" w:lineRule="auto"/>
              <w:ind w:left="0" w:right="0"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√（3）采用合同协议书第2.3款约定的工程量清单综合单价包干及综合合价项目包干并按本条第25.3款的约定执行，不超过合同价款110%，且最终按有权结算终审部门审定价结算。</w:t>
            </w:r>
          </w:p>
          <w:p w14:paraId="2346E73F">
            <w:pPr>
              <w:keepNext w:val="0"/>
              <w:keepLines w:val="0"/>
              <w:widowControl w:val="0"/>
              <w:suppressLineNumbers w:val="0"/>
              <w:adjustRightInd w:val="0"/>
              <w:snapToGrid w:val="0"/>
              <w:spacing w:before="0" w:beforeAutospacing="0" w:after="0" w:afterAutospacing="0" w:line="300" w:lineRule="auto"/>
              <w:ind w:left="0" w:right="0" w:firstLine="411" w:firstLineChars="196"/>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×（4）其他：</w:t>
            </w:r>
            <w:r>
              <w:rPr>
                <w:rFonts w:hint="eastAsia" w:ascii="宋体" w:hAnsi="宋体" w:eastAsia="宋体" w:cs="宋体"/>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w:t>
            </w:r>
          </w:p>
        </w:tc>
      </w:tr>
      <w:tr w14:paraId="0547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A229E5">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8215" w:type="dxa"/>
            <w:tcBorders>
              <w:top w:val="single" w:color="auto" w:sz="4" w:space="0"/>
              <w:left w:val="nil"/>
              <w:bottom w:val="single" w:color="auto" w:sz="4" w:space="0"/>
              <w:right w:val="single" w:color="auto" w:sz="4" w:space="0"/>
            </w:tcBorders>
            <w:shd w:val="clear" w:color="auto" w:fill="auto"/>
            <w:noWrap/>
            <w:vAlign w:val="center"/>
          </w:tcPr>
          <w:p w14:paraId="648244D0">
            <w:pPr>
              <w:keepNext w:val="0"/>
              <w:keepLines w:val="0"/>
              <w:widowControl w:val="0"/>
              <w:suppressLineNumbers w:val="0"/>
              <w:adjustRightInd w:val="0"/>
              <w:snapToGrid w:val="0"/>
              <w:spacing w:before="0" w:beforeAutospacing="0" w:after="0" w:afterAutospacing="0" w:line="300" w:lineRule="auto"/>
              <w:ind w:left="0" w:right="11" w:firstLine="403" w:firstLineChars="192"/>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25.3综合单价包干的合同价款的调整</w:t>
            </w:r>
          </w:p>
          <w:p w14:paraId="78055B8C">
            <w:pPr>
              <w:keepNext w:val="0"/>
              <w:keepLines w:val="0"/>
              <w:widowControl w:val="0"/>
              <w:suppressLineNumbers w:val="0"/>
              <w:adjustRightInd w:val="0"/>
              <w:snapToGrid w:val="0"/>
              <w:spacing w:before="0" w:beforeAutospacing="0" w:after="0" w:afterAutospacing="0" w:line="300" w:lineRule="auto"/>
              <w:ind w:left="0" w:right="11" w:firstLine="403" w:firstLineChars="192"/>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合同价款的调整按照如下约定执行：</w:t>
            </w:r>
          </w:p>
          <w:p w14:paraId="0807E9E7">
            <w:pPr>
              <w:keepNext w:val="0"/>
              <w:keepLines w:val="0"/>
              <w:widowControl w:val="0"/>
              <w:suppressLineNumbers w:val="0"/>
              <w:adjustRightInd w:val="0"/>
              <w:snapToGrid w:val="0"/>
              <w:spacing w:before="0" w:beforeAutospacing="0" w:after="0" w:afterAutospacing="0" w:line="300" w:lineRule="auto"/>
              <w:ind w:left="0" w:right="11" w:firstLine="403" w:firstLineChars="192"/>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√（1）合同价款的调整。当发生下列情况时，可对合同价款进行调整：</w:t>
            </w:r>
          </w:p>
          <w:p w14:paraId="1D401D5D">
            <w:pPr>
              <w:keepNext w:val="0"/>
              <w:keepLines w:val="0"/>
              <w:widowControl w:val="0"/>
              <w:suppressLineNumbers w:val="0"/>
              <w:adjustRightInd w:val="0"/>
              <w:snapToGrid w:val="0"/>
              <w:spacing w:before="0" w:beforeAutospacing="0" w:after="0" w:afterAutospacing="0" w:line="300" w:lineRule="auto"/>
              <w:ind w:left="0" w:right="11" w:firstLine="403" w:firstLineChars="192"/>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1）发包人及监理单位共同确认的工程量增减。</w:t>
            </w:r>
          </w:p>
          <w:p w14:paraId="783E8BEC">
            <w:pPr>
              <w:keepNext w:val="0"/>
              <w:keepLines w:val="0"/>
              <w:widowControl w:val="0"/>
              <w:suppressLineNumbers w:val="0"/>
              <w:adjustRightInd w:val="0"/>
              <w:snapToGrid w:val="0"/>
              <w:spacing w:before="0" w:beforeAutospacing="0" w:after="0" w:afterAutospacing="0" w:line="300" w:lineRule="auto"/>
              <w:ind w:left="0" w:right="11" w:firstLine="403" w:firstLineChars="192"/>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2）发包人及监理单位共同确认的变更工程和新增工程。</w:t>
            </w:r>
          </w:p>
          <w:p w14:paraId="5A9D0379">
            <w:pPr>
              <w:keepNext w:val="0"/>
              <w:keepLines w:val="0"/>
              <w:widowControl w:val="0"/>
              <w:suppressLineNumbers w:val="0"/>
              <w:adjustRightInd w:val="0"/>
              <w:snapToGrid w:val="0"/>
              <w:spacing w:before="0" w:beforeAutospacing="0" w:after="0" w:afterAutospacing="0" w:line="300" w:lineRule="auto"/>
              <w:ind w:left="0" w:right="0"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√（2）所有变更工程和新增工程的单价或价格，均按照合同专用条款第33条执行。</w:t>
            </w:r>
          </w:p>
        </w:tc>
      </w:tr>
      <w:tr w14:paraId="1A65A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34A87E">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8215" w:type="dxa"/>
            <w:tcBorders>
              <w:top w:val="single" w:color="auto" w:sz="4" w:space="0"/>
              <w:left w:val="nil"/>
              <w:bottom w:val="single" w:color="auto" w:sz="4" w:space="0"/>
              <w:right w:val="single" w:color="auto" w:sz="4" w:space="0"/>
            </w:tcBorders>
            <w:shd w:val="clear" w:color="auto" w:fill="auto"/>
            <w:noWrap/>
            <w:vAlign w:val="center"/>
          </w:tcPr>
          <w:p w14:paraId="6CC0F85F">
            <w:pPr>
              <w:keepNext w:val="0"/>
              <w:keepLines w:val="0"/>
              <w:widowControl w:val="0"/>
              <w:suppressLineNumbers w:val="0"/>
              <w:adjustRightInd w:val="0"/>
              <w:snapToGrid w:val="0"/>
              <w:spacing w:before="0" w:beforeAutospacing="0" w:after="0" w:afterAutospacing="0" w:line="300" w:lineRule="auto"/>
              <w:ind w:left="0" w:right="0"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25.4承包人应在本条第25.3（1）款情况发生后5天内将调整原因、金额以书面形式通知监理单位，经监理单位和发包人批准后作为调整合同价款及拨付工程进度款的依据。监理单位收到后3天内审核并签署意见（× 舞台机械  × 舞台灯光  √  智能化（如有）  √ 体育工艺（如有）  √ 声学等项目（如有）的增减或变更需先送技术督导单位（如有）审核后再送监理单位审核），发包人在10天内审定并批准执行。</w:t>
            </w:r>
          </w:p>
        </w:tc>
      </w:tr>
      <w:tr w14:paraId="10F4A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ACD143">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8215" w:type="dxa"/>
            <w:tcBorders>
              <w:top w:val="single" w:color="auto" w:sz="4" w:space="0"/>
              <w:left w:val="nil"/>
              <w:bottom w:val="single" w:color="auto" w:sz="4" w:space="0"/>
              <w:right w:val="single" w:color="auto" w:sz="4" w:space="0"/>
            </w:tcBorders>
            <w:shd w:val="clear" w:color="auto" w:fill="auto"/>
            <w:noWrap/>
            <w:vAlign w:val="center"/>
          </w:tcPr>
          <w:p w14:paraId="20F179D7">
            <w:pPr>
              <w:keepNext w:val="0"/>
              <w:keepLines w:val="0"/>
              <w:widowControl w:val="0"/>
              <w:suppressLineNumbers w:val="0"/>
              <w:adjustRightInd w:val="0"/>
              <w:snapToGrid w:val="0"/>
              <w:spacing w:before="0" w:beforeAutospacing="0" w:after="0" w:afterAutospacing="0" w:line="360" w:lineRule="auto"/>
              <w:ind w:left="0" w:right="0"/>
              <w:jc w:val="both"/>
              <w:outlineLvl w:val="3"/>
              <w:rPr>
                <w:rFonts w:hint="eastAsia" w:ascii="宋体" w:hAnsi="Calibri" w:eastAsia="宋体" w:cs="仿宋"/>
                <w:b/>
                <w:bCs w:val="0"/>
                <w:color w:val="auto"/>
                <w:kern w:val="2"/>
                <w:sz w:val="21"/>
                <w:szCs w:val="21"/>
                <w:highlight w:val="none"/>
              </w:rPr>
            </w:pPr>
            <w:r>
              <w:rPr>
                <w:rFonts w:hint="eastAsia" w:ascii="宋体" w:hAnsi="宋体" w:eastAsia="宋体" w:cs="仿宋"/>
                <w:color w:val="auto"/>
                <w:kern w:val="2"/>
                <w:sz w:val="21"/>
                <w:szCs w:val="21"/>
                <w:highlight w:val="none"/>
                <w:lang w:val="en-US" w:eastAsia="zh-CN" w:bidi="ar"/>
              </w:rPr>
              <w:t>26.1</w:t>
            </w:r>
            <w:r>
              <w:rPr>
                <w:rFonts w:hint="eastAsia" w:ascii="宋体" w:hAnsi="宋体" w:eastAsia="宋体" w:cs="宋体"/>
                <w:color w:val="auto"/>
                <w:kern w:val="0"/>
                <w:sz w:val="21"/>
                <w:szCs w:val="21"/>
                <w:highlight w:val="none"/>
                <w:lang w:val="en-US" w:eastAsia="zh-CN" w:bidi="ar"/>
              </w:rPr>
              <w:t>承包人按招标文件及合同专用条款第44条的要求提交</w:t>
            </w:r>
            <w:r>
              <w:rPr>
                <w:rFonts w:hint="eastAsia" w:ascii="宋体" w:hAnsi="宋体" w:eastAsia="宋体" w:cs="宋体"/>
                <w:color w:val="auto"/>
                <w:kern w:val="0"/>
                <w:sz w:val="21"/>
                <w:szCs w:val="21"/>
                <w:highlight w:val="none"/>
                <w:u w:val="single"/>
                <w:lang w:val="en-US" w:eastAsia="zh-CN" w:bidi="ar"/>
              </w:rPr>
              <w:t>履约担保</w:t>
            </w:r>
            <w:r>
              <w:rPr>
                <w:rFonts w:hint="eastAsia" w:ascii="宋体" w:hAnsi="宋体" w:eastAsia="宋体" w:cs="宋体"/>
                <w:color w:val="auto"/>
                <w:kern w:val="0"/>
                <w:sz w:val="21"/>
                <w:szCs w:val="21"/>
                <w:highlight w:val="none"/>
                <w:lang w:val="en-US" w:eastAsia="zh-CN" w:bidi="ar"/>
              </w:rPr>
              <w:t>且本合同签订后，承包人提交工程预付款申请书，发包人收到后14天内向承包人支付分部分项工程量清单计价的</w:t>
            </w:r>
            <w:r>
              <w:rPr>
                <w:rFonts w:hint="eastAsia" w:ascii="宋体" w:hAnsi="宋体" w:eastAsia="宋体" w:cs="宋体"/>
                <w:color w:val="auto"/>
                <w:kern w:val="0"/>
                <w:sz w:val="21"/>
                <w:szCs w:val="21"/>
                <w:highlight w:val="none"/>
                <w:u w:val="single"/>
                <w:lang w:val="en-US" w:eastAsia="zh-CN" w:bidi="ar"/>
              </w:rPr>
              <w:t>20</w:t>
            </w:r>
            <w:r>
              <w:rPr>
                <w:rFonts w:hint="eastAsia" w:ascii="宋体" w:hAnsi="宋体" w:eastAsia="宋体" w:cs="宋体"/>
                <w:color w:val="auto"/>
                <w:kern w:val="0"/>
                <w:sz w:val="21"/>
                <w:szCs w:val="21"/>
                <w:highlight w:val="none"/>
                <w:lang w:val="en-US" w:eastAsia="zh-CN" w:bidi="ar"/>
              </w:rPr>
              <w:t>% (根据实际测算情况填写，可为15%、20%、25%、30%，最多不超过30%；如承包人为中小企业的，按前述基数计取的比例为30%），即</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元作为工程预付款</w:t>
            </w:r>
            <w:r>
              <w:rPr>
                <w:rFonts w:hint="eastAsia" w:ascii="宋体" w:hAnsi="宋体" w:eastAsia="宋体" w:cs="宋体"/>
                <w:color w:val="auto"/>
                <w:kern w:val="2"/>
                <w:sz w:val="21"/>
                <w:szCs w:val="21"/>
                <w:highlight w:val="none"/>
                <w:lang w:val="en-US" w:eastAsia="zh-CN" w:bidi="ar"/>
              </w:rPr>
              <w:t>（发包人有权根据项目资金落实情况进行分批支付工程预付款）；</w:t>
            </w:r>
            <w:r>
              <w:rPr>
                <w:rFonts w:hint="eastAsia" w:ascii="宋体" w:hAnsi="宋体" w:eastAsia="宋体" w:cs="宋体"/>
                <w:b/>
                <w:bCs w:val="0"/>
                <w:color w:val="auto"/>
                <w:kern w:val="2"/>
                <w:sz w:val="21"/>
                <w:szCs w:val="21"/>
                <w:highlight w:val="none"/>
                <w:lang w:val="en-US" w:eastAsia="zh-CN" w:bidi="ar"/>
              </w:rPr>
              <w:t>其中属于人工费用预付款部分的金额为本合同总价的</w:t>
            </w:r>
            <w:r>
              <w:rPr>
                <w:rFonts w:hint="eastAsia" w:ascii="宋体" w:hAnsi="宋体" w:eastAsia="宋体" w:cs="仿宋"/>
                <w:b/>
                <w:bCs w:val="0"/>
                <w:color w:val="auto"/>
                <w:kern w:val="2"/>
                <w:sz w:val="21"/>
                <w:szCs w:val="21"/>
                <w:highlight w:val="none"/>
                <w:lang w:val="en-US" w:eastAsia="zh-CN" w:bidi="ar"/>
              </w:rPr>
              <w:t>1%</w:t>
            </w:r>
            <w:r>
              <w:rPr>
                <w:rFonts w:hint="eastAsia" w:ascii="宋体" w:hAnsi="宋体" w:eastAsia="宋体" w:cs="宋体"/>
                <w:b/>
                <w:bCs w:val="0"/>
                <w:color w:val="auto"/>
                <w:kern w:val="2"/>
                <w:sz w:val="21"/>
                <w:szCs w:val="21"/>
                <w:highlight w:val="none"/>
                <w:lang w:val="en-US" w:eastAsia="zh-CN" w:bidi="ar"/>
              </w:rPr>
              <w:t>，即</w:t>
            </w:r>
            <w:r>
              <w:rPr>
                <w:rFonts w:hint="eastAsia" w:ascii="宋体" w:hAnsi="宋体" w:eastAsia="宋体" w:cs="仿宋"/>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元，一次性拨付到工人工资支付专用账户；</w:t>
            </w:r>
            <w:r>
              <w:rPr>
                <w:rFonts w:hint="eastAsia" w:ascii="宋体" w:hAnsi="宋体" w:eastAsia="宋体" w:cs="宋体"/>
                <w:color w:val="auto"/>
                <w:kern w:val="2"/>
                <w:sz w:val="21"/>
                <w:szCs w:val="21"/>
                <w:highlight w:val="none"/>
                <w:lang w:val="en-US" w:eastAsia="zh-CN" w:bidi="ar"/>
              </w:rPr>
              <w:t>并从工程预付款中扣除已含在合同价款中但由发包人预交的款项及承包人的相关人员（包括项目经理、技术负责人、专职安全员、</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造价人员及资料员）现场组织实施管理费（以下简称“现场组织实施管理费”）。【</w:t>
            </w:r>
            <w:r>
              <w:rPr>
                <w:rFonts w:hint="eastAsia" w:ascii="宋体" w:hAnsi="宋体" w:eastAsia="宋体" w:cs="宋体"/>
                <w:b/>
                <w:bCs w:val="0"/>
                <w:color w:val="auto"/>
                <w:kern w:val="2"/>
                <w:sz w:val="21"/>
                <w:szCs w:val="21"/>
                <w:highlight w:val="none"/>
                <w:lang w:val="en-US" w:eastAsia="zh-CN" w:bidi="ar"/>
              </w:rPr>
              <w:t>注：项目部可根据具体项目实际需要在不超过</w:t>
            </w:r>
            <w:r>
              <w:rPr>
                <w:rFonts w:hint="eastAsia" w:ascii="宋体" w:hAnsi="宋体" w:eastAsia="宋体" w:cs="仿宋"/>
                <w:b/>
                <w:bCs w:val="0"/>
                <w:color w:val="auto"/>
                <w:kern w:val="2"/>
                <w:sz w:val="21"/>
                <w:szCs w:val="21"/>
                <w:highlight w:val="none"/>
                <w:lang w:val="en-US" w:eastAsia="zh-CN" w:bidi="ar"/>
              </w:rPr>
              <w:t>30%</w:t>
            </w:r>
            <w:r>
              <w:rPr>
                <w:rFonts w:hint="eastAsia" w:ascii="宋体" w:hAnsi="宋体" w:eastAsia="宋体" w:cs="宋体"/>
                <w:b/>
                <w:bCs w:val="0"/>
                <w:color w:val="auto"/>
                <w:kern w:val="2"/>
                <w:sz w:val="21"/>
                <w:szCs w:val="21"/>
                <w:highlight w:val="none"/>
                <w:lang w:val="en-US" w:eastAsia="zh-CN" w:bidi="ar"/>
              </w:rPr>
              <w:t>的范围内填选工程预付款比例，但应注意发包人向承包人实际支付的工程预付款金额（即扣除现场组织实施管理费后剩余的工程预付款金额）须不低于本合同总价的</w:t>
            </w:r>
            <w:r>
              <w:rPr>
                <w:rFonts w:hint="eastAsia" w:ascii="宋体" w:hAnsi="宋体" w:eastAsia="宋体" w:cs="仿宋"/>
                <w:b/>
                <w:bCs w:val="0"/>
                <w:color w:val="auto"/>
                <w:kern w:val="2"/>
                <w:sz w:val="21"/>
                <w:szCs w:val="21"/>
                <w:highlight w:val="none"/>
                <w:lang w:val="en-US" w:eastAsia="zh-CN" w:bidi="ar"/>
              </w:rPr>
              <w:t>10%</w:t>
            </w:r>
            <w:r>
              <w:rPr>
                <w:rFonts w:hint="eastAsia" w:ascii="宋体" w:hAnsi="宋体" w:eastAsia="宋体" w:cs="宋体"/>
                <w:b/>
                <w:bCs w:val="0"/>
                <w:color w:val="auto"/>
                <w:kern w:val="2"/>
                <w:sz w:val="21"/>
                <w:szCs w:val="21"/>
                <w:highlight w:val="none"/>
                <w:lang w:val="en-US" w:eastAsia="zh-CN" w:bidi="ar"/>
              </w:rPr>
              <w:t>。】（此备注不作为合同正文）</w:t>
            </w:r>
          </w:p>
          <w:p w14:paraId="638011FC">
            <w:pPr>
              <w:keepNext w:val="0"/>
              <w:keepLines w:val="0"/>
              <w:widowControl w:val="0"/>
              <w:suppressLineNumbers w:val="0"/>
              <w:adjustRightInd w:val="0"/>
              <w:snapToGrid w:val="0"/>
              <w:spacing w:before="0" w:beforeAutospacing="0" w:after="0" w:afterAutospacing="0" w:line="360" w:lineRule="auto"/>
              <w:ind w:left="0" w:right="0" w:firstLine="411" w:firstLineChars="196"/>
              <w:jc w:val="both"/>
              <w:outlineLvl w:val="3"/>
              <w:rPr>
                <w:rFonts w:hint="eastAsia" w:ascii="宋体" w:hAnsi="Calibri" w:eastAsia="宋体" w:cs="仿宋"/>
                <w:b/>
                <w:bCs w:val="0"/>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若有</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甲招乙供材料设备和</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甲管乙供材料设备的，按分部分项工程量报价清单一定比例计算的工程预付款已包含甲招乙供材料设备和甲管乙供材料设备款，并须按本条第</w:t>
            </w:r>
            <w:r>
              <w:rPr>
                <w:rFonts w:hint="eastAsia" w:ascii="宋体" w:hAnsi="宋体" w:eastAsia="宋体" w:cs="仿宋"/>
                <w:color w:val="auto"/>
                <w:kern w:val="2"/>
                <w:sz w:val="21"/>
                <w:szCs w:val="21"/>
                <w:highlight w:val="none"/>
                <w:lang w:val="en-US" w:eastAsia="zh-CN" w:bidi="ar"/>
              </w:rPr>
              <w:t>26.2</w:t>
            </w:r>
            <w:r>
              <w:rPr>
                <w:rFonts w:hint="eastAsia" w:ascii="宋体" w:hAnsi="宋体" w:eastAsia="宋体" w:cs="宋体"/>
                <w:color w:val="auto"/>
                <w:kern w:val="2"/>
                <w:sz w:val="21"/>
                <w:szCs w:val="21"/>
                <w:highlight w:val="none"/>
                <w:lang w:val="en-US" w:eastAsia="zh-CN" w:bidi="ar"/>
              </w:rPr>
              <w:t>款及</w:t>
            </w:r>
            <w:r>
              <w:rPr>
                <w:rFonts w:hint="eastAsia" w:ascii="宋体" w:hAnsi="宋体" w:eastAsia="宋体" w:cs="仿宋"/>
                <w:color w:val="auto"/>
                <w:kern w:val="2"/>
                <w:sz w:val="21"/>
                <w:szCs w:val="21"/>
                <w:highlight w:val="none"/>
                <w:lang w:val="en-US" w:eastAsia="zh-CN" w:bidi="ar"/>
              </w:rPr>
              <w:t>26.3</w:t>
            </w:r>
            <w:r>
              <w:rPr>
                <w:rFonts w:hint="eastAsia" w:ascii="宋体" w:hAnsi="宋体" w:eastAsia="宋体" w:cs="宋体"/>
                <w:color w:val="auto"/>
                <w:kern w:val="2"/>
                <w:sz w:val="21"/>
                <w:szCs w:val="21"/>
                <w:highlight w:val="none"/>
                <w:lang w:val="en-US" w:eastAsia="zh-CN" w:bidi="ar"/>
              </w:rPr>
              <w:t>款的约定一并考虑执行）。建筑业职工工伤保险费已包含在工程预付款中，发包人不另行支付。</w:t>
            </w:r>
          </w:p>
          <w:p w14:paraId="67F07979">
            <w:pPr>
              <w:keepNext w:val="0"/>
              <w:keepLines w:val="0"/>
              <w:widowControl w:val="0"/>
              <w:suppressLineNumbers w:val="0"/>
              <w:adjustRightInd w:val="0"/>
              <w:snapToGrid w:val="0"/>
              <w:spacing w:before="0" w:beforeAutospacing="0" w:after="0" w:afterAutospacing="0" w:line="360" w:lineRule="auto"/>
              <w:ind w:left="0" w:right="0"/>
              <w:jc w:val="both"/>
              <w:outlineLvl w:val="3"/>
              <w:rPr>
                <w:rFonts w:hint="eastAsia" w:ascii="宋体" w:hAnsi="Calibri" w:eastAsia="宋体" w:cs="仿宋"/>
                <w:color w:val="auto"/>
                <w:kern w:val="2"/>
                <w:sz w:val="21"/>
                <w:szCs w:val="21"/>
                <w:highlight w:val="none"/>
              </w:rPr>
            </w:pPr>
            <w:r>
              <w:rPr>
                <w:rFonts w:hint="eastAsia" w:ascii="宋体" w:hAnsi="宋体" w:eastAsia="宋体" w:cs="仿宋"/>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承包人在收到发包人工程预付款后，应及时向作业班组、分包单位、供应商支付人工费用、备料款等相关费用。承包人如挪用预付款，或未及时向作业班组、分包单位、供应商支付人工费用、备料款导致工期延误的，发包人一经查实，承包人承担严重违约责任。</w:t>
            </w:r>
          </w:p>
        </w:tc>
      </w:tr>
      <w:tr w14:paraId="6117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5"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126F15">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8215" w:type="dxa"/>
            <w:tcBorders>
              <w:top w:val="single" w:color="auto" w:sz="4" w:space="0"/>
              <w:left w:val="nil"/>
              <w:bottom w:val="single" w:color="auto" w:sz="4" w:space="0"/>
              <w:right w:val="single" w:color="auto" w:sz="4" w:space="0"/>
            </w:tcBorders>
            <w:shd w:val="clear" w:color="auto" w:fill="auto"/>
            <w:noWrap/>
            <w:vAlign w:val="center"/>
          </w:tcPr>
          <w:p w14:paraId="4C71890F">
            <w:pPr>
              <w:keepNext w:val="0"/>
              <w:keepLines w:val="0"/>
              <w:widowControl w:val="0"/>
              <w:suppressLineNumbers w:val="0"/>
              <w:adjustRightInd w:val="0"/>
              <w:snapToGrid w:val="0"/>
              <w:spacing w:before="0" w:beforeAutospacing="0" w:after="0" w:afterAutospacing="0" w:line="300" w:lineRule="auto"/>
              <w:ind w:left="0" w:right="0" w:firstLine="420" w:firstLineChars="200"/>
              <w:jc w:val="both"/>
              <w:rPr>
                <w:rFonts w:hint="eastAsia" w:ascii="宋体" w:hAnsi="Calibri" w:eastAsia="宋体" w:cs="Times New Roman"/>
                <w:b/>
                <w:bCs w:val="0"/>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Calibri" w:eastAsia="宋体" w:cs="宋体"/>
                <w:b/>
                <w:bCs w:val="0"/>
                <w:color w:val="auto"/>
                <w:kern w:val="0"/>
                <w:sz w:val="21"/>
                <w:szCs w:val="21"/>
                <w:highlight w:val="none"/>
                <w:lang w:val="en-US" w:eastAsia="zh-CN" w:bidi="ar"/>
              </w:rPr>
              <w:t> </w:t>
            </w:r>
            <w:r>
              <w:rPr>
                <w:rFonts w:hint="eastAsia" w:ascii="宋体" w:hAnsi="宋体" w:eastAsia="宋体" w:cs="宋体"/>
                <w:color w:val="auto"/>
                <w:kern w:val="0"/>
                <w:sz w:val="21"/>
                <w:szCs w:val="21"/>
                <w:highlight w:val="none"/>
                <w:lang w:val="en-US" w:eastAsia="zh-CN" w:bidi="ar"/>
              </w:rPr>
              <w:t>26.2若本工程含有甲招乙供材料设备，承包人应严格按照本合同、招标文件及与甲招乙供材料设备供应商所签合同的约定及时审核、申请支付甲招乙供材料设备预付款，并在银行的监控下，按照发包人的要求直接将甲招乙供材料设备款项按合同专用条款第30.7（8）款的约定支付给材料设备供应商，否则应按合同专用条款第38.15款承担违约责任。</w:t>
            </w:r>
          </w:p>
        </w:tc>
      </w:tr>
      <w:tr w14:paraId="1BD63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9E8B69">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8215" w:type="dxa"/>
            <w:tcBorders>
              <w:top w:val="single" w:color="auto" w:sz="4" w:space="0"/>
              <w:left w:val="nil"/>
              <w:bottom w:val="single" w:color="auto" w:sz="4" w:space="0"/>
              <w:right w:val="single" w:color="auto" w:sz="4" w:space="0"/>
            </w:tcBorders>
            <w:shd w:val="clear" w:color="auto" w:fill="auto"/>
            <w:noWrap/>
            <w:vAlign w:val="center"/>
          </w:tcPr>
          <w:p w14:paraId="4F9187AC">
            <w:pPr>
              <w:keepNext w:val="0"/>
              <w:keepLines w:val="0"/>
              <w:widowControl w:val="0"/>
              <w:suppressLineNumbers w:val="0"/>
              <w:adjustRightInd w:val="0"/>
              <w:snapToGrid w:val="0"/>
              <w:spacing w:before="0" w:beforeAutospacing="0" w:after="0" w:afterAutospacing="0" w:line="300" w:lineRule="auto"/>
              <w:ind w:left="0" w:right="0" w:firstLine="420" w:firstLineChars="200"/>
              <w:jc w:val="both"/>
              <w:rPr>
                <w:rFonts w:hint="eastAsia" w:ascii="宋体" w:hAnsi="Calibri" w:eastAsia="宋体" w:cs="Times New Roman"/>
                <w:b/>
                <w:bCs w:val="0"/>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Calibri" w:eastAsia="宋体" w:cs="宋体"/>
                <w:b/>
                <w:bCs w:val="0"/>
                <w:color w:val="auto"/>
                <w:kern w:val="0"/>
                <w:sz w:val="21"/>
                <w:szCs w:val="21"/>
                <w:highlight w:val="none"/>
                <w:lang w:val="en-US" w:eastAsia="zh-CN" w:bidi="ar"/>
              </w:rPr>
              <w:t> </w:t>
            </w:r>
            <w:r>
              <w:rPr>
                <w:rFonts w:hint="eastAsia" w:ascii="宋体" w:hAnsi="宋体" w:eastAsia="宋体" w:cs="宋体"/>
                <w:color w:val="auto"/>
                <w:kern w:val="0"/>
                <w:sz w:val="21"/>
                <w:szCs w:val="21"/>
                <w:highlight w:val="none"/>
                <w:lang w:val="en-US" w:eastAsia="zh-CN" w:bidi="ar"/>
              </w:rPr>
              <w:t>26.3如本工程含有甲管乙供材料设备，承包人应严格按照本合同、招标文件或公开择优竞价文件及与甲管乙供材料设备供应商所签合同的约定及时审核、申请支付甲管乙供材料设备预付款，且在收到发包人支付的款项后三个工作日内将该款项支付给甲管乙供材料设备供应商，并在下一次申请付款时向发包人提交本次支付凭证复印件作为支持材料，否则应按合同专用条款第38.15款承担违约责任。</w:t>
            </w:r>
          </w:p>
        </w:tc>
      </w:tr>
      <w:tr w14:paraId="63C51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33"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728817">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p>
        </w:tc>
        <w:tc>
          <w:tcPr>
            <w:tcW w:w="8215" w:type="dxa"/>
            <w:tcBorders>
              <w:top w:val="single" w:color="auto" w:sz="4" w:space="0"/>
              <w:left w:val="nil"/>
              <w:bottom w:val="single" w:color="auto" w:sz="4" w:space="0"/>
              <w:right w:val="single" w:color="auto" w:sz="4" w:space="0"/>
            </w:tcBorders>
            <w:shd w:val="clear" w:color="auto" w:fill="auto"/>
            <w:noWrap/>
            <w:vAlign w:val="center"/>
          </w:tcPr>
          <w:p w14:paraId="6444EF3B">
            <w:pPr>
              <w:keepNext w:val="0"/>
              <w:keepLines w:val="0"/>
              <w:widowControl w:val="0"/>
              <w:suppressLineNumbers w:val="0"/>
              <w:autoSpaceDE w:val="0"/>
              <w:autoSpaceDN w:val="0"/>
              <w:adjustRightInd w:val="0"/>
              <w:snapToGrid w:val="0"/>
              <w:spacing w:before="0" w:beforeAutospacing="0" w:after="0" w:afterAutospacing="0" w:line="300" w:lineRule="auto"/>
              <w:ind w:left="0" w:right="11" w:firstLine="480"/>
              <w:jc w:val="both"/>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28.2双方约定的工程进度款支付方式</w:t>
            </w:r>
          </w:p>
          <w:p w14:paraId="2D018731">
            <w:pPr>
              <w:keepNext w:val="0"/>
              <w:keepLines w:val="0"/>
              <w:widowControl w:val="0"/>
              <w:suppressLineNumbers w:val="0"/>
              <w:autoSpaceDE w:val="0"/>
              <w:autoSpaceDN w:val="0"/>
              <w:adjustRightInd w:val="0"/>
              <w:snapToGrid w:val="0"/>
              <w:spacing w:before="0" w:beforeAutospacing="0" w:after="0" w:afterAutospacing="0" w:line="300" w:lineRule="auto"/>
              <w:ind w:left="0" w:right="11" w:firstLine="480"/>
              <w:jc w:val="both"/>
              <w:rPr>
                <w:rFonts w:hint="eastAsia" w:ascii="宋体" w:hAnsi="Calibri"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（1）分部分项工程量清单项目</w:t>
            </w:r>
            <w:r>
              <w:rPr>
                <w:rFonts w:hint="eastAsia" w:ascii="宋体" w:hAnsi="宋体" w:eastAsia="宋体" w:cs="宋体"/>
                <w:color w:val="auto"/>
                <w:kern w:val="0"/>
                <w:sz w:val="21"/>
                <w:szCs w:val="21"/>
                <w:highlight w:val="none"/>
                <w:lang w:val="en-US" w:eastAsia="zh-CN" w:bidi="ar"/>
              </w:rPr>
              <w:t>工程进度款的支付方式</w:t>
            </w:r>
          </w:p>
          <w:p w14:paraId="4C7CF2DA">
            <w:pPr>
              <w:keepNext w:val="0"/>
              <w:keepLines w:val="0"/>
              <w:widowControl w:val="0"/>
              <w:suppressLineNumbers w:val="0"/>
              <w:adjustRightInd w:val="0"/>
              <w:snapToGrid w:val="0"/>
              <w:spacing w:before="0" w:beforeAutospacing="0" w:after="0" w:afterAutospacing="0" w:line="300" w:lineRule="auto"/>
              <w:ind w:left="0" w:right="11" w:firstLine="420" w:firstLineChars="200"/>
              <w:jc w:val="both"/>
              <w:rPr>
                <w:rFonts w:hint="eastAsia" w:ascii="宋体" w:hAnsi="Calibri" w:eastAsia="宋体" w:cs="宋体"/>
                <w:b/>
                <w:bCs w:val="0"/>
                <w:i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w:t>
            </w:r>
            <w:r>
              <w:rPr>
                <w:rFonts w:hint="eastAsia" w:ascii="宋体" w:hAnsi="宋体" w:eastAsia="宋体" w:cs="宋体"/>
                <w:b/>
                <w:bCs w:val="0"/>
                <w:iCs/>
                <w:color w:val="auto"/>
                <w:kern w:val="0"/>
                <w:sz w:val="21"/>
                <w:szCs w:val="21"/>
                <w:highlight w:val="none"/>
                <w:lang w:val="en-US" w:eastAsia="zh-CN" w:bidi="ar"/>
              </w:rPr>
              <w:t xml:space="preserve"> 房屋建筑、装饰装修、机电安装及市政施工等项目：</w:t>
            </w:r>
          </w:p>
          <w:p w14:paraId="5CB83A5A">
            <w:pPr>
              <w:keepNext w:val="0"/>
              <w:keepLines w:val="0"/>
              <w:widowControl w:val="0"/>
              <w:suppressLineNumbers w:val="0"/>
              <w:adjustRightInd w:val="0"/>
              <w:snapToGrid w:val="0"/>
              <w:spacing w:before="0" w:beforeAutospacing="0" w:after="0" w:afterAutospacing="0" w:line="300" w:lineRule="auto"/>
              <w:ind w:left="0" w:right="0" w:firstLine="420" w:firstLineChars="200"/>
              <w:jc w:val="both"/>
              <w:rPr>
                <w:rFonts w:hint="eastAsia" w:ascii="宋体" w:hAnsi="Calibri" w:eastAsia="宋体" w:cs="宋体"/>
                <w:b/>
                <w:bCs w:val="0"/>
                <w:i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w:t>
            </w:r>
            <w:r>
              <w:rPr>
                <w:rFonts w:hint="eastAsia" w:ascii="宋体" w:hAnsi="宋体" w:eastAsia="宋体" w:cs="宋体"/>
                <w:b/>
                <w:bCs w:val="0"/>
                <w:iCs/>
                <w:color w:val="auto"/>
                <w:kern w:val="0"/>
                <w:sz w:val="21"/>
                <w:szCs w:val="21"/>
                <w:highlight w:val="none"/>
                <w:lang w:val="en-US" w:eastAsia="zh-CN" w:bidi="ar"/>
              </w:rPr>
              <w:t xml:space="preserve"> 智能化工程项目：</w:t>
            </w:r>
          </w:p>
          <w:p w14:paraId="6FBE12B5">
            <w:pPr>
              <w:keepNext w:val="0"/>
              <w:keepLines w:val="0"/>
              <w:widowControl w:val="0"/>
              <w:suppressLineNumbers w:val="0"/>
              <w:adjustRightInd w:val="0"/>
              <w:snapToGrid w:val="0"/>
              <w:spacing w:before="0" w:beforeAutospacing="0" w:after="0" w:afterAutospacing="0" w:line="300" w:lineRule="auto"/>
              <w:ind w:left="0" w:right="11" w:firstLine="420" w:firstLineChars="200"/>
              <w:jc w:val="both"/>
              <w:rPr>
                <w:rFonts w:hint="eastAsia" w:ascii="宋体" w:hAnsi="Calibri" w:eastAsia="宋体" w:cs="宋体"/>
                <w:b/>
                <w:bCs w:val="0"/>
                <w:i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w:t>
            </w:r>
            <w:r>
              <w:rPr>
                <w:rFonts w:hint="eastAsia" w:ascii="宋体" w:hAnsi="宋体" w:eastAsia="宋体" w:cs="宋体"/>
                <w:b/>
                <w:bCs w:val="0"/>
                <w:iCs/>
                <w:color w:val="auto"/>
                <w:kern w:val="0"/>
                <w:sz w:val="21"/>
                <w:szCs w:val="21"/>
                <w:highlight w:val="none"/>
                <w:lang w:val="en-US" w:eastAsia="zh-CN" w:bidi="ar"/>
              </w:rPr>
              <w:t xml:space="preserve"> 园林绿化景观工程项目：</w:t>
            </w:r>
          </w:p>
          <w:p w14:paraId="0000A141">
            <w:pPr>
              <w:keepNext w:val="0"/>
              <w:keepLines w:val="0"/>
              <w:widowControl w:val="0"/>
              <w:suppressLineNumbers w:val="0"/>
              <w:adjustRightInd w:val="0"/>
              <w:snapToGrid w:val="0"/>
              <w:spacing w:before="0" w:beforeAutospacing="0" w:after="0" w:afterAutospacing="0" w:line="300" w:lineRule="auto"/>
              <w:ind w:left="0" w:right="11" w:firstLine="420" w:firstLineChars="200"/>
              <w:jc w:val="both"/>
              <w:rPr>
                <w:rFonts w:hint="eastAsia" w:ascii="宋体" w:hAnsi="Calibri" w:eastAsia="宋体" w:cs="宋体"/>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（2）措施项目费和其他项目费的支付方式</w:t>
            </w:r>
          </w:p>
          <w:p w14:paraId="59DBD84A">
            <w:pPr>
              <w:keepNext w:val="0"/>
              <w:keepLines w:val="0"/>
              <w:widowControl w:val="0"/>
              <w:suppressLineNumbers w:val="0"/>
              <w:adjustRightInd w:val="0"/>
              <w:snapToGrid w:val="0"/>
              <w:spacing w:before="0" w:beforeAutospacing="0" w:after="0" w:afterAutospacing="0" w:line="300" w:lineRule="auto"/>
              <w:ind w:left="0" w:right="11" w:firstLine="420" w:firstLineChars="200"/>
              <w:jc w:val="both"/>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1）措施项目费的支付</w:t>
            </w:r>
          </w:p>
          <w:tbl>
            <w:tblPr>
              <w:tblStyle w:val="17"/>
              <w:tblW w:w="7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53"/>
              <w:gridCol w:w="453"/>
              <w:gridCol w:w="2610"/>
              <w:gridCol w:w="4224"/>
            </w:tblGrid>
            <w:tr w14:paraId="32A57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7F413643">
                  <w:pPr>
                    <w:keepNext w:val="0"/>
                    <w:keepLines w:val="0"/>
                    <w:widowControl/>
                    <w:suppressLineNumbers w:val="0"/>
                    <w:adjustRightInd w:val="0"/>
                    <w:snapToGrid w:val="0"/>
                    <w:spacing w:before="0" w:beforeAutospacing="0" w:after="0" w:afterAutospacing="0" w:line="273" w:lineRule="auto"/>
                    <w:ind w:left="0" w:right="0"/>
                    <w:jc w:val="center"/>
                    <w:rPr>
                      <w:rFonts w:hint="eastAsia" w:ascii="宋体" w:hAnsi="Calibri" w:eastAsia="宋体" w:cs="宋体"/>
                      <w:b/>
                      <w:bCs w:val="0"/>
                      <w:color w:val="auto"/>
                      <w:kern w:val="0"/>
                      <w:sz w:val="18"/>
                      <w:szCs w:val="18"/>
                      <w:highlight w:val="none"/>
                    </w:rPr>
                  </w:pPr>
                  <w:r>
                    <w:rPr>
                      <w:rFonts w:hint="eastAsia" w:ascii="宋体" w:hAnsi="宋体" w:eastAsia="宋体" w:cs="宋体"/>
                      <w:b/>
                      <w:bCs w:val="0"/>
                      <w:color w:val="auto"/>
                      <w:kern w:val="0"/>
                      <w:sz w:val="18"/>
                      <w:szCs w:val="18"/>
                      <w:highlight w:val="none"/>
                      <w:lang w:val="en-US" w:eastAsia="zh-CN" w:bidi="ar"/>
                    </w:rPr>
                    <w:t>选项</w:t>
                  </w:r>
                </w:p>
              </w:tc>
              <w:tc>
                <w:tcPr>
                  <w:tcW w:w="453" w:type="dxa"/>
                  <w:tcBorders>
                    <w:top w:val="single" w:color="auto" w:sz="4" w:space="0"/>
                    <w:left w:val="nil"/>
                    <w:bottom w:val="single" w:color="auto" w:sz="4" w:space="0"/>
                    <w:right w:val="single" w:color="auto" w:sz="4" w:space="0"/>
                  </w:tcBorders>
                  <w:shd w:val="clear" w:color="auto" w:fill="auto"/>
                  <w:vAlign w:val="center"/>
                </w:tcPr>
                <w:p w14:paraId="711E4CE8">
                  <w:pPr>
                    <w:keepNext w:val="0"/>
                    <w:keepLines w:val="0"/>
                    <w:widowControl/>
                    <w:suppressLineNumbers w:val="0"/>
                    <w:adjustRightInd w:val="0"/>
                    <w:snapToGrid w:val="0"/>
                    <w:spacing w:before="0" w:beforeAutospacing="0" w:after="0" w:afterAutospacing="0" w:line="273" w:lineRule="auto"/>
                    <w:ind w:left="0" w:right="0"/>
                    <w:jc w:val="center"/>
                    <w:rPr>
                      <w:rFonts w:hint="eastAsia" w:ascii="宋体" w:hAnsi="Calibri" w:eastAsia="宋体" w:cs="宋体"/>
                      <w:b/>
                      <w:bCs w:val="0"/>
                      <w:color w:val="auto"/>
                      <w:kern w:val="0"/>
                      <w:sz w:val="18"/>
                      <w:szCs w:val="18"/>
                      <w:highlight w:val="none"/>
                    </w:rPr>
                  </w:pPr>
                  <w:r>
                    <w:rPr>
                      <w:rFonts w:hint="eastAsia" w:ascii="宋体" w:hAnsi="宋体" w:eastAsia="宋体" w:cs="宋体"/>
                      <w:b/>
                      <w:bCs w:val="0"/>
                      <w:color w:val="auto"/>
                      <w:kern w:val="0"/>
                      <w:sz w:val="18"/>
                      <w:szCs w:val="18"/>
                      <w:highlight w:val="none"/>
                      <w:lang w:val="en-US" w:eastAsia="zh-CN" w:bidi="ar"/>
                    </w:rPr>
                    <w:t>序号</w:t>
                  </w:r>
                </w:p>
              </w:tc>
              <w:tc>
                <w:tcPr>
                  <w:tcW w:w="2610" w:type="dxa"/>
                  <w:tcBorders>
                    <w:top w:val="single" w:color="auto" w:sz="4" w:space="0"/>
                    <w:left w:val="nil"/>
                    <w:bottom w:val="single" w:color="auto" w:sz="4" w:space="0"/>
                    <w:right w:val="single" w:color="auto" w:sz="4" w:space="0"/>
                  </w:tcBorders>
                  <w:shd w:val="clear" w:color="auto" w:fill="auto"/>
                  <w:vAlign w:val="center"/>
                </w:tcPr>
                <w:p w14:paraId="0B1A840D">
                  <w:pPr>
                    <w:keepNext w:val="0"/>
                    <w:keepLines w:val="0"/>
                    <w:widowControl/>
                    <w:suppressLineNumbers w:val="0"/>
                    <w:adjustRightInd w:val="0"/>
                    <w:snapToGrid w:val="0"/>
                    <w:spacing w:before="0" w:beforeAutospacing="0" w:after="0" w:afterAutospacing="0" w:line="273" w:lineRule="auto"/>
                    <w:ind w:left="0" w:right="0"/>
                    <w:jc w:val="center"/>
                    <w:rPr>
                      <w:rFonts w:hint="eastAsia" w:ascii="宋体" w:hAnsi="Calibri" w:eastAsia="宋体" w:cs="宋体"/>
                      <w:b/>
                      <w:bCs w:val="0"/>
                      <w:color w:val="auto"/>
                      <w:kern w:val="0"/>
                      <w:sz w:val="18"/>
                      <w:szCs w:val="18"/>
                      <w:highlight w:val="none"/>
                    </w:rPr>
                  </w:pPr>
                  <w:r>
                    <w:rPr>
                      <w:rFonts w:hint="eastAsia" w:ascii="宋体" w:hAnsi="宋体" w:eastAsia="宋体" w:cs="宋体"/>
                      <w:b/>
                      <w:bCs w:val="0"/>
                      <w:color w:val="auto"/>
                      <w:kern w:val="0"/>
                      <w:sz w:val="18"/>
                      <w:szCs w:val="18"/>
                      <w:highlight w:val="none"/>
                      <w:lang w:val="en-US" w:eastAsia="zh-CN" w:bidi="ar"/>
                    </w:rPr>
                    <w:t>项 目 名 称</w:t>
                  </w:r>
                </w:p>
              </w:tc>
              <w:tc>
                <w:tcPr>
                  <w:tcW w:w="4224" w:type="dxa"/>
                  <w:tcBorders>
                    <w:top w:val="single" w:color="auto" w:sz="4" w:space="0"/>
                    <w:left w:val="nil"/>
                    <w:bottom w:val="single" w:color="auto" w:sz="4" w:space="0"/>
                    <w:right w:val="single" w:color="auto" w:sz="4" w:space="0"/>
                  </w:tcBorders>
                  <w:shd w:val="clear" w:color="auto" w:fill="auto"/>
                  <w:vAlign w:val="center"/>
                </w:tcPr>
                <w:p w14:paraId="4C04537E">
                  <w:pPr>
                    <w:keepNext w:val="0"/>
                    <w:keepLines w:val="0"/>
                    <w:widowControl/>
                    <w:suppressLineNumbers w:val="0"/>
                    <w:adjustRightInd w:val="0"/>
                    <w:snapToGrid w:val="0"/>
                    <w:spacing w:before="0" w:beforeAutospacing="0" w:after="0" w:afterAutospacing="0" w:line="273" w:lineRule="auto"/>
                    <w:ind w:left="0" w:right="0"/>
                    <w:jc w:val="center"/>
                    <w:rPr>
                      <w:rFonts w:hint="eastAsia" w:ascii="宋体" w:hAnsi="Calibri" w:eastAsia="宋体" w:cs="宋体"/>
                      <w:b/>
                      <w:bCs w:val="0"/>
                      <w:color w:val="auto"/>
                      <w:kern w:val="0"/>
                      <w:sz w:val="18"/>
                      <w:szCs w:val="18"/>
                      <w:highlight w:val="none"/>
                    </w:rPr>
                  </w:pPr>
                  <w:r>
                    <w:rPr>
                      <w:rFonts w:hint="eastAsia" w:ascii="宋体" w:hAnsi="宋体" w:eastAsia="宋体" w:cs="宋体"/>
                      <w:b/>
                      <w:bCs w:val="0"/>
                      <w:color w:val="auto"/>
                      <w:kern w:val="0"/>
                      <w:sz w:val="18"/>
                      <w:szCs w:val="18"/>
                      <w:highlight w:val="none"/>
                      <w:lang w:val="en-US" w:eastAsia="zh-CN" w:bidi="ar"/>
                    </w:rPr>
                    <w:t>计量方式</w:t>
                  </w:r>
                </w:p>
              </w:tc>
            </w:tr>
            <w:tr w14:paraId="0ADDD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6015DDB1">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Calibri" w:eastAsia="宋体" w:cs="宋体"/>
                      <w:color w:val="auto"/>
                      <w:kern w:val="0"/>
                      <w:sz w:val="18"/>
                      <w:szCs w:val="18"/>
                      <w:highlight w:val="none"/>
                    </w:rPr>
                  </w:pPr>
                  <w:r>
                    <w:rPr>
                      <w:rFonts w:hint="eastAsia" w:ascii="宋体" w:hAnsi="宋体" w:eastAsia="宋体" w:cs="宋体"/>
                      <w:bCs/>
                      <w:color w:val="auto"/>
                      <w:kern w:val="0"/>
                      <w:sz w:val="18"/>
                      <w:szCs w:val="18"/>
                      <w:highlight w:val="none"/>
                      <w:lang w:val="en-US" w:eastAsia="zh-CN" w:bidi="ar"/>
                    </w:rPr>
                    <w:t>√</w:t>
                  </w:r>
                </w:p>
              </w:tc>
              <w:tc>
                <w:tcPr>
                  <w:tcW w:w="453" w:type="dxa"/>
                  <w:tcBorders>
                    <w:top w:val="single" w:color="auto" w:sz="4" w:space="0"/>
                    <w:left w:val="nil"/>
                    <w:bottom w:val="single" w:color="auto" w:sz="4" w:space="0"/>
                    <w:right w:val="single" w:color="auto" w:sz="4" w:space="0"/>
                  </w:tcBorders>
                  <w:shd w:val="clear" w:color="auto" w:fill="auto"/>
                  <w:vAlign w:val="center"/>
                </w:tcPr>
                <w:p w14:paraId="64C7F08A">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一</w:t>
                  </w:r>
                </w:p>
              </w:tc>
              <w:tc>
                <w:tcPr>
                  <w:tcW w:w="2610" w:type="dxa"/>
                  <w:tcBorders>
                    <w:top w:val="single" w:color="auto" w:sz="4" w:space="0"/>
                    <w:left w:val="nil"/>
                    <w:bottom w:val="single" w:color="auto" w:sz="4" w:space="0"/>
                    <w:right w:val="single" w:color="auto" w:sz="4" w:space="0"/>
                  </w:tcBorders>
                  <w:shd w:val="clear" w:color="auto" w:fill="auto"/>
                  <w:vAlign w:val="center"/>
                </w:tcPr>
                <w:p w14:paraId="5C57F2DB">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绿色施工安全防护措施费</w:t>
                  </w:r>
                </w:p>
              </w:tc>
              <w:tc>
                <w:tcPr>
                  <w:tcW w:w="4224" w:type="dxa"/>
                  <w:tcBorders>
                    <w:top w:val="single" w:color="auto" w:sz="4" w:space="0"/>
                    <w:left w:val="nil"/>
                    <w:bottom w:val="single" w:color="auto" w:sz="4" w:space="0"/>
                    <w:right w:val="single" w:color="auto" w:sz="4" w:space="0"/>
                  </w:tcBorders>
                  <w:shd w:val="clear" w:color="auto" w:fill="auto"/>
                  <w:vAlign w:val="center"/>
                </w:tcPr>
                <w:p w14:paraId="651786D6">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0"/>
                      <w:sz w:val="18"/>
                      <w:szCs w:val="18"/>
                      <w:highlight w:val="none"/>
                    </w:rPr>
                  </w:pPr>
                </w:p>
              </w:tc>
            </w:tr>
            <w:tr w14:paraId="46D93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94"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41930923">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Calibri" w:eastAsia="宋体" w:cs="宋体"/>
                      <w:color w:val="auto"/>
                      <w:kern w:val="0"/>
                      <w:sz w:val="18"/>
                      <w:szCs w:val="18"/>
                      <w:highlight w:val="none"/>
                    </w:rPr>
                  </w:pPr>
                  <w:r>
                    <w:rPr>
                      <w:rFonts w:hint="eastAsia" w:ascii="宋体" w:hAnsi="宋体" w:eastAsia="宋体" w:cs="宋体"/>
                      <w:bCs/>
                      <w:color w:val="auto"/>
                      <w:kern w:val="0"/>
                      <w:sz w:val="18"/>
                      <w:szCs w:val="18"/>
                      <w:highlight w:val="none"/>
                      <w:lang w:val="en-US" w:eastAsia="zh-CN" w:bidi="ar"/>
                    </w:rPr>
                    <w:t>√</w:t>
                  </w:r>
                </w:p>
              </w:tc>
              <w:tc>
                <w:tcPr>
                  <w:tcW w:w="453" w:type="dxa"/>
                  <w:tcBorders>
                    <w:top w:val="single" w:color="auto" w:sz="4" w:space="0"/>
                    <w:left w:val="nil"/>
                    <w:bottom w:val="single" w:color="auto" w:sz="4" w:space="0"/>
                    <w:right w:val="single" w:color="auto" w:sz="4" w:space="0"/>
                  </w:tcBorders>
                  <w:shd w:val="clear" w:color="auto" w:fill="auto"/>
                  <w:vAlign w:val="center"/>
                </w:tcPr>
                <w:p w14:paraId="1CA990EF">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w:t>
                  </w:r>
                </w:p>
              </w:tc>
              <w:tc>
                <w:tcPr>
                  <w:tcW w:w="2610" w:type="dxa"/>
                  <w:tcBorders>
                    <w:top w:val="single" w:color="auto" w:sz="4" w:space="0"/>
                    <w:left w:val="nil"/>
                    <w:bottom w:val="single" w:color="auto" w:sz="4" w:space="0"/>
                    <w:right w:val="single" w:color="auto" w:sz="4" w:space="0"/>
                  </w:tcBorders>
                  <w:shd w:val="clear" w:color="auto" w:fill="auto"/>
                  <w:vAlign w:val="center"/>
                </w:tcPr>
                <w:p w14:paraId="7B42729C">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绿色施工安全防护措施费（按系数计算）</w:t>
                  </w:r>
                </w:p>
              </w:tc>
              <w:tc>
                <w:tcPr>
                  <w:tcW w:w="4224" w:type="dxa"/>
                  <w:tcBorders>
                    <w:top w:val="single" w:color="auto" w:sz="4" w:space="0"/>
                    <w:left w:val="nil"/>
                    <w:bottom w:val="single" w:color="auto" w:sz="4" w:space="0"/>
                    <w:right w:val="single" w:color="auto" w:sz="4" w:space="0"/>
                  </w:tcBorders>
                  <w:shd w:val="clear" w:color="auto" w:fill="auto"/>
                  <w:vAlign w:val="center"/>
                </w:tcPr>
                <w:p w14:paraId="0468054C">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该项价款的50%经发包人审查符合进场条件支付；40%以月度安全文明检查评价结果为依据按月平均支付；剩余10%在工程竣工安全评价合格后支付。</w:t>
                  </w:r>
                </w:p>
              </w:tc>
            </w:tr>
            <w:tr w14:paraId="74FDA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9"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4D97962A">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Calibri" w:eastAsia="宋体" w:cs="宋体"/>
                      <w:color w:val="auto"/>
                      <w:kern w:val="0"/>
                      <w:sz w:val="18"/>
                      <w:szCs w:val="18"/>
                      <w:highlight w:val="none"/>
                    </w:rPr>
                  </w:pPr>
                  <w:r>
                    <w:rPr>
                      <w:rFonts w:hint="eastAsia" w:ascii="宋体" w:hAnsi="宋体" w:eastAsia="宋体" w:cs="宋体"/>
                      <w:bCs/>
                      <w:color w:val="auto"/>
                      <w:kern w:val="0"/>
                      <w:sz w:val="18"/>
                      <w:szCs w:val="18"/>
                      <w:highlight w:val="none"/>
                      <w:lang w:val="en-US" w:eastAsia="zh-CN" w:bidi="ar"/>
                    </w:rPr>
                    <w:t>√</w:t>
                  </w:r>
                </w:p>
              </w:tc>
              <w:tc>
                <w:tcPr>
                  <w:tcW w:w="453" w:type="dxa"/>
                  <w:tcBorders>
                    <w:top w:val="single" w:color="auto" w:sz="4" w:space="0"/>
                    <w:left w:val="nil"/>
                    <w:bottom w:val="single" w:color="auto" w:sz="4" w:space="0"/>
                    <w:right w:val="single" w:color="auto" w:sz="4" w:space="0"/>
                  </w:tcBorders>
                  <w:shd w:val="clear" w:color="auto" w:fill="auto"/>
                  <w:vAlign w:val="center"/>
                </w:tcPr>
                <w:p w14:paraId="73E72379">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2</w:t>
                  </w:r>
                </w:p>
              </w:tc>
              <w:tc>
                <w:tcPr>
                  <w:tcW w:w="2610" w:type="dxa"/>
                  <w:tcBorders>
                    <w:top w:val="single" w:color="auto" w:sz="4" w:space="0"/>
                    <w:left w:val="nil"/>
                    <w:bottom w:val="single" w:color="auto" w:sz="4" w:space="0"/>
                    <w:right w:val="single" w:color="auto" w:sz="4" w:space="0"/>
                  </w:tcBorders>
                  <w:shd w:val="clear" w:color="auto" w:fill="auto"/>
                  <w:vAlign w:val="center"/>
                </w:tcPr>
                <w:p w14:paraId="06AA09B1">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绿色施工安全防护措施费（按子目计算）</w:t>
                  </w:r>
                </w:p>
              </w:tc>
              <w:tc>
                <w:tcPr>
                  <w:tcW w:w="4224" w:type="dxa"/>
                  <w:tcBorders>
                    <w:top w:val="single" w:color="auto" w:sz="4" w:space="0"/>
                    <w:left w:val="nil"/>
                    <w:bottom w:val="single" w:color="auto" w:sz="4" w:space="0"/>
                    <w:right w:val="single" w:color="auto" w:sz="4" w:space="0"/>
                  </w:tcBorders>
                  <w:shd w:val="clear" w:color="auto" w:fill="auto"/>
                  <w:vAlign w:val="center"/>
                </w:tcPr>
                <w:p w14:paraId="3C3EF61D">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总价包干项目，按分部分项工程量清单项目的支付方式。</w:t>
                  </w:r>
                </w:p>
              </w:tc>
            </w:tr>
            <w:tr w14:paraId="56CE5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9"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6F9FEB89">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Calibri" w:eastAsia="宋体" w:cs="宋体"/>
                      <w:color w:val="auto"/>
                      <w:kern w:val="0"/>
                      <w:sz w:val="18"/>
                      <w:szCs w:val="18"/>
                      <w:highlight w:val="none"/>
                    </w:rPr>
                  </w:pPr>
                </w:p>
              </w:tc>
              <w:tc>
                <w:tcPr>
                  <w:tcW w:w="453" w:type="dxa"/>
                  <w:tcBorders>
                    <w:top w:val="single" w:color="auto" w:sz="4" w:space="0"/>
                    <w:left w:val="nil"/>
                    <w:bottom w:val="single" w:color="auto" w:sz="4" w:space="0"/>
                    <w:right w:val="single" w:color="auto" w:sz="4" w:space="0"/>
                  </w:tcBorders>
                  <w:shd w:val="clear" w:color="auto" w:fill="auto"/>
                  <w:vAlign w:val="center"/>
                </w:tcPr>
                <w:p w14:paraId="6F2F6A52">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二</w:t>
                  </w:r>
                </w:p>
              </w:tc>
              <w:tc>
                <w:tcPr>
                  <w:tcW w:w="2610" w:type="dxa"/>
                  <w:tcBorders>
                    <w:top w:val="single" w:color="auto" w:sz="4" w:space="0"/>
                    <w:left w:val="nil"/>
                    <w:bottom w:val="single" w:color="auto" w:sz="4" w:space="0"/>
                    <w:right w:val="single" w:color="auto" w:sz="4" w:space="0"/>
                  </w:tcBorders>
                  <w:shd w:val="clear" w:color="auto" w:fill="auto"/>
                  <w:vAlign w:val="center"/>
                </w:tcPr>
                <w:p w14:paraId="49A8DDF7">
                  <w:pPr>
                    <w:keepNext w:val="0"/>
                    <w:keepLines w:val="0"/>
                    <w:widowControl w:val="0"/>
                    <w:suppressLineNumbers w:val="0"/>
                    <w:adjustRightInd w:val="0"/>
                    <w:snapToGrid w:val="0"/>
                    <w:spacing w:before="0" w:beforeAutospacing="0" w:after="0" w:afterAutospacing="0" w:line="273"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其他措施项目费</w:t>
                  </w:r>
                </w:p>
              </w:tc>
              <w:tc>
                <w:tcPr>
                  <w:tcW w:w="4224" w:type="dxa"/>
                  <w:tcBorders>
                    <w:top w:val="single" w:color="auto" w:sz="4" w:space="0"/>
                    <w:left w:val="nil"/>
                    <w:bottom w:val="single" w:color="auto" w:sz="4" w:space="0"/>
                    <w:right w:val="single" w:color="auto" w:sz="4" w:space="0"/>
                  </w:tcBorders>
                  <w:shd w:val="clear" w:color="auto" w:fill="auto"/>
                  <w:vAlign w:val="center"/>
                </w:tcPr>
                <w:p w14:paraId="0AD6242D">
                  <w:pPr>
                    <w:keepNext w:val="0"/>
                    <w:keepLines w:val="0"/>
                    <w:widowControl w:val="0"/>
                    <w:suppressLineNumbers w:val="0"/>
                    <w:adjustRightInd w:val="0"/>
                    <w:snapToGrid w:val="0"/>
                    <w:spacing w:before="0" w:beforeAutospacing="0" w:after="0" w:afterAutospacing="0" w:line="273" w:lineRule="auto"/>
                    <w:ind w:left="0" w:right="0"/>
                    <w:jc w:val="both"/>
                    <w:rPr>
                      <w:rFonts w:hint="eastAsia" w:ascii="宋体" w:hAnsi="Calibri" w:eastAsia="宋体" w:cs="宋体"/>
                      <w:color w:val="auto"/>
                      <w:kern w:val="0"/>
                      <w:sz w:val="18"/>
                      <w:szCs w:val="18"/>
                      <w:highlight w:val="none"/>
                    </w:rPr>
                  </w:pPr>
                </w:p>
              </w:tc>
            </w:tr>
            <w:tr w14:paraId="089C1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68A127CE">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Calibri" w:eastAsia="宋体" w:cs="宋体"/>
                      <w:color w:val="auto"/>
                      <w:kern w:val="0"/>
                      <w:sz w:val="18"/>
                      <w:szCs w:val="18"/>
                      <w:highlight w:val="none"/>
                    </w:rPr>
                  </w:pPr>
                  <w:r>
                    <w:rPr>
                      <w:rFonts w:hint="eastAsia" w:ascii="宋体" w:hAnsi="宋体" w:eastAsia="宋体" w:cs="宋体"/>
                      <w:bCs/>
                      <w:color w:val="auto"/>
                      <w:kern w:val="0"/>
                      <w:sz w:val="18"/>
                      <w:szCs w:val="18"/>
                      <w:highlight w:val="none"/>
                      <w:lang w:val="en-US" w:eastAsia="zh-CN" w:bidi="ar"/>
                    </w:rPr>
                    <w:t>√</w:t>
                  </w:r>
                </w:p>
              </w:tc>
              <w:tc>
                <w:tcPr>
                  <w:tcW w:w="453" w:type="dxa"/>
                  <w:tcBorders>
                    <w:top w:val="single" w:color="auto" w:sz="4" w:space="0"/>
                    <w:left w:val="nil"/>
                    <w:bottom w:val="single" w:color="auto" w:sz="4" w:space="0"/>
                    <w:right w:val="single" w:color="auto" w:sz="4" w:space="0"/>
                  </w:tcBorders>
                  <w:shd w:val="clear" w:color="auto" w:fill="auto"/>
                  <w:vAlign w:val="center"/>
                </w:tcPr>
                <w:p w14:paraId="7222807F">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w:t>
                  </w:r>
                </w:p>
              </w:tc>
              <w:tc>
                <w:tcPr>
                  <w:tcW w:w="2610" w:type="dxa"/>
                  <w:tcBorders>
                    <w:top w:val="single" w:color="auto" w:sz="4" w:space="0"/>
                    <w:left w:val="nil"/>
                    <w:bottom w:val="single" w:color="auto" w:sz="4" w:space="0"/>
                    <w:right w:val="single" w:color="auto" w:sz="4" w:space="0"/>
                  </w:tcBorders>
                  <w:shd w:val="clear" w:color="auto" w:fill="auto"/>
                  <w:vAlign w:val="center"/>
                </w:tcPr>
                <w:p w14:paraId="5FF8F973">
                  <w:pPr>
                    <w:keepNext w:val="0"/>
                    <w:keepLines w:val="0"/>
                    <w:widowControl w:val="0"/>
                    <w:suppressLineNumbers w:val="0"/>
                    <w:adjustRightInd w:val="0"/>
                    <w:snapToGrid w:val="0"/>
                    <w:spacing w:before="0" w:beforeAutospacing="0" w:after="0" w:afterAutospacing="0" w:line="273"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混凝土及钢筋混凝土模板及支架费</w:t>
                  </w:r>
                </w:p>
              </w:tc>
              <w:tc>
                <w:tcPr>
                  <w:tcW w:w="4224" w:type="dxa"/>
                  <w:tcBorders>
                    <w:top w:val="single" w:color="auto" w:sz="4" w:space="0"/>
                    <w:left w:val="nil"/>
                    <w:bottom w:val="single" w:color="auto" w:sz="4" w:space="0"/>
                    <w:right w:val="single" w:color="auto" w:sz="4" w:space="0"/>
                  </w:tcBorders>
                  <w:shd w:val="clear" w:color="auto" w:fill="auto"/>
                  <w:vAlign w:val="center"/>
                </w:tcPr>
                <w:p w14:paraId="6C7548E2">
                  <w:pPr>
                    <w:keepNext w:val="0"/>
                    <w:keepLines w:val="0"/>
                    <w:widowControl w:val="0"/>
                    <w:suppressLineNumbers w:val="0"/>
                    <w:adjustRightInd w:val="0"/>
                    <w:snapToGrid w:val="0"/>
                    <w:spacing w:before="0" w:beforeAutospacing="0" w:after="0" w:afterAutospacing="0" w:line="273"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按分部分项工程量清单项目的支付方式。</w:t>
                  </w:r>
                </w:p>
              </w:tc>
            </w:tr>
            <w:tr w14:paraId="1A2B2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45A02E5B">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Calibri" w:eastAsia="宋体" w:cs="宋体"/>
                      <w:color w:val="auto"/>
                      <w:kern w:val="0"/>
                      <w:sz w:val="18"/>
                      <w:szCs w:val="18"/>
                      <w:highlight w:val="none"/>
                    </w:rPr>
                  </w:pPr>
                  <w:r>
                    <w:rPr>
                      <w:rFonts w:hint="eastAsia" w:ascii="宋体" w:hAnsi="宋体" w:eastAsia="宋体" w:cs="宋体"/>
                      <w:bCs/>
                      <w:color w:val="auto"/>
                      <w:kern w:val="0"/>
                      <w:sz w:val="18"/>
                      <w:szCs w:val="18"/>
                      <w:highlight w:val="none"/>
                      <w:lang w:val="en-US" w:eastAsia="zh-CN" w:bidi="ar"/>
                    </w:rPr>
                    <w:t>√</w:t>
                  </w:r>
                </w:p>
              </w:tc>
              <w:tc>
                <w:tcPr>
                  <w:tcW w:w="453" w:type="dxa"/>
                  <w:tcBorders>
                    <w:top w:val="single" w:color="auto" w:sz="4" w:space="0"/>
                    <w:left w:val="nil"/>
                    <w:bottom w:val="single" w:color="auto" w:sz="4" w:space="0"/>
                    <w:right w:val="single" w:color="auto" w:sz="4" w:space="0"/>
                  </w:tcBorders>
                  <w:shd w:val="clear" w:color="auto" w:fill="auto"/>
                  <w:vAlign w:val="center"/>
                </w:tcPr>
                <w:p w14:paraId="4C0DA1E6">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2</w:t>
                  </w:r>
                </w:p>
              </w:tc>
              <w:tc>
                <w:tcPr>
                  <w:tcW w:w="2610" w:type="dxa"/>
                  <w:tcBorders>
                    <w:top w:val="single" w:color="auto" w:sz="4" w:space="0"/>
                    <w:left w:val="nil"/>
                    <w:bottom w:val="single" w:color="auto" w:sz="4" w:space="0"/>
                    <w:right w:val="single" w:color="auto" w:sz="4" w:space="0"/>
                  </w:tcBorders>
                  <w:shd w:val="clear" w:color="auto" w:fill="auto"/>
                  <w:vAlign w:val="center"/>
                </w:tcPr>
                <w:p w14:paraId="20625C75">
                  <w:pPr>
                    <w:keepNext w:val="0"/>
                    <w:keepLines w:val="0"/>
                    <w:widowControl w:val="0"/>
                    <w:suppressLineNumbers w:val="0"/>
                    <w:adjustRightInd w:val="0"/>
                    <w:snapToGrid w:val="0"/>
                    <w:spacing w:before="0" w:beforeAutospacing="0" w:after="0" w:afterAutospacing="0" w:line="273"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脚手架搭拆及摊销费</w:t>
                  </w:r>
                </w:p>
              </w:tc>
              <w:tc>
                <w:tcPr>
                  <w:tcW w:w="4224" w:type="dxa"/>
                  <w:tcBorders>
                    <w:top w:val="single" w:color="auto" w:sz="4" w:space="0"/>
                    <w:left w:val="nil"/>
                    <w:bottom w:val="single" w:color="auto" w:sz="4" w:space="0"/>
                    <w:right w:val="single" w:color="auto" w:sz="4" w:space="0"/>
                  </w:tcBorders>
                  <w:shd w:val="clear" w:color="auto" w:fill="auto"/>
                  <w:vAlign w:val="center"/>
                </w:tcPr>
                <w:p w14:paraId="7D00DE9B">
                  <w:pPr>
                    <w:keepNext w:val="0"/>
                    <w:keepLines w:val="0"/>
                    <w:widowControl w:val="0"/>
                    <w:suppressLineNumbers w:val="0"/>
                    <w:adjustRightInd w:val="0"/>
                    <w:snapToGrid w:val="0"/>
                    <w:spacing w:before="0" w:beforeAutospacing="0" w:after="0" w:afterAutospacing="0" w:line="273"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总价包干项目，按分部分项工程量清单项目的支付方式。</w:t>
                  </w:r>
                </w:p>
              </w:tc>
            </w:tr>
            <w:tr w14:paraId="3CCF1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2588CC77">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Calibri" w:eastAsia="宋体" w:cs="宋体"/>
                      <w:bCs/>
                      <w:color w:val="auto"/>
                      <w:kern w:val="0"/>
                      <w:sz w:val="18"/>
                      <w:szCs w:val="18"/>
                      <w:highlight w:val="none"/>
                    </w:rPr>
                  </w:pPr>
                  <w:r>
                    <w:rPr>
                      <w:rFonts w:hint="eastAsia" w:ascii="宋体" w:hAnsi="宋体" w:eastAsia="宋体" w:cs="宋体"/>
                      <w:bCs/>
                      <w:color w:val="auto"/>
                      <w:kern w:val="0"/>
                      <w:sz w:val="18"/>
                      <w:szCs w:val="18"/>
                      <w:highlight w:val="none"/>
                      <w:lang w:val="en-US" w:eastAsia="zh-CN" w:bidi="ar"/>
                    </w:rPr>
                    <w:t>√</w:t>
                  </w:r>
                </w:p>
              </w:tc>
              <w:tc>
                <w:tcPr>
                  <w:tcW w:w="453" w:type="dxa"/>
                  <w:tcBorders>
                    <w:top w:val="single" w:color="auto" w:sz="4" w:space="0"/>
                    <w:left w:val="nil"/>
                    <w:bottom w:val="single" w:color="auto" w:sz="4" w:space="0"/>
                    <w:right w:val="single" w:color="auto" w:sz="4" w:space="0"/>
                  </w:tcBorders>
                  <w:shd w:val="clear" w:color="auto" w:fill="auto"/>
                  <w:vAlign w:val="center"/>
                </w:tcPr>
                <w:p w14:paraId="7206B9E3">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3</w:t>
                  </w:r>
                </w:p>
              </w:tc>
              <w:tc>
                <w:tcPr>
                  <w:tcW w:w="2610" w:type="dxa"/>
                  <w:tcBorders>
                    <w:top w:val="single" w:color="auto" w:sz="4" w:space="0"/>
                    <w:left w:val="nil"/>
                    <w:bottom w:val="single" w:color="auto" w:sz="4" w:space="0"/>
                    <w:right w:val="single" w:color="auto" w:sz="4" w:space="0"/>
                  </w:tcBorders>
                  <w:shd w:val="clear" w:color="auto" w:fill="auto"/>
                  <w:vAlign w:val="center"/>
                </w:tcPr>
                <w:p w14:paraId="303A19F7">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垂直运输费</w:t>
                  </w:r>
                </w:p>
              </w:tc>
              <w:tc>
                <w:tcPr>
                  <w:tcW w:w="4224" w:type="dxa"/>
                  <w:tcBorders>
                    <w:top w:val="single" w:color="auto" w:sz="4" w:space="0"/>
                    <w:left w:val="nil"/>
                    <w:bottom w:val="single" w:color="auto" w:sz="4" w:space="0"/>
                    <w:right w:val="single" w:color="auto" w:sz="4" w:space="0"/>
                  </w:tcBorders>
                  <w:shd w:val="clear" w:color="auto" w:fill="auto"/>
                  <w:vAlign w:val="center"/>
                </w:tcPr>
                <w:p w14:paraId="24EBA274">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总价包干项目，按施工期分月平均支付。</w:t>
                  </w:r>
                </w:p>
              </w:tc>
            </w:tr>
            <w:tr w14:paraId="78FEA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9"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17626AAD">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21"/>
                      <w:szCs w:val="21"/>
                      <w:highlight w:val="none"/>
                      <w:lang w:val="en-US" w:eastAsia="zh-CN" w:bidi="ar"/>
                    </w:rPr>
                    <w:t>×</w:t>
                  </w:r>
                </w:p>
              </w:tc>
              <w:tc>
                <w:tcPr>
                  <w:tcW w:w="453" w:type="dxa"/>
                  <w:tcBorders>
                    <w:top w:val="single" w:color="auto" w:sz="4" w:space="0"/>
                    <w:left w:val="nil"/>
                    <w:bottom w:val="single" w:color="auto" w:sz="4" w:space="0"/>
                    <w:right w:val="single" w:color="auto" w:sz="4" w:space="0"/>
                  </w:tcBorders>
                  <w:shd w:val="clear" w:color="auto" w:fill="auto"/>
                  <w:vAlign w:val="center"/>
                </w:tcPr>
                <w:p w14:paraId="1F03D165">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4</w:t>
                  </w:r>
                </w:p>
              </w:tc>
              <w:tc>
                <w:tcPr>
                  <w:tcW w:w="2610" w:type="dxa"/>
                  <w:tcBorders>
                    <w:top w:val="single" w:color="auto" w:sz="4" w:space="0"/>
                    <w:left w:val="nil"/>
                    <w:bottom w:val="single" w:color="auto" w:sz="4" w:space="0"/>
                    <w:right w:val="single" w:color="auto" w:sz="4" w:space="0"/>
                  </w:tcBorders>
                  <w:shd w:val="clear" w:color="auto" w:fill="auto"/>
                  <w:vAlign w:val="center"/>
                </w:tcPr>
                <w:p w14:paraId="101DA8FC">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大型机械设备安拆费</w:t>
                  </w:r>
                </w:p>
              </w:tc>
              <w:tc>
                <w:tcPr>
                  <w:tcW w:w="4224" w:type="dxa"/>
                  <w:tcBorders>
                    <w:top w:val="single" w:color="auto" w:sz="4" w:space="0"/>
                    <w:left w:val="nil"/>
                    <w:bottom w:val="single" w:color="auto" w:sz="4" w:space="0"/>
                    <w:right w:val="single" w:color="auto" w:sz="4" w:space="0"/>
                  </w:tcBorders>
                  <w:shd w:val="clear" w:color="auto" w:fill="auto"/>
                  <w:vAlign w:val="center"/>
                </w:tcPr>
                <w:p w14:paraId="5166AEE8">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总价包干项目，经验收合格后支付。</w:t>
                  </w:r>
                </w:p>
              </w:tc>
            </w:tr>
            <w:tr w14:paraId="1D284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9"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1E9C7B13">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21"/>
                      <w:szCs w:val="21"/>
                      <w:highlight w:val="none"/>
                      <w:lang w:val="en-US" w:eastAsia="zh-CN" w:bidi="ar"/>
                    </w:rPr>
                    <w:t>×</w:t>
                  </w:r>
                </w:p>
              </w:tc>
              <w:tc>
                <w:tcPr>
                  <w:tcW w:w="453" w:type="dxa"/>
                  <w:tcBorders>
                    <w:top w:val="single" w:color="auto" w:sz="4" w:space="0"/>
                    <w:left w:val="nil"/>
                    <w:bottom w:val="single" w:color="auto" w:sz="4" w:space="0"/>
                    <w:right w:val="single" w:color="auto" w:sz="4" w:space="0"/>
                  </w:tcBorders>
                  <w:shd w:val="clear" w:color="auto" w:fill="auto"/>
                  <w:vAlign w:val="center"/>
                </w:tcPr>
                <w:p w14:paraId="3F2AA2A5">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5</w:t>
                  </w:r>
                </w:p>
              </w:tc>
              <w:tc>
                <w:tcPr>
                  <w:tcW w:w="2610" w:type="dxa"/>
                  <w:tcBorders>
                    <w:top w:val="single" w:color="auto" w:sz="4" w:space="0"/>
                    <w:left w:val="nil"/>
                    <w:bottom w:val="single" w:color="auto" w:sz="4" w:space="0"/>
                    <w:right w:val="single" w:color="auto" w:sz="4" w:space="0"/>
                  </w:tcBorders>
                  <w:shd w:val="clear" w:color="auto" w:fill="auto"/>
                  <w:vAlign w:val="center"/>
                </w:tcPr>
                <w:p w14:paraId="316BA9B4">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施工排水、降水费用</w:t>
                  </w:r>
                </w:p>
              </w:tc>
              <w:tc>
                <w:tcPr>
                  <w:tcW w:w="4224" w:type="dxa"/>
                  <w:tcBorders>
                    <w:top w:val="single" w:color="auto" w:sz="4" w:space="0"/>
                    <w:left w:val="nil"/>
                    <w:bottom w:val="single" w:color="auto" w:sz="4" w:space="0"/>
                    <w:right w:val="single" w:color="auto" w:sz="4" w:space="0"/>
                  </w:tcBorders>
                  <w:shd w:val="clear" w:color="auto" w:fill="auto"/>
                  <w:vAlign w:val="center"/>
                </w:tcPr>
                <w:p w14:paraId="7CD42E69">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总价包干项目，按施工期分月平均支付。</w:t>
                  </w:r>
                </w:p>
              </w:tc>
            </w:tr>
            <w:tr w14:paraId="7C65C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19AFB246">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Calibri" w:eastAsia="宋体" w:cs="宋体"/>
                      <w:color w:val="auto"/>
                      <w:kern w:val="0"/>
                      <w:sz w:val="18"/>
                      <w:szCs w:val="18"/>
                      <w:highlight w:val="none"/>
                    </w:rPr>
                  </w:pPr>
                  <w:r>
                    <w:rPr>
                      <w:rFonts w:hint="eastAsia" w:ascii="宋体" w:hAnsi="宋体" w:eastAsia="宋体" w:cs="宋体"/>
                      <w:bCs/>
                      <w:color w:val="auto"/>
                      <w:kern w:val="0"/>
                      <w:sz w:val="18"/>
                      <w:szCs w:val="18"/>
                      <w:highlight w:val="none"/>
                      <w:lang w:val="en-US" w:eastAsia="zh-CN" w:bidi="ar"/>
                    </w:rPr>
                    <w:t>√</w:t>
                  </w:r>
                </w:p>
              </w:tc>
              <w:tc>
                <w:tcPr>
                  <w:tcW w:w="453" w:type="dxa"/>
                  <w:tcBorders>
                    <w:top w:val="single" w:color="auto" w:sz="4" w:space="0"/>
                    <w:left w:val="nil"/>
                    <w:bottom w:val="single" w:color="auto" w:sz="4" w:space="0"/>
                    <w:right w:val="single" w:color="auto" w:sz="4" w:space="0"/>
                  </w:tcBorders>
                  <w:shd w:val="clear" w:color="auto" w:fill="auto"/>
                  <w:vAlign w:val="center"/>
                </w:tcPr>
                <w:p w14:paraId="16959F80">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6</w:t>
                  </w:r>
                </w:p>
              </w:tc>
              <w:tc>
                <w:tcPr>
                  <w:tcW w:w="2610" w:type="dxa"/>
                  <w:tcBorders>
                    <w:top w:val="single" w:color="auto" w:sz="4" w:space="0"/>
                    <w:left w:val="nil"/>
                    <w:bottom w:val="single" w:color="auto" w:sz="4" w:space="0"/>
                    <w:right w:val="single" w:color="auto" w:sz="4" w:space="0"/>
                  </w:tcBorders>
                  <w:shd w:val="clear" w:color="auto" w:fill="auto"/>
                  <w:vAlign w:val="center"/>
                </w:tcPr>
                <w:p w14:paraId="1D17A594">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为配合第三方检测所发生的费用</w:t>
                  </w:r>
                </w:p>
              </w:tc>
              <w:tc>
                <w:tcPr>
                  <w:tcW w:w="4224" w:type="dxa"/>
                  <w:tcBorders>
                    <w:top w:val="single" w:color="auto" w:sz="4" w:space="0"/>
                    <w:left w:val="nil"/>
                    <w:bottom w:val="single" w:color="auto" w:sz="4" w:space="0"/>
                    <w:right w:val="single" w:color="auto" w:sz="4" w:space="0"/>
                  </w:tcBorders>
                  <w:shd w:val="clear" w:color="auto" w:fill="auto"/>
                  <w:vAlign w:val="center"/>
                </w:tcPr>
                <w:p w14:paraId="25514561">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总价包干项目，按施工期分月平均支付。</w:t>
                  </w:r>
                </w:p>
              </w:tc>
            </w:tr>
            <w:tr w14:paraId="78B0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007A0A7F">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Calibri" w:eastAsia="宋体" w:cs="宋体"/>
                      <w:color w:val="auto"/>
                      <w:kern w:val="0"/>
                      <w:sz w:val="18"/>
                      <w:szCs w:val="18"/>
                      <w:highlight w:val="none"/>
                    </w:rPr>
                  </w:pPr>
                  <w:r>
                    <w:rPr>
                      <w:rFonts w:hint="eastAsia" w:ascii="宋体" w:hAnsi="宋体" w:eastAsia="宋体" w:cs="宋体"/>
                      <w:bCs/>
                      <w:color w:val="auto"/>
                      <w:kern w:val="0"/>
                      <w:sz w:val="18"/>
                      <w:szCs w:val="18"/>
                      <w:highlight w:val="none"/>
                      <w:lang w:val="en-US" w:eastAsia="zh-CN" w:bidi="ar"/>
                    </w:rPr>
                    <w:t>√</w:t>
                  </w:r>
                </w:p>
              </w:tc>
              <w:tc>
                <w:tcPr>
                  <w:tcW w:w="453" w:type="dxa"/>
                  <w:tcBorders>
                    <w:top w:val="single" w:color="auto" w:sz="4" w:space="0"/>
                    <w:left w:val="nil"/>
                    <w:bottom w:val="single" w:color="auto" w:sz="4" w:space="0"/>
                    <w:right w:val="single" w:color="auto" w:sz="4" w:space="0"/>
                  </w:tcBorders>
                  <w:shd w:val="clear" w:color="auto" w:fill="auto"/>
                  <w:vAlign w:val="center"/>
                </w:tcPr>
                <w:p w14:paraId="29927150">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8</w:t>
                  </w:r>
                </w:p>
              </w:tc>
              <w:tc>
                <w:tcPr>
                  <w:tcW w:w="2610" w:type="dxa"/>
                  <w:tcBorders>
                    <w:top w:val="single" w:color="auto" w:sz="4" w:space="0"/>
                    <w:left w:val="nil"/>
                    <w:bottom w:val="single" w:color="auto" w:sz="4" w:space="0"/>
                    <w:right w:val="single" w:color="auto" w:sz="4" w:space="0"/>
                  </w:tcBorders>
                  <w:shd w:val="clear" w:color="auto" w:fill="auto"/>
                  <w:vAlign w:val="center"/>
                </w:tcPr>
                <w:p w14:paraId="0B859125">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系统联合调试费</w:t>
                  </w:r>
                </w:p>
              </w:tc>
              <w:tc>
                <w:tcPr>
                  <w:tcW w:w="4224" w:type="dxa"/>
                  <w:tcBorders>
                    <w:top w:val="single" w:color="auto" w:sz="4" w:space="0"/>
                    <w:left w:val="nil"/>
                    <w:bottom w:val="single" w:color="auto" w:sz="4" w:space="0"/>
                    <w:right w:val="single" w:color="auto" w:sz="4" w:space="0"/>
                  </w:tcBorders>
                  <w:shd w:val="clear" w:color="auto" w:fill="auto"/>
                  <w:vAlign w:val="center"/>
                </w:tcPr>
                <w:p w14:paraId="59EA2092">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总价包干项目，系统联合调试完成经验收合格后后支付。</w:t>
                  </w:r>
                </w:p>
              </w:tc>
            </w:tr>
            <w:tr w14:paraId="0B60E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9"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1FB4E291">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Calibri" w:eastAsia="宋体" w:cs="宋体"/>
                      <w:strike/>
                      <w:dstrike w:val="0"/>
                      <w:color w:val="auto"/>
                      <w:kern w:val="0"/>
                      <w:sz w:val="18"/>
                      <w:szCs w:val="18"/>
                      <w:highlight w:val="none"/>
                    </w:rPr>
                  </w:pPr>
                  <w:r>
                    <w:rPr>
                      <w:rFonts w:hint="eastAsia" w:ascii="宋体" w:hAnsi="宋体" w:eastAsia="宋体" w:cs="宋体"/>
                      <w:bCs/>
                      <w:strike/>
                      <w:dstrike w:val="0"/>
                      <w:color w:val="auto"/>
                      <w:kern w:val="0"/>
                      <w:sz w:val="18"/>
                      <w:szCs w:val="18"/>
                      <w:highlight w:val="none"/>
                      <w:lang w:val="en-US" w:eastAsia="zh-CN" w:bidi="ar"/>
                    </w:rPr>
                    <w:t>√</w:t>
                  </w:r>
                </w:p>
              </w:tc>
              <w:tc>
                <w:tcPr>
                  <w:tcW w:w="453" w:type="dxa"/>
                  <w:tcBorders>
                    <w:top w:val="single" w:color="auto" w:sz="4" w:space="0"/>
                    <w:left w:val="nil"/>
                    <w:bottom w:val="single" w:color="auto" w:sz="4" w:space="0"/>
                    <w:right w:val="single" w:color="auto" w:sz="4" w:space="0"/>
                  </w:tcBorders>
                  <w:shd w:val="clear" w:color="auto" w:fill="auto"/>
                  <w:vAlign w:val="center"/>
                </w:tcPr>
                <w:p w14:paraId="77679CFF">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strike/>
                      <w:dstrike w:val="0"/>
                      <w:color w:val="auto"/>
                      <w:kern w:val="0"/>
                      <w:sz w:val="18"/>
                      <w:szCs w:val="18"/>
                      <w:highlight w:val="none"/>
                    </w:rPr>
                  </w:pPr>
                  <w:r>
                    <w:rPr>
                      <w:rFonts w:hint="eastAsia" w:ascii="宋体" w:hAnsi="宋体" w:eastAsia="宋体" w:cs="宋体"/>
                      <w:strike/>
                      <w:dstrike w:val="0"/>
                      <w:color w:val="auto"/>
                      <w:kern w:val="0"/>
                      <w:sz w:val="18"/>
                      <w:szCs w:val="18"/>
                      <w:highlight w:val="none"/>
                      <w:lang w:val="en-US" w:eastAsia="zh-CN" w:bidi="ar"/>
                    </w:rPr>
                    <w:t>9</w:t>
                  </w:r>
                </w:p>
              </w:tc>
              <w:tc>
                <w:tcPr>
                  <w:tcW w:w="2610" w:type="dxa"/>
                  <w:tcBorders>
                    <w:top w:val="single" w:color="auto" w:sz="4" w:space="0"/>
                    <w:left w:val="nil"/>
                    <w:bottom w:val="single" w:color="auto" w:sz="4" w:space="0"/>
                    <w:right w:val="single" w:color="auto" w:sz="4" w:space="0"/>
                  </w:tcBorders>
                  <w:shd w:val="clear" w:color="auto" w:fill="auto"/>
                  <w:vAlign w:val="center"/>
                </w:tcPr>
                <w:p w14:paraId="557A713C">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strike/>
                      <w:dstrike w:val="0"/>
                      <w:color w:val="auto"/>
                      <w:kern w:val="0"/>
                      <w:sz w:val="18"/>
                      <w:szCs w:val="18"/>
                      <w:highlight w:val="none"/>
                    </w:rPr>
                  </w:pPr>
                  <w:r>
                    <w:rPr>
                      <w:rFonts w:hint="eastAsia" w:ascii="宋体" w:hAnsi="宋体" w:eastAsia="宋体" w:cs="宋体"/>
                      <w:strike/>
                      <w:dstrike w:val="0"/>
                      <w:color w:val="auto"/>
                      <w:kern w:val="2"/>
                      <w:sz w:val="18"/>
                      <w:szCs w:val="18"/>
                      <w:highlight w:val="none"/>
                      <w:lang w:val="en-US" w:eastAsia="zh-CN" w:bidi="ar"/>
                    </w:rPr>
                    <w:t>接入广州市重点公共建设项目管理中心视频监控综合管理平台费</w:t>
                  </w:r>
                </w:p>
              </w:tc>
              <w:tc>
                <w:tcPr>
                  <w:tcW w:w="4224" w:type="dxa"/>
                  <w:tcBorders>
                    <w:top w:val="single" w:color="auto" w:sz="4" w:space="0"/>
                    <w:left w:val="nil"/>
                    <w:bottom w:val="single" w:color="auto" w:sz="4" w:space="0"/>
                    <w:right w:val="single" w:color="auto" w:sz="4" w:space="0"/>
                  </w:tcBorders>
                  <w:shd w:val="clear" w:color="auto" w:fill="auto"/>
                  <w:vAlign w:val="center"/>
                </w:tcPr>
                <w:p w14:paraId="49EAFC98">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strike/>
                      <w:dstrike w:val="0"/>
                      <w:color w:val="auto"/>
                      <w:kern w:val="0"/>
                      <w:sz w:val="18"/>
                      <w:szCs w:val="18"/>
                      <w:highlight w:val="none"/>
                    </w:rPr>
                  </w:pPr>
                  <w:r>
                    <w:rPr>
                      <w:rFonts w:hint="eastAsia" w:ascii="宋体" w:hAnsi="宋体" w:eastAsia="宋体" w:cs="宋体"/>
                      <w:strike/>
                      <w:dstrike w:val="0"/>
                      <w:color w:val="auto"/>
                      <w:kern w:val="0"/>
                      <w:sz w:val="18"/>
                      <w:szCs w:val="18"/>
                      <w:highlight w:val="none"/>
                      <w:lang w:val="en-US" w:eastAsia="zh-CN" w:bidi="ar"/>
                    </w:rPr>
                    <w:t>该费用没有发生的不计算，有发生的按合价包干考虑。费用在“绿色施工安全防护措施费”综合考虑。</w:t>
                  </w:r>
                </w:p>
              </w:tc>
            </w:tr>
            <w:tr w14:paraId="6A22B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9"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0B98EA39">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21"/>
                      <w:szCs w:val="21"/>
                      <w:highlight w:val="none"/>
                      <w:lang w:val="en-US" w:eastAsia="zh-CN" w:bidi="ar"/>
                    </w:rPr>
                    <w:t>×</w:t>
                  </w:r>
                </w:p>
              </w:tc>
              <w:tc>
                <w:tcPr>
                  <w:tcW w:w="453" w:type="dxa"/>
                  <w:tcBorders>
                    <w:top w:val="single" w:color="auto" w:sz="4" w:space="0"/>
                    <w:left w:val="nil"/>
                    <w:bottom w:val="single" w:color="auto" w:sz="4" w:space="0"/>
                    <w:right w:val="single" w:color="auto" w:sz="4" w:space="0"/>
                  </w:tcBorders>
                  <w:shd w:val="clear" w:color="auto" w:fill="auto"/>
                  <w:vAlign w:val="center"/>
                </w:tcPr>
                <w:p w14:paraId="2E7F2B07">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10</w:t>
                  </w:r>
                </w:p>
              </w:tc>
              <w:tc>
                <w:tcPr>
                  <w:tcW w:w="2610" w:type="dxa"/>
                  <w:tcBorders>
                    <w:top w:val="single" w:color="auto" w:sz="4" w:space="0"/>
                    <w:left w:val="nil"/>
                    <w:bottom w:val="single" w:color="auto" w:sz="4" w:space="0"/>
                    <w:right w:val="single" w:color="auto" w:sz="4" w:space="0"/>
                  </w:tcBorders>
                  <w:shd w:val="clear" w:color="auto" w:fill="auto"/>
                  <w:vAlign w:val="center"/>
                </w:tcPr>
                <w:p w14:paraId="439F88E6">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地下室基坑支护费用</w:t>
                  </w:r>
                </w:p>
              </w:tc>
              <w:tc>
                <w:tcPr>
                  <w:tcW w:w="4224" w:type="dxa"/>
                  <w:tcBorders>
                    <w:top w:val="single" w:color="auto" w:sz="4" w:space="0"/>
                    <w:left w:val="nil"/>
                    <w:bottom w:val="single" w:color="auto" w:sz="4" w:space="0"/>
                    <w:right w:val="single" w:color="auto" w:sz="4" w:space="0"/>
                  </w:tcBorders>
                  <w:shd w:val="clear" w:color="auto" w:fill="auto"/>
                  <w:vAlign w:val="center"/>
                </w:tcPr>
                <w:p w14:paraId="3627C850">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结算时，若①∑（竣工结算分项工程量－招标基坑支护图纸的分项工程量）×投标单价（换算或新增单价）≥0，则此项费用不作调整，合价包干；若②∑（竣工结算分项工程量－招标基坑支护图纸的分项工程量）×投标单价（换算或新增单价）＜0，则扣减减少部分的费用。按分部分项工程量清单项目的支付方式。</w:t>
                  </w:r>
                </w:p>
              </w:tc>
            </w:tr>
            <w:tr w14:paraId="79F89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5FBD3F50">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Calibri" w:eastAsia="宋体" w:cs="宋体"/>
                      <w:color w:val="auto"/>
                      <w:kern w:val="0"/>
                      <w:sz w:val="18"/>
                      <w:szCs w:val="18"/>
                      <w:highlight w:val="none"/>
                    </w:rPr>
                  </w:pPr>
                  <w:r>
                    <w:rPr>
                      <w:rFonts w:hint="eastAsia" w:ascii="宋体" w:hAnsi="宋体" w:eastAsia="宋体" w:cs="宋体"/>
                      <w:bCs/>
                      <w:color w:val="auto"/>
                      <w:kern w:val="0"/>
                      <w:sz w:val="18"/>
                      <w:szCs w:val="18"/>
                      <w:highlight w:val="none"/>
                      <w:lang w:val="en-US" w:eastAsia="zh-CN" w:bidi="ar"/>
                    </w:rPr>
                    <w:t>√</w:t>
                  </w:r>
                </w:p>
              </w:tc>
              <w:tc>
                <w:tcPr>
                  <w:tcW w:w="453" w:type="dxa"/>
                  <w:tcBorders>
                    <w:top w:val="single" w:color="auto" w:sz="4" w:space="0"/>
                    <w:left w:val="nil"/>
                    <w:bottom w:val="single" w:color="auto" w:sz="4" w:space="0"/>
                    <w:right w:val="single" w:color="auto" w:sz="4" w:space="0"/>
                  </w:tcBorders>
                  <w:shd w:val="clear" w:color="auto" w:fill="auto"/>
                  <w:vAlign w:val="center"/>
                </w:tcPr>
                <w:p w14:paraId="58D03EAD">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11</w:t>
                  </w:r>
                </w:p>
              </w:tc>
              <w:tc>
                <w:tcPr>
                  <w:tcW w:w="2610" w:type="dxa"/>
                  <w:tcBorders>
                    <w:top w:val="single" w:color="auto" w:sz="4" w:space="0"/>
                    <w:left w:val="nil"/>
                    <w:bottom w:val="single" w:color="auto" w:sz="4" w:space="0"/>
                    <w:right w:val="single" w:color="auto" w:sz="4" w:space="0"/>
                  </w:tcBorders>
                  <w:shd w:val="clear" w:color="auto" w:fill="auto"/>
                  <w:vAlign w:val="center"/>
                </w:tcPr>
                <w:p w14:paraId="296C0D10">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高层建筑增加费（机电安装工程）</w:t>
                  </w:r>
                </w:p>
              </w:tc>
              <w:tc>
                <w:tcPr>
                  <w:tcW w:w="4224" w:type="dxa"/>
                  <w:tcBorders>
                    <w:top w:val="single" w:color="auto" w:sz="4" w:space="0"/>
                    <w:left w:val="nil"/>
                    <w:bottom w:val="single" w:color="auto" w:sz="4" w:space="0"/>
                    <w:right w:val="single" w:color="auto" w:sz="4" w:space="0"/>
                  </w:tcBorders>
                  <w:shd w:val="clear" w:color="auto" w:fill="auto"/>
                  <w:vAlign w:val="center"/>
                </w:tcPr>
                <w:p w14:paraId="4C685202">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总价包干项目，按施工期分月平均支付。</w:t>
                  </w:r>
                </w:p>
              </w:tc>
            </w:tr>
            <w:tr w14:paraId="2A2D9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11126A0E">
                  <w:pPr>
                    <w:keepNext w:val="0"/>
                    <w:keepLines w:val="0"/>
                    <w:widowControl w:val="0"/>
                    <w:suppressLineNumbers w:val="0"/>
                    <w:adjustRightInd w:val="0"/>
                    <w:snapToGrid w:val="0"/>
                    <w:spacing w:before="0" w:beforeAutospacing="0" w:after="0" w:afterAutospacing="0" w:line="273" w:lineRule="auto"/>
                    <w:ind w:left="0" w:right="0"/>
                    <w:jc w:val="center"/>
                    <w:rPr>
                      <w:rFonts w:hint="default" w:ascii="宋体" w:hAnsi="Calibri" w:eastAsia="宋体" w:cs="宋体"/>
                      <w:bCs/>
                      <w:strike/>
                      <w:color w:val="auto"/>
                      <w:kern w:val="0"/>
                      <w:sz w:val="18"/>
                      <w:szCs w:val="18"/>
                      <w:highlight w:val="none"/>
                    </w:rPr>
                  </w:pPr>
                  <w:r>
                    <w:rPr>
                      <w:rFonts w:hint="eastAsia" w:ascii="宋体" w:hAnsi="宋体" w:eastAsia="宋体" w:cs="宋体"/>
                      <w:bCs/>
                      <w:strike/>
                      <w:color w:val="auto"/>
                      <w:kern w:val="0"/>
                      <w:sz w:val="18"/>
                      <w:szCs w:val="18"/>
                      <w:highlight w:val="none"/>
                      <w:lang w:val="en-US" w:eastAsia="zh-CN" w:bidi="ar"/>
                    </w:rPr>
                    <w:t>√</w:t>
                  </w:r>
                </w:p>
              </w:tc>
              <w:tc>
                <w:tcPr>
                  <w:tcW w:w="453" w:type="dxa"/>
                  <w:tcBorders>
                    <w:top w:val="single" w:color="auto" w:sz="4" w:space="0"/>
                    <w:left w:val="nil"/>
                    <w:bottom w:val="single" w:color="auto" w:sz="4" w:space="0"/>
                    <w:right w:val="single" w:color="auto" w:sz="4" w:space="0"/>
                  </w:tcBorders>
                  <w:shd w:val="clear" w:color="auto" w:fill="auto"/>
                  <w:vAlign w:val="center"/>
                </w:tcPr>
                <w:p w14:paraId="7684ECC3">
                  <w:pPr>
                    <w:keepNext w:val="0"/>
                    <w:keepLines w:val="0"/>
                    <w:widowControl w:val="0"/>
                    <w:suppressLineNumbers w:val="0"/>
                    <w:adjustRightInd w:val="0"/>
                    <w:snapToGrid w:val="0"/>
                    <w:spacing w:before="0" w:beforeAutospacing="0" w:after="0" w:afterAutospacing="0" w:line="300" w:lineRule="auto"/>
                    <w:ind w:left="0" w:right="0"/>
                    <w:jc w:val="center"/>
                    <w:rPr>
                      <w:rFonts w:hint="default" w:ascii="宋体" w:hAnsi="宋体" w:eastAsia="宋体" w:cs="宋体"/>
                      <w:strike/>
                      <w:color w:val="auto"/>
                      <w:kern w:val="0"/>
                      <w:sz w:val="18"/>
                      <w:szCs w:val="18"/>
                      <w:highlight w:val="none"/>
                    </w:rPr>
                  </w:pPr>
                  <w:r>
                    <w:rPr>
                      <w:rFonts w:hint="eastAsia" w:ascii="宋体" w:hAnsi="宋体" w:eastAsia="宋体" w:cs="宋体"/>
                      <w:strike/>
                      <w:color w:val="auto"/>
                      <w:kern w:val="0"/>
                      <w:sz w:val="18"/>
                      <w:szCs w:val="18"/>
                      <w:highlight w:val="none"/>
                      <w:lang w:val="en-US" w:eastAsia="zh-CN" w:bidi="ar"/>
                    </w:rPr>
                    <w:t>12</w:t>
                  </w:r>
                </w:p>
              </w:tc>
              <w:tc>
                <w:tcPr>
                  <w:tcW w:w="2610" w:type="dxa"/>
                  <w:tcBorders>
                    <w:top w:val="single" w:color="auto" w:sz="4" w:space="0"/>
                    <w:left w:val="nil"/>
                    <w:bottom w:val="single" w:color="auto" w:sz="4" w:space="0"/>
                    <w:right w:val="single" w:color="auto" w:sz="4" w:space="0"/>
                  </w:tcBorders>
                  <w:shd w:val="clear" w:color="auto" w:fill="auto"/>
                  <w:vAlign w:val="center"/>
                </w:tcPr>
                <w:p w14:paraId="75986D1B">
                  <w:pPr>
                    <w:keepNext w:val="0"/>
                    <w:keepLines w:val="0"/>
                    <w:widowControl w:val="0"/>
                    <w:suppressLineNumbers w:val="0"/>
                    <w:adjustRightInd w:val="0"/>
                    <w:snapToGrid w:val="0"/>
                    <w:spacing w:before="0" w:beforeAutospacing="0" w:after="0" w:afterAutospacing="0" w:line="300" w:lineRule="auto"/>
                    <w:ind w:left="0" w:right="0"/>
                    <w:jc w:val="both"/>
                    <w:rPr>
                      <w:rFonts w:hint="default" w:ascii="宋体" w:hAnsi="Calibri" w:eastAsia="宋体" w:cs="宋体"/>
                      <w:strike/>
                      <w:color w:val="auto"/>
                      <w:kern w:val="0"/>
                      <w:sz w:val="18"/>
                      <w:szCs w:val="18"/>
                      <w:highlight w:val="none"/>
                    </w:rPr>
                  </w:pPr>
                  <w:r>
                    <w:rPr>
                      <w:rFonts w:hint="eastAsia" w:ascii="宋体" w:hAnsi="宋体" w:eastAsia="宋体" w:cs="宋体"/>
                      <w:strike/>
                      <w:color w:val="auto"/>
                      <w:kern w:val="2"/>
                      <w:sz w:val="18"/>
                      <w:szCs w:val="18"/>
                      <w:highlight w:val="none"/>
                      <w:lang w:val="en-US" w:eastAsia="zh-CN" w:bidi="ar"/>
                    </w:rPr>
                    <w:t>机电安装工程在地下（暗）室、设备及大口径管道内等特殊施工部位（需要照明）进行施工增加费（机电安装工程）</w:t>
                  </w:r>
                </w:p>
              </w:tc>
              <w:tc>
                <w:tcPr>
                  <w:tcW w:w="4224" w:type="dxa"/>
                  <w:tcBorders>
                    <w:top w:val="single" w:color="auto" w:sz="4" w:space="0"/>
                    <w:left w:val="nil"/>
                    <w:bottom w:val="single" w:color="auto" w:sz="4" w:space="0"/>
                    <w:right w:val="single" w:color="auto" w:sz="4" w:space="0"/>
                  </w:tcBorders>
                  <w:shd w:val="clear" w:color="auto" w:fill="auto"/>
                  <w:vAlign w:val="center"/>
                </w:tcPr>
                <w:p w14:paraId="59705EBF">
                  <w:pPr>
                    <w:keepNext w:val="0"/>
                    <w:keepLines w:val="0"/>
                    <w:widowControl w:val="0"/>
                    <w:suppressLineNumbers w:val="0"/>
                    <w:adjustRightInd w:val="0"/>
                    <w:snapToGrid w:val="0"/>
                    <w:spacing w:before="0" w:beforeAutospacing="0" w:after="0" w:afterAutospacing="0" w:line="300" w:lineRule="auto"/>
                    <w:ind w:left="0" w:right="0"/>
                    <w:jc w:val="both"/>
                    <w:rPr>
                      <w:rFonts w:hint="default" w:ascii="宋体" w:hAnsi="Calibri" w:eastAsia="宋体" w:cs="宋体"/>
                      <w:strike/>
                      <w:color w:val="auto"/>
                      <w:kern w:val="0"/>
                      <w:sz w:val="18"/>
                      <w:szCs w:val="18"/>
                      <w:highlight w:val="none"/>
                    </w:rPr>
                  </w:pPr>
                  <w:r>
                    <w:rPr>
                      <w:rFonts w:hint="eastAsia" w:ascii="宋体" w:hAnsi="宋体" w:eastAsia="宋体" w:cs="宋体"/>
                      <w:strike/>
                      <w:color w:val="auto"/>
                      <w:kern w:val="0"/>
                      <w:sz w:val="18"/>
                      <w:szCs w:val="18"/>
                      <w:highlight w:val="none"/>
                      <w:lang w:val="en-US" w:eastAsia="zh-CN" w:bidi="ar"/>
                    </w:rPr>
                    <w:t>总价包干项目，按施工期分月平均支付。</w:t>
                  </w:r>
                </w:p>
              </w:tc>
            </w:tr>
            <w:tr w14:paraId="370A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147A6F2C">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Calibri" w:eastAsia="宋体" w:cs="宋体"/>
                      <w:bCs/>
                      <w:color w:val="auto"/>
                      <w:kern w:val="0"/>
                      <w:sz w:val="18"/>
                      <w:szCs w:val="18"/>
                      <w:highlight w:val="none"/>
                    </w:rPr>
                  </w:pPr>
                  <w:r>
                    <w:rPr>
                      <w:rFonts w:hint="eastAsia" w:ascii="宋体" w:hAnsi="宋体" w:eastAsia="宋体" w:cs="宋体"/>
                      <w:bCs/>
                      <w:color w:val="auto"/>
                      <w:kern w:val="0"/>
                      <w:sz w:val="18"/>
                      <w:szCs w:val="18"/>
                      <w:highlight w:val="none"/>
                      <w:lang w:val="en-US" w:eastAsia="zh-CN" w:bidi="ar"/>
                    </w:rPr>
                    <w:t>√</w:t>
                  </w:r>
                </w:p>
              </w:tc>
              <w:tc>
                <w:tcPr>
                  <w:tcW w:w="453" w:type="dxa"/>
                  <w:tcBorders>
                    <w:top w:val="single" w:color="auto" w:sz="4" w:space="0"/>
                    <w:left w:val="nil"/>
                    <w:bottom w:val="single" w:color="auto" w:sz="4" w:space="0"/>
                    <w:right w:val="single" w:color="auto" w:sz="4" w:space="0"/>
                  </w:tcBorders>
                  <w:shd w:val="clear" w:color="auto" w:fill="auto"/>
                  <w:vAlign w:val="center"/>
                </w:tcPr>
                <w:p w14:paraId="13A3CEAD">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13</w:t>
                  </w:r>
                </w:p>
              </w:tc>
              <w:tc>
                <w:tcPr>
                  <w:tcW w:w="2610" w:type="dxa"/>
                  <w:tcBorders>
                    <w:top w:val="single" w:color="auto" w:sz="4" w:space="0"/>
                    <w:left w:val="nil"/>
                    <w:bottom w:val="single" w:color="auto" w:sz="4" w:space="0"/>
                    <w:right w:val="single" w:color="auto" w:sz="4" w:space="0"/>
                  </w:tcBorders>
                  <w:shd w:val="clear" w:color="auto" w:fill="auto"/>
                  <w:vAlign w:val="center"/>
                </w:tcPr>
                <w:p w14:paraId="1DC42474">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其他措施费</w:t>
                  </w:r>
                </w:p>
              </w:tc>
              <w:tc>
                <w:tcPr>
                  <w:tcW w:w="4224" w:type="dxa"/>
                  <w:tcBorders>
                    <w:top w:val="single" w:color="auto" w:sz="4" w:space="0"/>
                    <w:left w:val="nil"/>
                    <w:bottom w:val="single" w:color="auto" w:sz="4" w:space="0"/>
                    <w:right w:val="single" w:color="auto" w:sz="4" w:space="0"/>
                  </w:tcBorders>
                  <w:shd w:val="clear" w:color="auto" w:fill="auto"/>
                  <w:vAlign w:val="center"/>
                </w:tcPr>
                <w:p w14:paraId="01A4AE18">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总价包干项目，按施工期分月平均支付。</w:t>
                  </w:r>
                </w:p>
              </w:tc>
            </w:tr>
            <w:tr w14:paraId="39929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0BD8EF8A">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Calibri" w:eastAsia="宋体" w:cs="宋体"/>
                      <w:bCs/>
                      <w:color w:val="auto"/>
                      <w:kern w:val="0"/>
                      <w:sz w:val="18"/>
                      <w:szCs w:val="18"/>
                      <w:highlight w:val="none"/>
                    </w:rPr>
                  </w:pPr>
                  <w:r>
                    <w:rPr>
                      <w:rFonts w:hint="eastAsia" w:ascii="宋体" w:hAnsi="宋体" w:eastAsia="宋体" w:cs="宋体"/>
                      <w:bCs/>
                      <w:color w:val="auto"/>
                      <w:kern w:val="0"/>
                      <w:sz w:val="18"/>
                      <w:szCs w:val="18"/>
                      <w:highlight w:val="none"/>
                      <w:lang w:val="en-US" w:eastAsia="zh-CN" w:bidi="ar"/>
                    </w:rPr>
                    <w:t>√</w:t>
                  </w:r>
                </w:p>
              </w:tc>
              <w:tc>
                <w:tcPr>
                  <w:tcW w:w="453" w:type="dxa"/>
                  <w:tcBorders>
                    <w:top w:val="single" w:color="auto" w:sz="4" w:space="0"/>
                    <w:left w:val="nil"/>
                    <w:bottom w:val="single" w:color="auto" w:sz="4" w:space="0"/>
                    <w:right w:val="single" w:color="auto" w:sz="4" w:space="0"/>
                  </w:tcBorders>
                  <w:shd w:val="clear" w:color="auto" w:fill="auto"/>
                  <w:vAlign w:val="center"/>
                </w:tcPr>
                <w:p w14:paraId="1E45FDFE">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14</w:t>
                  </w:r>
                </w:p>
              </w:tc>
              <w:tc>
                <w:tcPr>
                  <w:tcW w:w="2610" w:type="dxa"/>
                  <w:tcBorders>
                    <w:top w:val="single" w:color="auto" w:sz="4" w:space="0"/>
                    <w:left w:val="nil"/>
                    <w:bottom w:val="single" w:color="auto" w:sz="4" w:space="0"/>
                    <w:right w:val="single" w:color="auto" w:sz="4" w:space="0"/>
                  </w:tcBorders>
                  <w:shd w:val="clear" w:color="auto" w:fill="auto"/>
                  <w:vAlign w:val="center"/>
                </w:tcPr>
                <w:p w14:paraId="6672F85E">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施工现场围挡和临时占地围挡</w:t>
                  </w:r>
                </w:p>
              </w:tc>
              <w:tc>
                <w:tcPr>
                  <w:tcW w:w="4224" w:type="dxa"/>
                  <w:tcBorders>
                    <w:top w:val="single" w:color="auto" w:sz="4" w:space="0"/>
                    <w:left w:val="nil"/>
                    <w:bottom w:val="single" w:color="auto" w:sz="4" w:space="0"/>
                    <w:right w:val="single" w:color="auto" w:sz="4" w:space="0"/>
                  </w:tcBorders>
                  <w:shd w:val="clear" w:color="auto" w:fill="auto"/>
                  <w:vAlign w:val="center"/>
                </w:tcPr>
                <w:p w14:paraId="6853EF36">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按分部分项工程量清单项目的支付方式。</w:t>
                  </w:r>
                </w:p>
              </w:tc>
            </w:tr>
            <w:tr w14:paraId="71887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4DB73114">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Calibri" w:eastAsia="宋体" w:cs="宋体"/>
                      <w:bCs/>
                      <w:color w:val="auto"/>
                      <w:kern w:val="0"/>
                      <w:sz w:val="18"/>
                      <w:szCs w:val="18"/>
                      <w:highlight w:val="none"/>
                    </w:rPr>
                  </w:pPr>
                  <w:r>
                    <w:rPr>
                      <w:rFonts w:hint="eastAsia" w:ascii="宋体" w:hAnsi="宋体" w:eastAsia="宋体" w:cs="宋体"/>
                      <w:color w:val="auto"/>
                      <w:kern w:val="0"/>
                      <w:sz w:val="21"/>
                      <w:szCs w:val="21"/>
                      <w:highlight w:val="none"/>
                      <w:lang w:val="en-US" w:eastAsia="zh-CN" w:bidi="ar"/>
                    </w:rPr>
                    <w:t>×</w:t>
                  </w:r>
                </w:p>
              </w:tc>
              <w:tc>
                <w:tcPr>
                  <w:tcW w:w="453" w:type="dxa"/>
                  <w:tcBorders>
                    <w:top w:val="single" w:color="auto" w:sz="4" w:space="0"/>
                    <w:left w:val="nil"/>
                    <w:bottom w:val="single" w:color="auto" w:sz="4" w:space="0"/>
                    <w:right w:val="single" w:color="auto" w:sz="4" w:space="0"/>
                  </w:tcBorders>
                  <w:shd w:val="clear" w:color="auto" w:fill="auto"/>
                  <w:vAlign w:val="center"/>
                </w:tcPr>
                <w:p w14:paraId="23FC4BCB">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15</w:t>
                  </w:r>
                </w:p>
              </w:tc>
              <w:tc>
                <w:tcPr>
                  <w:tcW w:w="2610" w:type="dxa"/>
                  <w:tcBorders>
                    <w:top w:val="single" w:color="auto" w:sz="4" w:space="0"/>
                    <w:left w:val="nil"/>
                    <w:bottom w:val="single" w:color="auto" w:sz="4" w:space="0"/>
                    <w:right w:val="single" w:color="auto" w:sz="4" w:space="0"/>
                  </w:tcBorders>
                  <w:shd w:val="clear" w:color="auto" w:fill="auto"/>
                  <w:vAlign w:val="center"/>
                </w:tcPr>
                <w:p w14:paraId="1EA1CCB7">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spacing w:val="4"/>
                      <w:kern w:val="2"/>
                      <w:sz w:val="18"/>
                      <w:szCs w:val="18"/>
                      <w:highlight w:val="none"/>
                    </w:rPr>
                  </w:pPr>
                  <w:r>
                    <w:rPr>
                      <w:rFonts w:hint="eastAsia" w:ascii="宋体" w:hAnsi="宋体" w:eastAsia="宋体" w:cs="宋体"/>
                      <w:color w:val="auto"/>
                      <w:spacing w:val="4"/>
                      <w:kern w:val="2"/>
                      <w:sz w:val="18"/>
                      <w:szCs w:val="18"/>
                      <w:highlight w:val="none"/>
                      <w:lang w:val="en-US" w:eastAsia="zh-CN" w:bidi="ar"/>
                    </w:rPr>
                    <w:t>靠脚手架安全挡板</w:t>
                  </w:r>
                </w:p>
              </w:tc>
              <w:tc>
                <w:tcPr>
                  <w:tcW w:w="4224" w:type="dxa"/>
                  <w:tcBorders>
                    <w:top w:val="single" w:color="auto" w:sz="4" w:space="0"/>
                    <w:left w:val="nil"/>
                    <w:bottom w:val="single" w:color="auto" w:sz="4" w:space="0"/>
                    <w:right w:val="single" w:color="auto" w:sz="4" w:space="0"/>
                  </w:tcBorders>
                  <w:shd w:val="clear" w:color="auto" w:fill="auto"/>
                  <w:vAlign w:val="center"/>
                </w:tcPr>
                <w:p w14:paraId="25B1E566">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总价包干项目，按分部分项工程量清单项目的支付方式。</w:t>
                  </w:r>
                </w:p>
              </w:tc>
            </w:tr>
            <w:tr w14:paraId="11B37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79472543">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Calibri" w:eastAsia="宋体" w:cs="宋体"/>
                      <w:bCs/>
                      <w:color w:val="auto"/>
                      <w:kern w:val="0"/>
                      <w:sz w:val="18"/>
                      <w:szCs w:val="18"/>
                      <w:highlight w:val="none"/>
                    </w:rPr>
                  </w:pPr>
                  <w:r>
                    <w:rPr>
                      <w:rFonts w:hint="eastAsia" w:ascii="宋体" w:hAnsi="宋体" w:eastAsia="宋体" w:cs="宋体"/>
                      <w:color w:val="auto"/>
                      <w:kern w:val="0"/>
                      <w:sz w:val="21"/>
                      <w:szCs w:val="21"/>
                      <w:highlight w:val="none"/>
                      <w:lang w:val="en-US" w:eastAsia="zh-CN" w:bidi="ar"/>
                    </w:rPr>
                    <w:t>×</w:t>
                  </w:r>
                </w:p>
              </w:tc>
              <w:tc>
                <w:tcPr>
                  <w:tcW w:w="453" w:type="dxa"/>
                  <w:tcBorders>
                    <w:top w:val="single" w:color="auto" w:sz="4" w:space="0"/>
                    <w:left w:val="nil"/>
                    <w:bottom w:val="single" w:color="auto" w:sz="4" w:space="0"/>
                    <w:right w:val="single" w:color="auto" w:sz="4" w:space="0"/>
                  </w:tcBorders>
                  <w:shd w:val="clear" w:color="auto" w:fill="auto"/>
                  <w:vAlign w:val="center"/>
                </w:tcPr>
                <w:p w14:paraId="79D8E6AA">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16</w:t>
                  </w:r>
                </w:p>
              </w:tc>
              <w:tc>
                <w:tcPr>
                  <w:tcW w:w="2610" w:type="dxa"/>
                  <w:tcBorders>
                    <w:top w:val="single" w:color="auto" w:sz="4" w:space="0"/>
                    <w:left w:val="nil"/>
                    <w:bottom w:val="single" w:color="auto" w:sz="4" w:space="0"/>
                    <w:right w:val="single" w:color="auto" w:sz="4" w:space="0"/>
                  </w:tcBorders>
                  <w:shd w:val="clear" w:color="auto" w:fill="auto"/>
                  <w:vAlign w:val="center"/>
                </w:tcPr>
                <w:p w14:paraId="2A97E201">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spacing w:val="4"/>
                      <w:kern w:val="2"/>
                      <w:sz w:val="18"/>
                      <w:szCs w:val="18"/>
                      <w:highlight w:val="none"/>
                    </w:rPr>
                  </w:pPr>
                  <w:r>
                    <w:rPr>
                      <w:rFonts w:hint="eastAsia" w:ascii="宋体" w:hAnsi="宋体" w:eastAsia="宋体" w:cs="宋体"/>
                      <w:color w:val="auto"/>
                      <w:spacing w:val="4"/>
                      <w:kern w:val="2"/>
                      <w:sz w:val="18"/>
                      <w:szCs w:val="18"/>
                      <w:highlight w:val="none"/>
                      <w:lang w:val="en-US" w:eastAsia="zh-CN" w:bidi="ar"/>
                    </w:rPr>
                    <w:t>模板钢支撑</w:t>
                  </w:r>
                </w:p>
              </w:tc>
              <w:tc>
                <w:tcPr>
                  <w:tcW w:w="4224" w:type="dxa"/>
                  <w:tcBorders>
                    <w:top w:val="single" w:color="auto" w:sz="4" w:space="0"/>
                    <w:left w:val="nil"/>
                    <w:bottom w:val="single" w:color="auto" w:sz="4" w:space="0"/>
                    <w:right w:val="single" w:color="auto" w:sz="4" w:space="0"/>
                  </w:tcBorders>
                  <w:shd w:val="clear" w:color="auto" w:fill="auto"/>
                  <w:vAlign w:val="center"/>
                </w:tcPr>
                <w:p w14:paraId="38935894">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总价包干项目，按分部分项工程量清单项目的支付方式。</w:t>
                  </w:r>
                </w:p>
              </w:tc>
            </w:tr>
            <w:tr w14:paraId="6B373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34661E15">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Calibri" w:eastAsia="宋体" w:cs="宋体"/>
                      <w:bCs/>
                      <w:color w:val="auto"/>
                      <w:kern w:val="0"/>
                      <w:sz w:val="18"/>
                      <w:szCs w:val="18"/>
                      <w:highlight w:val="none"/>
                    </w:rPr>
                  </w:pPr>
                  <w:r>
                    <w:rPr>
                      <w:rFonts w:hint="eastAsia" w:ascii="宋体" w:hAnsi="宋体" w:eastAsia="宋体" w:cs="宋体"/>
                      <w:bCs/>
                      <w:color w:val="auto"/>
                      <w:kern w:val="0"/>
                      <w:sz w:val="18"/>
                      <w:szCs w:val="18"/>
                      <w:highlight w:val="none"/>
                      <w:lang w:val="en-US" w:eastAsia="zh-CN" w:bidi="ar"/>
                    </w:rPr>
                    <w:t>√</w:t>
                  </w:r>
                </w:p>
              </w:tc>
              <w:tc>
                <w:tcPr>
                  <w:tcW w:w="453" w:type="dxa"/>
                  <w:tcBorders>
                    <w:top w:val="single" w:color="auto" w:sz="4" w:space="0"/>
                    <w:left w:val="nil"/>
                    <w:bottom w:val="single" w:color="auto" w:sz="4" w:space="0"/>
                    <w:right w:val="single" w:color="auto" w:sz="4" w:space="0"/>
                  </w:tcBorders>
                  <w:shd w:val="clear" w:color="auto" w:fill="auto"/>
                  <w:vAlign w:val="center"/>
                </w:tcPr>
                <w:p w14:paraId="79709979">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17</w:t>
                  </w:r>
                </w:p>
              </w:tc>
              <w:tc>
                <w:tcPr>
                  <w:tcW w:w="2610" w:type="dxa"/>
                  <w:tcBorders>
                    <w:top w:val="single" w:color="auto" w:sz="4" w:space="0"/>
                    <w:left w:val="nil"/>
                    <w:bottom w:val="single" w:color="auto" w:sz="4" w:space="0"/>
                    <w:right w:val="single" w:color="auto" w:sz="4" w:space="0"/>
                  </w:tcBorders>
                  <w:shd w:val="clear" w:color="auto" w:fill="auto"/>
                  <w:vAlign w:val="center"/>
                </w:tcPr>
                <w:p w14:paraId="1844E00E">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spacing w:val="4"/>
                      <w:kern w:val="2"/>
                      <w:sz w:val="18"/>
                      <w:szCs w:val="18"/>
                      <w:highlight w:val="none"/>
                    </w:rPr>
                  </w:pPr>
                  <w:r>
                    <w:rPr>
                      <w:rFonts w:hint="eastAsia" w:ascii="宋体" w:hAnsi="宋体" w:eastAsia="宋体" w:cs="宋体"/>
                      <w:color w:val="auto"/>
                      <w:spacing w:val="4"/>
                      <w:kern w:val="2"/>
                      <w:sz w:val="18"/>
                      <w:szCs w:val="18"/>
                      <w:highlight w:val="none"/>
                      <w:lang w:val="en-US" w:eastAsia="zh-CN" w:bidi="ar"/>
                    </w:rPr>
                    <w:t>脚手架搭拆及摊销费（安装）</w:t>
                  </w:r>
                </w:p>
              </w:tc>
              <w:tc>
                <w:tcPr>
                  <w:tcW w:w="4224" w:type="dxa"/>
                  <w:tcBorders>
                    <w:top w:val="single" w:color="auto" w:sz="4" w:space="0"/>
                    <w:left w:val="nil"/>
                    <w:bottom w:val="single" w:color="auto" w:sz="4" w:space="0"/>
                    <w:right w:val="single" w:color="auto" w:sz="4" w:space="0"/>
                  </w:tcBorders>
                  <w:shd w:val="clear" w:color="auto" w:fill="auto"/>
                  <w:vAlign w:val="center"/>
                </w:tcPr>
                <w:p w14:paraId="5E89F39D">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总价包干项目，按分部分项工程量清单项目的支付方式。</w:t>
                  </w:r>
                </w:p>
              </w:tc>
            </w:tr>
            <w:tr w14:paraId="67E61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59378912">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宋体" w:eastAsia="宋体" w:cs="宋体"/>
                      <w:bCs/>
                      <w:color w:val="auto"/>
                      <w:kern w:val="0"/>
                      <w:sz w:val="18"/>
                      <w:szCs w:val="18"/>
                      <w:highlight w:val="none"/>
                    </w:rPr>
                  </w:pPr>
                  <w:r>
                    <w:rPr>
                      <w:rFonts w:hint="eastAsia" w:ascii="宋体" w:hAnsi="宋体" w:eastAsia="宋体" w:cs="宋体"/>
                      <w:color w:val="auto"/>
                      <w:kern w:val="0"/>
                      <w:sz w:val="21"/>
                      <w:szCs w:val="21"/>
                      <w:highlight w:val="none"/>
                      <w:lang w:val="en-US" w:eastAsia="zh-CN" w:bidi="ar"/>
                    </w:rPr>
                    <w:t>×</w:t>
                  </w:r>
                </w:p>
              </w:tc>
              <w:tc>
                <w:tcPr>
                  <w:tcW w:w="453" w:type="dxa"/>
                  <w:tcBorders>
                    <w:top w:val="single" w:color="auto" w:sz="4" w:space="0"/>
                    <w:left w:val="nil"/>
                    <w:bottom w:val="single" w:color="auto" w:sz="4" w:space="0"/>
                    <w:right w:val="single" w:color="auto" w:sz="4" w:space="0"/>
                  </w:tcBorders>
                  <w:shd w:val="clear" w:color="auto" w:fill="auto"/>
                  <w:vAlign w:val="center"/>
                </w:tcPr>
                <w:p w14:paraId="222C032A">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18</w:t>
                  </w:r>
                </w:p>
              </w:tc>
              <w:tc>
                <w:tcPr>
                  <w:tcW w:w="2610" w:type="dxa"/>
                  <w:tcBorders>
                    <w:top w:val="single" w:color="auto" w:sz="4" w:space="0"/>
                    <w:left w:val="nil"/>
                    <w:bottom w:val="single" w:color="auto" w:sz="4" w:space="0"/>
                    <w:right w:val="single" w:color="auto" w:sz="4" w:space="0"/>
                  </w:tcBorders>
                  <w:shd w:val="clear" w:color="auto" w:fill="auto"/>
                  <w:vAlign w:val="center"/>
                </w:tcPr>
                <w:p w14:paraId="74DC774F">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color w:val="auto"/>
                      <w:spacing w:val="4"/>
                      <w:kern w:val="2"/>
                      <w:sz w:val="18"/>
                      <w:szCs w:val="18"/>
                      <w:highlight w:val="none"/>
                    </w:rPr>
                  </w:pPr>
                  <w:r>
                    <w:rPr>
                      <w:rFonts w:hint="eastAsia" w:ascii="宋体" w:hAnsi="宋体" w:eastAsia="宋体" w:cs="宋体"/>
                      <w:color w:val="auto"/>
                      <w:spacing w:val="4"/>
                      <w:kern w:val="2"/>
                      <w:sz w:val="18"/>
                      <w:szCs w:val="18"/>
                      <w:highlight w:val="none"/>
                      <w:lang w:val="en-US" w:eastAsia="zh-CN" w:bidi="ar"/>
                    </w:rPr>
                    <w:t>管线迁移费</w:t>
                  </w:r>
                </w:p>
              </w:tc>
              <w:tc>
                <w:tcPr>
                  <w:tcW w:w="4224" w:type="dxa"/>
                  <w:tcBorders>
                    <w:top w:val="single" w:color="auto" w:sz="4" w:space="0"/>
                    <w:left w:val="nil"/>
                    <w:bottom w:val="single" w:color="auto" w:sz="4" w:space="0"/>
                    <w:right w:val="single" w:color="auto" w:sz="4" w:space="0"/>
                  </w:tcBorders>
                  <w:shd w:val="clear" w:color="auto" w:fill="auto"/>
                  <w:vAlign w:val="center"/>
                </w:tcPr>
                <w:p w14:paraId="2A2E3DFA">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总价包干项目，实际发生后按实支付。</w:t>
                  </w:r>
                </w:p>
              </w:tc>
            </w:tr>
            <w:tr w14:paraId="7B717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088CCBF3">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宋体" w:eastAsia="宋体" w:cs="宋体"/>
                      <w:bCs/>
                      <w:color w:val="auto"/>
                      <w:kern w:val="0"/>
                      <w:sz w:val="18"/>
                      <w:szCs w:val="18"/>
                      <w:highlight w:val="none"/>
                    </w:rPr>
                  </w:pPr>
                  <w:r>
                    <w:rPr>
                      <w:rFonts w:hint="eastAsia" w:ascii="宋体" w:hAnsi="宋体" w:eastAsia="宋体" w:cs="宋体"/>
                      <w:bCs/>
                      <w:color w:val="auto"/>
                      <w:kern w:val="0"/>
                      <w:sz w:val="18"/>
                      <w:szCs w:val="18"/>
                      <w:highlight w:val="none"/>
                      <w:lang w:val="en-US" w:eastAsia="zh-CN" w:bidi="ar"/>
                    </w:rPr>
                    <w:t>√</w:t>
                  </w:r>
                </w:p>
              </w:tc>
              <w:tc>
                <w:tcPr>
                  <w:tcW w:w="453" w:type="dxa"/>
                  <w:tcBorders>
                    <w:top w:val="single" w:color="auto" w:sz="4" w:space="0"/>
                    <w:left w:val="nil"/>
                    <w:bottom w:val="single" w:color="auto" w:sz="4" w:space="0"/>
                    <w:right w:val="single" w:color="auto" w:sz="4" w:space="0"/>
                  </w:tcBorders>
                  <w:shd w:val="clear" w:color="auto" w:fill="auto"/>
                  <w:vAlign w:val="center"/>
                </w:tcPr>
                <w:p w14:paraId="6FDF1752">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19</w:t>
                  </w:r>
                </w:p>
              </w:tc>
              <w:tc>
                <w:tcPr>
                  <w:tcW w:w="2610" w:type="dxa"/>
                  <w:tcBorders>
                    <w:top w:val="single" w:color="auto" w:sz="4" w:space="0"/>
                    <w:left w:val="nil"/>
                    <w:bottom w:val="single" w:color="auto" w:sz="4" w:space="0"/>
                    <w:right w:val="single" w:color="auto" w:sz="4" w:space="0"/>
                  </w:tcBorders>
                  <w:shd w:val="clear" w:color="auto" w:fill="auto"/>
                  <w:vAlign w:val="center"/>
                </w:tcPr>
                <w:p w14:paraId="204CC6D6">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color w:val="auto"/>
                      <w:spacing w:val="4"/>
                      <w:kern w:val="2"/>
                      <w:sz w:val="18"/>
                      <w:szCs w:val="18"/>
                      <w:highlight w:val="none"/>
                    </w:rPr>
                  </w:pPr>
                  <w:r>
                    <w:rPr>
                      <w:rFonts w:hint="eastAsia" w:ascii="宋体" w:hAnsi="宋体" w:eastAsia="宋体" w:cs="宋体"/>
                      <w:color w:val="auto"/>
                      <w:spacing w:val="4"/>
                      <w:kern w:val="2"/>
                      <w:sz w:val="18"/>
                      <w:szCs w:val="18"/>
                      <w:highlight w:val="none"/>
                      <w:lang w:val="en-US" w:eastAsia="zh-CN" w:bidi="ar"/>
                    </w:rPr>
                    <w:t>原有建筑及设备保护费用</w:t>
                  </w:r>
                </w:p>
              </w:tc>
              <w:tc>
                <w:tcPr>
                  <w:tcW w:w="4224" w:type="dxa"/>
                  <w:tcBorders>
                    <w:top w:val="single" w:color="auto" w:sz="4" w:space="0"/>
                    <w:left w:val="nil"/>
                    <w:bottom w:val="single" w:color="auto" w:sz="4" w:space="0"/>
                    <w:right w:val="single" w:color="auto" w:sz="4" w:space="0"/>
                  </w:tcBorders>
                  <w:shd w:val="clear" w:color="auto" w:fill="auto"/>
                  <w:vAlign w:val="center"/>
                </w:tcPr>
                <w:p w14:paraId="6EFFA413">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总价包干项目，实际发生后按实支付。</w:t>
                  </w:r>
                </w:p>
              </w:tc>
            </w:tr>
            <w:tr w14:paraId="43DA3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4714ECFB">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宋体" w:eastAsia="宋体" w:cs="宋体"/>
                      <w:bCs/>
                      <w:color w:val="auto"/>
                      <w:kern w:val="0"/>
                      <w:sz w:val="18"/>
                      <w:szCs w:val="18"/>
                      <w:highlight w:val="none"/>
                    </w:rPr>
                  </w:pPr>
                  <w:r>
                    <w:rPr>
                      <w:rFonts w:hint="eastAsia" w:ascii="宋体" w:hAnsi="宋体" w:eastAsia="宋体" w:cs="宋体"/>
                      <w:color w:val="auto"/>
                      <w:kern w:val="0"/>
                      <w:sz w:val="21"/>
                      <w:szCs w:val="21"/>
                      <w:highlight w:val="none"/>
                      <w:lang w:val="en-US" w:eastAsia="zh-CN" w:bidi="ar"/>
                    </w:rPr>
                    <w:t>×</w:t>
                  </w:r>
                </w:p>
              </w:tc>
              <w:tc>
                <w:tcPr>
                  <w:tcW w:w="453" w:type="dxa"/>
                  <w:tcBorders>
                    <w:top w:val="single" w:color="auto" w:sz="4" w:space="0"/>
                    <w:left w:val="nil"/>
                    <w:bottom w:val="single" w:color="auto" w:sz="4" w:space="0"/>
                    <w:right w:val="single" w:color="auto" w:sz="4" w:space="0"/>
                  </w:tcBorders>
                  <w:shd w:val="clear" w:color="auto" w:fill="auto"/>
                  <w:vAlign w:val="center"/>
                </w:tcPr>
                <w:p w14:paraId="4BF63C02">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20</w:t>
                  </w:r>
                </w:p>
              </w:tc>
              <w:tc>
                <w:tcPr>
                  <w:tcW w:w="2610" w:type="dxa"/>
                  <w:tcBorders>
                    <w:top w:val="single" w:color="auto" w:sz="4" w:space="0"/>
                    <w:left w:val="nil"/>
                    <w:bottom w:val="single" w:color="auto" w:sz="4" w:space="0"/>
                    <w:right w:val="single" w:color="auto" w:sz="4" w:space="0"/>
                  </w:tcBorders>
                  <w:shd w:val="clear" w:color="auto" w:fill="auto"/>
                  <w:vAlign w:val="center"/>
                </w:tcPr>
                <w:p w14:paraId="0472D505">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color w:val="auto"/>
                      <w:spacing w:val="4"/>
                      <w:kern w:val="2"/>
                      <w:sz w:val="18"/>
                      <w:szCs w:val="18"/>
                      <w:highlight w:val="none"/>
                    </w:rPr>
                  </w:pPr>
                  <w:r>
                    <w:rPr>
                      <w:rFonts w:hint="eastAsia" w:ascii="宋体" w:hAnsi="宋体" w:eastAsia="宋体" w:cs="宋体"/>
                      <w:color w:val="auto"/>
                      <w:spacing w:val="4"/>
                      <w:kern w:val="2"/>
                      <w:sz w:val="18"/>
                      <w:szCs w:val="18"/>
                      <w:highlight w:val="none"/>
                      <w:lang w:val="en-US" w:eastAsia="zh-CN" w:bidi="ar"/>
                    </w:rPr>
                    <w:t>原有建（构）筑物、设施等拆除费用</w:t>
                  </w:r>
                </w:p>
              </w:tc>
              <w:tc>
                <w:tcPr>
                  <w:tcW w:w="4224" w:type="dxa"/>
                  <w:tcBorders>
                    <w:top w:val="single" w:color="auto" w:sz="4" w:space="0"/>
                    <w:left w:val="nil"/>
                    <w:bottom w:val="single" w:color="auto" w:sz="4" w:space="0"/>
                    <w:right w:val="single" w:color="auto" w:sz="4" w:space="0"/>
                  </w:tcBorders>
                  <w:shd w:val="clear" w:color="auto" w:fill="auto"/>
                  <w:vAlign w:val="center"/>
                </w:tcPr>
                <w:p w14:paraId="7BEE32BD">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总价包干项目，实际发生后按实支付。</w:t>
                  </w:r>
                </w:p>
              </w:tc>
            </w:tr>
            <w:tr w14:paraId="44853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0F075A9D">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宋体" w:eastAsia="宋体" w:cs="宋体"/>
                      <w:bCs/>
                      <w:color w:val="auto"/>
                      <w:kern w:val="0"/>
                      <w:sz w:val="18"/>
                      <w:szCs w:val="18"/>
                      <w:highlight w:val="none"/>
                    </w:rPr>
                  </w:pPr>
                  <w:r>
                    <w:rPr>
                      <w:rFonts w:hint="eastAsia" w:ascii="宋体" w:hAnsi="宋体" w:eastAsia="宋体" w:cs="宋体"/>
                      <w:color w:val="auto"/>
                      <w:kern w:val="0"/>
                      <w:sz w:val="21"/>
                      <w:szCs w:val="21"/>
                      <w:highlight w:val="none"/>
                      <w:lang w:val="en-US" w:eastAsia="zh-CN" w:bidi="ar"/>
                    </w:rPr>
                    <w:t>×</w:t>
                  </w:r>
                </w:p>
              </w:tc>
              <w:tc>
                <w:tcPr>
                  <w:tcW w:w="453" w:type="dxa"/>
                  <w:tcBorders>
                    <w:top w:val="single" w:color="auto" w:sz="4" w:space="0"/>
                    <w:left w:val="nil"/>
                    <w:bottom w:val="single" w:color="auto" w:sz="4" w:space="0"/>
                    <w:right w:val="single" w:color="auto" w:sz="4" w:space="0"/>
                  </w:tcBorders>
                  <w:shd w:val="clear" w:color="auto" w:fill="auto"/>
                  <w:vAlign w:val="center"/>
                </w:tcPr>
                <w:p w14:paraId="38329DC9">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21</w:t>
                  </w:r>
                </w:p>
              </w:tc>
              <w:tc>
                <w:tcPr>
                  <w:tcW w:w="2610" w:type="dxa"/>
                  <w:tcBorders>
                    <w:top w:val="single" w:color="auto" w:sz="4" w:space="0"/>
                    <w:left w:val="nil"/>
                    <w:bottom w:val="single" w:color="auto" w:sz="4" w:space="0"/>
                    <w:right w:val="single" w:color="auto" w:sz="4" w:space="0"/>
                  </w:tcBorders>
                  <w:shd w:val="clear" w:color="auto" w:fill="auto"/>
                  <w:vAlign w:val="center"/>
                </w:tcPr>
                <w:p w14:paraId="2AA235F6">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color w:val="auto"/>
                      <w:spacing w:val="4"/>
                      <w:kern w:val="2"/>
                      <w:sz w:val="18"/>
                      <w:szCs w:val="18"/>
                      <w:highlight w:val="none"/>
                    </w:rPr>
                  </w:pPr>
                  <w:r>
                    <w:rPr>
                      <w:rFonts w:hint="eastAsia" w:ascii="宋体" w:hAnsi="宋体" w:eastAsia="宋体" w:cs="宋体"/>
                      <w:color w:val="auto"/>
                      <w:spacing w:val="4"/>
                      <w:kern w:val="2"/>
                      <w:sz w:val="18"/>
                      <w:szCs w:val="18"/>
                      <w:highlight w:val="none"/>
                      <w:lang w:val="en-US" w:eastAsia="zh-CN" w:bidi="ar"/>
                    </w:rPr>
                    <w:t>深化设计费</w:t>
                  </w:r>
                </w:p>
              </w:tc>
              <w:tc>
                <w:tcPr>
                  <w:tcW w:w="4224" w:type="dxa"/>
                  <w:tcBorders>
                    <w:top w:val="single" w:color="auto" w:sz="4" w:space="0"/>
                    <w:left w:val="nil"/>
                    <w:bottom w:val="single" w:color="auto" w:sz="4" w:space="0"/>
                    <w:right w:val="single" w:color="auto" w:sz="4" w:space="0"/>
                  </w:tcBorders>
                  <w:shd w:val="clear" w:color="auto" w:fill="auto"/>
                  <w:vAlign w:val="center"/>
                </w:tcPr>
                <w:p w14:paraId="77585CD6">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总价包干项目，实际发生后按实支付。</w:t>
                  </w:r>
                </w:p>
              </w:tc>
            </w:tr>
            <w:tr w14:paraId="23F60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433B2192">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宋体" w:eastAsia="宋体" w:cs="宋体"/>
                      <w:bCs/>
                      <w:color w:val="auto"/>
                      <w:kern w:val="0"/>
                      <w:sz w:val="18"/>
                      <w:szCs w:val="18"/>
                      <w:highlight w:val="none"/>
                    </w:rPr>
                  </w:pPr>
                  <w:r>
                    <w:rPr>
                      <w:rFonts w:hint="eastAsia" w:ascii="宋体" w:hAnsi="宋体" w:eastAsia="宋体" w:cs="宋体"/>
                      <w:color w:val="auto"/>
                      <w:kern w:val="0"/>
                      <w:sz w:val="21"/>
                      <w:szCs w:val="21"/>
                      <w:highlight w:val="none"/>
                      <w:lang w:val="en-US" w:eastAsia="zh-CN" w:bidi="ar"/>
                    </w:rPr>
                    <w:t>×</w:t>
                  </w:r>
                </w:p>
              </w:tc>
              <w:tc>
                <w:tcPr>
                  <w:tcW w:w="453" w:type="dxa"/>
                  <w:tcBorders>
                    <w:top w:val="single" w:color="auto" w:sz="4" w:space="0"/>
                    <w:left w:val="nil"/>
                    <w:bottom w:val="single" w:color="auto" w:sz="4" w:space="0"/>
                    <w:right w:val="single" w:color="auto" w:sz="4" w:space="0"/>
                  </w:tcBorders>
                  <w:shd w:val="clear" w:color="auto" w:fill="auto"/>
                  <w:vAlign w:val="center"/>
                </w:tcPr>
                <w:p w14:paraId="107FBF89">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22</w:t>
                  </w:r>
                </w:p>
              </w:tc>
              <w:tc>
                <w:tcPr>
                  <w:tcW w:w="2610" w:type="dxa"/>
                  <w:tcBorders>
                    <w:top w:val="single" w:color="auto" w:sz="4" w:space="0"/>
                    <w:left w:val="nil"/>
                    <w:bottom w:val="single" w:color="auto" w:sz="4" w:space="0"/>
                    <w:right w:val="single" w:color="auto" w:sz="4" w:space="0"/>
                  </w:tcBorders>
                  <w:shd w:val="clear" w:color="auto" w:fill="auto"/>
                  <w:vAlign w:val="center"/>
                </w:tcPr>
                <w:p w14:paraId="58841CF4">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color w:val="auto"/>
                      <w:spacing w:val="4"/>
                      <w:kern w:val="2"/>
                      <w:sz w:val="18"/>
                      <w:szCs w:val="18"/>
                      <w:highlight w:val="none"/>
                    </w:rPr>
                  </w:pPr>
                  <w:r>
                    <w:rPr>
                      <w:rFonts w:hint="eastAsia" w:ascii="宋体" w:hAnsi="宋体" w:eastAsia="宋体" w:cs="宋体"/>
                      <w:color w:val="auto"/>
                      <w:spacing w:val="4"/>
                      <w:kern w:val="2"/>
                      <w:sz w:val="18"/>
                      <w:szCs w:val="18"/>
                      <w:highlight w:val="none"/>
                      <w:lang w:val="en-US" w:eastAsia="zh-CN" w:bidi="ar"/>
                    </w:rPr>
                    <w:t>用户培训费</w:t>
                  </w:r>
                </w:p>
              </w:tc>
              <w:tc>
                <w:tcPr>
                  <w:tcW w:w="4224" w:type="dxa"/>
                  <w:tcBorders>
                    <w:top w:val="single" w:color="auto" w:sz="4" w:space="0"/>
                    <w:left w:val="nil"/>
                    <w:bottom w:val="single" w:color="auto" w:sz="4" w:space="0"/>
                    <w:right w:val="single" w:color="auto" w:sz="4" w:space="0"/>
                  </w:tcBorders>
                  <w:shd w:val="clear" w:color="auto" w:fill="auto"/>
                  <w:vAlign w:val="center"/>
                </w:tcPr>
                <w:p w14:paraId="767E7D1D">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总价包干项目，实际发生后按实支付。</w:t>
                  </w:r>
                </w:p>
                <w:p w14:paraId="1EC0E9C4">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color w:val="auto"/>
                      <w:kern w:val="0"/>
                      <w:sz w:val="18"/>
                      <w:szCs w:val="18"/>
                      <w:highlight w:val="none"/>
                    </w:rPr>
                  </w:pPr>
                </w:p>
              </w:tc>
            </w:tr>
            <w:tr w14:paraId="66DF8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6103CC6A">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宋体" w:eastAsia="宋体" w:cs="宋体"/>
                      <w:bCs/>
                      <w:color w:val="auto"/>
                      <w:kern w:val="0"/>
                      <w:sz w:val="18"/>
                      <w:szCs w:val="18"/>
                      <w:highlight w:val="none"/>
                    </w:rPr>
                  </w:pPr>
                  <w:r>
                    <w:rPr>
                      <w:rFonts w:hint="eastAsia" w:ascii="宋体" w:hAnsi="宋体" w:eastAsia="宋体" w:cs="宋体"/>
                      <w:color w:val="auto"/>
                      <w:kern w:val="0"/>
                      <w:sz w:val="21"/>
                      <w:szCs w:val="21"/>
                      <w:highlight w:val="none"/>
                      <w:lang w:val="en-US" w:eastAsia="zh-CN" w:bidi="ar"/>
                    </w:rPr>
                    <w:t>×</w:t>
                  </w:r>
                </w:p>
              </w:tc>
              <w:tc>
                <w:tcPr>
                  <w:tcW w:w="453" w:type="dxa"/>
                  <w:tcBorders>
                    <w:top w:val="single" w:color="auto" w:sz="4" w:space="0"/>
                    <w:left w:val="nil"/>
                    <w:bottom w:val="single" w:color="auto" w:sz="4" w:space="0"/>
                    <w:right w:val="single" w:color="auto" w:sz="4" w:space="0"/>
                  </w:tcBorders>
                  <w:shd w:val="clear" w:color="auto" w:fill="auto"/>
                  <w:vAlign w:val="center"/>
                </w:tcPr>
                <w:p w14:paraId="6B61173A">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23</w:t>
                  </w:r>
                </w:p>
              </w:tc>
              <w:tc>
                <w:tcPr>
                  <w:tcW w:w="2610" w:type="dxa"/>
                  <w:tcBorders>
                    <w:top w:val="single" w:color="auto" w:sz="4" w:space="0"/>
                    <w:left w:val="nil"/>
                    <w:bottom w:val="single" w:color="auto" w:sz="4" w:space="0"/>
                    <w:right w:val="single" w:color="auto" w:sz="4" w:space="0"/>
                  </w:tcBorders>
                  <w:shd w:val="clear" w:color="auto" w:fill="auto"/>
                  <w:vAlign w:val="center"/>
                </w:tcPr>
                <w:p w14:paraId="77E0510C">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color w:val="auto"/>
                      <w:spacing w:val="4"/>
                      <w:kern w:val="2"/>
                      <w:sz w:val="18"/>
                      <w:szCs w:val="18"/>
                      <w:highlight w:val="none"/>
                    </w:rPr>
                  </w:pPr>
                  <w:r>
                    <w:rPr>
                      <w:rFonts w:hint="eastAsia" w:ascii="宋体" w:hAnsi="宋体" w:eastAsia="宋体" w:cs="宋体"/>
                      <w:color w:val="auto"/>
                      <w:spacing w:val="4"/>
                      <w:kern w:val="2"/>
                      <w:sz w:val="18"/>
                      <w:szCs w:val="18"/>
                      <w:highlight w:val="none"/>
                      <w:lang w:val="en-US" w:eastAsia="zh-CN" w:bidi="ar"/>
                    </w:rPr>
                    <w:t>砖胎模</w:t>
                  </w:r>
                </w:p>
              </w:tc>
              <w:tc>
                <w:tcPr>
                  <w:tcW w:w="4224" w:type="dxa"/>
                  <w:tcBorders>
                    <w:top w:val="single" w:color="auto" w:sz="4" w:space="0"/>
                    <w:left w:val="nil"/>
                    <w:bottom w:val="single" w:color="auto" w:sz="4" w:space="0"/>
                    <w:right w:val="single" w:color="auto" w:sz="4" w:space="0"/>
                  </w:tcBorders>
                  <w:shd w:val="clear" w:color="auto" w:fill="auto"/>
                  <w:vAlign w:val="center"/>
                </w:tcPr>
                <w:p w14:paraId="6DE58B7A">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按分部分项工程量清单项目的支付方式。</w:t>
                  </w:r>
                </w:p>
              </w:tc>
            </w:tr>
            <w:tr w14:paraId="616A9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041F98E7">
                  <w:pPr>
                    <w:keepNext w:val="0"/>
                    <w:keepLines w:val="0"/>
                    <w:widowControl w:val="0"/>
                    <w:suppressLineNumbers w:val="0"/>
                    <w:adjustRightInd w:val="0"/>
                    <w:snapToGrid w:val="0"/>
                    <w:spacing w:before="0" w:beforeAutospacing="0" w:after="0" w:afterAutospacing="0" w:line="273" w:lineRule="auto"/>
                    <w:ind w:left="0" w:right="0"/>
                    <w:jc w:val="center"/>
                    <w:rPr>
                      <w:rFonts w:hint="default" w:ascii="宋体" w:hAnsi="宋体" w:eastAsia="宋体" w:cs="宋体"/>
                      <w:strike/>
                      <w:color w:val="auto"/>
                      <w:kern w:val="0"/>
                      <w:sz w:val="21"/>
                      <w:szCs w:val="21"/>
                      <w:highlight w:val="none"/>
                    </w:rPr>
                  </w:pPr>
                  <w:r>
                    <w:rPr>
                      <w:rFonts w:hint="eastAsia" w:ascii="宋体" w:hAnsi="宋体" w:eastAsia="宋体" w:cs="宋体"/>
                      <w:bCs/>
                      <w:strike/>
                      <w:color w:val="auto"/>
                      <w:kern w:val="0"/>
                      <w:sz w:val="18"/>
                      <w:szCs w:val="18"/>
                      <w:highlight w:val="none"/>
                      <w:lang w:val="en-US" w:eastAsia="zh-CN" w:bidi="ar"/>
                    </w:rPr>
                    <w:t>√</w:t>
                  </w:r>
                </w:p>
              </w:tc>
              <w:tc>
                <w:tcPr>
                  <w:tcW w:w="453" w:type="dxa"/>
                  <w:tcBorders>
                    <w:top w:val="single" w:color="auto" w:sz="4" w:space="0"/>
                    <w:left w:val="nil"/>
                    <w:bottom w:val="single" w:color="auto" w:sz="4" w:space="0"/>
                    <w:right w:val="single" w:color="auto" w:sz="4" w:space="0"/>
                  </w:tcBorders>
                  <w:shd w:val="clear" w:color="auto" w:fill="auto"/>
                  <w:vAlign w:val="center"/>
                </w:tcPr>
                <w:p w14:paraId="2CAEEFA1">
                  <w:pPr>
                    <w:keepNext w:val="0"/>
                    <w:keepLines w:val="0"/>
                    <w:widowControl w:val="0"/>
                    <w:suppressLineNumbers w:val="0"/>
                    <w:adjustRightInd w:val="0"/>
                    <w:snapToGrid w:val="0"/>
                    <w:spacing w:before="0" w:beforeAutospacing="0" w:after="0" w:afterAutospacing="0" w:line="300" w:lineRule="auto"/>
                    <w:ind w:left="0" w:right="0"/>
                    <w:jc w:val="center"/>
                    <w:rPr>
                      <w:rFonts w:hint="default" w:ascii="宋体" w:hAnsi="宋体" w:eastAsia="宋体" w:cs="宋体"/>
                      <w:strike/>
                      <w:color w:val="auto"/>
                      <w:kern w:val="0"/>
                      <w:sz w:val="18"/>
                      <w:szCs w:val="18"/>
                      <w:highlight w:val="none"/>
                    </w:rPr>
                  </w:pPr>
                  <w:r>
                    <w:rPr>
                      <w:rFonts w:hint="eastAsia" w:ascii="宋体" w:hAnsi="宋体" w:eastAsia="宋体" w:cs="宋体"/>
                      <w:strike/>
                      <w:color w:val="auto"/>
                      <w:kern w:val="0"/>
                      <w:sz w:val="18"/>
                      <w:szCs w:val="18"/>
                      <w:highlight w:val="none"/>
                      <w:lang w:val="en-US" w:eastAsia="zh-CN" w:bidi="ar"/>
                    </w:rPr>
                    <w:t>24</w:t>
                  </w:r>
                </w:p>
              </w:tc>
              <w:tc>
                <w:tcPr>
                  <w:tcW w:w="2610" w:type="dxa"/>
                  <w:tcBorders>
                    <w:top w:val="single" w:color="auto" w:sz="4" w:space="0"/>
                    <w:left w:val="nil"/>
                    <w:bottom w:val="single" w:color="auto" w:sz="4" w:space="0"/>
                    <w:right w:val="single" w:color="auto" w:sz="4" w:space="0"/>
                  </w:tcBorders>
                  <w:shd w:val="clear" w:color="auto" w:fill="auto"/>
                  <w:vAlign w:val="center"/>
                </w:tcPr>
                <w:p w14:paraId="1FE8E4C7">
                  <w:pPr>
                    <w:keepNext w:val="0"/>
                    <w:keepLines w:val="0"/>
                    <w:widowControl w:val="0"/>
                    <w:suppressLineNumbers w:val="0"/>
                    <w:adjustRightInd w:val="0"/>
                    <w:snapToGrid w:val="0"/>
                    <w:spacing w:before="0" w:beforeAutospacing="0" w:after="0" w:afterAutospacing="0" w:line="300" w:lineRule="auto"/>
                    <w:ind w:left="0" w:right="0"/>
                    <w:jc w:val="both"/>
                    <w:rPr>
                      <w:rFonts w:hint="default" w:ascii="宋体" w:hAnsi="宋体" w:eastAsia="宋体" w:cs="宋体"/>
                      <w:strike/>
                      <w:color w:val="auto"/>
                      <w:spacing w:val="4"/>
                      <w:kern w:val="2"/>
                      <w:sz w:val="18"/>
                      <w:szCs w:val="18"/>
                      <w:highlight w:val="none"/>
                    </w:rPr>
                  </w:pPr>
                  <w:r>
                    <w:rPr>
                      <w:rFonts w:hint="eastAsia" w:ascii="宋体" w:hAnsi="宋体" w:eastAsia="宋体" w:cs="宋体"/>
                      <w:strike/>
                      <w:color w:val="auto"/>
                      <w:spacing w:val="4"/>
                      <w:kern w:val="2"/>
                      <w:sz w:val="18"/>
                      <w:szCs w:val="18"/>
                      <w:highlight w:val="none"/>
                      <w:lang w:val="en-US" w:eastAsia="zh-CN" w:bidi="ar"/>
                    </w:rPr>
                    <w:t>高空作业车</w:t>
                  </w:r>
                </w:p>
              </w:tc>
              <w:tc>
                <w:tcPr>
                  <w:tcW w:w="4224" w:type="dxa"/>
                  <w:tcBorders>
                    <w:top w:val="single" w:color="auto" w:sz="4" w:space="0"/>
                    <w:left w:val="nil"/>
                    <w:bottom w:val="single" w:color="auto" w:sz="4" w:space="0"/>
                    <w:right w:val="single" w:color="auto" w:sz="4" w:space="0"/>
                  </w:tcBorders>
                  <w:shd w:val="clear" w:color="auto" w:fill="auto"/>
                  <w:vAlign w:val="center"/>
                </w:tcPr>
                <w:p w14:paraId="49C647E7">
                  <w:pPr>
                    <w:keepNext w:val="0"/>
                    <w:keepLines w:val="0"/>
                    <w:widowControl w:val="0"/>
                    <w:suppressLineNumbers w:val="0"/>
                    <w:adjustRightInd w:val="0"/>
                    <w:snapToGrid w:val="0"/>
                    <w:spacing w:before="0" w:beforeAutospacing="0" w:after="0" w:afterAutospacing="0" w:line="300" w:lineRule="auto"/>
                    <w:ind w:left="0" w:right="0"/>
                    <w:jc w:val="both"/>
                    <w:rPr>
                      <w:rFonts w:hint="default" w:ascii="宋体" w:hAnsi="宋体" w:eastAsia="宋体" w:cs="宋体"/>
                      <w:strike/>
                      <w:color w:val="auto"/>
                      <w:kern w:val="0"/>
                      <w:sz w:val="18"/>
                      <w:szCs w:val="18"/>
                      <w:highlight w:val="none"/>
                    </w:rPr>
                  </w:pPr>
                  <w:r>
                    <w:rPr>
                      <w:rFonts w:hint="eastAsia" w:ascii="宋体" w:hAnsi="宋体" w:eastAsia="宋体" w:cs="宋体"/>
                      <w:strike/>
                      <w:color w:val="auto"/>
                      <w:kern w:val="0"/>
                      <w:sz w:val="18"/>
                      <w:szCs w:val="18"/>
                      <w:highlight w:val="none"/>
                      <w:lang w:val="en-US" w:eastAsia="zh-CN" w:bidi="ar"/>
                    </w:rPr>
                    <w:t>总价包干项目，按施工期分月平均支付。</w:t>
                  </w:r>
                </w:p>
              </w:tc>
            </w:tr>
          </w:tbl>
          <w:p w14:paraId="4C166271">
            <w:pPr>
              <w:keepNext w:val="0"/>
              <w:keepLines w:val="0"/>
              <w:widowControl w:val="0"/>
              <w:suppressLineNumbers w:val="0"/>
              <w:adjustRightInd w:val="0"/>
              <w:snapToGrid w:val="0"/>
              <w:spacing w:before="0" w:beforeAutospacing="0" w:after="0" w:afterAutospacing="0" w:line="273" w:lineRule="auto"/>
              <w:ind w:left="0" w:right="0" w:firstLine="360" w:firstLineChars="200"/>
              <w:jc w:val="both"/>
              <w:rPr>
                <w:rFonts w:hint="eastAsia" w:ascii="宋体" w:hAnsi="Calibri" w:eastAsia="宋体" w:cs="宋体"/>
                <w:bCs/>
                <w:color w:val="auto"/>
                <w:kern w:val="0"/>
                <w:sz w:val="18"/>
                <w:szCs w:val="18"/>
                <w:highlight w:val="none"/>
              </w:rPr>
            </w:pPr>
            <w:r>
              <w:rPr>
                <w:rFonts w:hint="eastAsia" w:ascii="宋体" w:hAnsi="宋体" w:eastAsia="宋体" w:cs="宋体"/>
                <w:bCs/>
                <w:color w:val="auto"/>
                <w:kern w:val="0"/>
                <w:sz w:val="18"/>
                <w:szCs w:val="18"/>
                <w:highlight w:val="none"/>
                <w:lang w:val="en-US" w:eastAsia="zh-CN" w:bidi="ar"/>
              </w:rPr>
              <w:t>2）其他项目费的支付</w:t>
            </w:r>
          </w:p>
          <w:tbl>
            <w:tblPr>
              <w:tblStyle w:val="17"/>
              <w:tblW w:w="7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53"/>
              <w:gridCol w:w="513"/>
              <w:gridCol w:w="2662"/>
              <w:gridCol w:w="4229"/>
            </w:tblGrid>
            <w:tr w14:paraId="08B00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5ED68AD5">
                  <w:pPr>
                    <w:keepNext w:val="0"/>
                    <w:keepLines w:val="0"/>
                    <w:widowControl/>
                    <w:suppressLineNumbers w:val="0"/>
                    <w:adjustRightInd w:val="0"/>
                    <w:snapToGrid w:val="0"/>
                    <w:spacing w:before="0" w:beforeAutospacing="0" w:after="0" w:afterAutospacing="0" w:line="273" w:lineRule="auto"/>
                    <w:ind w:left="0" w:right="0"/>
                    <w:jc w:val="center"/>
                    <w:rPr>
                      <w:rFonts w:hint="eastAsia" w:ascii="宋体" w:hAnsi="Calibri" w:eastAsia="宋体" w:cs="宋体"/>
                      <w:b/>
                      <w:bCs w:val="0"/>
                      <w:color w:val="auto"/>
                      <w:kern w:val="0"/>
                      <w:sz w:val="18"/>
                      <w:szCs w:val="18"/>
                      <w:highlight w:val="none"/>
                    </w:rPr>
                  </w:pPr>
                  <w:r>
                    <w:rPr>
                      <w:rFonts w:hint="eastAsia" w:ascii="宋体" w:hAnsi="宋体" w:eastAsia="宋体" w:cs="宋体"/>
                      <w:b/>
                      <w:bCs w:val="0"/>
                      <w:color w:val="auto"/>
                      <w:kern w:val="0"/>
                      <w:sz w:val="18"/>
                      <w:szCs w:val="18"/>
                      <w:highlight w:val="none"/>
                      <w:lang w:val="en-US" w:eastAsia="zh-CN" w:bidi="ar"/>
                    </w:rPr>
                    <w:t>选项</w:t>
                  </w:r>
                </w:p>
              </w:tc>
              <w:tc>
                <w:tcPr>
                  <w:tcW w:w="513" w:type="dxa"/>
                  <w:tcBorders>
                    <w:top w:val="single" w:color="auto" w:sz="4" w:space="0"/>
                    <w:left w:val="nil"/>
                    <w:bottom w:val="single" w:color="auto" w:sz="4" w:space="0"/>
                    <w:right w:val="single" w:color="auto" w:sz="4" w:space="0"/>
                  </w:tcBorders>
                  <w:shd w:val="clear" w:color="auto" w:fill="auto"/>
                  <w:vAlign w:val="center"/>
                </w:tcPr>
                <w:p w14:paraId="6319938E">
                  <w:pPr>
                    <w:keepNext w:val="0"/>
                    <w:keepLines w:val="0"/>
                    <w:widowControl/>
                    <w:suppressLineNumbers w:val="0"/>
                    <w:adjustRightInd w:val="0"/>
                    <w:snapToGrid w:val="0"/>
                    <w:spacing w:before="0" w:beforeAutospacing="0" w:after="0" w:afterAutospacing="0" w:line="273" w:lineRule="auto"/>
                    <w:ind w:left="0" w:right="0"/>
                    <w:jc w:val="center"/>
                    <w:rPr>
                      <w:rFonts w:hint="eastAsia" w:ascii="宋体" w:hAnsi="Calibri" w:eastAsia="宋体" w:cs="宋体"/>
                      <w:b/>
                      <w:bCs w:val="0"/>
                      <w:color w:val="auto"/>
                      <w:kern w:val="0"/>
                      <w:sz w:val="18"/>
                      <w:szCs w:val="18"/>
                      <w:highlight w:val="none"/>
                    </w:rPr>
                  </w:pPr>
                  <w:r>
                    <w:rPr>
                      <w:rFonts w:hint="eastAsia" w:ascii="宋体" w:hAnsi="宋体" w:eastAsia="宋体" w:cs="宋体"/>
                      <w:b/>
                      <w:bCs w:val="0"/>
                      <w:color w:val="auto"/>
                      <w:kern w:val="0"/>
                      <w:sz w:val="18"/>
                      <w:szCs w:val="18"/>
                      <w:highlight w:val="none"/>
                      <w:lang w:val="en-US" w:eastAsia="zh-CN" w:bidi="ar"/>
                    </w:rPr>
                    <w:t>序号</w:t>
                  </w:r>
                </w:p>
              </w:tc>
              <w:tc>
                <w:tcPr>
                  <w:tcW w:w="2662" w:type="dxa"/>
                  <w:tcBorders>
                    <w:top w:val="single" w:color="auto" w:sz="4" w:space="0"/>
                    <w:left w:val="nil"/>
                    <w:bottom w:val="single" w:color="auto" w:sz="4" w:space="0"/>
                    <w:right w:val="single" w:color="auto" w:sz="4" w:space="0"/>
                  </w:tcBorders>
                  <w:shd w:val="clear" w:color="auto" w:fill="auto"/>
                  <w:vAlign w:val="center"/>
                </w:tcPr>
                <w:p w14:paraId="7F7FF218">
                  <w:pPr>
                    <w:keepNext w:val="0"/>
                    <w:keepLines w:val="0"/>
                    <w:widowControl/>
                    <w:suppressLineNumbers w:val="0"/>
                    <w:adjustRightInd w:val="0"/>
                    <w:snapToGrid w:val="0"/>
                    <w:spacing w:before="0" w:beforeAutospacing="0" w:after="0" w:afterAutospacing="0" w:line="273" w:lineRule="auto"/>
                    <w:ind w:left="-143" w:leftChars="-68" w:right="-107" w:rightChars="-51"/>
                    <w:jc w:val="center"/>
                    <w:rPr>
                      <w:rFonts w:hint="eastAsia" w:ascii="宋体" w:hAnsi="Calibri" w:eastAsia="宋体" w:cs="宋体"/>
                      <w:b/>
                      <w:bCs w:val="0"/>
                      <w:color w:val="auto"/>
                      <w:kern w:val="0"/>
                      <w:sz w:val="18"/>
                      <w:szCs w:val="18"/>
                      <w:highlight w:val="none"/>
                    </w:rPr>
                  </w:pPr>
                  <w:r>
                    <w:rPr>
                      <w:rFonts w:hint="eastAsia" w:ascii="宋体" w:hAnsi="宋体" w:eastAsia="宋体" w:cs="宋体"/>
                      <w:b/>
                      <w:bCs w:val="0"/>
                      <w:color w:val="auto"/>
                      <w:kern w:val="0"/>
                      <w:sz w:val="18"/>
                      <w:szCs w:val="18"/>
                      <w:highlight w:val="none"/>
                      <w:lang w:val="en-US" w:eastAsia="zh-CN" w:bidi="ar"/>
                    </w:rPr>
                    <w:t>项 目 名 称</w:t>
                  </w:r>
                </w:p>
              </w:tc>
              <w:tc>
                <w:tcPr>
                  <w:tcW w:w="4229" w:type="dxa"/>
                  <w:tcBorders>
                    <w:top w:val="single" w:color="auto" w:sz="4" w:space="0"/>
                    <w:left w:val="nil"/>
                    <w:bottom w:val="single" w:color="auto" w:sz="4" w:space="0"/>
                    <w:right w:val="single" w:color="auto" w:sz="4" w:space="0"/>
                  </w:tcBorders>
                  <w:shd w:val="clear" w:color="auto" w:fill="auto"/>
                  <w:vAlign w:val="center"/>
                </w:tcPr>
                <w:p w14:paraId="455DBAB3">
                  <w:pPr>
                    <w:keepNext w:val="0"/>
                    <w:keepLines w:val="0"/>
                    <w:widowControl/>
                    <w:suppressLineNumbers w:val="0"/>
                    <w:adjustRightInd w:val="0"/>
                    <w:snapToGrid w:val="0"/>
                    <w:spacing w:before="0" w:beforeAutospacing="0" w:after="0" w:afterAutospacing="0" w:line="273" w:lineRule="auto"/>
                    <w:ind w:left="-143" w:leftChars="-68" w:right="-107" w:rightChars="-51"/>
                    <w:jc w:val="center"/>
                    <w:rPr>
                      <w:rFonts w:hint="eastAsia" w:ascii="宋体" w:hAnsi="Calibri" w:eastAsia="宋体" w:cs="宋体"/>
                      <w:b/>
                      <w:bCs w:val="0"/>
                      <w:color w:val="auto"/>
                      <w:kern w:val="0"/>
                      <w:sz w:val="18"/>
                      <w:szCs w:val="18"/>
                      <w:highlight w:val="none"/>
                    </w:rPr>
                  </w:pPr>
                  <w:r>
                    <w:rPr>
                      <w:rFonts w:hint="eastAsia" w:ascii="宋体" w:hAnsi="宋体" w:eastAsia="宋体" w:cs="宋体"/>
                      <w:b/>
                      <w:bCs w:val="0"/>
                      <w:color w:val="auto"/>
                      <w:kern w:val="0"/>
                      <w:sz w:val="18"/>
                      <w:szCs w:val="18"/>
                      <w:highlight w:val="none"/>
                      <w:lang w:val="en-US" w:eastAsia="zh-CN" w:bidi="ar"/>
                    </w:rPr>
                    <w:t>计 量 方 式</w:t>
                  </w:r>
                </w:p>
              </w:tc>
            </w:tr>
            <w:tr w14:paraId="44C3B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1092ECD2">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Calibri" w:eastAsia="宋体" w:cs="宋体"/>
                      <w:color w:val="auto"/>
                      <w:kern w:val="0"/>
                      <w:sz w:val="18"/>
                      <w:szCs w:val="18"/>
                      <w:highlight w:val="none"/>
                    </w:rPr>
                  </w:pPr>
                  <w:r>
                    <w:rPr>
                      <w:rFonts w:hint="eastAsia" w:ascii="宋体" w:hAnsi="宋体" w:eastAsia="宋体" w:cs="宋体"/>
                      <w:bCs/>
                      <w:color w:val="auto"/>
                      <w:kern w:val="0"/>
                      <w:sz w:val="18"/>
                      <w:szCs w:val="18"/>
                      <w:highlight w:val="none"/>
                      <w:lang w:val="en-US" w:eastAsia="zh-CN" w:bidi="ar"/>
                    </w:rPr>
                    <w:t>√</w:t>
                  </w:r>
                </w:p>
              </w:tc>
              <w:tc>
                <w:tcPr>
                  <w:tcW w:w="513" w:type="dxa"/>
                  <w:tcBorders>
                    <w:top w:val="single" w:color="auto" w:sz="4" w:space="0"/>
                    <w:left w:val="nil"/>
                    <w:bottom w:val="single" w:color="auto" w:sz="4" w:space="0"/>
                    <w:right w:val="single" w:color="auto" w:sz="4" w:space="0"/>
                  </w:tcBorders>
                  <w:shd w:val="clear" w:color="auto" w:fill="auto"/>
                  <w:vAlign w:val="center"/>
                </w:tcPr>
                <w:p w14:paraId="25997C80">
                  <w:pPr>
                    <w:keepNext w:val="0"/>
                    <w:keepLines w:val="0"/>
                    <w:widowControl/>
                    <w:suppressLineNumbers w:val="0"/>
                    <w:adjustRightInd w:val="0"/>
                    <w:snapToGrid w:val="0"/>
                    <w:spacing w:before="0" w:beforeAutospacing="0" w:after="0" w:afterAutospacing="0" w:line="300" w:lineRule="auto"/>
                    <w:ind w:left="0" w:right="0"/>
                    <w:jc w:val="left"/>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w:t>
                  </w:r>
                </w:p>
              </w:tc>
              <w:tc>
                <w:tcPr>
                  <w:tcW w:w="2662" w:type="dxa"/>
                  <w:tcBorders>
                    <w:top w:val="single" w:color="auto" w:sz="4" w:space="0"/>
                    <w:left w:val="nil"/>
                    <w:bottom w:val="single" w:color="auto" w:sz="4" w:space="0"/>
                    <w:right w:val="single" w:color="auto" w:sz="4" w:space="0"/>
                  </w:tcBorders>
                  <w:shd w:val="clear" w:color="auto" w:fill="auto"/>
                  <w:vAlign w:val="center"/>
                </w:tcPr>
                <w:p w14:paraId="1D1946EB">
                  <w:pPr>
                    <w:keepNext w:val="0"/>
                    <w:keepLines w:val="0"/>
                    <w:widowControl/>
                    <w:suppressLineNumbers w:val="0"/>
                    <w:adjustRightInd w:val="0"/>
                    <w:snapToGrid w:val="0"/>
                    <w:spacing w:before="0" w:beforeAutospacing="0" w:after="0" w:afterAutospacing="0" w:line="300" w:lineRule="auto"/>
                    <w:ind w:left="0" w:right="0"/>
                    <w:jc w:val="left"/>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监理、设计等单位现场办公用房及配套设施使用费用</w:t>
                  </w:r>
                </w:p>
              </w:tc>
              <w:tc>
                <w:tcPr>
                  <w:tcW w:w="4229" w:type="dxa"/>
                  <w:tcBorders>
                    <w:top w:val="single" w:color="auto" w:sz="4" w:space="0"/>
                    <w:left w:val="nil"/>
                    <w:bottom w:val="single" w:color="auto" w:sz="4" w:space="0"/>
                    <w:right w:val="single" w:color="auto" w:sz="4" w:space="0"/>
                  </w:tcBorders>
                  <w:shd w:val="clear" w:color="auto" w:fill="auto"/>
                  <w:vAlign w:val="center"/>
                </w:tcPr>
                <w:p w14:paraId="3FE78A39">
                  <w:pPr>
                    <w:keepNext w:val="0"/>
                    <w:keepLines w:val="0"/>
                    <w:widowControl/>
                    <w:suppressLineNumbers w:val="0"/>
                    <w:adjustRightInd w:val="0"/>
                    <w:snapToGrid w:val="0"/>
                    <w:spacing w:before="0" w:beforeAutospacing="0" w:after="0" w:afterAutospacing="0" w:line="300" w:lineRule="auto"/>
                    <w:ind w:left="-26" w:leftChars="-51" w:right="0" w:hanging="81" w:hangingChars="45"/>
                    <w:jc w:val="left"/>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总价包干项目，投入使用后支付90%，竣工并完成相关工作后支付10%。</w:t>
                  </w:r>
                </w:p>
              </w:tc>
            </w:tr>
            <w:tr w14:paraId="16540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30487EEE">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Calibri" w:eastAsia="宋体" w:cs="宋体"/>
                      <w:color w:val="auto"/>
                      <w:kern w:val="0"/>
                      <w:sz w:val="18"/>
                      <w:szCs w:val="18"/>
                      <w:highlight w:val="none"/>
                    </w:rPr>
                  </w:pPr>
                  <w:r>
                    <w:rPr>
                      <w:rFonts w:hint="eastAsia" w:ascii="宋体" w:hAnsi="宋体" w:eastAsia="宋体" w:cs="宋体"/>
                      <w:bCs/>
                      <w:color w:val="auto"/>
                      <w:kern w:val="0"/>
                      <w:sz w:val="18"/>
                      <w:szCs w:val="18"/>
                      <w:highlight w:val="none"/>
                      <w:lang w:val="en-US" w:eastAsia="zh-CN" w:bidi="ar"/>
                    </w:rPr>
                    <w:t>√</w:t>
                  </w:r>
                </w:p>
              </w:tc>
              <w:tc>
                <w:tcPr>
                  <w:tcW w:w="513" w:type="dxa"/>
                  <w:tcBorders>
                    <w:top w:val="single" w:color="auto" w:sz="4" w:space="0"/>
                    <w:left w:val="nil"/>
                    <w:bottom w:val="single" w:color="auto" w:sz="4" w:space="0"/>
                    <w:right w:val="single" w:color="auto" w:sz="4" w:space="0"/>
                  </w:tcBorders>
                  <w:shd w:val="clear" w:color="auto" w:fill="auto"/>
                  <w:vAlign w:val="center"/>
                </w:tcPr>
                <w:p w14:paraId="485C0A20">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2</w:t>
                  </w:r>
                </w:p>
              </w:tc>
              <w:tc>
                <w:tcPr>
                  <w:tcW w:w="2662" w:type="dxa"/>
                  <w:tcBorders>
                    <w:top w:val="single" w:color="auto" w:sz="4" w:space="0"/>
                    <w:left w:val="nil"/>
                    <w:bottom w:val="single" w:color="auto" w:sz="4" w:space="0"/>
                    <w:right w:val="single" w:color="auto" w:sz="4" w:space="0"/>
                  </w:tcBorders>
                  <w:shd w:val="clear" w:color="auto" w:fill="auto"/>
                  <w:vAlign w:val="center"/>
                </w:tcPr>
                <w:p w14:paraId="265D2B3F">
                  <w:pPr>
                    <w:keepNext w:val="0"/>
                    <w:keepLines w:val="0"/>
                    <w:widowControl/>
                    <w:suppressLineNumbers w:val="0"/>
                    <w:adjustRightInd w:val="0"/>
                    <w:snapToGrid w:val="0"/>
                    <w:spacing w:before="0" w:beforeAutospacing="0" w:after="0" w:afterAutospacing="0" w:line="300" w:lineRule="auto"/>
                    <w:ind w:left="0" w:right="0"/>
                    <w:jc w:val="left"/>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预算包干费</w:t>
                  </w:r>
                </w:p>
              </w:tc>
              <w:tc>
                <w:tcPr>
                  <w:tcW w:w="4229" w:type="dxa"/>
                  <w:tcBorders>
                    <w:top w:val="single" w:color="auto" w:sz="4" w:space="0"/>
                    <w:left w:val="nil"/>
                    <w:bottom w:val="single" w:color="auto" w:sz="4" w:space="0"/>
                    <w:right w:val="single" w:color="auto" w:sz="4" w:space="0"/>
                  </w:tcBorders>
                  <w:shd w:val="clear" w:color="auto" w:fill="auto"/>
                  <w:vAlign w:val="center"/>
                </w:tcPr>
                <w:p w14:paraId="3A722BF8">
                  <w:pPr>
                    <w:keepNext w:val="0"/>
                    <w:keepLines w:val="0"/>
                    <w:widowControl/>
                    <w:suppressLineNumbers w:val="0"/>
                    <w:adjustRightInd w:val="0"/>
                    <w:snapToGrid w:val="0"/>
                    <w:spacing w:before="0" w:beforeAutospacing="0" w:after="0" w:afterAutospacing="0" w:line="300" w:lineRule="auto"/>
                    <w:ind w:left="0" w:right="0"/>
                    <w:jc w:val="left"/>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总价包干项目，按施工期分月平均支付。</w:t>
                  </w:r>
                </w:p>
              </w:tc>
            </w:tr>
            <w:tr w14:paraId="77053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71F5D0E1">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Calibri" w:eastAsia="宋体" w:cs="宋体"/>
                      <w:color w:val="auto"/>
                      <w:kern w:val="0"/>
                      <w:sz w:val="18"/>
                      <w:szCs w:val="18"/>
                      <w:highlight w:val="none"/>
                    </w:rPr>
                  </w:pPr>
                  <w:r>
                    <w:rPr>
                      <w:rFonts w:hint="eastAsia" w:ascii="宋体" w:hAnsi="宋体" w:eastAsia="宋体" w:cs="宋体"/>
                      <w:bCs/>
                      <w:color w:val="auto"/>
                      <w:kern w:val="0"/>
                      <w:sz w:val="18"/>
                      <w:szCs w:val="18"/>
                      <w:highlight w:val="none"/>
                      <w:lang w:val="en-US" w:eastAsia="zh-CN" w:bidi="ar"/>
                    </w:rPr>
                    <w:t>√</w:t>
                  </w:r>
                </w:p>
              </w:tc>
              <w:tc>
                <w:tcPr>
                  <w:tcW w:w="513" w:type="dxa"/>
                  <w:tcBorders>
                    <w:top w:val="single" w:color="auto" w:sz="4" w:space="0"/>
                    <w:left w:val="nil"/>
                    <w:bottom w:val="single" w:color="auto" w:sz="4" w:space="0"/>
                    <w:right w:val="single" w:color="auto" w:sz="4" w:space="0"/>
                  </w:tcBorders>
                  <w:shd w:val="clear" w:color="auto" w:fill="auto"/>
                  <w:vAlign w:val="center"/>
                </w:tcPr>
                <w:p w14:paraId="71EBA01E">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3</w:t>
                  </w:r>
                </w:p>
              </w:tc>
              <w:tc>
                <w:tcPr>
                  <w:tcW w:w="2662" w:type="dxa"/>
                  <w:tcBorders>
                    <w:top w:val="single" w:color="auto" w:sz="4" w:space="0"/>
                    <w:left w:val="nil"/>
                    <w:bottom w:val="single" w:color="auto" w:sz="4" w:space="0"/>
                    <w:right w:val="single" w:color="auto" w:sz="4" w:space="0"/>
                  </w:tcBorders>
                  <w:shd w:val="clear" w:color="auto" w:fill="auto"/>
                  <w:vAlign w:val="center"/>
                </w:tcPr>
                <w:p w14:paraId="1104A838">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工程保险费（仅指建筑（安装）一切险、安全生产责任险中第三者人身伤亡和财产损失赔偿等保险及其他保险）</w:t>
                  </w:r>
                </w:p>
              </w:tc>
              <w:tc>
                <w:tcPr>
                  <w:tcW w:w="4229" w:type="dxa"/>
                  <w:tcBorders>
                    <w:top w:val="single" w:color="auto" w:sz="4" w:space="0"/>
                    <w:left w:val="nil"/>
                    <w:bottom w:val="single" w:color="auto" w:sz="4" w:space="0"/>
                    <w:right w:val="single" w:color="auto" w:sz="4" w:space="0"/>
                  </w:tcBorders>
                  <w:shd w:val="clear" w:color="auto" w:fill="auto"/>
                  <w:vAlign w:val="center"/>
                </w:tcPr>
                <w:p w14:paraId="27264588">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0"/>
                      <w:sz w:val="18"/>
                      <w:szCs w:val="18"/>
                      <w:highlight w:val="none"/>
                      <w:lang w:val="en-US" w:eastAsia="zh-CN" w:bidi="ar"/>
                    </w:rPr>
                    <w:t>工程保险费（仅指建筑（安装）一切险、安全生产责任险中第三者人身伤亡和财产损失赔偿等保险</w:t>
                  </w:r>
                </w:p>
                <w:p w14:paraId="29A52159">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及其他保险） 按实际保费单据实结算，该保险费结算价不得超过招标控制价公布函中的对应金额。承包人提供符合合同约定的投保证明资料且概算批复后，可申请支付该保险费，发包人审核合格后支付该保险费的85%，该保险费经有权结算终审部门审定后，发包人支付剩余金额。</w:t>
                  </w:r>
                </w:p>
              </w:tc>
            </w:tr>
            <w:tr w14:paraId="569F5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5BC6D90E">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21"/>
                      <w:szCs w:val="21"/>
                      <w:highlight w:val="none"/>
                      <w:lang w:val="en-US" w:eastAsia="zh-CN" w:bidi="ar"/>
                    </w:rPr>
                    <w:t>×</w:t>
                  </w:r>
                </w:p>
              </w:tc>
              <w:tc>
                <w:tcPr>
                  <w:tcW w:w="513" w:type="dxa"/>
                  <w:tcBorders>
                    <w:top w:val="single" w:color="auto" w:sz="4" w:space="0"/>
                    <w:left w:val="nil"/>
                    <w:bottom w:val="single" w:color="auto" w:sz="4" w:space="0"/>
                    <w:right w:val="single" w:color="auto" w:sz="4" w:space="0"/>
                  </w:tcBorders>
                  <w:shd w:val="clear" w:color="auto" w:fill="auto"/>
                  <w:vAlign w:val="center"/>
                </w:tcPr>
                <w:p w14:paraId="25B254AF">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4</w:t>
                  </w:r>
                </w:p>
              </w:tc>
              <w:tc>
                <w:tcPr>
                  <w:tcW w:w="2662" w:type="dxa"/>
                  <w:tcBorders>
                    <w:top w:val="single" w:color="auto" w:sz="4" w:space="0"/>
                    <w:left w:val="nil"/>
                    <w:bottom w:val="single" w:color="auto" w:sz="4" w:space="0"/>
                    <w:right w:val="single" w:color="auto" w:sz="4" w:space="0"/>
                  </w:tcBorders>
                  <w:shd w:val="clear" w:color="auto" w:fill="auto"/>
                  <w:vAlign w:val="center"/>
                </w:tcPr>
                <w:p w14:paraId="4C0A5F9D">
                  <w:pPr>
                    <w:keepNext w:val="0"/>
                    <w:keepLines w:val="0"/>
                    <w:widowControl/>
                    <w:suppressLineNumbers w:val="0"/>
                    <w:adjustRightInd w:val="0"/>
                    <w:snapToGrid w:val="0"/>
                    <w:spacing w:before="0" w:beforeAutospacing="0" w:after="0" w:afterAutospacing="0" w:line="300" w:lineRule="auto"/>
                    <w:ind w:left="0" w:right="0"/>
                    <w:jc w:val="left"/>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防疫管理、防疫物资费用</w:t>
                  </w:r>
                </w:p>
              </w:tc>
              <w:tc>
                <w:tcPr>
                  <w:tcW w:w="4229" w:type="dxa"/>
                  <w:tcBorders>
                    <w:top w:val="single" w:color="auto" w:sz="4" w:space="0"/>
                    <w:left w:val="nil"/>
                    <w:bottom w:val="single" w:color="auto" w:sz="4" w:space="0"/>
                    <w:right w:val="single" w:color="auto" w:sz="4" w:space="0"/>
                  </w:tcBorders>
                  <w:shd w:val="clear" w:color="auto" w:fill="auto"/>
                  <w:vAlign w:val="center"/>
                </w:tcPr>
                <w:p w14:paraId="36542151">
                  <w:pPr>
                    <w:keepNext w:val="0"/>
                    <w:keepLines w:val="0"/>
                    <w:widowControl/>
                    <w:suppressLineNumbers w:val="0"/>
                    <w:adjustRightInd w:val="0"/>
                    <w:snapToGrid w:val="0"/>
                    <w:spacing w:before="0" w:beforeAutospacing="0" w:after="0" w:afterAutospacing="0" w:line="300" w:lineRule="auto"/>
                    <w:ind w:left="0" w:right="0"/>
                    <w:jc w:val="left"/>
                    <w:rPr>
                      <w:rFonts w:hint="eastAsia" w:ascii="宋体" w:hAnsi="Calibri"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总价包干项目，按施工期分月平均支付。</w:t>
                  </w:r>
                </w:p>
              </w:tc>
            </w:tr>
            <w:tr w14:paraId="4F9CE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3A5C84E0">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p>
              </w:tc>
              <w:tc>
                <w:tcPr>
                  <w:tcW w:w="513" w:type="dxa"/>
                  <w:tcBorders>
                    <w:top w:val="single" w:color="auto" w:sz="4" w:space="0"/>
                    <w:left w:val="nil"/>
                    <w:bottom w:val="single" w:color="auto" w:sz="4" w:space="0"/>
                    <w:right w:val="single" w:color="auto" w:sz="4" w:space="0"/>
                  </w:tcBorders>
                  <w:shd w:val="clear" w:color="auto" w:fill="auto"/>
                  <w:vAlign w:val="center"/>
                </w:tcPr>
                <w:p w14:paraId="60051AEB">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5</w:t>
                  </w:r>
                </w:p>
              </w:tc>
              <w:tc>
                <w:tcPr>
                  <w:tcW w:w="2662" w:type="dxa"/>
                  <w:tcBorders>
                    <w:top w:val="single" w:color="auto" w:sz="4" w:space="0"/>
                    <w:left w:val="nil"/>
                    <w:bottom w:val="single" w:color="auto" w:sz="4" w:space="0"/>
                    <w:right w:val="single" w:color="auto" w:sz="4" w:space="0"/>
                  </w:tcBorders>
                  <w:shd w:val="clear" w:color="auto" w:fill="auto"/>
                  <w:vAlign w:val="center"/>
                </w:tcPr>
                <w:p w14:paraId="6D7791F7">
                  <w:pPr>
                    <w:keepNext w:val="0"/>
                    <w:keepLines w:val="0"/>
                    <w:widowControl/>
                    <w:suppressLineNumbers w:val="0"/>
                    <w:adjustRightInd w:val="0"/>
                    <w:snapToGrid w:val="0"/>
                    <w:spacing w:before="0" w:beforeAutospacing="0" w:after="0" w:afterAutospacing="0" w:line="30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建筑垃圾消纳费</w:t>
                  </w:r>
                </w:p>
              </w:tc>
              <w:tc>
                <w:tcPr>
                  <w:tcW w:w="4229" w:type="dxa"/>
                  <w:tcBorders>
                    <w:top w:val="single" w:color="auto" w:sz="4" w:space="0"/>
                    <w:left w:val="nil"/>
                    <w:bottom w:val="single" w:color="auto" w:sz="4" w:space="0"/>
                    <w:right w:val="single" w:color="auto" w:sz="4" w:space="0"/>
                  </w:tcBorders>
                  <w:shd w:val="clear" w:color="auto" w:fill="auto"/>
                  <w:vAlign w:val="center"/>
                </w:tcPr>
                <w:p w14:paraId="2108F464">
                  <w:pPr>
                    <w:keepNext w:val="0"/>
                    <w:keepLines w:val="0"/>
                    <w:widowControl/>
                    <w:suppressLineNumbers w:val="0"/>
                    <w:adjustRightInd w:val="0"/>
                    <w:snapToGrid w:val="0"/>
                    <w:spacing w:before="0" w:beforeAutospacing="0" w:after="0" w:afterAutospacing="0" w:line="30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按分部分项工程量清单项目的支付方式</w:t>
                  </w:r>
                </w:p>
              </w:tc>
            </w:tr>
            <w:tr w14:paraId="733D1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791E6294">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18"/>
                      <w:szCs w:val="18"/>
                      <w:highlight w:val="none"/>
                      <w:lang w:val="en-US" w:eastAsia="zh-CN" w:bidi="ar"/>
                    </w:rPr>
                    <w:t>√</w:t>
                  </w:r>
                </w:p>
              </w:tc>
              <w:tc>
                <w:tcPr>
                  <w:tcW w:w="513" w:type="dxa"/>
                  <w:tcBorders>
                    <w:top w:val="single" w:color="auto" w:sz="4" w:space="0"/>
                    <w:left w:val="nil"/>
                    <w:bottom w:val="single" w:color="auto" w:sz="4" w:space="0"/>
                    <w:right w:val="single" w:color="auto" w:sz="4" w:space="0"/>
                  </w:tcBorders>
                  <w:shd w:val="clear" w:color="auto" w:fill="auto"/>
                  <w:vAlign w:val="center"/>
                </w:tcPr>
                <w:p w14:paraId="240ADA6C">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auto"/>
                      <w:kern w:val="0"/>
                      <w:sz w:val="18"/>
                      <w:szCs w:val="18"/>
                      <w:highlight w:val="none"/>
                    </w:rPr>
                  </w:pPr>
                </w:p>
              </w:tc>
              <w:tc>
                <w:tcPr>
                  <w:tcW w:w="2662" w:type="dxa"/>
                  <w:tcBorders>
                    <w:top w:val="single" w:color="auto" w:sz="4" w:space="0"/>
                    <w:left w:val="nil"/>
                    <w:bottom w:val="single" w:color="auto" w:sz="4" w:space="0"/>
                    <w:right w:val="single" w:color="auto" w:sz="4" w:space="0"/>
                  </w:tcBorders>
                  <w:shd w:val="clear" w:color="auto" w:fill="auto"/>
                  <w:vAlign w:val="center"/>
                </w:tcPr>
                <w:p w14:paraId="3EC35B52">
                  <w:pPr>
                    <w:keepNext w:val="0"/>
                    <w:keepLines w:val="0"/>
                    <w:widowControl/>
                    <w:suppressLineNumbers w:val="0"/>
                    <w:adjustRightInd w:val="0"/>
                    <w:snapToGrid w:val="0"/>
                    <w:spacing w:before="0" w:beforeAutospacing="0" w:after="0" w:afterAutospacing="0" w:line="30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赛时保障费</w:t>
                  </w:r>
                </w:p>
              </w:tc>
              <w:tc>
                <w:tcPr>
                  <w:tcW w:w="4229" w:type="dxa"/>
                  <w:tcBorders>
                    <w:top w:val="single" w:color="auto" w:sz="4" w:space="0"/>
                    <w:left w:val="nil"/>
                    <w:bottom w:val="single" w:color="auto" w:sz="4" w:space="0"/>
                    <w:right w:val="single" w:color="auto" w:sz="4" w:space="0"/>
                  </w:tcBorders>
                  <w:shd w:val="clear" w:color="auto" w:fill="auto"/>
                  <w:vAlign w:val="center"/>
                </w:tcPr>
                <w:p w14:paraId="5B7E5F2B">
                  <w:pPr>
                    <w:keepNext w:val="0"/>
                    <w:keepLines w:val="0"/>
                    <w:widowControl/>
                    <w:suppressLineNumbers w:val="0"/>
                    <w:adjustRightInd w:val="0"/>
                    <w:snapToGrid w:val="0"/>
                    <w:spacing w:before="0" w:beforeAutospacing="0" w:after="0" w:afterAutospacing="0" w:line="30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总价包干项目，全运会及残特奥会结束后一次性支付。若承包人赛时保障工作不满足发包人、全运会及残特奥会相关要求，发包人可视情况扣减该部分费用。</w:t>
                  </w:r>
                </w:p>
              </w:tc>
            </w:tr>
            <w:tr w14:paraId="1F29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2FE0A25F">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18"/>
                      <w:szCs w:val="18"/>
                      <w:highlight w:val="none"/>
                      <w:lang w:val="en-US" w:eastAsia="zh-CN" w:bidi="ar"/>
                    </w:rPr>
                    <w:t>√</w:t>
                  </w:r>
                </w:p>
              </w:tc>
              <w:tc>
                <w:tcPr>
                  <w:tcW w:w="513" w:type="dxa"/>
                  <w:tcBorders>
                    <w:top w:val="single" w:color="auto" w:sz="4" w:space="0"/>
                    <w:left w:val="nil"/>
                    <w:bottom w:val="single" w:color="auto" w:sz="4" w:space="0"/>
                    <w:right w:val="single" w:color="auto" w:sz="4" w:space="0"/>
                  </w:tcBorders>
                  <w:shd w:val="clear" w:color="auto" w:fill="auto"/>
                  <w:vAlign w:val="center"/>
                </w:tcPr>
                <w:p w14:paraId="7C9F8A8B">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auto"/>
                      <w:kern w:val="0"/>
                      <w:sz w:val="18"/>
                      <w:szCs w:val="18"/>
                      <w:highlight w:val="none"/>
                    </w:rPr>
                  </w:pPr>
                </w:p>
              </w:tc>
              <w:tc>
                <w:tcPr>
                  <w:tcW w:w="2662" w:type="dxa"/>
                  <w:tcBorders>
                    <w:top w:val="single" w:color="auto" w:sz="4" w:space="0"/>
                    <w:left w:val="nil"/>
                    <w:bottom w:val="single" w:color="auto" w:sz="4" w:space="0"/>
                    <w:right w:val="single" w:color="auto" w:sz="4" w:space="0"/>
                  </w:tcBorders>
                  <w:shd w:val="clear" w:color="auto" w:fill="auto"/>
                  <w:vAlign w:val="center"/>
                </w:tcPr>
                <w:p w14:paraId="526D4F52">
                  <w:pPr>
                    <w:keepNext w:val="0"/>
                    <w:keepLines w:val="0"/>
                    <w:widowControl/>
                    <w:suppressLineNumbers w:val="0"/>
                    <w:adjustRightInd w:val="0"/>
                    <w:snapToGrid w:val="0"/>
                    <w:spacing w:before="0" w:beforeAutospacing="0" w:after="0" w:afterAutospacing="0" w:line="30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深度开荒保洁费</w:t>
                  </w:r>
                </w:p>
              </w:tc>
              <w:tc>
                <w:tcPr>
                  <w:tcW w:w="4229" w:type="dxa"/>
                  <w:tcBorders>
                    <w:top w:val="single" w:color="auto" w:sz="4" w:space="0"/>
                    <w:left w:val="nil"/>
                    <w:bottom w:val="single" w:color="auto" w:sz="4" w:space="0"/>
                    <w:right w:val="single" w:color="auto" w:sz="4" w:space="0"/>
                  </w:tcBorders>
                  <w:shd w:val="clear" w:color="auto" w:fill="auto"/>
                  <w:vAlign w:val="center"/>
                </w:tcPr>
                <w:p w14:paraId="69EF41D1">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深度开荒保洁工作完成且经验收合格后支付该费用的80%，该费用经有权结算终审部门审定后，发包人支付剩余金额。</w:t>
                  </w:r>
                </w:p>
              </w:tc>
            </w:tr>
            <w:tr w14:paraId="7D0E2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3" w:type="dxa"/>
                  <w:tcBorders>
                    <w:top w:val="single" w:color="auto" w:sz="4" w:space="0"/>
                    <w:left w:val="single" w:color="auto" w:sz="4" w:space="0"/>
                    <w:bottom w:val="single" w:color="auto" w:sz="4" w:space="0"/>
                    <w:right w:val="single" w:color="auto" w:sz="4" w:space="0"/>
                  </w:tcBorders>
                  <w:shd w:val="clear" w:color="auto" w:fill="auto"/>
                  <w:vAlign w:val="center"/>
                </w:tcPr>
                <w:p w14:paraId="47992E12">
                  <w:pPr>
                    <w:keepNext w:val="0"/>
                    <w:keepLines w:val="0"/>
                    <w:widowControl w:val="0"/>
                    <w:suppressLineNumbers w:val="0"/>
                    <w:adjustRightInd w:val="0"/>
                    <w:snapToGrid w:val="0"/>
                    <w:spacing w:before="0" w:beforeAutospacing="0" w:after="0" w:afterAutospacing="0" w:line="273"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18"/>
                      <w:szCs w:val="18"/>
                      <w:highlight w:val="none"/>
                      <w:lang w:val="en-US" w:eastAsia="zh-CN" w:bidi="ar"/>
                    </w:rPr>
                    <w:t>√</w:t>
                  </w:r>
                </w:p>
              </w:tc>
              <w:tc>
                <w:tcPr>
                  <w:tcW w:w="513" w:type="dxa"/>
                  <w:tcBorders>
                    <w:top w:val="single" w:color="auto" w:sz="4" w:space="0"/>
                    <w:left w:val="nil"/>
                    <w:bottom w:val="single" w:color="auto" w:sz="4" w:space="0"/>
                    <w:right w:val="single" w:color="auto" w:sz="4" w:space="0"/>
                  </w:tcBorders>
                  <w:shd w:val="clear" w:color="auto" w:fill="auto"/>
                  <w:vAlign w:val="center"/>
                </w:tcPr>
                <w:p w14:paraId="6363A5DD">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auto"/>
                      <w:kern w:val="0"/>
                      <w:sz w:val="18"/>
                      <w:szCs w:val="18"/>
                      <w:highlight w:val="none"/>
                    </w:rPr>
                  </w:pPr>
                </w:p>
              </w:tc>
              <w:tc>
                <w:tcPr>
                  <w:tcW w:w="2662" w:type="dxa"/>
                  <w:tcBorders>
                    <w:top w:val="single" w:color="auto" w:sz="4" w:space="0"/>
                    <w:left w:val="nil"/>
                    <w:bottom w:val="single" w:color="auto" w:sz="4" w:space="0"/>
                    <w:right w:val="single" w:color="auto" w:sz="4" w:space="0"/>
                  </w:tcBorders>
                  <w:shd w:val="clear" w:color="auto" w:fill="auto"/>
                  <w:vAlign w:val="center"/>
                </w:tcPr>
                <w:p w14:paraId="75ACCFFC">
                  <w:pPr>
                    <w:keepNext w:val="0"/>
                    <w:keepLines w:val="0"/>
                    <w:widowControl/>
                    <w:suppressLineNumbers w:val="0"/>
                    <w:adjustRightInd w:val="0"/>
                    <w:snapToGrid w:val="0"/>
                    <w:spacing w:before="0" w:beforeAutospacing="0" w:after="0" w:afterAutospacing="0" w:line="30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2"/>
                      <w:sz w:val="18"/>
                      <w:szCs w:val="18"/>
                      <w:highlight w:val="none"/>
                      <w:lang w:val="en-US" w:eastAsia="zh-CN" w:bidi="ar"/>
                    </w:rPr>
                    <w:t>接入广州市重点公共建设项目管理中心视频监控综合管理平台费</w:t>
                  </w:r>
                </w:p>
              </w:tc>
              <w:tc>
                <w:tcPr>
                  <w:tcW w:w="4229" w:type="dxa"/>
                  <w:tcBorders>
                    <w:top w:val="single" w:color="auto" w:sz="4" w:space="0"/>
                    <w:left w:val="nil"/>
                    <w:bottom w:val="single" w:color="auto" w:sz="4" w:space="0"/>
                    <w:right w:val="single" w:color="auto" w:sz="4" w:space="0"/>
                  </w:tcBorders>
                  <w:shd w:val="clear" w:color="auto" w:fill="auto"/>
                  <w:vAlign w:val="center"/>
                </w:tcPr>
                <w:p w14:paraId="7B06F8C5">
                  <w:pPr>
                    <w:keepNext w:val="0"/>
                    <w:keepLines w:val="0"/>
                    <w:widowControl/>
                    <w:suppressLineNumbers w:val="0"/>
                    <w:adjustRightInd w:val="0"/>
                    <w:snapToGrid w:val="0"/>
                    <w:spacing w:before="0" w:beforeAutospacing="0" w:after="0" w:afterAutospacing="0" w:line="300" w:lineRule="auto"/>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总价包干项目，按发包人要求完成接入工作且能正常运行使用后一次性支付。</w:t>
                  </w:r>
                </w:p>
              </w:tc>
            </w:tr>
          </w:tbl>
          <w:p w14:paraId="2A8A49AA">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p>
        </w:tc>
      </w:tr>
      <w:tr w14:paraId="79A33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49790A">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8215" w:type="dxa"/>
            <w:tcBorders>
              <w:top w:val="single" w:color="auto" w:sz="4" w:space="0"/>
              <w:left w:val="nil"/>
              <w:bottom w:val="single" w:color="auto" w:sz="4" w:space="0"/>
              <w:right w:val="single" w:color="auto" w:sz="4" w:space="0"/>
            </w:tcBorders>
            <w:shd w:val="clear" w:color="auto" w:fill="auto"/>
            <w:noWrap/>
            <w:vAlign w:val="center"/>
          </w:tcPr>
          <w:p w14:paraId="5E396422">
            <w:pPr>
              <w:keepNext w:val="0"/>
              <w:keepLines w:val="0"/>
              <w:widowControl w:val="0"/>
              <w:suppressLineNumbers w:val="0"/>
              <w:autoSpaceDE w:val="0"/>
              <w:autoSpaceDN w:val="0"/>
              <w:adjustRightInd w:val="0"/>
              <w:snapToGrid w:val="0"/>
              <w:spacing w:before="0" w:beforeAutospacing="0" w:after="0" w:afterAutospacing="0" w:line="300" w:lineRule="auto"/>
              <w:ind w:left="0" w:right="11" w:firstLine="480"/>
              <w:jc w:val="both"/>
              <w:rPr>
                <w:rFonts w:hint="eastAsia" w:ascii="宋体" w:hAnsi="Calibri" w:eastAsia="宋体" w:cs="宋体"/>
                <w:b/>
                <w:bCs w:val="0"/>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Calibri" w:eastAsia="宋体" w:cs="宋体"/>
                <w:b/>
                <w:bCs w:val="0"/>
                <w:color w:val="auto"/>
                <w:kern w:val="0"/>
                <w:sz w:val="21"/>
                <w:szCs w:val="21"/>
                <w:highlight w:val="none"/>
                <w:lang w:val="en-US" w:eastAsia="zh-CN" w:bidi="ar"/>
              </w:rPr>
              <w:t> </w:t>
            </w:r>
            <w:r>
              <w:rPr>
                <w:rFonts w:hint="eastAsia" w:ascii="宋体" w:hAnsi="宋体" w:eastAsia="宋体" w:cs="宋体"/>
                <w:color w:val="auto"/>
                <w:kern w:val="0"/>
                <w:sz w:val="21"/>
                <w:szCs w:val="21"/>
                <w:highlight w:val="none"/>
                <w:lang w:val="en-US" w:eastAsia="zh-CN" w:bidi="ar"/>
              </w:rPr>
              <w:t>28.3若本工程含有甲招乙供材料设备，承包人应严格按照本合同、招标文件及与甲招乙供材料设备供应商所签合同的约定及时审核、申请支付甲招乙供材料设备进度款（含到货款、安装调试验收款、竣工验收款、质量保证金），并在银行的监控下，按照发包人的要求直接将甲招乙供材料设备款项按合同专用条款第30.7（8）款的约定支付给材料设备供应商，否则应按合同专用条款第38.15款承担违约责任。</w:t>
            </w:r>
          </w:p>
        </w:tc>
      </w:tr>
      <w:tr w14:paraId="3FCF5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5"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3B0DFE">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8215" w:type="dxa"/>
            <w:tcBorders>
              <w:top w:val="single" w:color="auto" w:sz="4" w:space="0"/>
              <w:left w:val="nil"/>
              <w:bottom w:val="single" w:color="auto" w:sz="4" w:space="0"/>
              <w:right w:val="single" w:color="auto" w:sz="4" w:space="0"/>
            </w:tcBorders>
            <w:shd w:val="clear" w:color="auto" w:fill="auto"/>
            <w:noWrap/>
            <w:vAlign w:val="center"/>
          </w:tcPr>
          <w:p w14:paraId="2EEA8B66">
            <w:pPr>
              <w:keepNext w:val="0"/>
              <w:keepLines w:val="0"/>
              <w:widowControl w:val="0"/>
              <w:suppressLineNumbers w:val="0"/>
              <w:autoSpaceDE w:val="0"/>
              <w:autoSpaceDN w:val="0"/>
              <w:adjustRightInd w:val="0"/>
              <w:snapToGrid w:val="0"/>
              <w:spacing w:before="0" w:beforeAutospacing="0" w:after="0" w:afterAutospacing="0" w:line="300" w:lineRule="auto"/>
              <w:ind w:left="0" w:right="11" w:firstLine="480"/>
              <w:jc w:val="both"/>
              <w:rPr>
                <w:rFonts w:hint="eastAsia" w:ascii="宋体" w:hAnsi="Calibri" w:eastAsia="宋体" w:cs="宋体"/>
                <w:b/>
                <w:bCs w:val="0"/>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Calibri" w:eastAsia="宋体" w:cs="宋体"/>
                <w:b/>
                <w:bCs w:val="0"/>
                <w:color w:val="auto"/>
                <w:kern w:val="0"/>
                <w:sz w:val="21"/>
                <w:szCs w:val="21"/>
                <w:highlight w:val="none"/>
                <w:lang w:val="en-US" w:eastAsia="zh-CN" w:bidi="ar"/>
              </w:rPr>
              <w:t> </w:t>
            </w:r>
            <w:r>
              <w:rPr>
                <w:rFonts w:hint="eastAsia" w:ascii="宋体" w:hAnsi="宋体" w:eastAsia="宋体" w:cs="宋体"/>
                <w:color w:val="auto"/>
                <w:kern w:val="0"/>
                <w:sz w:val="21"/>
                <w:szCs w:val="21"/>
                <w:highlight w:val="none"/>
                <w:lang w:val="en-US" w:eastAsia="zh-CN" w:bidi="ar"/>
              </w:rPr>
              <w:t>28.4如本工程含有甲管乙供材料设备，承包人应严格按照本合同、招标文件或公开择优竞价文件及与甲管乙供材料设备供应商所签合同的约定及时审核、申请支付甲管乙供材料设备进度款（含到货款、安装调试验收款、竣工验收款、质量保证金），且在收到发包人支付的款项后三个工作日内将该款项支付给甲管乙供材料设备供应商，并在下一次申请付款时向发包人提交本次支付凭证复印件作为支持材料，否则应按合同专用条款第38.15款承担违约责任。</w:t>
            </w:r>
          </w:p>
        </w:tc>
      </w:tr>
      <w:tr w14:paraId="0F110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5"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BE9EE7">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8215" w:type="dxa"/>
            <w:tcBorders>
              <w:top w:val="single" w:color="auto" w:sz="4" w:space="0"/>
              <w:left w:val="nil"/>
              <w:bottom w:val="single" w:color="auto" w:sz="4" w:space="0"/>
              <w:right w:val="single" w:color="auto" w:sz="4" w:space="0"/>
            </w:tcBorders>
            <w:shd w:val="clear" w:color="auto" w:fill="auto"/>
            <w:noWrap/>
            <w:vAlign w:val="center"/>
          </w:tcPr>
          <w:p w14:paraId="56AA7C46">
            <w:pPr>
              <w:keepNext w:val="0"/>
              <w:keepLines w:val="0"/>
              <w:widowControl w:val="0"/>
              <w:suppressLineNumbers w:val="0"/>
              <w:adjustRightInd w:val="0"/>
              <w:snapToGrid w:val="0"/>
              <w:spacing w:before="0" w:beforeAutospacing="0" w:after="0" w:afterAutospacing="0" w:line="300" w:lineRule="auto"/>
              <w:ind w:left="0" w:right="11" w:firstLine="403" w:firstLineChars="192"/>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七、材料设备供应</w:t>
            </w:r>
          </w:p>
          <w:p w14:paraId="37DA63DE">
            <w:pPr>
              <w:keepNext w:val="0"/>
              <w:keepLines w:val="0"/>
              <w:widowControl w:val="0"/>
              <w:suppressLineNumbers w:val="0"/>
              <w:adjustRightInd w:val="0"/>
              <w:snapToGrid w:val="0"/>
              <w:spacing w:before="0" w:beforeAutospacing="0" w:after="0" w:afterAutospacing="0" w:line="300" w:lineRule="auto"/>
              <w:ind w:left="0" w:right="11" w:firstLine="403" w:firstLineChars="192"/>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（一）材料设备的分类</w:t>
            </w:r>
          </w:p>
          <w:p w14:paraId="55571497">
            <w:pPr>
              <w:keepNext w:val="0"/>
              <w:keepLines w:val="0"/>
              <w:widowControl w:val="0"/>
              <w:suppressLineNumbers w:val="0"/>
              <w:adjustRightInd w:val="0"/>
              <w:snapToGrid w:val="0"/>
              <w:spacing w:before="0" w:beforeAutospacing="0" w:after="0" w:afterAutospacing="0" w:line="300" w:lineRule="auto"/>
              <w:ind w:left="0" w:right="11" w:firstLine="403" w:firstLineChars="192"/>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按照供应单位产生方式不同，工程的材料设备分为甲供材料设备、甲招乙供材料设备、甲管乙供材料设备和乙供材料设备四大类。其中，甲招乙供材料设备、甲管乙供材料设备和乙供材料设备均属承包人采购材料设备，不因发包人及监理单位参与管理而减轻或免除承包人的任何责任及义务。本合同工程的材料设备主要为（× 甲供材料设备 × 甲招乙供材料设备 × 甲管乙供材料设备）和乙供材料设备，其中，若有以暂估价形式包括在本合同承包范围内的工程、货物、服务属于依法必须进行招标的项目范围且达到国家规定规模标准的，应当依法进行招标。</w:t>
            </w:r>
          </w:p>
          <w:p w14:paraId="32F49B33">
            <w:pPr>
              <w:keepNext w:val="0"/>
              <w:keepLines w:val="0"/>
              <w:widowControl w:val="0"/>
              <w:suppressLineNumbers w:val="0"/>
              <w:adjustRightInd w:val="0"/>
              <w:snapToGrid w:val="0"/>
              <w:spacing w:before="0" w:beforeAutospacing="0" w:after="0" w:afterAutospacing="0" w:line="300" w:lineRule="auto"/>
              <w:ind w:left="0" w:right="11" w:firstLine="403" w:firstLineChars="192"/>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×（1）甲供材料设备</w:t>
            </w:r>
          </w:p>
          <w:p w14:paraId="7D4218A4">
            <w:pPr>
              <w:keepNext w:val="0"/>
              <w:keepLines w:val="0"/>
              <w:widowControl w:val="0"/>
              <w:suppressLineNumbers w:val="0"/>
              <w:adjustRightInd w:val="0"/>
              <w:snapToGrid w:val="0"/>
              <w:spacing w:before="0" w:beforeAutospacing="0" w:after="0" w:afterAutospacing="0" w:line="300" w:lineRule="auto"/>
              <w:ind w:left="0" w:right="11" w:firstLine="403" w:firstLineChars="192"/>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×（2）甲招乙供材料设备</w:t>
            </w:r>
          </w:p>
          <w:p w14:paraId="4FEA8C53">
            <w:pPr>
              <w:keepNext w:val="0"/>
              <w:keepLines w:val="0"/>
              <w:widowControl w:val="0"/>
              <w:suppressLineNumbers w:val="0"/>
              <w:adjustRightInd w:val="0"/>
              <w:snapToGrid w:val="0"/>
              <w:spacing w:before="0" w:beforeAutospacing="0" w:after="0" w:afterAutospacing="0" w:line="300" w:lineRule="auto"/>
              <w:ind w:left="0" w:right="0" w:firstLine="403" w:firstLineChars="192"/>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×（3）甲管乙供材料设备</w:t>
            </w:r>
          </w:p>
          <w:p w14:paraId="6E7F849D">
            <w:pPr>
              <w:keepNext w:val="0"/>
              <w:keepLines w:val="0"/>
              <w:widowControl w:val="0"/>
              <w:suppressLineNumbers w:val="0"/>
              <w:adjustRightInd w:val="0"/>
              <w:snapToGrid w:val="0"/>
              <w:spacing w:before="0" w:beforeAutospacing="0" w:after="0" w:afterAutospacing="0" w:line="300" w:lineRule="auto"/>
              <w:ind w:left="0" w:right="0" w:firstLine="403" w:firstLineChars="192"/>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三）发包人将委托有资质的产品质量监督检验机构并由该机构依据合同约定对本工程进行材料设备技术检验（包括到厂抽检）和现场技术质量管理，承包人应予积极配合。凡用于本工程的材料设备必须贴上该机构的检验合格标志方可使用，没有该检验合格标志的材料设备视同不合格产品，发包人有权要求承包人拆除、调换或运出施工场地，或发包人自行组织拆除、调换或运出施工场地，因此所发生的费用和所造成的损失及责任全部由承包人承担。</w:t>
            </w:r>
          </w:p>
        </w:tc>
      </w:tr>
      <w:tr w14:paraId="6C93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5"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63FC4D">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8215" w:type="dxa"/>
            <w:tcBorders>
              <w:top w:val="single" w:color="auto" w:sz="4" w:space="0"/>
              <w:left w:val="nil"/>
              <w:bottom w:val="single" w:color="auto" w:sz="4" w:space="0"/>
              <w:right w:val="single" w:color="auto" w:sz="4" w:space="0"/>
            </w:tcBorders>
            <w:shd w:val="clear" w:color="auto" w:fill="auto"/>
            <w:noWrap/>
            <w:vAlign w:val="center"/>
          </w:tcPr>
          <w:p w14:paraId="5D858189">
            <w:pPr>
              <w:keepNext w:val="0"/>
              <w:keepLines w:val="0"/>
              <w:widowControl w:val="0"/>
              <w:suppressLineNumbers w:val="0"/>
              <w:adjustRightInd w:val="0"/>
              <w:snapToGrid w:val="0"/>
              <w:spacing w:before="0" w:beforeAutospacing="0" w:after="0" w:afterAutospacing="0" w:line="300" w:lineRule="auto"/>
              <w:ind w:left="0" w:right="11" w:firstLine="403" w:firstLineChars="192"/>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b/>
                <w:bCs w:val="0"/>
                <w:color w:val="auto"/>
                <w:kern w:val="0"/>
                <w:sz w:val="21"/>
                <w:szCs w:val="21"/>
                <w:highlight w:val="none"/>
                <w:lang w:val="en-US" w:eastAsia="zh-CN" w:bidi="ar"/>
              </w:rPr>
              <w:t xml:space="preserve"> 29、发包人供应材料设备（即甲供材料设备）</w:t>
            </w:r>
          </w:p>
        </w:tc>
      </w:tr>
      <w:tr w14:paraId="70748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73C36E">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8215" w:type="dxa"/>
            <w:tcBorders>
              <w:top w:val="single" w:color="auto" w:sz="4" w:space="0"/>
              <w:left w:val="nil"/>
              <w:bottom w:val="single" w:color="auto" w:sz="4" w:space="0"/>
              <w:right w:val="single" w:color="auto" w:sz="4" w:space="0"/>
            </w:tcBorders>
            <w:shd w:val="clear" w:color="auto" w:fill="auto"/>
            <w:noWrap/>
            <w:vAlign w:val="center"/>
          </w:tcPr>
          <w:p w14:paraId="07B8F39F">
            <w:pPr>
              <w:keepNext w:val="0"/>
              <w:keepLines w:val="0"/>
              <w:widowControl w:val="0"/>
              <w:suppressLineNumbers w:val="0"/>
              <w:adjustRightInd w:val="0"/>
              <w:snapToGrid w:val="0"/>
              <w:spacing w:before="0" w:beforeAutospacing="0" w:after="0" w:afterAutospacing="0" w:line="300" w:lineRule="auto"/>
              <w:ind w:left="0" w:right="0"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30.1承包人采购的材料设备主要为（× 甲招乙供材料设备 × 甲管乙供材料设备）和乙供材料设备。</w:t>
            </w:r>
          </w:p>
        </w:tc>
      </w:tr>
      <w:tr w14:paraId="5DFBF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8DE437">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8215" w:type="dxa"/>
            <w:tcBorders>
              <w:top w:val="single" w:color="auto" w:sz="4" w:space="0"/>
              <w:left w:val="nil"/>
              <w:bottom w:val="single" w:color="auto" w:sz="4" w:space="0"/>
              <w:right w:val="single" w:color="auto" w:sz="4" w:space="0"/>
            </w:tcBorders>
            <w:shd w:val="clear" w:color="auto" w:fill="auto"/>
            <w:noWrap/>
            <w:vAlign w:val="center"/>
          </w:tcPr>
          <w:p w14:paraId="5459832E">
            <w:pPr>
              <w:keepNext w:val="0"/>
              <w:keepLines w:val="0"/>
              <w:widowControl w:val="0"/>
              <w:suppressLineNumbers w:val="0"/>
              <w:adjustRightInd w:val="0"/>
              <w:snapToGrid w:val="0"/>
              <w:spacing w:before="0" w:beforeAutospacing="0" w:after="0" w:afterAutospacing="0" w:line="300" w:lineRule="auto"/>
              <w:ind w:left="0" w:right="11" w:firstLine="403" w:firstLineChars="192"/>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Calibri" w:eastAsia="宋体" w:cs="宋体"/>
                <w:b/>
                <w:bCs w:val="0"/>
                <w:color w:val="auto"/>
                <w:kern w:val="0"/>
                <w:sz w:val="21"/>
                <w:szCs w:val="21"/>
                <w:highlight w:val="none"/>
                <w:lang w:val="en-US" w:eastAsia="zh-CN" w:bidi="ar"/>
              </w:rPr>
              <w:t> </w:t>
            </w:r>
            <w:r>
              <w:rPr>
                <w:rFonts w:hint="eastAsia" w:ascii="宋体" w:hAnsi="宋体" w:eastAsia="宋体" w:cs="宋体"/>
                <w:color w:val="auto"/>
                <w:kern w:val="0"/>
                <w:sz w:val="21"/>
                <w:szCs w:val="21"/>
                <w:highlight w:val="none"/>
                <w:lang w:val="en-US" w:eastAsia="zh-CN" w:bidi="ar"/>
              </w:rPr>
              <w:t>30.7甲招乙供材料设备的管理</w:t>
            </w:r>
          </w:p>
          <w:p w14:paraId="3B20BB3B">
            <w:pPr>
              <w:keepNext w:val="0"/>
              <w:keepLines w:val="0"/>
              <w:widowControl w:val="0"/>
              <w:suppressLineNumbers w:val="0"/>
              <w:adjustRightInd w:val="0"/>
              <w:snapToGrid w:val="0"/>
              <w:spacing w:before="0" w:beforeAutospacing="0" w:after="0" w:afterAutospacing="0" w:line="300" w:lineRule="auto"/>
              <w:ind w:left="0" w:right="0"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Calibri" w:eastAsia="宋体" w:cs="宋体"/>
                <w:b/>
                <w:bCs w:val="0"/>
                <w:color w:val="auto"/>
                <w:kern w:val="0"/>
                <w:sz w:val="21"/>
                <w:szCs w:val="21"/>
                <w:highlight w:val="none"/>
                <w:lang w:val="en-US" w:eastAsia="zh-CN" w:bidi="ar"/>
              </w:rPr>
              <w:t> </w:t>
            </w:r>
            <w:r>
              <w:rPr>
                <w:rFonts w:hint="eastAsia" w:ascii="宋体" w:hAnsi="宋体" w:eastAsia="宋体" w:cs="宋体"/>
                <w:color w:val="auto"/>
                <w:kern w:val="0"/>
                <w:sz w:val="21"/>
                <w:szCs w:val="21"/>
                <w:highlight w:val="none"/>
                <w:lang w:val="en-US" w:eastAsia="zh-CN" w:bidi="ar"/>
              </w:rPr>
              <w:t>30.8甲管乙供材料设备的管理</w:t>
            </w:r>
          </w:p>
        </w:tc>
      </w:tr>
      <w:tr w14:paraId="75921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F5BF5D">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8215" w:type="dxa"/>
            <w:tcBorders>
              <w:top w:val="single" w:color="auto" w:sz="4" w:space="0"/>
              <w:left w:val="nil"/>
              <w:bottom w:val="single" w:color="auto" w:sz="4" w:space="0"/>
              <w:right w:val="single" w:color="auto" w:sz="4" w:space="0"/>
            </w:tcBorders>
            <w:shd w:val="clear" w:color="auto" w:fill="auto"/>
            <w:noWrap/>
            <w:vAlign w:val="center"/>
          </w:tcPr>
          <w:p w14:paraId="7B208DE1">
            <w:pPr>
              <w:keepNext w:val="0"/>
              <w:keepLines w:val="0"/>
              <w:widowControl w:val="0"/>
              <w:suppressLineNumbers w:val="0"/>
              <w:adjustRightInd w:val="0"/>
              <w:snapToGrid w:val="0"/>
              <w:spacing w:before="0" w:beforeAutospacing="0" w:after="0" w:afterAutospacing="0" w:line="300" w:lineRule="auto"/>
              <w:ind w:left="0" w:right="0"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36.2承包人提交结算报告的时间</w:t>
            </w:r>
          </w:p>
          <w:p w14:paraId="69E1853D">
            <w:pPr>
              <w:keepNext w:val="0"/>
              <w:keepLines w:val="0"/>
              <w:widowControl w:val="0"/>
              <w:suppressLineNumbers w:val="0"/>
              <w:adjustRightInd w:val="0"/>
              <w:snapToGrid w:val="0"/>
              <w:spacing w:before="0" w:beforeAutospacing="0" w:after="0" w:afterAutospacing="0" w:line="300" w:lineRule="auto"/>
              <w:ind w:left="0" w:right="0"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×（1）承包人提交分段结算报告的时间：按承包人提交给发包人并经发包人审定的分段结算工作计划执行。</w:t>
            </w:r>
          </w:p>
        </w:tc>
      </w:tr>
      <w:tr w14:paraId="2F765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90C191">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8215" w:type="dxa"/>
            <w:tcBorders>
              <w:top w:val="single" w:color="auto" w:sz="4" w:space="0"/>
              <w:left w:val="nil"/>
              <w:bottom w:val="single" w:color="auto" w:sz="4" w:space="0"/>
              <w:right w:val="single" w:color="auto" w:sz="4" w:space="0"/>
            </w:tcBorders>
            <w:shd w:val="clear" w:color="auto" w:fill="auto"/>
            <w:noWrap/>
            <w:vAlign w:val="center"/>
          </w:tcPr>
          <w:p w14:paraId="27805AA6">
            <w:pPr>
              <w:keepNext w:val="0"/>
              <w:keepLines w:val="0"/>
              <w:widowControl w:val="0"/>
              <w:suppressLineNumbers w:val="0"/>
              <w:adjustRightInd w:val="0"/>
              <w:snapToGrid w:val="0"/>
              <w:spacing w:before="0" w:beforeAutospacing="0" w:after="0" w:afterAutospacing="0" w:line="300" w:lineRule="auto"/>
              <w:ind w:left="0" w:right="11" w:firstLine="403" w:firstLineChars="192"/>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36.3发包人审核结算报告的时间：发包人收到承包人提交的[×分段结算报告后45天内（其中含监理单位审核时间25天）、]总结算报告后60天内（其中含监理单位审核时间30天）出具初审意见，并及时报有关部门对结算进行终审。</w:t>
            </w:r>
          </w:p>
        </w:tc>
      </w:tr>
      <w:tr w14:paraId="7EE44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24659F">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8215" w:type="dxa"/>
            <w:tcBorders>
              <w:top w:val="single" w:color="auto" w:sz="4" w:space="0"/>
              <w:left w:val="nil"/>
              <w:bottom w:val="single" w:color="auto" w:sz="4" w:space="0"/>
              <w:right w:val="single" w:color="auto" w:sz="4" w:space="0"/>
            </w:tcBorders>
            <w:shd w:val="clear" w:color="auto" w:fill="auto"/>
            <w:noWrap/>
            <w:vAlign w:val="center"/>
          </w:tcPr>
          <w:p w14:paraId="23880C4D">
            <w:pPr>
              <w:keepNext w:val="0"/>
              <w:keepLines w:val="0"/>
              <w:widowControl w:val="0"/>
              <w:suppressLineNumbers w:val="0"/>
              <w:adjustRightInd w:val="0"/>
              <w:snapToGrid w:val="0"/>
              <w:spacing w:before="0" w:beforeAutospacing="0" w:after="0" w:afterAutospacing="0" w:line="300" w:lineRule="auto"/>
              <w:ind w:left="0" w:right="11" w:firstLine="403" w:firstLineChars="192"/>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38.4承包人承担违约责任的方式包括但不限于：</w:t>
            </w:r>
          </w:p>
          <w:p w14:paraId="3E7E3405">
            <w:pPr>
              <w:keepNext w:val="0"/>
              <w:keepLines w:val="0"/>
              <w:widowControl w:val="0"/>
              <w:suppressLineNumbers w:val="0"/>
              <w:adjustRightInd w:val="0"/>
              <w:snapToGrid w:val="0"/>
              <w:spacing w:before="0" w:beforeAutospacing="0" w:after="0" w:afterAutospacing="0" w:line="300" w:lineRule="auto"/>
              <w:ind w:left="0" w:right="0"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（2）一般违约责任。承包人违反本合同的约定须承担一般违约责任时，必须向发包人交纳违约金（</w:t>
            </w:r>
            <w:r>
              <w:rPr>
                <w:rFonts w:hint="eastAsia" w:ascii="宋体" w:hAnsi="Calibri" w:eastAsia="宋体" w:cs="宋体"/>
                <w:b/>
                <w:bCs w:val="0"/>
                <w:color w:val="auto"/>
                <w:kern w:val="0"/>
                <w:sz w:val="21"/>
                <w:szCs w:val="21"/>
                <w:highlight w:val="none"/>
                <w:lang w:val="en-US" w:eastAsia="zh-CN" w:bidi="ar"/>
              </w:rPr>
              <w:t> </w:t>
            </w:r>
            <w:r>
              <w:rPr>
                <w:rFonts w:hint="eastAsia" w:ascii="宋体" w:hAnsi="宋体" w:eastAsia="宋体" w:cs="宋体"/>
                <w:color w:val="auto"/>
                <w:kern w:val="0"/>
                <w:sz w:val="21"/>
                <w:szCs w:val="21"/>
                <w:highlight w:val="none"/>
                <w:lang w:val="en-US" w:eastAsia="zh-CN" w:bidi="ar"/>
              </w:rPr>
              <w:t>√10000元、×20000元、×50000元）/次。</w:t>
            </w:r>
          </w:p>
          <w:p w14:paraId="27900D5C">
            <w:pPr>
              <w:keepNext w:val="0"/>
              <w:keepLines w:val="0"/>
              <w:widowControl w:val="0"/>
              <w:suppressLineNumbers w:val="0"/>
              <w:adjustRightInd w:val="0"/>
              <w:snapToGrid w:val="0"/>
              <w:spacing w:before="0" w:beforeAutospacing="0" w:after="0" w:afterAutospacing="0" w:line="300" w:lineRule="auto"/>
              <w:ind w:left="0" w:right="0"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（3）严重违约责任。承包人违反本合同的约定须承担严重违约责任时，必须向发包人交纳违约金（</w:t>
            </w:r>
            <w:r>
              <w:rPr>
                <w:rFonts w:hint="eastAsia" w:ascii="宋体" w:hAnsi="Calibri" w:eastAsia="宋体" w:cs="宋体"/>
                <w:b/>
                <w:bCs w:val="0"/>
                <w:color w:val="auto"/>
                <w:kern w:val="0"/>
                <w:sz w:val="21"/>
                <w:szCs w:val="21"/>
                <w:highlight w:val="none"/>
                <w:lang w:val="en-US" w:eastAsia="zh-CN" w:bidi="ar"/>
              </w:rPr>
              <w:t> </w:t>
            </w:r>
            <w:r>
              <w:rPr>
                <w:rFonts w:hint="eastAsia" w:ascii="宋体" w:hAnsi="宋体" w:eastAsia="宋体" w:cs="宋体"/>
                <w:color w:val="auto"/>
                <w:kern w:val="0"/>
                <w:sz w:val="21"/>
                <w:szCs w:val="21"/>
                <w:highlight w:val="none"/>
                <w:lang w:val="en-US" w:eastAsia="zh-CN" w:bidi="ar"/>
              </w:rPr>
              <w:t>√ 50000元、×100000元、×150000元）/次。</w:t>
            </w:r>
          </w:p>
        </w:tc>
      </w:tr>
      <w:tr w14:paraId="6589A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83"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9DEEA3">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8215" w:type="dxa"/>
            <w:tcBorders>
              <w:top w:val="single" w:color="auto" w:sz="4" w:space="0"/>
              <w:left w:val="nil"/>
              <w:bottom w:val="single" w:color="auto" w:sz="4" w:space="0"/>
              <w:right w:val="single" w:color="auto" w:sz="4" w:space="0"/>
            </w:tcBorders>
            <w:shd w:val="clear" w:color="auto" w:fill="auto"/>
            <w:noWrap/>
            <w:vAlign w:val="center"/>
          </w:tcPr>
          <w:p w14:paraId="25DFFF78">
            <w:pPr>
              <w:keepNext w:val="0"/>
              <w:keepLines w:val="0"/>
              <w:widowControl w:val="0"/>
              <w:suppressLineNumbers w:val="0"/>
              <w:adjustRightInd w:val="0"/>
              <w:snapToGrid w:val="0"/>
              <w:spacing w:before="0" w:beforeAutospacing="0" w:after="0" w:afterAutospacing="0" w:line="300" w:lineRule="auto"/>
              <w:ind w:left="0" w:right="11"/>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38.7工程组织管理方面的违约责任</w:t>
            </w:r>
          </w:p>
          <w:p w14:paraId="08C37F02">
            <w:pPr>
              <w:keepNext w:val="0"/>
              <w:keepLines w:val="0"/>
              <w:widowControl w:val="0"/>
              <w:numPr>
                <w:ilvl w:val="0"/>
                <w:numId w:val="5"/>
              </w:numPr>
              <w:suppressLineNumbers w:val="0"/>
              <w:adjustRightInd w:val="0"/>
              <w:snapToGrid w:val="0"/>
              <w:spacing w:before="0" w:beforeAutospacing="0" w:after="0" w:afterAutospacing="0" w:line="360" w:lineRule="auto"/>
              <w:ind w:left="0" w:right="0" w:firstLine="420" w:firstLineChars="20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承包人不按合同专用条款第7条、第9条的有关约定投入现场组织管理人员、施工作业人员、施工机械设备，或者擅自变更资源投入计划或者擅自对已投入的资源进行调整的，承包人必须按照总监理工程师或者发包人的指令限期改正；承包人拒不限期改正或未及时完成整改的，发包人有权要求其承担1次一般违约责任或者1次严重违约责任。情节较轻的，可给予书面警告；情节特别严重的，发包人有权单方面部分解除合同或解除合同。</w:t>
            </w:r>
          </w:p>
          <w:p w14:paraId="61A2DDB2">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经发包人或总监理工程师考核，承包人投入的现场组织管理人员不能满足本工程建设要求的，承包人必须无条件按发包人的要求更换，直至满足本工程建设要求为止。而且，不能满足本工程建设要求的现场组织管理人员按缺勤处理。</w:t>
            </w:r>
          </w:p>
          <w:p w14:paraId="5FB72249">
            <w:pPr>
              <w:keepNext w:val="0"/>
              <w:keepLines w:val="0"/>
              <w:widowControl w:val="0"/>
              <w:suppressLineNumbers w:val="0"/>
              <w:adjustRightInd w:val="0"/>
              <w:snapToGrid w:val="0"/>
              <w:spacing w:before="0" w:beforeAutospacing="0" w:after="0" w:afterAutospacing="0" w:line="300" w:lineRule="auto"/>
              <w:ind w:left="0" w:right="11"/>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如承包人违背投标承诺，除按上述约定承担违约责任之外，还应同时无条件按下表约定的金额向发包人支付违约金：</w:t>
            </w:r>
          </w:p>
          <w:tbl>
            <w:tblPr>
              <w:tblStyle w:val="17"/>
              <w:tblW w:w="7723"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12"/>
              <w:gridCol w:w="1608"/>
              <w:gridCol w:w="1965"/>
              <w:gridCol w:w="1166"/>
              <w:gridCol w:w="1235"/>
              <w:gridCol w:w="1337"/>
            </w:tblGrid>
            <w:tr w14:paraId="378A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3" w:hRule="atLeast"/>
              </w:trPr>
              <w:tc>
                <w:tcPr>
                  <w:tcW w:w="4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DE15B6">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序号</w:t>
                  </w:r>
                </w:p>
              </w:tc>
              <w:tc>
                <w:tcPr>
                  <w:tcW w:w="1608" w:type="dxa"/>
                  <w:tcBorders>
                    <w:top w:val="single" w:color="auto" w:sz="4" w:space="0"/>
                    <w:left w:val="nil"/>
                    <w:bottom w:val="single" w:color="auto" w:sz="4" w:space="0"/>
                    <w:right w:val="single" w:color="auto" w:sz="4" w:space="0"/>
                  </w:tcBorders>
                  <w:shd w:val="clear" w:color="auto" w:fill="auto"/>
                  <w:noWrap/>
                  <w:vAlign w:val="center"/>
                </w:tcPr>
                <w:p w14:paraId="549F1983">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承诺项目</w:t>
                  </w:r>
                </w:p>
              </w:tc>
              <w:tc>
                <w:tcPr>
                  <w:tcW w:w="1965" w:type="dxa"/>
                  <w:tcBorders>
                    <w:top w:val="single" w:color="auto" w:sz="4" w:space="0"/>
                    <w:left w:val="nil"/>
                    <w:bottom w:val="single" w:color="auto" w:sz="4" w:space="0"/>
                    <w:right w:val="single" w:color="auto" w:sz="4" w:space="0"/>
                  </w:tcBorders>
                  <w:shd w:val="clear" w:color="auto" w:fill="auto"/>
                  <w:noWrap/>
                  <w:vAlign w:val="center"/>
                </w:tcPr>
                <w:p w14:paraId="3E3CDC47">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违约说明</w:t>
                  </w:r>
                </w:p>
              </w:tc>
              <w:tc>
                <w:tcPr>
                  <w:tcW w:w="3738" w:type="dxa"/>
                  <w:gridSpan w:val="3"/>
                  <w:tcBorders>
                    <w:top w:val="single" w:color="auto" w:sz="4" w:space="0"/>
                    <w:left w:val="nil"/>
                    <w:bottom w:val="single" w:color="auto" w:sz="4" w:space="0"/>
                    <w:right w:val="single" w:color="auto" w:sz="4" w:space="0"/>
                  </w:tcBorders>
                  <w:shd w:val="clear" w:color="auto" w:fill="auto"/>
                  <w:noWrap/>
                  <w:vAlign w:val="center"/>
                </w:tcPr>
                <w:p w14:paraId="675597DC">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违约金（元/人）</w:t>
                  </w:r>
                </w:p>
              </w:tc>
            </w:tr>
            <w:tr w14:paraId="34974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66" w:hRule="atLeast"/>
              </w:trPr>
              <w:tc>
                <w:tcPr>
                  <w:tcW w:w="412" w:type="dxa"/>
                  <w:vMerge w:val="restart"/>
                  <w:tcBorders>
                    <w:top w:val="nil"/>
                    <w:left w:val="single" w:color="auto" w:sz="4" w:space="0"/>
                    <w:bottom w:val="single" w:color="auto" w:sz="4" w:space="0"/>
                    <w:right w:val="single" w:color="auto" w:sz="4" w:space="0"/>
                  </w:tcBorders>
                  <w:shd w:val="clear" w:color="auto" w:fill="auto"/>
                  <w:noWrap/>
                  <w:vAlign w:val="center"/>
                </w:tcPr>
                <w:p w14:paraId="44B30AEF">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w:t>
                  </w:r>
                </w:p>
              </w:tc>
              <w:tc>
                <w:tcPr>
                  <w:tcW w:w="1608" w:type="dxa"/>
                  <w:vMerge w:val="restart"/>
                  <w:tcBorders>
                    <w:top w:val="nil"/>
                    <w:left w:val="nil"/>
                    <w:bottom w:val="single" w:color="auto" w:sz="4" w:space="0"/>
                    <w:right w:val="single" w:color="auto" w:sz="4" w:space="0"/>
                  </w:tcBorders>
                  <w:shd w:val="clear" w:color="auto" w:fill="auto"/>
                  <w:noWrap/>
                  <w:vAlign w:val="center"/>
                </w:tcPr>
                <w:p w14:paraId="5BD94CD9">
                  <w:pPr>
                    <w:keepNext w:val="0"/>
                    <w:keepLines w:val="0"/>
                    <w:widowControl w:val="0"/>
                    <w:suppressLineNumbers w:val="0"/>
                    <w:adjustRightInd w:val="0"/>
                    <w:snapToGrid w:val="0"/>
                    <w:spacing w:before="0" w:beforeAutospacing="0" w:after="0" w:afterAutospacing="0" w:line="300" w:lineRule="auto"/>
                    <w:ind w:left="315" w:right="0" w:hanging="315" w:hangingChars="15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施工总承包管理部</w:t>
                  </w:r>
                </w:p>
              </w:tc>
              <w:tc>
                <w:tcPr>
                  <w:tcW w:w="1965" w:type="dxa"/>
                  <w:tcBorders>
                    <w:top w:val="single" w:color="auto" w:sz="4" w:space="0"/>
                    <w:left w:val="nil"/>
                    <w:bottom w:val="single" w:color="auto" w:sz="4" w:space="0"/>
                    <w:right w:val="single" w:color="auto" w:sz="4" w:space="0"/>
                  </w:tcBorders>
                  <w:shd w:val="clear" w:color="auto" w:fill="auto"/>
                  <w:noWrap/>
                  <w:vAlign w:val="center"/>
                </w:tcPr>
                <w:p w14:paraId="5748657A">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更换项目指挥长或项目经理</w:t>
                  </w:r>
                </w:p>
              </w:tc>
              <w:tc>
                <w:tcPr>
                  <w:tcW w:w="1166" w:type="dxa"/>
                  <w:tcBorders>
                    <w:top w:val="single" w:color="auto" w:sz="4" w:space="0"/>
                    <w:left w:val="nil"/>
                    <w:bottom w:val="single" w:color="auto" w:sz="4" w:space="0"/>
                    <w:right w:val="single" w:color="auto" w:sz="4" w:space="0"/>
                  </w:tcBorders>
                  <w:shd w:val="clear" w:color="auto" w:fill="auto"/>
                  <w:noWrap/>
                  <w:vAlign w:val="center"/>
                </w:tcPr>
                <w:p w14:paraId="0A911209">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50000</w:t>
                  </w:r>
                </w:p>
              </w:tc>
              <w:tc>
                <w:tcPr>
                  <w:tcW w:w="1235" w:type="dxa"/>
                  <w:tcBorders>
                    <w:top w:val="single" w:color="auto" w:sz="4" w:space="0"/>
                    <w:left w:val="nil"/>
                    <w:bottom w:val="single" w:color="auto" w:sz="4" w:space="0"/>
                    <w:right w:val="single" w:color="auto" w:sz="4" w:space="0"/>
                  </w:tcBorders>
                  <w:shd w:val="clear" w:color="auto" w:fill="auto"/>
                  <w:noWrap/>
                  <w:vAlign w:val="center"/>
                </w:tcPr>
                <w:p w14:paraId="070F8E65">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100000</w:t>
                  </w:r>
                </w:p>
              </w:tc>
              <w:tc>
                <w:tcPr>
                  <w:tcW w:w="1337" w:type="dxa"/>
                  <w:tcBorders>
                    <w:top w:val="single" w:color="auto" w:sz="4" w:space="0"/>
                    <w:left w:val="nil"/>
                    <w:bottom w:val="single" w:color="auto" w:sz="4" w:space="0"/>
                    <w:right w:val="single" w:color="auto" w:sz="4" w:space="0"/>
                  </w:tcBorders>
                  <w:shd w:val="clear" w:color="auto" w:fill="auto"/>
                  <w:noWrap/>
                  <w:vAlign w:val="center"/>
                </w:tcPr>
                <w:p w14:paraId="29DF8E89">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200000</w:t>
                  </w:r>
                </w:p>
              </w:tc>
            </w:tr>
            <w:tr w14:paraId="042FB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 w:hRule="atLeast"/>
              </w:trPr>
              <w:tc>
                <w:tcPr>
                  <w:tcW w:w="412" w:type="dxa"/>
                  <w:vMerge w:val="continue"/>
                  <w:tcBorders>
                    <w:top w:val="nil"/>
                    <w:left w:val="single" w:color="auto" w:sz="4" w:space="0"/>
                    <w:bottom w:val="single" w:color="auto" w:sz="4" w:space="0"/>
                    <w:right w:val="single" w:color="auto" w:sz="4" w:space="0"/>
                  </w:tcBorders>
                  <w:shd w:val="clear" w:color="auto" w:fill="auto"/>
                  <w:noWrap/>
                  <w:vAlign w:val="center"/>
                </w:tcPr>
                <w:p w14:paraId="145CBD30">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608" w:type="dxa"/>
                  <w:vMerge w:val="continue"/>
                  <w:tcBorders>
                    <w:top w:val="nil"/>
                    <w:left w:val="nil"/>
                    <w:bottom w:val="single" w:color="auto" w:sz="4" w:space="0"/>
                    <w:right w:val="single" w:color="auto" w:sz="4" w:space="0"/>
                  </w:tcBorders>
                  <w:shd w:val="clear" w:color="auto" w:fill="auto"/>
                  <w:noWrap/>
                  <w:vAlign w:val="center"/>
                </w:tcPr>
                <w:p w14:paraId="60FEE153">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965" w:type="dxa"/>
                  <w:tcBorders>
                    <w:top w:val="single" w:color="auto" w:sz="4" w:space="0"/>
                    <w:left w:val="nil"/>
                    <w:bottom w:val="single" w:color="auto" w:sz="4" w:space="0"/>
                    <w:right w:val="single" w:color="auto" w:sz="4" w:space="0"/>
                  </w:tcBorders>
                  <w:shd w:val="clear" w:color="auto" w:fill="auto"/>
                  <w:noWrap/>
                  <w:vAlign w:val="center"/>
                </w:tcPr>
                <w:p w14:paraId="5B2D235F">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更换项目技术负责人</w:t>
                  </w:r>
                </w:p>
              </w:tc>
              <w:tc>
                <w:tcPr>
                  <w:tcW w:w="1166" w:type="dxa"/>
                  <w:tcBorders>
                    <w:top w:val="single" w:color="auto" w:sz="4" w:space="0"/>
                    <w:left w:val="nil"/>
                    <w:bottom w:val="single" w:color="auto" w:sz="4" w:space="0"/>
                    <w:right w:val="single" w:color="auto" w:sz="4" w:space="0"/>
                  </w:tcBorders>
                  <w:shd w:val="clear" w:color="auto" w:fill="auto"/>
                  <w:noWrap/>
                  <w:vAlign w:val="center"/>
                </w:tcPr>
                <w:p w14:paraId="70086805">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30000</w:t>
                  </w:r>
                </w:p>
              </w:tc>
              <w:tc>
                <w:tcPr>
                  <w:tcW w:w="1235" w:type="dxa"/>
                  <w:tcBorders>
                    <w:top w:val="single" w:color="auto" w:sz="4" w:space="0"/>
                    <w:left w:val="nil"/>
                    <w:bottom w:val="single" w:color="auto" w:sz="4" w:space="0"/>
                    <w:right w:val="single" w:color="auto" w:sz="4" w:space="0"/>
                  </w:tcBorders>
                  <w:shd w:val="clear" w:color="auto" w:fill="auto"/>
                  <w:noWrap/>
                  <w:vAlign w:val="center"/>
                </w:tcPr>
                <w:p w14:paraId="42C02C2D">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 80000</w:t>
                  </w:r>
                </w:p>
              </w:tc>
              <w:tc>
                <w:tcPr>
                  <w:tcW w:w="1337" w:type="dxa"/>
                  <w:tcBorders>
                    <w:top w:val="single" w:color="auto" w:sz="4" w:space="0"/>
                    <w:left w:val="nil"/>
                    <w:bottom w:val="single" w:color="auto" w:sz="4" w:space="0"/>
                    <w:right w:val="single" w:color="auto" w:sz="4" w:space="0"/>
                  </w:tcBorders>
                  <w:shd w:val="clear" w:color="auto" w:fill="auto"/>
                  <w:noWrap/>
                  <w:vAlign w:val="center"/>
                </w:tcPr>
                <w:p w14:paraId="73518FE4">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 150000</w:t>
                  </w:r>
                </w:p>
              </w:tc>
            </w:tr>
            <w:tr w14:paraId="360A8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66" w:hRule="atLeast"/>
              </w:trPr>
              <w:tc>
                <w:tcPr>
                  <w:tcW w:w="412" w:type="dxa"/>
                  <w:vMerge w:val="continue"/>
                  <w:tcBorders>
                    <w:top w:val="nil"/>
                    <w:left w:val="single" w:color="auto" w:sz="4" w:space="0"/>
                    <w:bottom w:val="single" w:color="auto" w:sz="4" w:space="0"/>
                    <w:right w:val="single" w:color="auto" w:sz="4" w:space="0"/>
                  </w:tcBorders>
                  <w:shd w:val="clear" w:color="auto" w:fill="auto"/>
                  <w:noWrap/>
                  <w:vAlign w:val="center"/>
                </w:tcPr>
                <w:p w14:paraId="422BB634">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608" w:type="dxa"/>
                  <w:vMerge w:val="continue"/>
                  <w:tcBorders>
                    <w:top w:val="nil"/>
                    <w:left w:val="nil"/>
                    <w:bottom w:val="single" w:color="auto" w:sz="4" w:space="0"/>
                    <w:right w:val="single" w:color="auto" w:sz="4" w:space="0"/>
                  </w:tcBorders>
                  <w:shd w:val="clear" w:color="auto" w:fill="auto"/>
                  <w:noWrap/>
                  <w:vAlign w:val="center"/>
                </w:tcPr>
                <w:p w14:paraId="32DC9C0D">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965" w:type="dxa"/>
                  <w:tcBorders>
                    <w:top w:val="single" w:color="auto" w:sz="4" w:space="0"/>
                    <w:left w:val="nil"/>
                    <w:bottom w:val="single" w:color="auto" w:sz="4" w:space="0"/>
                    <w:right w:val="single" w:color="auto" w:sz="4" w:space="0"/>
                  </w:tcBorders>
                  <w:shd w:val="clear" w:color="auto" w:fill="auto"/>
                  <w:noWrap/>
                  <w:vAlign w:val="center"/>
                </w:tcPr>
                <w:p w14:paraId="24D1E6DB">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更换专职安全员或其他人</w:t>
                  </w:r>
                </w:p>
              </w:tc>
              <w:tc>
                <w:tcPr>
                  <w:tcW w:w="1166" w:type="dxa"/>
                  <w:tcBorders>
                    <w:top w:val="single" w:color="auto" w:sz="4" w:space="0"/>
                    <w:left w:val="nil"/>
                    <w:bottom w:val="single" w:color="auto" w:sz="4" w:space="0"/>
                    <w:right w:val="single" w:color="auto" w:sz="4" w:space="0"/>
                  </w:tcBorders>
                  <w:shd w:val="clear" w:color="auto" w:fill="auto"/>
                  <w:noWrap/>
                  <w:vAlign w:val="center"/>
                </w:tcPr>
                <w:p w14:paraId="0B473850">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10000</w:t>
                  </w:r>
                </w:p>
              </w:tc>
              <w:tc>
                <w:tcPr>
                  <w:tcW w:w="1235" w:type="dxa"/>
                  <w:tcBorders>
                    <w:top w:val="single" w:color="auto" w:sz="4" w:space="0"/>
                    <w:left w:val="nil"/>
                    <w:bottom w:val="single" w:color="auto" w:sz="4" w:space="0"/>
                    <w:right w:val="single" w:color="auto" w:sz="4" w:space="0"/>
                  </w:tcBorders>
                  <w:shd w:val="clear" w:color="auto" w:fill="auto"/>
                  <w:noWrap/>
                  <w:vAlign w:val="center"/>
                </w:tcPr>
                <w:p w14:paraId="6BBC8E16">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 50000</w:t>
                  </w:r>
                </w:p>
              </w:tc>
              <w:tc>
                <w:tcPr>
                  <w:tcW w:w="1337" w:type="dxa"/>
                  <w:tcBorders>
                    <w:top w:val="single" w:color="auto" w:sz="4" w:space="0"/>
                    <w:left w:val="nil"/>
                    <w:bottom w:val="single" w:color="auto" w:sz="4" w:space="0"/>
                    <w:right w:val="single" w:color="auto" w:sz="4" w:space="0"/>
                  </w:tcBorders>
                  <w:shd w:val="clear" w:color="auto" w:fill="auto"/>
                  <w:noWrap/>
                  <w:vAlign w:val="center"/>
                </w:tcPr>
                <w:p w14:paraId="1380E6B1">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 100000</w:t>
                  </w:r>
                </w:p>
              </w:tc>
            </w:tr>
            <w:tr w14:paraId="232DF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66" w:hRule="atLeast"/>
              </w:trPr>
              <w:tc>
                <w:tcPr>
                  <w:tcW w:w="412" w:type="dxa"/>
                  <w:vMerge w:val="restart"/>
                  <w:tcBorders>
                    <w:top w:val="nil"/>
                    <w:left w:val="single" w:color="auto" w:sz="4" w:space="0"/>
                    <w:bottom w:val="single" w:color="auto" w:sz="4" w:space="0"/>
                    <w:right w:val="single" w:color="auto" w:sz="4" w:space="0"/>
                  </w:tcBorders>
                  <w:shd w:val="clear" w:color="auto" w:fill="auto"/>
                  <w:noWrap/>
                  <w:vAlign w:val="center"/>
                </w:tcPr>
                <w:p w14:paraId="77400A52">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w:t>
                  </w:r>
                </w:p>
              </w:tc>
              <w:tc>
                <w:tcPr>
                  <w:tcW w:w="1608" w:type="dxa"/>
                  <w:vMerge w:val="restart"/>
                  <w:tcBorders>
                    <w:top w:val="nil"/>
                    <w:left w:val="nil"/>
                    <w:bottom w:val="single" w:color="auto" w:sz="4" w:space="0"/>
                    <w:right w:val="single" w:color="auto" w:sz="4" w:space="0"/>
                  </w:tcBorders>
                  <w:shd w:val="clear" w:color="auto" w:fill="auto"/>
                  <w:noWrap/>
                  <w:vAlign w:val="center"/>
                </w:tcPr>
                <w:p w14:paraId="5D9AA46E">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施工项目部</w:t>
                  </w:r>
                </w:p>
              </w:tc>
              <w:tc>
                <w:tcPr>
                  <w:tcW w:w="1965" w:type="dxa"/>
                  <w:tcBorders>
                    <w:top w:val="single" w:color="auto" w:sz="4" w:space="0"/>
                    <w:left w:val="nil"/>
                    <w:bottom w:val="single" w:color="auto" w:sz="4" w:space="0"/>
                    <w:right w:val="single" w:color="auto" w:sz="4" w:space="0"/>
                  </w:tcBorders>
                  <w:shd w:val="clear" w:color="auto" w:fill="auto"/>
                  <w:noWrap/>
                  <w:vAlign w:val="center"/>
                </w:tcPr>
                <w:p w14:paraId="7AED25CD">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更换项目指挥长或项目经理</w:t>
                  </w:r>
                </w:p>
              </w:tc>
              <w:tc>
                <w:tcPr>
                  <w:tcW w:w="1166" w:type="dxa"/>
                  <w:tcBorders>
                    <w:top w:val="single" w:color="auto" w:sz="4" w:space="0"/>
                    <w:left w:val="nil"/>
                    <w:bottom w:val="single" w:color="auto" w:sz="4" w:space="0"/>
                    <w:right w:val="single" w:color="auto" w:sz="4" w:space="0"/>
                  </w:tcBorders>
                  <w:shd w:val="clear" w:color="auto" w:fill="auto"/>
                  <w:noWrap/>
                  <w:vAlign w:val="center"/>
                </w:tcPr>
                <w:p w14:paraId="06EB6891">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 30000</w:t>
                  </w:r>
                </w:p>
              </w:tc>
              <w:tc>
                <w:tcPr>
                  <w:tcW w:w="1235" w:type="dxa"/>
                  <w:tcBorders>
                    <w:top w:val="single" w:color="auto" w:sz="4" w:space="0"/>
                    <w:left w:val="nil"/>
                    <w:bottom w:val="single" w:color="auto" w:sz="4" w:space="0"/>
                    <w:right w:val="single" w:color="auto" w:sz="4" w:space="0"/>
                  </w:tcBorders>
                  <w:shd w:val="clear" w:color="auto" w:fill="auto"/>
                  <w:noWrap/>
                  <w:vAlign w:val="center"/>
                </w:tcPr>
                <w:p w14:paraId="47535830">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 80000</w:t>
                  </w:r>
                </w:p>
              </w:tc>
              <w:tc>
                <w:tcPr>
                  <w:tcW w:w="1337" w:type="dxa"/>
                  <w:tcBorders>
                    <w:top w:val="single" w:color="auto" w:sz="4" w:space="0"/>
                    <w:left w:val="nil"/>
                    <w:bottom w:val="single" w:color="auto" w:sz="4" w:space="0"/>
                    <w:right w:val="single" w:color="auto" w:sz="4" w:space="0"/>
                  </w:tcBorders>
                  <w:shd w:val="clear" w:color="auto" w:fill="auto"/>
                  <w:noWrap/>
                  <w:vAlign w:val="center"/>
                </w:tcPr>
                <w:p w14:paraId="2F1788FF">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 150000</w:t>
                  </w:r>
                </w:p>
              </w:tc>
            </w:tr>
            <w:tr w14:paraId="5AB97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 w:hRule="atLeast"/>
              </w:trPr>
              <w:tc>
                <w:tcPr>
                  <w:tcW w:w="412" w:type="dxa"/>
                  <w:vMerge w:val="continue"/>
                  <w:tcBorders>
                    <w:top w:val="nil"/>
                    <w:left w:val="single" w:color="auto" w:sz="4" w:space="0"/>
                    <w:bottom w:val="single" w:color="auto" w:sz="4" w:space="0"/>
                    <w:right w:val="single" w:color="auto" w:sz="4" w:space="0"/>
                  </w:tcBorders>
                  <w:shd w:val="clear" w:color="auto" w:fill="auto"/>
                  <w:noWrap/>
                  <w:vAlign w:val="center"/>
                </w:tcPr>
                <w:p w14:paraId="11741AA7">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608" w:type="dxa"/>
                  <w:vMerge w:val="continue"/>
                  <w:tcBorders>
                    <w:top w:val="nil"/>
                    <w:left w:val="nil"/>
                    <w:bottom w:val="single" w:color="auto" w:sz="4" w:space="0"/>
                    <w:right w:val="single" w:color="auto" w:sz="4" w:space="0"/>
                  </w:tcBorders>
                  <w:shd w:val="clear" w:color="auto" w:fill="auto"/>
                  <w:noWrap/>
                  <w:vAlign w:val="center"/>
                </w:tcPr>
                <w:p w14:paraId="1180D38B">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965" w:type="dxa"/>
                  <w:tcBorders>
                    <w:top w:val="single" w:color="auto" w:sz="4" w:space="0"/>
                    <w:left w:val="nil"/>
                    <w:bottom w:val="single" w:color="auto" w:sz="4" w:space="0"/>
                    <w:right w:val="single" w:color="auto" w:sz="4" w:space="0"/>
                  </w:tcBorders>
                  <w:shd w:val="clear" w:color="auto" w:fill="auto"/>
                  <w:noWrap/>
                  <w:vAlign w:val="center"/>
                </w:tcPr>
                <w:p w14:paraId="30932451">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更换项目副经理或空缺</w:t>
                  </w:r>
                </w:p>
              </w:tc>
              <w:tc>
                <w:tcPr>
                  <w:tcW w:w="1166" w:type="dxa"/>
                  <w:tcBorders>
                    <w:top w:val="single" w:color="auto" w:sz="4" w:space="0"/>
                    <w:left w:val="nil"/>
                    <w:bottom w:val="single" w:color="auto" w:sz="4" w:space="0"/>
                    <w:right w:val="single" w:color="auto" w:sz="4" w:space="0"/>
                  </w:tcBorders>
                  <w:shd w:val="clear" w:color="auto" w:fill="auto"/>
                  <w:noWrap/>
                  <w:vAlign w:val="center"/>
                </w:tcPr>
                <w:p w14:paraId="0DC5AC9B">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 20000</w:t>
                  </w:r>
                </w:p>
              </w:tc>
              <w:tc>
                <w:tcPr>
                  <w:tcW w:w="1235" w:type="dxa"/>
                  <w:tcBorders>
                    <w:top w:val="single" w:color="auto" w:sz="4" w:space="0"/>
                    <w:left w:val="nil"/>
                    <w:bottom w:val="single" w:color="auto" w:sz="4" w:space="0"/>
                    <w:right w:val="single" w:color="auto" w:sz="4" w:space="0"/>
                  </w:tcBorders>
                  <w:shd w:val="clear" w:color="auto" w:fill="auto"/>
                  <w:noWrap/>
                  <w:vAlign w:val="center"/>
                </w:tcPr>
                <w:p w14:paraId="7BCF30DE">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 50000</w:t>
                  </w:r>
                </w:p>
              </w:tc>
              <w:tc>
                <w:tcPr>
                  <w:tcW w:w="1337" w:type="dxa"/>
                  <w:tcBorders>
                    <w:top w:val="single" w:color="auto" w:sz="4" w:space="0"/>
                    <w:left w:val="nil"/>
                    <w:bottom w:val="single" w:color="auto" w:sz="4" w:space="0"/>
                    <w:right w:val="single" w:color="auto" w:sz="4" w:space="0"/>
                  </w:tcBorders>
                  <w:shd w:val="clear" w:color="auto" w:fill="auto"/>
                  <w:noWrap/>
                  <w:vAlign w:val="center"/>
                </w:tcPr>
                <w:p w14:paraId="23F8A602">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 100000</w:t>
                  </w:r>
                </w:p>
              </w:tc>
            </w:tr>
            <w:tr w14:paraId="79071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66" w:hRule="atLeast"/>
              </w:trPr>
              <w:tc>
                <w:tcPr>
                  <w:tcW w:w="412" w:type="dxa"/>
                  <w:vMerge w:val="continue"/>
                  <w:tcBorders>
                    <w:top w:val="nil"/>
                    <w:left w:val="single" w:color="auto" w:sz="4" w:space="0"/>
                    <w:bottom w:val="single" w:color="auto" w:sz="4" w:space="0"/>
                    <w:right w:val="single" w:color="auto" w:sz="4" w:space="0"/>
                  </w:tcBorders>
                  <w:shd w:val="clear" w:color="auto" w:fill="auto"/>
                  <w:noWrap/>
                  <w:vAlign w:val="center"/>
                </w:tcPr>
                <w:p w14:paraId="1D8EEF1A">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608" w:type="dxa"/>
                  <w:vMerge w:val="continue"/>
                  <w:tcBorders>
                    <w:top w:val="nil"/>
                    <w:left w:val="nil"/>
                    <w:bottom w:val="single" w:color="auto" w:sz="4" w:space="0"/>
                    <w:right w:val="single" w:color="auto" w:sz="4" w:space="0"/>
                  </w:tcBorders>
                  <w:shd w:val="clear" w:color="auto" w:fill="auto"/>
                  <w:noWrap/>
                  <w:vAlign w:val="center"/>
                </w:tcPr>
                <w:p w14:paraId="3E417DF7">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965" w:type="dxa"/>
                  <w:tcBorders>
                    <w:top w:val="single" w:color="auto" w:sz="4" w:space="0"/>
                    <w:left w:val="nil"/>
                    <w:bottom w:val="single" w:color="auto" w:sz="4" w:space="0"/>
                    <w:right w:val="single" w:color="auto" w:sz="4" w:space="0"/>
                  </w:tcBorders>
                  <w:shd w:val="clear" w:color="auto" w:fill="auto"/>
                  <w:noWrap/>
                  <w:vAlign w:val="center"/>
                </w:tcPr>
                <w:p w14:paraId="463B9DA7">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更换专职安全员或其他人</w:t>
                  </w:r>
                </w:p>
              </w:tc>
              <w:tc>
                <w:tcPr>
                  <w:tcW w:w="1166" w:type="dxa"/>
                  <w:tcBorders>
                    <w:top w:val="single" w:color="auto" w:sz="4" w:space="0"/>
                    <w:left w:val="nil"/>
                    <w:bottom w:val="single" w:color="auto" w:sz="4" w:space="0"/>
                    <w:right w:val="single" w:color="auto" w:sz="4" w:space="0"/>
                  </w:tcBorders>
                  <w:shd w:val="clear" w:color="auto" w:fill="auto"/>
                  <w:noWrap/>
                  <w:vAlign w:val="center"/>
                </w:tcPr>
                <w:p w14:paraId="0935ED81">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 10000</w:t>
                  </w:r>
                </w:p>
              </w:tc>
              <w:tc>
                <w:tcPr>
                  <w:tcW w:w="1235" w:type="dxa"/>
                  <w:tcBorders>
                    <w:top w:val="single" w:color="auto" w:sz="4" w:space="0"/>
                    <w:left w:val="nil"/>
                    <w:bottom w:val="single" w:color="auto" w:sz="4" w:space="0"/>
                    <w:right w:val="single" w:color="auto" w:sz="4" w:space="0"/>
                  </w:tcBorders>
                  <w:shd w:val="clear" w:color="auto" w:fill="auto"/>
                  <w:noWrap/>
                  <w:vAlign w:val="center"/>
                </w:tcPr>
                <w:p w14:paraId="745D6C1A">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 30000</w:t>
                  </w:r>
                </w:p>
              </w:tc>
              <w:tc>
                <w:tcPr>
                  <w:tcW w:w="1337" w:type="dxa"/>
                  <w:tcBorders>
                    <w:top w:val="single" w:color="auto" w:sz="4" w:space="0"/>
                    <w:left w:val="nil"/>
                    <w:bottom w:val="single" w:color="auto" w:sz="4" w:space="0"/>
                    <w:right w:val="single" w:color="auto" w:sz="4" w:space="0"/>
                  </w:tcBorders>
                  <w:shd w:val="clear" w:color="auto" w:fill="auto"/>
                  <w:noWrap/>
                  <w:vAlign w:val="center"/>
                </w:tcPr>
                <w:p w14:paraId="7F3D1396">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 50000</w:t>
                  </w:r>
                </w:p>
              </w:tc>
            </w:tr>
            <w:tr w14:paraId="7D6D3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66" w:hRule="atLeast"/>
              </w:trPr>
              <w:tc>
                <w:tcPr>
                  <w:tcW w:w="412" w:type="dxa"/>
                  <w:vMerge w:val="restart"/>
                  <w:tcBorders>
                    <w:top w:val="nil"/>
                    <w:left w:val="single" w:color="auto" w:sz="4" w:space="0"/>
                    <w:bottom w:val="single" w:color="auto" w:sz="4" w:space="0"/>
                    <w:right w:val="single" w:color="auto" w:sz="4" w:space="0"/>
                  </w:tcBorders>
                  <w:shd w:val="clear" w:color="auto" w:fill="auto"/>
                  <w:noWrap/>
                  <w:vAlign w:val="center"/>
                </w:tcPr>
                <w:p w14:paraId="3E66575C">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w:t>
                  </w:r>
                </w:p>
              </w:tc>
              <w:tc>
                <w:tcPr>
                  <w:tcW w:w="1608" w:type="dxa"/>
                  <w:vMerge w:val="restart"/>
                  <w:tcBorders>
                    <w:top w:val="nil"/>
                    <w:left w:val="nil"/>
                    <w:bottom w:val="single" w:color="auto" w:sz="4" w:space="0"/>
                    <w:right w:val="single" w:color="auto" w:sz="4" w:space="0"/>
                  </w:tcBorders>
                  <w:shd w:val="clear" w:color="auto" w:fill="auto"/>
                  <w:noWrap/>
                  <w:vAlign w:val="center"/>
                </w:tcPr>
                <w:p w14:paraId="029F598C">
                  <w:pPr>
                    <w:keepNext w:val="0"/>
                    <w:keepLines w:val="0"/>
                    <w:widowControl w:val="0"/>
                    <w:suppressLineNumbers w:val="0"/>
                    <w:adjustRightInd w:val="0"/>
                    <w:snapToGrid w:val="0"/>
                    <w:spacing w:before="0" w:beforeAutospacing="0" w:after="0" w:afterAutospacing="0" w:line="300" w:lineRule="auto"/>
                    <w:ind w:left="315" w:right="0" w:hanging="315" w:hangingChars="15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驻场深化设计部</w:t>
                  </w:r>
                </w:p>
              </w:tc>
              <w:tc>
                <w:tcPr>
                  <w:tcW w:w="1965" w:type="dxa"/>
                  <w:tcBorders>
                    <w:top w:val="single" w:color="auto" w:sz="4" w:space="0"/>
                    <w:left w:val="nil"/>
                    <w:bottom w:val="single" w:color="auto" w:sz="4" w:space="0"/>
                    <w:right w:val="single" w:color="auto" w:sz="4" w:space="0"/>
                  </w:tcBorders>
                  <w:shd w:val="clear" w:color="auto" w:fill="auto"/>
                  <w:noWrap/>
                  <w:vAlign w:val="center"/>
                </w:tcPr>
                <w:p w14:paraId="42CCC7E7">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更换部门经理或空缺</w:t>
                  </w:r>
                </w:p>
              </w:tc>
              <w:tc>
                <w:tcPr>
                  <w:tcW w:w="1166" w:type="dxa"/>
                  <w:tcBorders>
                    <w:top w:val="single" w:color="auto" w:sz="4" w:space="0"/>
                    <w:left w:val="nil"/>
                    <w:bottom w:val="single" w:color="auto" w:sz="4" w:space="0"/>
                    <w:right w:val="single" w:color="auto" w:sz="4" w:space="0"/>
                  </w:tcBorders>
                  <w:shd w:val="clear" w:color="auto" w:fill="auto"/>
                  <w:noWrap/>
                  <w:vAlign w:val="center"/>
                </w:tcPr>
                <w:p w14:paraId="5E135696">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20000</w:t>
                  </w:r>
                </w:p>
              </w:tc>
              <w:tc>
                <w:tcPr>
                  <w:tcW w:w="1235" w:type="dxa"/>
                  <w:tcBorders>
                    <w:top w:val="single" w:color="auto" w:sz="4" w:space="0"/>
                    <w:left w:val="nil"/>
                    <w:bottom w:val="single" w:color="auto" w:sz="4" w:space="0"/>
                    <w:right w:val="single" w:color="auto" w:sz="4" w:space="0"/>
                  </w:tcBorders>
                  <w:shd w:val="clear" w:color="auto" w:fill="auto"/>
                  <w:noWrap/>
                  <w:vAlign w:val="center"/>
                </w:tcPr>
                <w:p w14:paraId="39009E32">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 50000</w:t>
                  </w:r>
                </w:p>
              </w:tc>
              <w:tc>
                <w:tcPr>
                  <w:tcW w:w="1337" w:type="dxa"/>
                  <w:tcBorders>
                    <w:top w:val="single" w:color="auto" w:sz="4" w:space="0"/>
                    <w:left w:val="nil"/>
                    <w:bottom w:val="single" w:color="auto" w:sz="4" w:space="0"/>
                    <w:right w:val="single" w:color="auto" w:sz="4" w:space="0"/>
                  </w:tcBorders>
                  <w:shd w:val="clear" w:color="auto" w:fill="auto"/>
                  <w:noWrap/>
                  <w:vAlign w:val="center"/>
                </w:tcPr>
                <w:p w14:paraId="6D47DB60">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 100000</w:t>
                  </w:r>
                </w:p>
              </w:tc>
            </w:tr>
            <w:tr w14:paraId="7FB88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66" w:hRule="atLeast"/>
              </w:trPr>
              <w:tc>
                <w:tcPr>
                  <w:tcW w:w="412" w:type="dxa"/>
                  <w:vMerge w:val="continue"/>
                  <w:tcBorders>
                    <w:top w:val="nil"/>
                    <w:left w:val="single" w:color="auto" w:sz="4" w:space="0"/>
                    <w:bottom w:val="single" w:color="auto" w:sz="4" w:space="0"/>
                    <w:right w:val="single" w:color="auto" w:sz="4" w:space="0"/>
                  </w:tcBorders>
                  <w:shd w:val="clear" w:color="auto" w:fill="auto"/>
                  <w:noWrap/>
                  <w:vAlign w:val="center"/>
                </w:tcPr>
                <w:p w14:paraId="45068279">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608" w:type="dxa"/>
                  <w:vMerge w:val="continue"/>
                  <w:tcBorders>
                    <w:top w:val="nil"/>
                    <w:left w:val="nil"/>
                    <w:bottom w:val="single" w:color="auto" w:sz="4" w:space="0"/>
                    <w:right w:val="single" w:color="auto" w:sz="4" w:space="0"/>
                  </w:tcBorders>
                  <w:shd w:val="clear" w:color="auto" w:fill="auto"/>
                  <w:noWrap/>
                  <w:vAlign w:val="center"/>
                </w:tcPr>
                <w:p w14:paraId="79110F1C">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965" w:type="dxa"/>
                  <w:tcBorders>
                    <w:top w:val="single" w:color="auto" w:sz="4" w:space="0"/>
                    <w:left w:val="nil"/>
                    <w:bottom w:val="single" w:color="auto" w:sz="4" w:space="0"/>
                    <w:right w:val="single" w:color="auto" w:sz="4" w:space="0"/>
                  </w:tcBorders>
                  <w:shd w:val="clear" w:color="auto" w:fill="auto"/>
                  <w:noWrap/>
                  <w:vAlign w:val="center"/>
                </w:tcPr>
                <w:p w14:paraId="1EE4B23E">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更换技术负责人或空缺</w:t>
                  </w:r>
                </w:p>
              </w:tc>
              <w:tc>
                <w:tcPr>
                  <w:tcW w:w="1166" w:type="dxa"/>
                  <w:tcBorders>
                    <w:top w:val="single" w:color="auto" w:sz="4" w:space="0"/>
                    <w:left w:val="nil"/>
                    <w:bottom w:val="single" w:color="auto" w:sz="4" w:space="0"/>
                    <w:right w:val="single" w:color="auto" w:sz="4" w:space="0"/>
                  </w:tcBorders>
                  <w:shd w:val="clear" w:color="auto" w:fill="auto"/>
                  <w:noWrap/>
                  <w:vAlign w:val="center"/>
                </w:tcPr>
                <w:p w14:paraId="4EA44F95">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10000</w:t>
                  </w:r>
                </w:p>
              </w:tc>
              <w:tc>
                <w:tcPr>
                  <w:tcW w:w="1235" w:type="dxa"/>
                  <w:tcBorders>
                    <w:top w:val="single" w:color="auto" w:sz="4" w:space="0"/>
                    <w:left w:val="nil"/>
                    <w:bottom w:val="single" w:color="auto" w:sz="4" w:space="0"/>
                    <w:right w:val="single" w:color="auto" w:sz="4" w:space="0"/>
                  </w:tcBorders>
                  <w:shd w:val="clear" w:color="auto" w:fill="auto"/>
                  <w:noWrap/>
                  <w:vAlign w:val="center"/>
                </w:tcPr>
                <w:p w14:paraId="3140ED83">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 30000</w:t>
                  </w:r>
                </w:p>
              </w:tc>
              <w:tc>
                <w:tcPr>
                  <w:tcW w:w="1337" w:type="dxa"/>
                  <w:tcBorders>
                    <w:top w:val="single" w:color="auto" w:sz="4" w:space="0"/>
                    <w:left w:val="nil"/>
                    <w:bottom w:val="single" w:color="auto" w:sz="4" w:space="0"/>
                    <w:right w:val="single" w:color="auto" w:sz="4" w:space="0"/>
                  </w:tcBorders>
                  <w:shd w:val="clear" w:color="auto" w:fill="auto"/>
                  <w:noWrap/>
                  <w:vAlign w:val="center"/>
                </w:tcPr>
                <w:p w14:paraId="6CF1B107">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 50000</w:t>
                  </w:r>
                </w:p>
              </w:tc>
            </w:tr>
            <w:tr w14:paraId="0E7DF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412" w:type="dxa"/>
                  <w:vMerge w:val="continue"/>
                  <w:tcBorders>
                    <w:top w:val="nil"/>
                    <w:left w:val="single" w:color="auto" w:sz="4" w:space="0"/>
                    <w:bottom w:val="single" w:color="auto" w:sz="4" w:space="0"/>
                    <w:right w:val="single" w:color="auto" w:sz="4" w:space="0"/>
                  </w:tcBorders>
                  <w:shd w:val="clear" w:color="auto" w:fill="auto"/>
                  <w:noWrap/>
                  <w:vAlign w:val="center"/>
                </w:tcPr>
                <w:p w14:paraId="2D5E404E">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608" w:type="dxa"/>
                  <w:vMerge w:val="continue"/>
                  <w:tcBorders>
                    <w:top w:val="nil"/>
                    <w:left w:val="nil"/>
                    <w:bottom w:val="single" w:color="auto" w:sz="4" w:space="0"/>
                    <w:right w:val="single" w:color="auto" w:sz="4" w:space="0"/>
                  </w:tcBorders>
                  <w:shd w:val="clear" w:color="auto" w:fill="auto"/>
                  <w:noWrap/>
                  <w:vAlign w:val="center"/>
                </w:tcPr>
                <w:p w14:paraId="423413AE">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965" w:type="dxa"/>
                  <w:tcBorders>
                    <w:top w:val="single" w:color="auto" w:sz="4" w:space="0"/>
                    <w:left w:val="nil"/>
                    <w:bottom w:val="single" w:color="auto" w:sz="4" w:space="0"/>
                    <w:right w:val="single" w:color="auto" w:sz="4" w:space="0"/>
                  </w:tcBorders>
                  <w:shd w:val="clear" w:color="auto" w:fill="auto"/>
                  <w:noWrap/>
                  <w:vAlign w:val="top"/>
                </w:tcPr>
                <w:p w14:paraId="373DBC33">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√更换其他人</w:t>
                  </w:r>
                </w:p>
              </w:tc>
              <w:tc>
                <w:tcPr>
                  <w:tcW w:w="1166" w:type="dxa"/>
                  <w:tcBorders>
                    <w:top w:val="single" w:color="auto" w:sz="4" w:space="0"/>
                    <w:left w:val="nil"/>
                    <w:bottom w:val="single" w:color="auto" w:sz="4" w:space="0"/>
                    <w:right w:val="single" w:color="auto" w:sz="4" w:space="0"/>
                  </w:tcBorders>
                  <w:shd w:val="clear" w:color="auto" w:fill="auto"/>
                  <w:noWrap/>
                  <w:vAlign w:val="center"/>
                </w:tcPr>
                <w:p w14:paraId="6A3109AE">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Calibri" w:eastAsia="宋体" w:cs="宋体"/>
                      <w:color w:val="auto"/>
                      <w:kern w:val="0"/>
                      <w:sz w:val="21"/>
                      <w:szCs w:val="21"/>
                      <w:highlight w:val="none"/>
                      <w:lang w:val="en-US" w:eastAsia="zh-CN" w:bidi="ar"/>
                    </w:rPr>
                    <w:t> </w:t>
                  </w:r>
                  <w:r>
                    <w:rPr>
                      <w:rFonts w:hint="eastAsia" w:ascii="宋体" w:hAnsi="宋体" w:eastAsia="宋体" w:cs="宋体"/>
                      <w:color w:val="auto"/>
                      <w:kern w:val="0"/>
                      <w:sz w:val="21"/>
                      <w:szCs w:val="21"/>
                      <w:highlight w:val="none"/>
                      <w:lang w:val="en-US" w:eastAsia="zh-CN" w:bidi="ar"/>
                    </w:rPr>
                    <w:t>5000</w:t>
                  </w:r>
                </w:p>
              </w:tc>
              <w:tc>
                <w:tcPr>
                  <w:tcW w:w="1235" w:type="dxa"/>
                  <w:tcBorders>
                    <w:top w:val="single" w:color="auto" w:sz="4" w:space="0"/>
                    <w:left w:val="nil"/>
                    <w:bottom w:val="single" w:color="auto" w:sz="4" w:space="0"/>
                    <w:right w:val="single" w:color="auto" w:sz="4" w:space="0"/>
                  </w:tcBorders>
                  <w:shd w:val="clear" w:color="auto" w:fill="auto"/>
                  <w:noWrap/>
                  <w:vAlign w:val="center"/>
                </w:tcPr>
                <w:p w14:paraId="1752C208">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10000</w:t>
                  </w:r>
                </w:p>
              </w:tc>
              <w:tc>
                <w:tcPr>
                  <w:tcW w:w="1337" w:type="dxa"/>
                  <w:tcBorders>
                    <w:top w:val="single" w:color="auto" w:sz="4" w:space="0"/>
                    <w:left w:val="nil"/>
                    <w:bottom w:val="single" w:color="auto" w:sz="4" w:space="0"/>
                    <w:right w:val="single" w:color="auto" w:sz="4" w:space="0"/>
                  </w:tcBorders>
                  <w:shd w:val="clear" w:color="auto" w:fill="auto"/>
                  <w:noWrap/>
                  <w:vAlign w:val="center"/>
                </w:tcPr>
                <w:p w14:paraId="6332CBDB">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 20000</w:t>
                  </w:r>
                </w:p>
              </w:tc>
            </w:tr>
            <w:tr w14:paraId="2631F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 w:hRule="atLeast"/>
              </w:trPr>
              <w:tc>
                <w:tcPr>
                  <w:tcW w:w="412" w:type="dxa"/>
                  <w:vMerge w:val="restart"/>
                  <w:tcBorders>
                    <w:top w:val="nil"/>
                    <w:left w:val="single" w:color="auto" w:sz="4" w:space="0"/>
                    <w:bottom w:val="single" w:color="auto" w:sz="4" w:space="0"/>
                    <w:right w:val="single" w:color="auto" w:sz="4" w:space="0"/>
                  </w:tcBorders>
                  <w:shd w:val="clear" w:color="auto" w:fill="auto"/>
                  <w:noWrap/>
                  <w:vAlign w:val="center"/>
                </w:tcPr>
                <w:p w14:paraId="51F6A2F8">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w:t>
                  </w:r>
                </w:p>
              </w:tc>
              <w:tc>
                <w:tcPr>
                  <w:tcW w:w="1608" w:type="dxa"/>
                  <w:vMerge w:val="restart"/>
                  <w:tcBorders>
                    <w:top w:val="nil"/>
                    <w:left w:val="nil"/>
                    <w:bottom w:val="single" w:color="auto" w:sz="4" w:space="0"/>
                    <w:right w:val="single" w:color="auto" w:sz="4" w:space="0"/>
                  </w:tcBorders>
                  <w:shd w:val="clear" w:color="auto" w:fill="auto"/>
                  <w:noWrap/>
                  <w:vAlign w:val="center"/>
                </w:tcPr>
                <w:p w14:paraId="3BE1EBD7">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Calibri" w:eastAsia="宋体" w:cs="宋体"/>
                      <w:b/>
                      <w:bCs w:val="0"/>
                      <w:color w:val="auto"/>
                      <w:kern w:val="0"/>
                      <w:sz w:val="21"/>
                      <w:szCs w:val="21"/>
                      <w:highlight w:val="none"/>
                      <w:lang w:val="en-US" w:eastAsia="zh-CN" w:bidi="ar"/>
                    </w:rPr>
                    <w:t> </w:t>
                  </w:r>
                  <w:r>
                    <w:rPr>
                      <w:rFonts w:hint="eastAsia" w:ascii="宋体" w:hAnsi="宋体" w:eastAsia="宋体" w:cs="宋体"/>
                      <w:color w:val="auto"/>
                      <w:kern w:val="0"/>
                      <w:sz w:val="21"/>
                      <w:szCs w:val="21"/>
                      <w:highlight w:val="none"/>
                      <w:lang w:val="en-US" w:eastAsia="zh-CN" w:bidi="ar"/>
                    </w:rPr>
                    <w:t>材料管理部</w:t>
                  </w:r>
                </w:p>
              </w:tc>
              <w:tc>
                <w:tcPr>
                  <w:tcW w:w="1965" w:type="dxa"/>
                  <w:tcBorders>
                    <w:top w:val="single" w:color="auto" w:sz="4" w:space="0"/>
                    <w:left w:val="nil"/>
                    <w:bottom w:val="single" w:color="auto" w:sz="4" w:space="0"/>
                    <w:right w:val="single" w:color="auto" w:sz="4" w:space="0"/>
                  </w:tcBorders>
                  <w:shd w:val="clear" w:color="auto" w:fill="auto"/>
                  <w:noWrap/>
                  <w:vAlign w:val="center"/>
                </w:tcPr>
                <w:p w14:paraId="5EAD4349">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strike/>
                      <w:dstrike w:val="0"/>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更换部门经理或空缺</w:t>
                  </w:r>
                </w:p>
              </w:tc>
              <w:tc>
                <w:tcPr>
                  <w:tcW w:w="1166" w:type="dxa"/>
                  <w:tcBorders>
                    <w:top w:val="single" w:color="auto" w:sz="4" w:space="0"/>
                    <w:left w:val="nil"/>
                    <w:bottom w:val="single" w:color="auto" w:sz="4" w:space="0"/>
                    <w:right w:val="single" w:color="auto" w:sz="4" w:space="0"/>
                  </w:tcBorders>
                  <w:shd w:val="clear" w:color="auto" w:fill="auto"/>
                  <w:noWrap/>
                  <w:vAlign w:val="center"/>
                </w:tcPr>
                <w:p w14:paraId="313B91AA">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15000</w:t>
                  </w:r>
                </w:p>
              </w:tc>
              <w:tc>
                <w:tcPr>
                  <w:tcW w:w="1235" w:type="dxa"/>
                  <w:tcBorders>
                    <w:top w:val="single" w:color="auto" w:sz="4" w:space="0"/>
                    <w:left w:val="nil"/>
                    <w:bottom w:val="single" w:color="auto" w:sz="4" w:space="0"/>
                    <w:right w:val="single" w:color="auto" w:sz="4" w:space="0"/>
                  </w:tcBorders>
                  <w:shd w:val="clear" w:color="auto" w:fill="auto"/>
                  <w:noWrap/>
                  <w:vAlign w:val="center"/>
                </w:tcPr>
                <w:p w14:paraId="5CB9AB58">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25000</w:t>
                  </w:r>
                </w:p>
              </w:tc>
              <w:tc>
                <w:tcPr>
                  <w:tcW w:w="1337" w:type="dxa"/>
                  <w:tcBorders>
                    <w:top w:val="single" w:color="auto" w:sz="4" w:space="0"/>
                    <w:left w:val="nil"/>
                    <w:bottom w:val="single" w:color="auto" w:sz="4" w:space="0"/>
                    <w:right w:val="single" w:color="auto" w:sz="4" w:space="0"/>
                  </w:tcBorders>
                  <w:shd w:val="clear" w:color="auto" w:fill="auto"/>
                  <w:noWrap/>
                  <w:vAlign w:val="center"/>
                </w:tcPr>
                <w:p w14:paraId="326AAF7D">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 35000</w:t>
                  </w:r>
                </w:p>
              </w:tc>
            </w:tr>
            <w:tr w14:paraId="778E9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 w:hRule="atLeast"/>
              </w:trPr>
              <w:tc>
                <w:tcPr>
                  <w:tcW w:w="412" w:type="dxa"/>
                  <w:vMerge w:val="continue"/>
                  <w:tcBorders>
                    <w:top w:val="nil"/>
                    <w:left w:val="single" w:color="auto" w:sz="4" w:space="0"/>
                    <w:bottom w:val="single" w:color="auto" w:sz="4" w:space="0"/>
                    <w:right w:val="single" w:color="auto" w:sz="4" w:space="0"/>
                  </w:tcBorders>
                  <w:shd w:val="clear" w:color="auto" w:fill="auto"/>
                  <w:noWrap/>
                  <w:vAlign w:val="center"/>
                </w:tcPr>
                <w:p w14:paraId="0B9C3380">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608" w:type="dxa"/>
                  <w:vMerge w:val="continue"/>
                  <w:tcBorders>
                    <w:top w:val="nil"/>
                    <w:left w:val="nil"/>
                    <w:bottom w:val="single" w:color="auto" w:sz="4" w:space="0"/>
                    <w:right w:val="single" w:color="auto" w:sz="4" w:space="0"/>
                  </w:tcBorders>
                  <w:shd w:val="clear" w:color="auto" w:fill="auto"/>
                  <w:noWrap/>
                  <w:vAlign w:val="center"/>
                </w:tcPr>
                <w:p w14:paraId="40E72DCA">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965" w:type="dxa"/>
                  <w:tcBorders>
                    <w:top w:val="single" w:color="auto" w:sz="4" w:space="0"/>
                    <w:left w:val="nil"/>
                    <w:bottom w:val="single" w:color="auto" w:sz="4" w:space="0"/>
                    <w:right w:val="single" w:color="auto" w:sz="4" w:space="0"/>
                  </w:tcBorders>
                  <w:shd w:val="clear" w:color="auto" w:fill="auto"/>
                  <w:noWrap/>
                  <w:vAlign w:val="center"/>
                </w:tcPr>
                <w:p w14:paraId="5AD24E14">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更换其他人</w:t>
                  </w:r>
                </w:p>
              </w:tc>
              <w:tc>
                <w:tcPr>
                  <w:tcW w:w="1166" w:type="dxa"/>
                  <w:tcBorders>
                    <w:top w:val="single" w:color="auto" w:sz="4" w:space="0"/>
                    <w:left w:val="nil"/>
                    <w:bottom w:val="single" w:color="auto" w:sz="4" w:space="0"/>
                    <w:right w:val="single" w:color="auto" w:sz="4" w:space="0"/>
                  </w:tcBorders>
                  <w:shd w:val="clear" w:color="auto" w:fill="auto"/>
                  <w:noWrap/>
                  <w:vAlign w:val="center"/>
                </w:tcPr>
                <w:p w14:paraId="7CDECD6E">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Calibri" w:eastAsia="宋体" w:cs="宋体"/>
                      <w:color w:val="auto"/>
                      <w:kern w:val="0"/>
                      <w:sz w:val="21"/>
                      <w:szCs w:val="21"/>
                      <w:highlight w:val="none"/>
                      <w:lang w:val="en-US" w:eastAsia="zh-CN" w:bidi="ar"/>
                    </w:rPr>
                    <w:t> </w:t>
                  </w:r>
                  <w:r>
                    <w:rPr>
                      <w:rFonts w:hint="eastAsia" w:ascii="宋体" w:hAnsi="宋体" w:eastAsia="宋体" w:cs="宋体"/>
                      <w:color w:val="auto"/>
                      <w:kern w:val="0"/>
                      <w:sz w:val="21"/>
                      <w:szCs w:val="21"/>
                      <w:highlight w:val="none"/>
                      <w:lang w:val="en-US" w:eastAsia="zh-CN" w:bidi="ar"/>
                    </w:rPr>
                    <w:t>5000</w:t>
                  </w:r>
                </w:p>
              </w:tc>
              <w:tc>
                <w:tcPr>
                  <w:tcW w:w="1235" w:type="dxa"/>
                  <w:tcBorders>
                    <w:top w:val="single" w:color="auto" w:sz="4" w:space="0"/>
                    <w:left w:val="nil"/>
                    <w:bottom w:val="single" w:color="auto" w:sz="4" w:space="0"/>
                    <w:right w:val="single" w:color="auto" w:sz="4" w:space="0"/>
                  </w:tcBorders>
                  <w:shd w:val="clear" w:color="auto" w:fill="auto"/>
                  <w:noWrap/>
                  <w:vAlign w:val="center"/>
                </w:tcPr>
                <w:p w14:paraId="57CFEA21">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 10000</w:t>
                  </w:r>
                </w:p>
              </w:tc>
              <w:tc>
                <w:tcPr>
                  <w:tcW w:w="1337" w:type="dxa"/>
                  <w:tcBorders>
                    <w:top w:val="single" w:color="auto" w:sz="4" w:space="0"/>
                    <w:left w:val="nil"/>
                    <w:bottom w:val="single" w:color="auto" w:sz="4" w:space="0"/>
                    <w:right w:val="single" w:color="auto" w:sz="4" w:space="0"/>
                  </w:tcBorders>
                  <w:shd w:val="clear" w:color="auto" w:fill="auto"/>
                  <w:noWrap/>
                  <w:vAlign w:val="center"/>
                </w:tcPr>
                <w:p w14:paraId="068EFDAE">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 20000</w:t>
                  </w:r>
                </w:p>
              </w:tc>
            </w:tr>
            <w:tr w14:paraId="6566C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44" w:hRule="atLeast"/>
              </w:trPr>
              <w:tc>
                <w:tcPr>
                  <w:tcW w:w="7723"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715B2E2E">
                  <w:pPr>
                    <w:pStyle w:val="14"/>
                    <w:keepNext w:val="0"/>
                    <w:keepLines w:val="0"/>
                    <w:widowControl w:val="0"/>
                    <w:suppressLineNumbers w:val="0"/>
                    <w:spacing w:before="0" w:beforeAutospacing="1" w:after="0" w:afterAutospacing="1"/>
                    <w:ind w:left="0" w:right="0"/>
                    <w:jc w:val="both"/>
                    <w:rPr>
                      <w:rFonts w:hint="default" w:ascii="Times New Roman" w:hAnsi="Times New Roman" w:eastAsia="宋体" w:cs="Times New Roman"/>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备注：第一次更换以上人员的，按以上违约金标准执行，以后每一次更换均按前一次的二倍标准执行。</w:t>
                  </w:r>
                </w:p>
              </w:tc>
            </w:tr>
            <w:tr w14:paraId="02377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CF6C7E">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5</w:t>
                  </w:r>
                </w:p>
              </w:tc>
              <w:tc>
                <w:tcPr>
                  <w:tcW w:w="1608" w:type="dxa"/>
                  <w:tcBorders>
                    <w:top w:val="single" w:color="auto" w:sz="4" w:space="0"/>
                    <w:left w:val="nil"/>
                    <w:bottom w:val="single" w:color="auto" w:sz="4" w:space="0"/>
                    <w:right w:val="single" w:color="auto" w:sz="4" w:space="0"/>
                  </w:tcBorders>
                  <w:shd w:val="clear" w:color="auto" w:fill="auto"/>
                  <w:noWrap/>
                  <w:vAlign w:val="center"/>
                </w:tcPr>
                <w:p w14:paraId="3846A759">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各阶段投入劳动力</w:t>
                  </w:r>
                </w:p>
              </w:tc>
              <w:tc>
                <w:tcPr>
                  <w:tcW w:w="1965" w:type="dxa"/>
                  <w:tcBorders>
                    <w:top w:val="single" w:color="auto" w:sz="4" w:space="0"/>
                    <w:left w:val="nil"/>
                    <w:bottom w:val="single" w:color="auto" w:sz="4" w:space="0"/>
                    <w:right w:val="single" w:color="auto" w:sz="4" w:space="0"/>
                  </w:tcBorders>
                  <w:shd w:val="clear" w:color="auto" w:fill="auto"/>
                  <w:noWrap/>
                  <w:vAlign w:val="center"/>
                </w:tcPr>
                <w:p w14:paraId="3121F2D3">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每少1人</w:t>
                  </w:r>
                </w:p>
              </w:tc>
              <w:tc>
                <w:tcPr>
                  <w:tcW w:w="3738" w:type="dxa"/>
                  <w:gridSpan w:val="3"/>
                  <w:tcBorders>
                    <w:top w:val="single" w:color="auto" w:sz="4" w:space="0"/>
                    <w:left w:val="nil"/>
                    <w:bottom w:val="single" w:color="auto" w:sz="4" w:space="0"/>
                    <w:right w:val="single" w:color="auto" w:sz="4" w:space="0"/>
                  </w:tcBorders>
                  <w:shd w:val="clear" w:color="auto" w:fill="auto"/>
                  <w:noWrap/>
                  <w:vAlign w:val="center"/>
                </w:tcPr>
                <w:p w14:paraId="1E8E7D4E">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1000</w:t>
                  </w:r>
                </w:p>
              </w:tc>
            </w:tr>
            <w:tr w14:paraId="7FCFF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6493FD">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6</w:t>
                  </w:r>
                </w:p>
              </w:tc>
              <w:tc>
                <w:tcPr>
                  <w:tcW w:w="1608" w:type="dxa"/>
                  <w:tcBorders>
                    <w:top w:val="single" w:color="auto" w:sz="4" w:space="0"/>
                    <w:left w:val="nil"/>
                    <w:bottom w:val="single" w:color="auto" w:sz="4" w:space="0"/>
                    <w:right w:val="single" w:color="auto" w:sz="4" w:space="0"/>
                  </w:tcBorders>
                  <w:shd w:val="clear" w:color="auto" w:fill="auto"/>
                  <w:noWrap/>
                  <w:vAlign w:val="center"/>
                </w:tcPr>
                <w:p w14:paraId="34EA69E4">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各阶段投入主要材料</w:t>
                  </w:r>
                </w:p>
              </w:tc>
              <w:tc>
                <w:tcPr>
                  <w:tcW w:w="1965" w:type="dxa"/>
                  <w:tcBorders>
                    <w:top w:val="single" w:color="auto" w:sz="4" w:space="0"/>
                    <w:left w:val="nil"/>
                    <w:bottom w:val="single" w:color="auto" w:sz="4" w:space="0"/>
                    <w:right w:val="single" w:color="auto" w:sz="4" w:space="0"/>
                  </w:tcBorders>
                  <w:shd w:val="clear" w:color="auto" w:fill="auto"/>
                  <w:noWrap/>
                  <w:vAlign w:val="center"/>
                </w:tcPr>
                <w:p w14:paraId="65DF3AC3">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没有按发包人审定的总控或阶段计划投入，每少10%</w:t>
                  </w:r>
                </w:p>
              </w:tc>
              <w:tc>
                <w:tcPr>
                  <w:tcW w:w="1166" w:type="dxa"/>
                  <w:tcBorders>
                    <w:top w:val="single" w:color="auto" w:sz="4" w:space="0"/>
                    <w:left w:val="nil"/>
                    <w:bottom w:val="single" w:color="auto" w:sz="4" w:space="0"/>
                    <w:right w:val="single" w:color="auto" w:sz="4" w:space="0"/>
                  </w:tcBorders>
                  <w:shd w:val="clear" w:color="auto" w:fill="auto"/>
                  <w:noWrap/>
                  <w:vAlign w:val="center"/>
                </w:tcPr>
                <w:p w14:paraId="756615D0">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100000</w:t>
                  </w:r>
                </w:p>
              </w:tc>
              <w:tc>
                <w:tcPr>
                  <w:tcW w:w="1235" w:type="dxa"/>
                  <w:tcBorders>
                    <w:top w:val="single" w:color="auto" w:sz="4" w:space="0"/>
                    <w:left w:val="nil"/>
                    <w:bottom w:val="single" w:color="auto" w:sz="4" w:space="0"/>
                    <w:right w:val="single" w:color="auto" w:sz="4" w:space="0"/>
                  </w:tcBorders>
                  <w:shd w:val="clear" w:color="auto" w:fill="auto"/>
                  <w:noWrap/>
                  <w:vAlign w:val="center"/>
                </w:tcPr>
                <w:p w14:paraId="1589326E">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300000</w:t>
                  </w:r>
                </w:p>
              </w:tc>
              <w:tc>
                <w:tcPr>
                  <w:tcW w:w="1337" w:type="dxa"/>
                  <w:tcBorders>
                    <w:top w:val="single" w:color="auto" w:sz="4" w:space="0"/>
                    <w:left w:val="nil"/>
                    <w:bottom w:val="single" w:color="auto" w:sz="4" w:space="0"/>
                    <w:right w:val="single" w:color="auto" w:sz="4" w:space="0"/>
                  </w:tcBorders>
                  <w:shd w:val="clear" w:color="auto" w:fill="auto"/>
                  <w:noWrap/>
                  <w:vAlign w:val="center"/>
                </w:tcPr>
                <w:p w14:paraId="65185FB1">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 500000</w:t>
                  </w:r>
                </w:p>
              </w:tc>
            </w:tr>
            <w:tr w14:paraId="49287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28" w:hRule="atLeast"/>
              </w:trPr>
              <w:tc>
                <w:tcPr>
                  <w:tcW w:w="412" w:type="dxa"/>
                  <w:vMerge w:val="restart"/>
                  <w:tcBorders>
                    <w:top w:val="nil"/>
                    <w:left w:val="single" w:color="auto" w:sz="4" w:space="0"/>
                    <w:bottom w:val="single" w:color="auto" w:sz="4" w:space="0"/>
                    <w:right w:val="single" w:color="auto" w:sz="4" w:space="0"/>
                  </w:tcBorders>
                  <w:shd w:val="clear" w:color="auto" w:fill="auto"/>
                  <w:noWrap/>
                  <w:vAlign w:val="center"/>
                </w:tcPr>
                <w:p w14:paraId="745128A4">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7</w:t>
                  </w:r>
                </w:p>
              </w:tc>
              <w:tc>
                <w:tcPr>
                  <w:tcW w:w="1608" w:type="dxa"/>
                  <w:vMerge w:val="restart"/>
                  <w:tcBorders>
                    <w:top w:val="nil"/>
                    <w:left w:val="nil"/>
                    <w:bottom w:val="single" w:color="auto" w:sz="4" w:space="0"/>
                    <w:right w:val="single" w:color="auto" w:sz="4" w:space="0"/>
                  </w:tcBorders>
                  <w:shd w:val="clear" w:color="auto" w:fill="auto"/>
                  <w:noWrap/>
                  <w:vAlign w:val="center"/>
                </w:tcPr>
                <w:p w14:paraId="4624BE01">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各阶段投入施工设备</w:t>
                  </w:r>
                </w:p>
              </w:tc>
              <w:tc>
                <w:tcPr>
                  <w:tcW w:w="1965" w:type="dxa"/>
                  <w:tcBorders>
                    <w:top w:val="single" w:color="auto" w:sz="4" w:space="0"/>
                    <w:left w:val="nil"/>
                    <w:bottom w:val="single" w:color="auto" w:sz="4" w:space="0"/>
                    <w:right w:val="single" w:color="auto" w:sz="4" w:space="0"/>
                  </w:tcBorders>
                  <w:shd w:val="clear" w:color="auto" w:fill="auto"/>
                  <w:noWrap/>
                  <w:vAlign w:val="center"/>
                </w:tcPr>
                <w:p w14:paraId="71779C78">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没有按发包人审定的总控或阶段计划投入，主要设备每少1台</w:t>
                  </w:r>
                </w:p>
              </w:tc>
              <w:tc>
                <w:tcPr>
                  <w:tcW w:w="3738" w:type="dxa"/>
                  <w:gridSpan w:val="3"/>
                  <w:tcBorders>
                    <w:top w:val="single" w:color="auto" w:sz="4" w:space="0"/>
                    <w:left w:val="nil"/>
                    <w:bottom w:val="single" w:color="auto" w:sz="4" w:space="0"/>
                    <w:right w:val="single" w:color="auto" w:sz="4" w:space="0"/>
                  </w:tcBorders>
                  <w:shd w:val="clear" w:color="auto" w:fill="auto"/>
                  <w:noWrap/>
                  <w:vAlign w:val="center"/>
                </w:tcPr>
                <w:p w14:paraId="25B12619">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50000</w:t>
                  </w:r>
                </w:p>
              </w:tc>
            </w:tr>
            <w:tr w14:paraId="25ACA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31" w:hRule="atLeast"/>
              </w:trPr>
              <w:tc>
                <w:tcPr>
                  <w:tcW w:w="412" w:type="dxa"/>
                  <w:vMerge w:val="continue"/>
                  <w:tcBorders>
                    <w:top w:val="nil"/>
                    <w:left w:val="single" w:color="auto" w:sz="4" w:space="0"/>
                    <w:bottom w:val="single" w:color="auto" w:sz="4" w:space="0"/>
                    <w:right w:val="single" w:color="auto" w:sz="4" w:space="0"/>
                  </w:tcBorders>
                  <w:shd w:val="clear" w:color="auto" w:fill="auto"/>
                  <w:noWrap/>
                  <w:vAlign w:val="center"/>
                </w:tcPr>
                <w:p w14:paraId="4A1D7C94">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608" w:type="dxa"/>
                  <w:vMerge w:val="continue"/>
                  <w:tcBorders>
                    <w:top w:val="nil"/>
                    <w:left w:val="nil"/>
                    <w:bottom w:val="single" w:color="auto" w:sz="4" w:space="0"/>
                    <w:right w:val="single" w:color="auto" w:sz="4" w:space="0"/>
                  </w:tcBorders>
                  <w:shd w:val="clear" w:color="auto" w:fill="auto"/>
                  <w:noWrap/>
                  <w:vAlign w:val="center"/>
                </w:tcPr>
                <w:p w14:paraId="585578B8">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965" w:type="dxa"/>
                  <w:tcBorders>
                    <w:top w:val="single" w:color="auto" w:sz="4" w:space="0"/>
                    <w:left w:val="nil"/>
                    <w:bottom w:val="single" w:color="auto" w:sz="4" w:space="0"/>
                    <w:right w:val="single" w:color="auto" w:sz="4" w:space="0"/>
                  </w:tcBorders>
                  <w:shd w:val="clear" w:color="auto" w:fill="auto"/>
                  <w:noWrap/>
                  <w:vAlign w:val="center"/>
                </w:tcPr>
                <w:p w14:paraId="4357E3EB">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没有按发包人审定的总控或阶段计划投入，一般设备每少1台</w:t>
                  </w:r>
                </w:p>
              </w:tc>
              <w:tc>
                <w:tcPr>
                  <w:tcW w:w="3738" w:type="dxa"/>
                  <w:gridSpan w:val="3"/>
                  <w:tcBorders>
                    <w:top w:val="single" w:color="auto" w:sz="4" w:space="0"/>
                    <w:left w:val="nil"/>
                    <w:bottom w:val="single" w:color="auto" w:sz="4" w:space="0"/>
                    <w:right w:val="single" w:color="auto" w:sz="4" w:space="0"/>
                  </w:tcBorders>
                  <w:shd w:val="clear" w:color="auto" w:fill="auto"/>
                  <w:noWrap/>
                  <w:vAlign w:val="center"/>
                </w:tcPr>
                <w:p w14:paraId="57FCAEFD">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10000</w:t>
                  </w:r>
                </w:p>
              </w:tc>
            </w:tr>
          </w:tbl>
          <w:p w14:paraId="00E2AC0F">
            <w:pPr>
              <w:keepNext w:val="0"/>
              <w:keepLines w:val="0"/>
              <w:widowControl w:val="0"/>
              <w:suppressLineNumbers w:val="0"/>
              <w:adjustRightInd w:val="0"/>
              <w:snapToGrid w:val="0"/>
              <w:spacing w:before="0" w:beforeAutospacing="0" w:after="0" w:afterAutospacing="0" w:line="300" w:lineRule="auto"/>
              <w:ind w:left="0" w:right="0" w:firstLine="420" w:firstLineChars="20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4）承包人不按本合同约定做好施工总承包管理或配合工作，经总监理工程师或发包人发出限期改正通知后3天内，承包人仍未能整改至令总监理工程师或发包人满意的，由承包人参照合同专用条款第38.7（1）款的约定向发包人承担违约责任。</w:t>
            </w:r>
          </w:p>
          <w:p w14:paraId="45A32885">
            <w:pPr>
              <w:keepNext w:val="0"/>
              <w:keepLines w:val="0"/>
              <w:widowControl w:val="0"/>
              <w:suppressLineNumbers w:val="0"/>
              <w:adjustRightInd w:val="0"/>
              <w:snapToGrid w:val="0"/>
              <w:spacing w:before="0" w:beforeAutospacing="0" w:after="0" w:afterAutospacing="0" w:line="300" w:lineRule="auto"/>
              <w:ind w:left="0" w:right="0"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5）承包人在发包人组织的考评中不合格的，必须按照考评通报的要求限期改正，并承担1次一般违约责任；承包人拒不限期改正或整改效果不明显的，承包人必须承担1次严重违约责任。若连续2次或累计3次考评不合格，承包人必须承担1次严重违约责任，并必须按照总监理工程师或者发包人的指令限期改正；承包人拒不限期改正或整改效果不明显的，发包人有权单方面部分解除合同或解除合同。若连续3次或累计5次考评不合格，发包人有权解除合同。</w:t>
            </w:r>
          </w:p>
        </w:tc>
      </w:tr>
      <w:tr w14:paraId="41958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5"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4DC679">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8215" w:type="dxa"/>
            <w:tcBorders>
              <w:top w:val="single" w:color="auto" w:sz="4" w:space="0"/>
              <w:left w:val="nil"/>
              <w:bottom w:val="single" w:color="auto" w:sz="4" w:space="0"/>
              <w:right w:val="single" w:color="auto" w:sz="4" w:space="0"/>
            </w:tcBorders>
            <w:shd w:val="clear" w:color="auto" w:fill="auto"/>
            <w:noWrap/>
            <w:vAlign w:val="center"/>
          </w:tcPr>
          <w:p w14:paraId="48AB1477">
            <w:pPr>
              <w:keepNext w:val="0"/>
              <w:keepLines w:val="0"/>
              <w:widowControl w:val="0"/>
              <w:suppressLineNumbers w:val="0"/>
              <w:adjustRightInd w:val="0"/>
              <w:snapToGrid w:val="0"/>
              <w:spacing w:before="0" w:beforeAutospacing="0" w:after="0" w:afterAutospacing="0" w:line="300" w:lineRule="auto"/>
              <w:ind w:left="0" w:right="11"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38.9材料设备管理方面的违约责任</w:t>
            </w:r>
          </w:p>
          <w:p w14:paraId="0101396A">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（1）发包人（包括发包人委托的材料设备检验机构）或总监理工程师抽查承包人的工程材料设备（主要为：× 甲招乙供材料设备  × 甲管乙供材料设备、乙供材料设备），发现所检查的材料与合同约定标准的任何一项不符合时，承包人除必须全部退货、返工，并赔偿发包人由此遭受的实际损失外，还应当根据该批次材料的价值，按照如下约定承担违约责任：</w:t>
            </w:r>
          </w:p>
          <w:p w14:paraId="5DC334F2">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A、单宗或批次价值不到5万元的材料设备抽检不合格的，每发生3例，由承包人承担1次一般违约责任。</w:t>
            </w:r>
          </w:p>
          <w:p w14:paraId="422ACA3E">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B、单宗或批次价值达到5万元不到10万元的材料设备抽检不合格的，每发生1例，由承包人承担1次一般违约责任。</w:t>
            </w:r>
          </w:p>
          <w:p w14:paraId="37DD7E89">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C、单宗或批次价值达到10万元不到50万元的材料设备抽检不合格的，每发生1例，由承包人承担1次严重违约责任。</w:t>
            </w:r>
          </w:p>
          <w:p w14:paraId="3BEE4607">
            <w:pPr>
              <w:keepNext w:val="0"/>
              <w:keepLines w:val="0"/>
              <w:widowControl w:val="0"/>
              <w:suppressLineNumbers w:val="0"/>
              <w:adjustRightInd w:val="0"/>
              <w:snapToGrid w:val="0"/>
              <w:spacing w:before="0" w:beforeAutospacing="0" w:after="0" w:afterAutospacing="0" w:line="300" w:lineRule="auto"/>
              <w:ind w:left="0" w:right="0"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D、单宗或批次价值达到50万元以上的材料设备抽检不合格的，每发生1例，发包人有权单方面部分解除合同或解除合同。</w:t>
            </w:r>
          </w:p>
        </w:tc>
      </w:tr>
      <w:tr w14:paraId="34566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5" w:hRule="atLeast"/>
          <w:jc w:val="center"/>
        </w:trPr>
        <w:tc>
          <w:tcPr>
            <w:tcW w:w="6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CCF244">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8215" w:type="dxa"/>
            <w:tcBorders>
              <w:top w:val="single" w:color="auto" w:sz="4" w:space="0"/>
              <w:left w:val="nil"/>
              <w:bottom w:val="single" w:color="auto" w:sz="4" w:space="0"/>
              <w:right w:val="single" w:color="auto" w:sz="4" w:space="0"/>
            </w:tcBorders>
            <w:shd w:val="clear" w:color="auto" w:fill="auto"/>
            <w:noWrap/>
            <w:vAlign w:val="center"/>
          </w:tcPr>
          <w:p w14:paraId="3397A7E9">
            <w:pPr>
              <w:keepNext w:val="0"/>
              <w:keepLines w:val="0"/>
              <w:widowControl w:val="0"/>
              <w:suppressLineNumbers w:val="0"/>
              <w:adjustRightInd w:val="0"/>
              <w:snapToGrid w:val="0"/>
              <w:spacing w:before="0" w:beforeAutospacing="0" w:after="0" w:afterAutospacing="0" w:line="300" w:lineRule="auto"/>
              <w:ind w:left="0" w:right="0"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50.6综合考评</w:t>
            </w:r>
          </w:p>
        </w:tc>
      </w:tr>
    </w:tbl>
    <w:p w14:paraId="41ACC465">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b/>
          <w:bCs w:val="0"/>
          <w:color w:val="auto"/>
          <w:kern w:val="0"/>
          <w:sz w:val="24"/>
          <w:szCs w:val="24"/>
          <w:highlight w:val="none"/>
        </w:rPr>
      </w:pPr>
      <w:r>
        <w:rPr>
          <w:rFonts w:hint="eastAsia" w:ascii="宋体" w:hAnsi="宋体" w:eastAsia="宋体" w:cs="Times New Roman"/>
          <w:b/>
          <w:bCs w:val="0"/>
          <w:color w:val="auto"/>
          <w:kern w:val="0"/>
          <w:sz w:val="24"/>
          <w:szCs w:val="24"/>
          <w:highlight w:val="none"/>
          <w:lang w:val="en-US" w:eastAsia="zh-CN" w:bidi="ar"/>
        </w:rPr>
        <w:t xml:space="preserve"> </w:t>
      </w:r>
    </w:p>
    <w:p w14:paraId="388A53F8">
      <w:pPr>
        <w:keepNext w:val="0"/>
        <w:keepLines w:val="0"/>
        <w:widowControl w:val="0"/>
        <w:suppressLineNumbers w:val="0"/>
        <w:adjustRightInd w:val="0"/>
        <w:spacing w:before="0" w:beforeAutospacing="0" w:after="0" w:afterAutospacing="0" w:line="300" w:lineRule="auto"/>
        <w:ind w:left="0" w:right="0"/>
        <w:jc w:val="center"/>
        <w:rPr>
          <w:rFonts w:hint="eastAsia" w:ascii="宋体" w:hAnsi="Calibri" w:eastAsia="宋体" w:cs="Times New Roman"/>
          <w:b/>
          <w:bCs w:val="0"/>
          <w:color w:val="auto"/>
          <w:kern w:val="2"/>
          <w:sz w:val="32"/>
          <w:szCs w:val="32"/>
          <w:highlight w:val="none"/>
        </w:rPr>
      </w:pPr>
      <w:r>
        <w:rPr>
          <w:rFonts w:hint="eastAsia" w:ascii="宋体" w:hAnsi="宋体" w:eastAsia="宋体" w:cs="Times New Roman"/>
          <w:b/>
          <w:bCs w:val="0"/>
          <w:color w:val="auto"/>
          <w:kern w:val="2"/>
          <w:sz w:val="32"/>
          <w:szCs w:val="32"/>
          <w:highlight w:val="none"/>
          <w:lang w:val="en-US" w:eastAsia="zh-CN" w:bidi="ar"/>
        </w:rPr>
        <w:t xml:space="preserve"> </w:t>
      </w:r>
    </w:p>
    <w:p w14:paraId="3B3DD5A8">
      <w:pPr>
        <w:keepNext w:val="0"/>
        <w:keepLines w:val="0"/>
        <w:widowControl w:val="0"/>
        <w:suppressLineNumbers w:val="0"/>
        <w:adjustRightInd w:val="0"/>
        <w:spacing w:before="0" w:beforeAutospacing="0" w:after="0" w:afterAutospacing="0" w:line="300" w:lineRule="auto"/>
        <w:ind w:left="0" w:right="0"/>
        <w:jc w:val="center"/>
        <w:rPr>
          <w:rFonts w:hint="eastAsia" w:ascii="宋体" w:hAnsi="Calibri" w:eastAsia="宋体" w:cs="Times New Roman"/>
          <w:b/>
          <w:bCs w:val="0"/>
          <w:color w:val="auto"/>
          <w:kern w:val="2"/>
          <w:sz w:val="32"/>
          <w:szCs w:val="32"/>
          <w:highlight w:val="none"/>
        </w:rPr>
      </w:pPr>
      <w:r>
        <w:rPr>
          <w:rFonts w:hint="eastAsia" w:ascii="宋体" w:hAnsi="Calibri" w:eastAsia="宋体" w:cs="Times New Roman"/>
          <w:b/>
          <w:bCs w:val="0"/>
          <w:color w:val="auto"/>
          <w:kern w:val="2"/>
          <w:sz w:val="32"/>
          <w:szCs w:val="32"/>
          <w:highlight w:val="none"/>
          <w:lang w:val="en-US" w:eastAsia="zh-CN" w:bidi="ar"/>
        </w:rPr>
        <w:br w:type="page"/>
      </w:r>
      <w:r>
        <w:rPr>
          <w:rFonts w:hint="eastAsia" w:ascii="宋体" w:hAnsi="宋体" w:eastAsia="宋体" w:cs="宋体"/>
          <w:b/>
          <w:bCs w:val="0"/>
          <w:color w:val="auto"/>
          <w:kern w:val="2"/>
          <w:sz w:val="32"/>
          <w:szCs w:val="32"/>
          <w:highlight w:val="none"/>
          <w:lang w:val="en-US" w:eastAsia="zh-CN" w:bidi="ar"/>
        </w:rPr>
        <w:t>(三) 合同专用条款修改表（含增加及删除）</w:t>
      </w:r>
    </w:p>
    <w:tbl>
      <w:tblPr>
        <w:tblStyle w:val="17"/>
        <w:tblW w:w="9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31"/>
        <w:gridCol w:w="988"/>
        <w:gridCol w:w="720"/>
        <w:gridCol w:w="3669"/>
        <w:gridCol w:w="3577"/>
      </w:tblGrid>
      <w:tr w14:paraId="4122A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3D207C">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序号</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12651AAF">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条款号</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63CFAA88">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修改类型</w:t>
            </w:r>
          </w:p>
        </w:tc>
        <w:tc>
          <w:tcPr>
            <w:tcW w:w="3669" w:type="dxa"/>
            <w:tcBorders>
              <w:top w:val="single" w:color="auto" w:sz="4" w:space="0"/>
              <w:left w:val="nil"/>
              <w:bottom w:val="single" w:color="auto" w:sz="4" w:space="0"/>
              <w:right w:val="single" w:color="auto" w:sz="4" w:space="0"/>
            </w:tcBorders>
            <w:shd w:val="clear" w:color="auto" w:fill="auto"/>
            <w:noWrap/>
            <w:vAlign w:val="center"/>
          </w:tcPr>
          <w:p w14:paraId="18EEC518">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原文</w:t>
            </w: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765108A7">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现文</w:t>
            </w:r>
          </w:p>
        </w:tc>
      </w:tr>
      <w:tr w14:paraId="5B08B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95"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7C8F54">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0CBA4A7D">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1.3</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30AC194B">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center"/>
          </w:tcPr>
          <w:p w14:paraId="7373250B">
            <w:pPr>
              <w:keepNext w:val="0"/>
              <w:keepLines w:val="0"/>
              <w:widowControl w:val="0"/>
              <w:suppressLineNumbers w:val="0"/>
              <w:adjustRightInd w:val="0"/>
              <w:snapToGrid w:val="0"/>
              <w:spacing w:before="0" w:beforeAutospacing="0" w:after="0" w:afterAutospacing="0" w:line="360" w:lineRule="auto"/>
              <w:ind w:left="0" w:right="0" w:firstLine="403" w:firstLineChars="192"/>
              <w:jc w:val="both"/>
              <w:outlineLvl w:val="3"/>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1.3 发包人</w:t>
            </w:r>
          </w:p>
          <w:p w14:paraId="573308D0">
            <w:pPr>
              <w:keepNext w:val="0"/>
              <w:keepLines w:val="0"/>
              <w:widowControl w:val="0"/>
              <w:suppressLineNumbers w:val="0"/>
              <w:adjustRightInd w:val="0"/>
              <w:snapToGrid w:val="0"/>
              <w:spacing w:before="0" w:beforeAutospacing="0" w:after="0" w:afterAutospacing="0" w:line="360" w:lineRule="auto"/>
              <w:ind w:left="0" w:right="0" w:firstLine="403" w:firstLineChars="192"/>
              <w:jc w:val="both"/>
              <w:outlineLvl w:val="3"/>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（1）发包人：在本合同中特指广州市重点公共建设项目管理办公室。</w:t>
            </w: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0794983A">
            <w:pPr>
              <w:keepNext w:val="0"/>
              <w:keepLines w:val="0"/>
              <w:widowControl w:val="0"/>
              <w:suppressLineNumbers w:val="0"/>
              <w:adjustRightInd w:val="0"/>
              <w:snapToGrid w:val="0"/>
              <w:spacing w:before="0" w:beforeAutospacing="0" w:after="0" w:afterAutospacing="0" w:line="360" w:lineRule="auto"/>
              <w:ind w:left="0" w:right="11"/>
              <w:jc w:val="both"/>
              <w:outlineLvl w:val="3"/>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1.3 发包人</w:t>
            </w:r>
          </w:p>
          <w:p w14:paraId="6152E532">
            <w:pPr>
              <w:keepNext w:val="0"/>
              <w:keepLines w:val="0"/>
              <w:widowControl w:val="0"/>
              <w:suppressLineNumbers w:val="0"/>
              <w:adjustRightInd w:val="0"/>
              <w:snapToGrid w:val="0"/>
              <w:spacing w:before="0" w:beforeAutospacing="0" w:after="0" w:afterAutospacing="0" w:line="360" w:lineRule="auto"/>
              <w:ind w:left="0" w:right="11"/>
              <w:jc w:val="both"/>
              <w:outlineLvl w:val="3"/>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（1）发包人：在本合同中特指广州市重点公共建设项目管理中心。</w:t>
            </w:r>
          </w:p>
        </w:tc>
      </w:tr>
      <w:tr w14:paraId="0502A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CA3610">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11CCE6AF">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1.41</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372CC0A8">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center"/>
          </w:tcPr>
          <w:p w14:paraId="4F7440A9">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1.41 暂列金额：指发包人在工程量清单中暂定并包括在合同价款中的一笔款项，用于施工合同签订时尚未确定或者不可预见的所需材料、设备、服务的采购，施工中可能发生的工程变更、合同约定调整因素出现时的工程价款调整以及发生的索赔、现场签证确认等的费用。暂列金额在投标报价时，以发包人正式公布的固定金额进行填报，计量支付、结算时，以合同计列的暂列金额为限额，按合同约定和承包人实际完成的工作量依据合同变更计价原则计量支付、结算，未使用部分仍归发包人所有。</w:t>
            </w: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669FF226">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1.41 暂列金额：指发包人在工程量清单中暂定并包括在合同价款中的一笔款项，用于施工合同签订时尚未确定或者不可预见的所需材料、设备、服务的采购，施工中可能发生的工程变更、合同约定调整因素出现时的工程价款调整以及发生的索赔、现场签证确认等的费用。暂列金额在投标报价时，以发包人正式公布的固定金额进行填报，计量支付时，以合同计列的暂列金额为限额，按合同约定和承包人实际完成的工作量依据合同变更计价原则计量支付，未使用部分仍归发包人所有。</w:t>
            </w:r>
          </w:p>
        </w:tc>
      </w:tr>
      <w:tr w14:paraId="6B800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8"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36AD99">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696108D2">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1.43</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227F674B">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center"/>
          </w:tcPr>
          <w:p w14:paraId="1E60151A">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招标当季度：指201年第季度。</w:t>
            </w: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2CA7FBC9">
            <w:pPr>
              <w:keepNext w:val="0"/>
              <w:keepLines w:val="0"/>
              <w:widowControl w:val="0"/>
              <w:suppressLineNumbers w:val="0"/>
              <w:adjustRightInd w:val="0"/>
              <w:snapToGrid w:val="0"/>
              <w:spacing w:before="0" w:beforeAutospacing="0" w:after="0" w:afterAutospacing="0" w:line="300" w:lineRule="auto"/>
              <w:ind w:left="0" w:right="0"/>
              <w:jc w:val="left"/>
              <w:rPr>
                <w:rFonts w:hint="default"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招标当期：</w:t>
            </w:r>
            <w:r>
              <w:rPr>
                <w:rFonts w:hint="eastAsia" w:ascii="宋体" w:hAnsi="宋体" w:eastAsia="宋体" w:cs="宋体"/>
                <w:i w:val="0"/>
                <w:caps w:val="0"/>
                <w:color w:val="auto"/>
                <w:spacing w:val="0"/>
                <w:sz w:val="21"/>
                <w:szCs w:val="21"/>
                <w:highlight w:val="none"/>
                <w:shd w:val="clear" w:fill="auto"/>
                <w:lang w:bidi="ar"/>
              </w:rPr>
              <w:t>《广州地区建设工程常用材料税前综合价格》指2024年</w:t>
            </w:r>
            <w:r>
              <w:rPr>
                <w:rFonts w:hint="eastAsia" w:ascii="宋体" w:hAnsi="宋体" w:eastAsia="宋体" w:cs="宋体"/>
                <w:i w:val="0"/>
                <w:caps w:val="0"/>
                <w:color w:val="auto"/>
                <w:spacing w:val="0"/>
                <w:sz w:val="21"/>
                <w:szCs w:val="21"/>
                <w:highlight w:val="none"/>
                <w:shd w:val="clear" w:fill="auto"/>
                <w:lang w:val="en-US" w:eastAsia="zh-CN" w:bidi="ar"/>
              </w:rPr>
              <w:t>7</w:t>
            </w:r>
            <w:r>
              <w:rPr>
                <w:rFonts w:hint="eastAsia" w:ascii="宋体" w:hAnsi="宋体" w:eastAsia="宋体" w:cs="宋体"/>
                <w:i w:val="0"/>
                <w:caps w:val="0"/>
                <w:color w:val="auto"/>
                <w:spacing w:val="0"/>
                <w:sz w:val="21"/>
                <w:szCs w:val="21"/>
                <w:highlight w:val="none"/>
                <w:shd w:val="clear" w:fill="auto"/>
                <w:lang w:bidi="ar"/>
              </w:rPr>
              <w:t>月份，《广州地区建设工程材料（设备）厂商价格信息》指 202</w:t>
            </w:r>
            <w:r>
              <w:rPr>
                <w:rFonts w:hint="eastAsia" w:ascii="宋体" w:hAnsi="宋体" w:eastAsia="宋体" w:cs="宋体"/>
                <w:i w:val="0"/>
                <w:caps w:val="0"/>
                <w:color w:val="auto"/>
                <w:spacing w:val="0"/>
                <w:sz w:val="21"/>
                <w:szCs w:val="21"/>
                <w:highlight w:val="none"/>
                <w:shd w:val="clear" w:fill="auto"/>
                <w:lang w:val="en-US" w:eastAsia="zh-CN" w:bidi="ar"/>
              </w:rPr>
              <w:t>4</w:t>
            </w:r>
            <w:r>
              <w:rPr>
                <w:rFonts w:hint="eastAsia" w:ascii="宋体" w:hAnsi="宋体" w:eastAsia="宋体" w:cs="宋体"/>
                <w:i w:val="0"/>
                <w:caps w:val="0"/>
                <w:color w:val="auto"/>
                <w:spacing w:val="0"/>
                <w:sz w:val="21"/>
                <w:szCs w:val="21"/>
                <w:highlight w:val="none"/>
                <w:shd w:val="clear" w:fill="auto"/>
                <w:lang w:bidi="ar"/>
              </w:rPr>
              <w:t>年第</w:t>
            </w:r>
            <w:r>
              <w:rPr>
                <w:rFonts w:hint="eastAsia" w:ascii="宋体" w:hAnsi="宋体" w:eastAsia="宋体" w:cs="宋体"/>
                <w:i w:val="0"/>
                <w:caps w:val="0"/>
                <w:color w:val="auto"/>
                <w:spacing w:val="0"/>
                <w:sz w:val="21"/>
                <w:szCs w:val="21"/>
                <w:highlight w:val="none"/>
                <w:shd w:val="clear" w:fill="auto"/>
                <w:lang w:val="en-US" w:eastAsia="zh-CN" w:bidi="ar"/>
              </w:rPr>
              <w:t>二</w:t>
            </w:r>
            <w:r>
              <w:rPr>
                <w:rFonts w:hint="eastAsia" w:ascii="宋体" w:hAnsi="宋体" w:eastAsia="宋体" w:cs="宋体"/>
                <w:i w:val="0"/>
                <w:caps w:val="0"/>
                <w:color w:val="auto"/>
                <w:spacing w:val="0"/>
                <w:sz w:val="21"/>
                <w:szCs w:val="21"/>
                <w:highlight w:val="none"/>
                <w:shd w:val="clear" w:fill="auto"/>
                <w:lang w:bidi="ar"/>
              </w:rPr>
              <w:t>季度。</w:t>
            </w:r>
            <w:r>
              <w:rPr>
                <w:rFonts w:hint="eastAsia" w:ascii="宋体" w:hAnsi="宋体" w:eastAsia="宋体" w:cs="宋体"/>
                <w:color w:val="auto"/>
                <w:sz w:val="21"/>
                <w:szCs w:val="21"/>
                <w:highlight w:val="none"/>
                <w:lang w:bidi="ar"/>
              </w:rPr>
              <w:t xml:space="preserve"> </w:t>
            </w:r>
            <w:r>
              <w:rPr>
                <w:rFonts w:hint="eastAsia" w:ascii="宋体" w:hAnsi="宋体" w:eastAsia="宋体" w:cs="宋体"/>
                <w:color w:val="auto"/>
                <w:kern w:val="2"/>
                <w:sz w:val="21"/>
                <w:szCs w:val="21"/>
                <w:highlight w:val="none"/>
                <w:lang w:val="en-US" w:eastAsia="zh-CN" w:bidi="ar"/>
              </w:rPr>
              <w:t xml:space="preserve"> </w:t>
            </w:r>
          </w:p>
        </w:tc>
      </w:tr>
      <w:tr w14:paraId="3E074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8"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7C7552">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06A777BA">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1.46</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4190CEC3">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增加</w:t>
            </w:r>
          </w:p>
        </w:tc>
        <w:tc>
          <w:tcPr>
            <w:tcW w:w="3669" w:type="dxa"/>
            <w:tcBorders>
              <w:top w:val="single" w:color="auto" w:sz="4" w:space="0"/>
              <w:left w:val="nil"/>
              <w:bottom w:val="single" w:color="auto" w:sz="4" w:space="0"/>
              <w:right w:val="single" w:color="auto" w:sz="4" w:space="0"/>
            </w:tcBorders>
            <w:shd w:val="clear" w:color="auto" w:fill="auto"/>
            <w:noWrap/>
            <w:vAlign w:val="center"/>
          </w:tcPr>
          <w:p w14:paraId="00E2ADBA">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无</w:t>
            </w: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7E801D71">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u w:val="single"/>
                <w:lang w:val="en-US" w:eastAsia="zh-CN" w:bidi="ar"/>
              </w:rPr>
              <w:t>1.46保证人：指按本合同专用条款第44.3款约定向发包人提交承包人履约担保的机构。</w:t>
            </w:r>
          </w:p>
        </w:tc>
      </w:tr>
      <w:tr w14:paraId="2620B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8"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B3555A">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5</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60FF119F">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2"/>
                <w:sz w:val="21"/>
                <w:szCs w:val="21"/>
                <w:highlight w:val="none"/>
              </w:rPr>
            </w:pPr>
            <w:r>
              <w:rPr>
                <w:rFonts w:hint="default" w:ascii="Calibri" w:hAnsi="Calibri" w:eastAsia="宋体" w:cs="Calibri"/>
                <w:color w:val="auto"/>
                <w:kern w:val="2"/>
                <w:sz w:val="21"/>
                <w:szCs w:val="21"/>
                <w:highlight w:val="none"/>
                <w:lang w:val="en-US" w:eastAsia="zh-CN" w:bidi="ar"/>
              </w:rPr>
              <w:t>7.7</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7F094D74">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top"/>
          </w:tcPr>
          <w:p w14:paraId="1B31851D">
            <w:pPr>
              <w:keepNext w:val="0"/>
              <w:keepLines w:val="0"/>
              <w:widowControl w:val="0"/>
              <w:suppressLineNumbers w:val="0"/>
              <w:adjustRightInd w:val="0"/>
              <w:snapToGrid w:val="0"/>
              <w:spacing w:before="0" w:beforeAutospacing="0" w:after="0" w:afterAutospacing="0" w:line="360" w:lineRule="auto"/>
              <w:ind w:left="0" w:right="11" w:firstLine="403" w:firstLineChars="192"/>
              <w:jc w:val="both"/>
              <w:outlineLvl w:val="3"/>
              <w:rPr>
                <w:rFonts w:hint="eastAsia" w:ascii="Calibri" w:hAnsi="Calibri" w:eastAsia="宋体" w:cs="Times New Roman"/>
                <w:color w:val="auto"/>
                <w:kern w:val="0"/>
                <w:sz w:val="21"/>
                <w:szCs w:val="21"/>
                <w:highlight w:val="none"/>
              </w:rPr>
            </w:pPr>
            <w:r>
              <w:rPr>
                <w:rFonts w:hint="default" w:ascii="Calibri" w:hAnsi="Calibri" w:eastAsia="宋体" w:cs="Calibri"/>
                <w:color w:val="auto"/>
                <w:kern w:val="0"/>
                <w:sz w:val="21"/>
                <w:szCs w:val="21"/>
                <w:highlight w:val="none"/>
                <w:lang w:val="en-US" w:eastAsia="zh-CN" w:bidi="ar"/>
              </w:rPr>
              <w:t>7.7</w:t>
            </w:r>
            <w:r>
              <w:rPr>
                <w:rFonts w:hint="eastAsia" w:ascii="宋体" w:hAnsi="宋体" w:eastAsia="宋体" w:cs="宋体"/>
                <w:color w:val="auto"/>
                <w:kern w:val="0"/>
                <w:sz w:val="21"/>
                <w:szCs w:val="21"/>
                <w:highlight w:val="none"/>
                <w:lang w:val="en-US" w:eastAsia="zh-CN" w:bidi="ar"/>
              </w:rPr>
              <w:t>现场管理机构各部主要组织管理人员应与投标文件保持一致，发包人不要求更换时不得更换。因特殊情况需要更换的，承包人应以书面形式向监理单位提出意向（附前任和后任人员的详细履历资料），经总监理工程师签署意见后向发包人提出申请，征得发包人同意后方可更换。承包人必须保证后任人员的资质、资历、业绩、实际工作能力不低于前任人员的素质。即使征得发包人同意更换的，承包人仍应按合同专用条款第</w:t>
            </w:r>
            <w:r>
              <w:rPr>
                <w:rFonts w:hint="default" w:ascii="Calibri" w:hAnsi="Calibri" w:eastAsia="宋体" w:cs="Calibri"/>
                <w:color w:val="auto"/>
                <w:kern w:val="0"/>
                <w:sz w:val="21"/>
                <w:szCs w:val="21"/>
                <w:highlight w:val="none"/>
                <w:lang w:val="en-US" w:eastAsia="zh-CN" w:bidi="ar"/>
              </w:rPr>
              <w:t>38.7</w:t>
            </w:r>
            <w:r>
              <w:rPr>
                <w:rFonts w:hint="eastAsia" w:ascii="宋体" w:hAnsi="宋体" w:eastAsia="宋体" w:cs="宋体"/>
                <w:color w:val="auto"/>
                <w:kern w:val="0"/>
                <w:sz w:val="21"/>
                <w:szCs w:val="21"/>
                <w:highlight w:val="none"/>
                <w:lang w:val="en-US" w:eastAsia="zh-CN" w:bidi="ar"/>
              </w:rPr>
              <w:t>（</w:t>
            </w:r>
            <w:r>
              <w:rPr>
                <w:rFonts w:hint="default" w:ascii="Calibri" w:hAnsi="Calibri" w:eastAsia="宋体" w:cs="Calibri"/>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）款的约定承担违反投标承诺的违约责任，若更换项目经理而未征得发包人同意的，不得计量项目经理的现场组织实施管理费（本合同另有约定的除外）。</w:t>
            </w:r>
          </w:p>
          <w:p w14:paraId="6ED5D9B3">
            <w:pPr>
              <w:keepNext w:val="0"/>
              <w:keepLines w:val="0"/>
              <w:widowControl w:val="0"/>
              <w:suppressLineNumbers w:val="0"/>
              <w:adjustRightInd w:val="0"/>
              <w:snapToGrid w:val="0"/>
              <w:spacing w:before="0" w:beforeAutospacing="0" w:after="0" w:afterAutospacing="0" w:line="360" w:lineRule="auto"/>
              <w:ind w:left="0" w:right="0" w:firstLine="480"/>
              <w:jc w:val="both"/>
              <w:rPr>
                <w:rFonts w:hint="eastAsia" w:ascii="Calibri"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更换人员必须履行建设行政主管部门规定的人员变更手续，后任人员继续行使前任的职权，履行前任的义务。</w:t>
            </w:r>
          </w:p>
          <w:p w14:paraId="71C60572">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p>
        </w:tc>
        <w:tc>
          <w:tcPr>
            <w:tcW w:w="3577" w:type="dxa"/>
            <w:tcBorders>
              <w:top w:val="single" w:color="auto" w:sz="4" w:space="0"/>
              <w:left w:val="nil"/>
              <w:bottom w:val="single" w:color="auto" w:sz="4" w:space="0"/>
              <w:right w:val="single" w:color="auto" w:sz="4" w:space="0"/>
            </w:tcBorders>
            <w:shd w:val="clear" w:color="auto" w:fill="auto"/>
            <w:noWrap/>
            <w:vAlign w:val="top"/>
          </w:tcPr>
          <w:p w14:paraId="09F34DB0">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Calibri" w:hAnsi="Calibri" w:eastAsia="宋体" w:cs="Times New Roman"/>
                <w:color w:val="auto"/>
                <w:kern w:val="0"/>
                <w:sz w:val="21"/>
                <w:szCs w:val="21"/>
                <w:highlight w:val="none"/>
              </w:rPr>
            </w:pPr>
            <w:r>
              <w:rPr>
                <w:rFonts w:hint="default" w:ascii="Calibri" w:hAnsi="Calibri" w:eastAsia="宋体" w:cs="Calibri"/>
                <w:color w:val="auto"/>
                <w:kern w:val="0"/>
                <w:sz w:val="21"/>
                <w:szCs w:val="21"/>
                <w:highlight w:val="none"/>
                <w:lang w:val="en-US" w:eastAsia="zh-CN" w:bidi="ar"/>
              </w:rPr>
              <w:t xml:space="preserve">   7.7</w:t>
            </w:r>
            <w:r>
              <w:rPr>
                <w:rFonts w:hint="eastAsia" w:ascii="宋体" w:hAnsi="宋体" w:eastAsia="宋体" w:cs="宋体"/>
                <w:color w:val="auto"/>
                <w:kern w:val="0"/>
                <w:sz w:val="21"/>
                <w:szCs w:val="21"/>
                <w:highlight w:val="none"/>
                <w:lang w:val="en-US" w:eastAsia="zh-CN" w:bidi="ar"/>
              </w:rPr>
              <w:t>现场管理机构各部主要组织管理人员应与投标文件保持一致，</w:t>
            </w:r>
            <w:r>
              <w:rPr>
                <w:rFonts w:hint="eastAsia" w:ascii="宋体" w:hAnsi="宋体" w:eastAsia="宋体" w:cs="宋体"/>
                <w:color w:val="auto"/>
                <w:kern w:val="0"/>
                <w:sz w:val="21"/>
                <w:szCs w:val="21"/>
                <w:highlight w:val="none"/>
                <w:u w:val="single"/>
                <w:lang w:val="en-US" w:eastAsia="zh-CN" w:bidi="ar"/>
              </w:rPr>
              <w:t>除特殊情况（该人员因死亡或重大疾病或离职无法继续履职，或其他经监理单位、发包人认可的属承包人无法预见、无法控制的合理事由）外，无论承包人主动申请更换还是被发包人要求更换</w:t>
            </w:r>
            <w:r>
              <w:rPr>
                <w:rFonts w:hint="eastAsia" w:ascii="宋体" w:hAnsi="宋体" w:eastAsia="宋体" w:cs="宋体"/>
                <w:color w:val="auto"/>
                <w:kern w:val="0"/>
                <w:sz w:val="21"/>
                <w:szCs w:val="21"/>
                <w:highlight w:val="none"/>
                <w:lang w:val="en-US" w:eastAsia="zh-CN" w:bidi="ar"/>
              </w:rPr>
              <w:t>，均需按合同专用条款第</w:t>
            </w:r>
            <w:r>
              <w:rPr>
                <w:rFonts w:hint="default" w:ascii="Calibri" w:hAnsi="Calibri" w:eastAsia="宋体" w:cs="Calibri"/>
                <w:color w:val="auto"/>
                <w:kern w:val="0"/>
                <w:sz w:val="21"/>
                <w:szCs w:val="21"/>
                <w:highlight w:val="none"/>
                <w:lang w:val="en-US" w:eastAsia="zh-CN" w:bidi="ar"/>
              </w:rPr>
              <w:t>38.7</w:t>
            </w:r>
            <w:r>
              <w:rPr>
                <w:rFonts w:hint="eastAsia" w:ascii="宋体" w:hAnsi="宋体" w:eastAsia="宋体" w:cs="宋体"/>
                <w:color w:val="auto"/>
                <w:kern w:val="0"/>
                <w:sz w:val="21"/>
                <w:szCs w:val="21"/>
                <w:highlight w:val="none"/>
                <w:lang w:val="en-US" w:eastAsia="zh-CN" w:bidi="ar"/>
              </w:rPr>
              <w:t>（</w:t>
            </w:r>
            <w:r>
              <w:rPr>
                <w:rFonts w:hint="default" w:ascii="Calibri" w:hAnsi="Calibri" w:eastAsia="宋体" w:cs="Calibri"/>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）款的约定承担违约责任。</w:t>
            </w:r>
          </w:p>
          <w:p w14:paraId="6D7A5709">
            <w:pPr>
              <w:keepNext w:val="0"/>
              <w:keepLines w:val="0"/>
              <w:widowControl w:val="0"/>
              <w:suppressLineNumbers w:val="0"/>
              <w:adjustRightInd w:val="0"/>
              <w:snapToGrid w:val="0"/>
              <w:spacing w:before="0" w:beforeAutospacing="0" w:after="0" w:afterAutospacing="0" w:line="360" w:lineRule="auto"/>
              <w:ind w:left="0" w:right="0" w:firstLine="480"/>
              <w:jc w:val="both"/>
              <w:rPr>
                <w:rFonts w:hint="eastAsia" w:ascii="Calibri"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无论承包人因何种原因需更换主要组织管理人员的，均应以书面形式向监理单位提出意向（附前任和后任人员的详细履历资料），经总监理工程师签署意见后向发包人提出申请，征得发包人同意后方可更换。</w:t>
            </w:r>
          </w:p>
          <w:p w14:paraId="51C18185">
            <w:pPr>
              <w:keepNext w:val="0"/>
              <w:keepLines w:val="0"/>
              <w:widowControl w:val="0"/>
              <w:suppressLineNumbers w:val="0"/>
              <w:adjustRightInd w:val="0"/>
              <w:snapToGrid w:val="0"/>
              <w:spacing w:before="0" w:beforeAutospacing="0" w:after="0" w:afterAutospacing="0" w:line="300" w:lineRule="auto"/>
              <w:ind w:left="0" w:right="0"/>
              <w:jc w:val="left"/>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主要组织管理人员无论因何种原因需更换，承包人必须保证后任人员的资质、资历、业绩、实际工作能力不低于前任人员；必须履行建设行政主管部门规定的人员变更手续，后任人员继续行使前任的职权，履行前任的义务。</w:t>
            </w:r>
          </w:p>
        </w:tc>
      </w:tr>
      <w:tr w14:paraId="12703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8"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64DC8C">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6</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63E69C89">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2"/>
                <w:sz w:val="21"/>
                <w:szCs w:val="21"/>
                <w:highlight w:val="none"/>
              </w:rPr>
            </w:pPr>
            <w:r>
              <w:rPr>
                <w:rFonts w:hint="default" w:ascii="Calibri" w:hAnsi="Calibri" w:eastAsia="宋体" w:cs="Calibri"/>
                <w:color w:val="auto"/>
                <w:kern w:val="2"/>
                <w:sz w:val="21"/>
                <w:szCs w:val="21"/>
                <w:highlight w:val="none"/>
                <w:lang w:val="en-US" w:eastAsia="zh-CN" w:bidi="ar"/>
              </w:rPr>
              <w:t>7.8</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283DDC09">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center"/>
          </w:tcPr>
          <w:p w14:paraId="2B645E3F">
            <w:pPr>
              <w:keepNext w:val="0"/>
              <w:keepLines w:val="0"/>
              <w:widowControl w:val="0"/>
              <w:suppressLineNumbers w:val="0"/>
              <w:adjustRightInd w:val="0"/>
              <w:snapToGrid w:val="0"/>
              <w:spacing w:before="0" w:beforeAutospacing="0" w:after="0" w:afterAutospacing="0" w:line="360" w:lineRule="auto"/>
              <w:ind w:left="0" w:right="11" w:firstLine="403" w:firstLineChars="192"/>
              <w:jc w:val="both"/>
              <w:outlineLvl w:val="3"/>
              <w:rPr>
                <w:rFonts w:hint="eastAsia" w:ascii="Calibri" w:hAnsi="Calibri" w:eastAsia="宋体" w:cs="Times New Roman"/>
                <w:color w:val="auto"/>
                <w:kern w:val="0"/>
                <w:sz w:val="21"/>
                <w:szCs w:val="21"/>
                <w:highlight w:val="none"/>
              </w:rPr>
            </w:pPr>
            <w:r>
              <w:rPr>
                <w:rFonts w:hint="default" w:ascii="Calibri" w:hAnsi="Calibri" w:eastAsia="宋体" w:cs="Calibri"/>
                <w:color w:val="auto"/>
                <w:kern w:val="0"/>
                <w:sz w:val="21"/>
                <w:szCs w:val="21"/>
                <w:highlight w:val="none"/>
                <w:lang w:val="en-US" w:eastAsia="zh-CN" w:bidi="ar"/>
              </w:rPr>
              <w:t>7.8</w:t>
            </w:r>
            <w:r>
              <w:rPr>
                <w:rFonts w:hint="eastAsia" w:ascii="宋体" w:hAnsi="宋体" w:eastAsia="宋体" w:cs="宋体"/>
                <w:color w:val="auto"/>
                <w:kern w:val="0"/>
                <w:sz w:val="21"/>
                <w:szCs w:val="21"/>
                <w:highlight w:val="none"/>
                <w:lang w:val="en-US" w:eastAsia="zh-CN" w:bidi="ar"/>
              </w:rPr>
              <w:t>现场管理机构各部主要组织管理人员的实际工作能力和工作效果达不到招标文件的明确要求或投标文件的承诺</w:t>
            </w:r>
            <w:r>
              <w:rPr>
                <w:rFonts w:hint="eastAsia" w:ascii="宋体" w:hAnsi="宋体" w:eastAsia="宋体" w:cs="宋体"/>
                <w:color w:val="auto"/>
                <w:kern w:val="0"/>
                <w:sz w:val="21"/>
                <w:szCs w:val="21"/>
                <w:highlight w:val="none"/>
                <w:u w:val="single"/>
                <w:lang w:val="en-US" w:eastAsia="zh-CN" w:bidi="ar"/>
              </w:rPr>
              <w:t>或工作态度存在严重不足，</w:t>
            </w:r>
            <w:r>
              <w:rPr>
                <w:rFonts w:hint="eastAsia" w:ascii="宋体" w:hAnsi="宋体" w:eastAsia="宋体" w:cs="宋体"/>
                <w:color w:val="auto"/>
                <w:kern w:val="0"/>
                <w:sz w:val="21"/>
                <w:szCs w:val="21"/>
                <w:highlight w:val="none"/>
                <w:lang w:val="en-US" w:eastAsia="zh-CN" w:bidi="ar"/>
              </w:rPr>
              <w:t>不适应现场工作需要的，发包人有权向承包人提出撤换。承包人可以提出整改意见，如发包人不予接受或认为整改效果不明显的，则承包人必须在</w:t>
            </w:r>
            <w:r>
              <w:rPr>
                <w:rFonts w:hint="default" w:ascii="Calibri" w:hAnsi="Calibri" w:eastAsia="宋体" w:cs="Calibri"/>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天内无条件撤换，并按合同专用条款第</w:t>
            </w:r>
            <w:r>
              <w:rPr>
                <w:rFonts w:hint="default" w:ascii="Calibri" w:hAnsi="Calibri" w:eastAsia="宋体" w:cs="Calibri"/>
                <w:color w:val="auto"/>
                <w:kern w:val="0"/>
                <w:sz w:val="21"/>
                <w:szCs w:val="21"/>
                <w:highlight w:val="none"/>
                <w:lang w:val="en-US" w:eastAsia="zh-CN" w:bidi="ar"/>
              </w:rPr>
              <w:t>38.7</w:t>
            </w:r>
            <w:r>
              <w:rPr>
                <w:rFonts w:hint="eastAsia" w:ascii="宋体" w:hAnsi="宋体" w:eastAsia="宋体" w:cs="宋体"/>
                <w:color w:val="auto"/>
                <w:kern w:val="0"/>
                <w:sz w:val="21"/>
                <w:szCs w:val="21"/>
                <w:highlight w:val="none"/>
                <w:lang w:val="en-US" w:eastAsia="zh-CN" w:bidi="ar"/>
              </w:rPr>
              <w:t>（</w:t>
            </w:r>
            <w:r>
              <w:rPr>
                <w:rFonts w:hint="default" w:ascii="Calibri" w:hAnsi="Calibri" w:eastAsia="宋体" w:cs="Calibri"/>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）款的约定承担违约责任。所调换来人员的资质、资历、学历、职称、业绩、实际工作能力不低于投标文件中所承诺人员的素质，否则，按合同专用条款第</w:t>
            </w:r>
            <w:r>
              <w:rPr>
                <w:rFonts w:hint="default" w:ascii="Calibri" w:hAnsi="Calibri" w:eastAsia="宋体" w:cs="Calibri"/>
                <w:color w:val="auto"/>
                <w:kern w:val="0"/>
                <w:sz w:val="21"/>
                <w:szCs w:val="21"/>
                <w:highlight w:val="none"/>
                <w:lang w:val="en-US" w:eastAsia="zh-CN" w:bidi="ar"/>
              </w:rPr>
              <w:t>38.7</w:t>
            </w:r>
            <w:r>
              <w:rPr>
                <w:rFonts w:hint="eastAsia" w:ascii="宋体" w:hAnsi="宋体" w:eastAsia="宋体" w:cs="宋体"/>
                <w:color w:val="auto"/>
                <w:kern w:val="0"/>
                <w:sz w:val="21"/>
                <w:szCs w:val="21"/>
                <w:highlight w:val="none"/>
                <w:lang w:val="en-US" w:eastAsia="zh-CN" w:bidi="ar"/>
              </w:rPr>
              <w:t>（</w:t>
            </w:r>
            <w:r>
              <w:rPr>
                <w:rFonts w:hint="default" w:ascii="Calibri" w:hAnsi="Calibri" w:eastAsia="宋体" w:cs="Calibri"/>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）款的约定承担违反投标承诺的违约责任。</w:t>
            </w:r>
          </w:p>
          <w:p w14:paraId="5370FA0D">
            <w:pPr>
              <w:keepNext w:val="0"/>
              <w:keepLines w:val="0"/>
              <w:widowControl w:val="0"/>
              <w:suppressLineNumbers w:val="0"/>
              <w:adjustRightInd w:val="0"/>
              <w:snapToGrid w:val="0"/>
              <w:spacing w:before="0" w:beforeAutospacing="0" w:after="0" w:afterAutospacing="0" w:line="360" w:lineRule="auto"/>
              <w:ind w:left="0" w:right="11" w:firstLine="403" w:firstLineChars="192"/>
              <w:jc w:val="both"/>
              <w:rPr>
                <w:rFonts w:hint="eastAsia" w:ascii="Calibri"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发包人要求承包人撤换不合格人员，如承包人既不立即撤换，也不及时提出整改意见，则视同拒绝执行发包人的指令，承包人需按合同专用条款第</w:t>
            </w:r>
            <w:r>
              <w:rPr>
                <w:rFonts w:hint="default" w:ascii="Calibri" w:hAnsi="Calibri" w:eastAsia="宋体" w:cs="Calibri"/>
                <w:color w:val="auto"/>
                <w:kern w:val="0"/>
                <w:sz w:val="21"/>
                <w:szCs w:val="21"/>
                <w:highlight w:val="none"/>
                <w:lang w:val="en-US" w:eastAsia="zh-CN" w:bidi="ar"/>
              </w:rPr>
              <w:t>38.7</w:t>
            </w:r>
            <w:r>
              <w:rPr>
                <w:rFonts w:hint="eastAsia" w:ascii="宋体" w:hAnsi="宋体" w:eastAsia="宋体" w:cs="宋体"/>
                <w:color w:val="auto"/>
                <w:kern w:val="0"/>
                <w:sz w:val="21"/>
                <w:szCs w:val="21"/>
                <w:highlight w:val="none"/>
                <w:lang w:val="en-US" w:eastAsia="zh-CN" w:bidi="ar"/>
              </w:rPr>
              <w:t>（</w:t>
            </w:r>
            <w:r>
              <w:rPr>
                <w:rFonts w:hint="default" w:ascii="Calibri" w:hAnsi="Calibri" w:eastAsia="宋体" w:cs="Calibri"/>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）款的约定承担违约责任。</w:t>
            </w:r>
          </w:p>
          <w:p w14:paraId="19F091A2">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u w:val="single"/>
                <w:lang w:val="en-US" w:eastAsia="zh-CN" w:bidi="ar"/>
              </w:rPr>
              <w:t>发包人要求承包人以实际工作能力较高的人员调换实际工作能力较低的现场人员、或者承包人主动要求以实际工作能力较高的人员调换实际工作能力较低的现场人员并经总监理工程师及发包人批准且经实践检验证实、或者承包人有合法的理由提出申请并经总监理工程师及发包人批准更换相关人员的，承包人可不承担违约责任。</w:t>
            </w:r>
          </w:p>
        </w:tc>
        <w:tc>
          <w:tcPr>
            <w:tcW w:w="3577" w:type="dxa"/>
            <w:tcBorders>
              <w:top w:val="single" w:color="auto" w:sz="4" w:space="0"/>
              <w:left w:val="nil"/>
              <w:bottom w:val="single" w:color="auto" w:sz="4" w:space="0"/>
              <w:right w:val="single" w:color="auto" w:sz="4" w:space="0"/>
            </w:tcBorders>
            <w:shd w:val="clear" w:color="auto" w:fill="auto"/>
            <w:noWrap/>
            <w:vAlign w:val="top"/>
          </w:tcPr>
          <w:p w14:paraId="77EC2C76">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Calibri" w:hAnsi="Calibri" w:eastAsia="宋体" w:cs="Times New Roman"/>
                <w:color w:val="auto"/>
                <w:kern w:val="0"/>
                <w:sz w:val="21"/>
                <w:szCs w:val="21"/>
                <w:highlight w:val="none"/>
              </w:rPr>
            </w:pPr>
            <w:r>
              <w:rPr>
                <w:rFonts w:hint="default" w:ascii="Calibri" w:hAnsi="Calibri" w:eastAsia="宋体" w:cs="Calibri"/>
                <w:color w:val="auto"/>
                <w:kern w:val="0"/>
                <w:sz w:val="21"/>
                <w:szCs w:val="21"/>
                <w:highlight w:val="none"/>
                <w:lang w:val="en-US" w:eastAsia="zh-CN" w:bidi="ar"/>
              </w:rPr>
              <w:t xml:space="preserve">   7.8</w:t>
            </w:r>
            <w:r>
              <w:rPr>
                <w:rFonts w:hint="eastAsia" w:ascii="宋体" w:hAnsi="宋体" w:eastAsia="宋体" w:cs="宋体"/>
                <w:color w:val="auto"/>
                <w:kern w:val="0"/>
                <w:sz w:val="21"/>
                <w:szCs w:val="21"/>
                <w:highlight w:val="none"/>
                <w:lang w:val="en-US" w:eastAsia="zh-CN" w:bidi="ar"/>
              </w:rPr>
              <w:t>现场管理机构各部主要组织管理人员的实际工作能力和工作效果达不到招标文件的明确要求或投标文件的承诺</w:t>
            </w:r>
            <w:r>
              <w:rPr>
                <w:rFonts w:hint="eastAsia" w:ascii="宋体" w:hAnsi="宋体" w:eastAsia="宋体" w:cs="宋体"/>
                <w:color w:val="auto"/>
                <w:kern w:val="0"/>
                <w:sz w:val="21"/>
                <w:szCs w:val="21"/>
                <w:highlight w:val="none"/>
                <w:u w:val="single"/>
                <w:lang w:val="en-US" w:eastAsia="zh-CN" w:bidi="ar"/>
              </w:rPr>
              <w:t>或存在消极怠工、工作态度不端正、</w:t>
            </w:r>
            <w:r>
              <w:rPr>
                <w:rFonts w:hint="eastAsia" w:ascii="宋体" w:hAnsi="宋体" w:eastAsia="宋体" w:cs="宋体"/>
                <w:color w:val="auto"/>
                <w:kern w:val="0"/>
                <w:sz w:val="21"/>
                <w:szCs w:val="21"/>
                <w:highlight w:val="none"/>
                <w:lang w:val="en-US" w:eastAsia="zh-CN" w:bidi="ar"/>
              </w:rPr>
              <w:t>不适应现场工作需要的，发包人有权要求承包人限期更换。</w:t>
            </w:r>
            <w:r>
              <w:rPr>
                <w:rFonts w:hint="eastAsia" w:ascii="宋体" w:hAnsi="宋体" w:eastAsia="宋体" w:cs="宋体"/>
                <w:color w:val="auto"/>
                <w:kern w:val="0"/>
                <w:sz w:val="21"/>
                <w:szCs w:val="21"/>
                <w:highlight w:val="none"/>
                <w:u w:val="single"/>
                <w:lang w:val="en-US" w:eastAsia="zh-CN" w:bidi="ar"/>
              </w:rPr>
              <w:t>承包人可以在收到发包人更换通知后</w:t>
            </w:r>
            <w:r>
              <w:rPr>
                <w:rFonts w:hint="default" w:ascii="Calibri" w:hAnsi="Calibri" w:eastAsia="宋体" w:cs="Times New Roman"/>
                <w:color w:val="auto"/>
                <w:kern w:val="0"/>
                <w:sz w:val="21"/>
                <w:szCs w:val="21"/>
                <w:highlight w:val="none"/>
                <w:u w:val="single"/>
                <w:lang w:val="en-US" w:eastAsia="zh-CN" w:bidi="ar"/>
              </w:rPr>
              <w:t>3</w:t>
            </w:r>
            <w:r>
              <w:rPr>
                <w:rFonts w:hint="eastAsia" w:ascii="宋体" w:hAnsi="宋体" w:eastAsia="宋体" w:cs="宋体"/>
                <w:color w:val="auto"/>
                <w:kern w:val="0"/>
                <w:sz w:val="21"/>
                <w:szCs w:val="21"/>
                <w:highlight w:val="none"/>
                <w:u w:val="single"/>
                <w:lang w:val="en-US" w:eastAsia="zh-CN" w:bidi="ar"/>
              </w:rPr>
              <w:t>天内提出书面整改意见，如发包人不予接受或认为整改效果不明显的，应及时回复承包人，承包人必须在发包人回复后</w:t>
            </w:r>
            <w:r>
              <w:rPr>
                <w:rFonts w:hint="default" w:ascii="Calibri" w:hAnsi="Calibri" w:eastAsia="宋体" w:cs="Times New Roman"/>
                <w:color w:val="auto"/>
                <w:kern w:val="0"/>
                <w:sz w:val="21"/>
                <w:szCs w:val="21"/>
                <w:highlight w:val="none"/>
                <w:u w:val="single"/>
                <w:lang w:val="en-US" w:eastAsia="zh-CN" w:bidi="ar"/>
              </w:rPr>
              <w:t>7</w:t>
            </w:r>
            <w:r>
              <w:rPr>
                <w:rFonts w:hint="eastAsia" w:ascii="宋体" w:hAnsi="宋体" w:eastAsia="宋体" w:cs="宋体"/>
                <w:color w:val="auto"/>
                <w:kern w:val="0"/>
                <w:sz w:val="21"/>
                <w:szCs w:val="21"/>
                <w:highlight w:val="none"/>
                <w:u w:val="single"/>
                <w:lang w:val="en-US" w:eastAsia="zh-CN" w:bidi="ar"/>
              </w:rPr>
              <w:t>天内按合同专用条款第</w:t>
            </w:r>
            <w:r>
              <w:rPr>
                <w:rFonts w:hint="default" w:ascii="Calibri" w:hAnsi="Calibri" w:eastAsia="宋体" w:cs="Times New Roman"/>
                <w:color w:val="auto"/>
                <w:kern w:val="0"/>
                <w:sz w:val="21"/>
                <w:szCs w:val="21"/>
                <w:highlight w:val="none"/>
                <w:u w:val="single"/>
                <w:lang w:val="en-US" w:eastAsia="zh-CN" w:bidi="ar"/>
              </w:rPr>
              <w:t>7.7</w:t>
            </w:r>
            <w:r>
              <w:rPr>
                <w:rFonts w:hint="eastAsia" w:ascii="宋体" w:hAnsi="宋体" w:eastAsia="宋体" w:cs="宋体"/>
                <w:color w:val="auto"/>
                <w:kern w:val="0"/>
                <w:sz w:val="21"/>
                <w:szCs w:val="21"/>
                <w:highlight w:val="none"/>
                <w:u w:val="single"/>
                <w:lang w:val="en-US" w:eastAsia="zh-CN" w:bidi="ar"/>
              </w:rPr>
              <w:t>条的约定进行更换及承担违约责任。</w:t>
            </w:r>
          </w:p>
          <w:p w14:paraId="6224ABDA">
            <w:pPr>
              <w:keepNext w:val="0"/>
              <w:keepLines w:val="0"/>
              <w:widowControl w:val="0"/>
              <w:suppressLineNumbers w:val="0"/>
              <w:adjustRightInd w:val="0"/>
              <w:snapToGrid w:val="0"/>
              <w:spacing w:before="0" w:beforeAutospacing="0" w:after="0" w:afterAutospacing="0" w:line="300" w:lineRule="auto"/>
              <w:ind w:left="0" w:right="0"/>
              <w:jc w:val="left"/>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如承包人未及时提出整改意见也未按发包人要求及时更换的，或者提出整改意见后未按发包人回复意见及时执行的，则视为拒绝执行发包人的指令，承包人需按合同专用条款第</w:t>
            </w:r>
            <w:r>
              <w:rPr>
                <w:rFonts w:hint="default" w:ascii="Calibri" w:hAnsi="Calibri" w:eastAsia="宋体" w:cs="Calibri"/>
                <w:color w:val="auto"/>
                <w:kern w:val="0"/>
                <w:sz w:val="21"/>
                <w:szCs w:val="21"/>
                <w:highlight w:val="none"/>
                <w:lang w:val="en-US" w:eastAsia="zh-CN" w:bidi="ar"/>
              </w:rPr>
              <w:t>38.7</w:t>
            </w:r>
            <w:r>
              <w:rPr>
                <w:rFonts w:hint="eastAsia" w:ascii="宋体" w:hAnsi="宋体" w:eastAsia="宋体" w:cs="宋体"/>
                <w:color w:val="auto"/>
                <w:kern w:val="0"/>
                <w:sz w:val="21"/>
                <w:szCs w:val="21"/>
                <w:highlight w:val="none"/>
                <w:lang w:val="en-US" w:eastAsia="zh-CN" w:bidi="ar"/>
              </w:rPr>
              <w:t>（</w:t>
            </w:r>
            <w:r>
              <w:rPr>
                <w:rFonts w:hint="default" w:ascii="Calibri" w:hAnsi="Calibri" w:eastAsia="宋体" w:cs="Calibri"/>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）款约定承担违约责任。</w:t>
            </w:r>
          </w:p>
        </w:tc>
      </w:tr>
      <w:tr w14:paraId="13A16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8"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72C519">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7</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2D4B7864">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9.1（7）</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3D53C298">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center"/>
          </w:tcPr>
          <w:p w14:paraId="73AA8721">
            <w:pPr>
              <w:keepNext w:val="0"/>
              <w:keepLines w:val="0"/>
              <w:widowControl w:val="0"/>
              <w:suppressLineNumbers w:val="0"/>
              <w:adjustRightInd w:val="0"/>
              <w:snapToGrid w:val="0"/>
              <w:spacing w:before="0" w:beforeAutospacing="0" w:after="0" w:afterAutospacing="0" w:line="360" w:lineRule="auto"/>
              <w:ind w:left="0" w:right="11"/>
              <w:jc w:val="both"/>
              <w:outlineLvl w:val="4"/>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7）承包人应对施工场地及周围的地下管线、建筑物、构筑物（含文物保护建筑）、古树名木之状况进行勘察，根据勘察结果确定具体的保护措施并承担有关费用。若发现正常施工措施及现有条件已不能达到保护目的的，承包人应及时报告，经总监理工程师、发包人批准采取特殊保护处理的，发包人承担不包含在招投标内容中的额外保护费用。</w:t>
            </w:r>
          </w:p>
          <w:p w14:paraId="23DC8943">
            <w:pPr>
              <w:pStyle w:val="14"/>
              <w:keepNext w:val="0"/>
              <w:keepLines w:val="0"/>
              <w:widowControl w:val="0"/>
              <w:suppressLineNumbers w:val="0"/>
              <w:adjustRightInd w:val="0"/>
              <w:snapToGrid w:val="0"/>
              <w:spacing w:before="0" w:beforeAutospacing="1" w:after="0" w:afterAutospacing="1" w:line="360" w:lineRule="auto"/>
              <w:ind w:left="0" w:right="0"/>
              <w:jc w:val="both"/>
              <w:outlineLvl w:val="4"/>
              <w:rPr>
                <w:rFonts w:hint="eastAsia" w:ascii="宋体" w:hAnsi="宋体" w:eastAsia="宋体" w:cs="Times New Roman"/>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承包人应对所采取的保护措施进行监测，并应根据监测结果及时反馈信息指导施工，以确保上述受保护物件及作业人员、居民的安全。因承包人原因，受保护物件发生损坏的，由承包人承担责任并负责赔偿。</w:t>
            </w: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3A5DDD5C">
            <w:pPr>
              <w:keepNext w:val="0"/>
              <w:keepLines w:val="0"/>
              <w:widowControl w:val="0"/>
              <w:suppressLineNumbers w:val="0"/>
              <w:adjustRightInd w:val="0"/>
              <w:snapToGrid w:val="0"/>
              <w:spacing w:before="0" w:beforeAutospacing="0" w:after="0" w:afterAutospacing="0" w:line="380" w:lineRule="exact"/>
              <w:ind w:left="0" w:right="0" w:firstLine="315" w:firstLineChars="15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7）承包人应对施工场地及周围的地下管线、建筑物、构筑物（含文物保护建筑）、古树名木之状况进行勘察，根据勘察结果确定具体的保护措施并承担有关费用。若发现正常施工措施及现有条件已不能达到保护目的的，承包人应及时报告，经总监理工程师、发包人批准采取特殊保护处理的，发包人承担不包含在招投标内容中的额外保护费用。</w:t>
            </w:r>
          </w:p>
          <w:p w14:paraId="7CFF31C7">
            <w:pPr>
              <w:keepNext w:val="0"/>
              <w:keepLines w:val="0"/>
              <w:widowControl w:val="0"/>
              <w:suppressLineNumbers w:val="0"/>
              <w:adjustRightInd w:val="0"/>
              <w:snapToGrid w:val="0"/>
              <w:spacing w:before="0" w:beforeAutospacing="0" w:after="0" w:afterAutospacing="0" w:line="380" w:lineRule="exact"/>
              <w:ind w:left="0" w:right="0"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承包人应严格按照《国务院办公厅关于科学绿化的指导意见》（国办发〔2021〕19号）、《广州市关于科学绿化的实施意见》（穗办【2021】11号）、《广东省人民政府办公厅关于科学绿化的实施意见》（粤府办【2021】48号）和《广州市城市树木保护管理规定（试行）》（穗林业园林规字〔2022〕1号）等相关规定组织施工，严格落实古树名木、古树后续资源、行道树、大树等树木的保护工作，禁止擅自砍伐树木或擅自迁移树木。</w:t>
            </w:r>
          </w:p>
          <w:p w14:paraId="3D2DE021">
            <w:pPr>
              <w:keepNext w:val="0"/>
              <w:keepLines w:val="0"/>
              <w:widowControl w:val="0"/>
              <w:suppressLineNumbers w:val="0"/>
              <w:spacing w:before="0" w:beforeAutospacing="0" w:after="0" w:afterAutospacing="0" w:line="266" w:lineRule="auto"/>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承包人应对所采取的保护措施进行监测，并应根据监测结果及时反馈信息指导施工，以确保上述受保护物件及作业人员、居民的安全。因承包人原因，受保护物件发生损坏的，由承包人承担责任并负责赔偿。</w:t>
            </w:r>
          </w:p>
        </w:tc>
      </w:tr>
      <w:tr w14:paraId="67DE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8"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89C026">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8</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605178C7">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default" w:ascii="Times New Roman" w:hAnsi="Times New Roman" w:eastAsia="宋体" w:cs="Times New Roman"/>
                <w:color w:val="auto"/>
                <w:kern w:val="2"/>
                <w:sz w:val="21"/>
                <w:szCs w:val="21"/>
                <w:highlight w:val="none"/>
                <w:lang w:val="en-US" w:eastAsia="zh-CN" w:bidi="ar"/>
              </w:rPr>
              <w:t>9.1</w:t>
            </w:r>
            <w:r>
              <w:rPr>
                <w:rFonts w:hint="eastAsia" w:ascii="宋体" w:hAnsi="宋体" w:eastAsia="宋体" w:cs="宋体"/>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8</w:t>
            </w:r>
            <w:r>
              <w:rPr>
                <w:rFonts w:hint="eastAsia" w:ascii="宋体" w:hAnsi="宋体" w:eastAsia="宋体" w:cs="宋体"/>
                <w:color w:val="auto"/>
                <w:kern w:val="2"/>
                <w:sz w:val="21"/>
                <w:szCs w:val="21"/>
                <w:highlight w:val="none"/>
                <w:lang w:val="en-US" w:eastAsia="zh-CN" w:bidi="ar"/>
              </w:rPr>
              <w:t>）</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3BC17672">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center"/>
          </w:tcPr>
          <w:p w14:paraId="026B2823">
            <w:pPr>
              <w:keepNext w:val="0"/>
              <w:keepLines w:val="0"/>
              <w:widowControl w:val="0"/>
              <w:suppressLineNumbers w:val="0"/>
              <w:adjustRightInd w:val="0"/>
              <w:snapToGrid w:val="0"/>
              <w:spacing w:before="0" w:beforeAutospacing="0" w:after="0" w:afterAutospacing="0" w:line="300" w:lineRule="auto"/>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8</w:t>
            </w:r>
            <w:r>
              <w:rPr>
                <w:rFonts w:hint="eastAsia" w:ascii="宋体" w:hAnsi="宋体" w:eastAsia="宋体" w:cs="宋体"/>
                <w:color w:val="auto"/>
                <w:kern w:val="2"/>
                <w:sz w:val="21"/>
                <w:szCs w:val="21"/>
                <w:highlight w:val="none"/>
                <w:lang w:val="en-US" w:eastAsia="zh-CN" w:bidi="ar"/>
              </w:rPr>
              <w:t>）承包人须按发包人批准的施工组织设计进行施工现场布置、放置材料机械及其他设施，及时将施工垃圾、余泥运出场外，保证施工场地清洁符合环境卫生管理的有关规定，达到合同协议书约定的安全生产及文明施工目标。</w:t>
            </w:r>
          </w:p>
          <w:p w14:paraId="08D94C87">
            <w:pPr>
              <w:keepNext w:val="0"/>
              <w:keepLines w:val="0"/>
              <w:widowControl w:val="0"/>
              <w:suppressLineNumbers w:val="0"/>
              <w:adjustRightInd w:val="0"/>
              <w:snapToGrid w:val="0"/>
              <w:spacing w:before="0" w:beforeAutospacing="0" w:after="0" w:afterAutospacing="0" w:line="300" w:lineRule="auto"/>
              <w:ind w:left="0" w:right="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施工过程中，承包人应按合同约定及时清理施工垃圾，做到工完料清，并在工程竣工验收后</w:t>
            </w:r>
            <w:r>
              <w:rPr>
                <w:rFonts w:hint="default" w:ascii="Times New Roman" w:hAnsi="Times New Roman" w:eastAsia="宋体" w:cs="Times New Roman"/>
                <w:color w:val="auto"/>
                <w:kern w:val="2"/>
                <w:sz w:val="21"/>
                <w:szCs w:val="21"/>
                <w:highlight w:val="none"/>
                <w:lang w:val="en-US" w:eastAsia="zh-CN" w:bidi="ar"/>
              </w:rPr>
              <w:t>10</w:t>
            </w:r>
            <w:r>
              <w:rPr>
                <w:rFonts w:hint="eastAsia" w:ascii="宋体" w:hAnsi="宋体" w:eastAsia="宋体" w:cs="宋体"/>
                <w:color w:val="auto"/>
                <w:kern w:val="2"/>
                <w:sz w:val="21"/>
                <w:szCs w:val="21"/>
                <w:highlight w:val="none"/>
                <w:lang w:val="en-US" w:eastAsia="zh-CN" w:bidi="ar"/>
              </w:rPr>
              <w:t>天内，对施工场地进行全面清理。</w:t>
            </w:r>
          </w:p>
          <w:p w14:paraId="04F4D63B">
            <w:pPr>
              <w:keepNext w:val="0"/>
              <w:keepLines w:val="0"/>
              <w:widowControl w:val="0"/>
              <w:suppressLineNumbers w:val="0"/>
              <w:adjustRightInd w:val="0"/>
              <w:snapToGrid w:val="0"/>
              <w:spacing w:before="0" w:beforeAutospacing="0" w:after="0" w:afterAutospacing="0" w:line="300" w:lineRule="auto"/>
              <w:ind w:left="0" w:right="0"/>
              <w:jc w:val="left"/>
              <w:outlineLvl w:val="4"/>
              <w:rPr>
                <w:rFonts w:hint="eastAsia" w:ascii="宋体" w:hAnsi="Calibri" w:eastAsia="宋体" w:cs="宋体"/>
                <w:color w:val="auto"/>
                <w:kern w:val="0"/>
                <w:sz w:val="21"/>
                <w:szCs w:val="21"/>
                <w:highlight w:val="none"/>
              </w:rPr>
            </w:pP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1E01B363">
            <w:pPr>
              <w:keepNext w:val="0"/>
              <w:keepLines w:val="0"/>
              <w:widowControl w:val="0"/>
              <w:suppressLineNumbers w:val="0"/>
              <w:adjustRightInd w:val="0"/>
              <w:snapToGrid w:val="0"/>
              <w:spacing w:before="0" w:beforeAutospacing="0" w:after="0" w:afterAutospacing="0" w:line="360" w:lineRule="auto"/>
              <w:ind w:left="0" w:right="0" w:firstLine="48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8</w:t>
            </w:r>
            <w:r>
              <w:rPr>
                <w:rFonts w:hint="eastAsia" w:ascii="宋体" w:hAnsi="宋体" w:eastAsia="宋体" w:cs="宋体"/>
                <w:color w:val="auto"/>
                <w:kern w:val="2"/>
                <w:sz w:val="21"/>
                <w:szCs w:val="21"/>
                <w:highlight w:val="none"/>
                <w:lang w:val="en-US" w:eastAsia="zh-CN" w:bidi="ar"/>
              </w:rPr>
              <w:t>）承包人应当编制建筑垃圾处理方案，并在开工前报工程所在地县级人民政府建筑垃圾主管部门备案并按发包人批准的施工组织设计进行施工现场布置、放置材料机械及其他设施。</w:t>
            </w:r>
          </w:p>
          <w:p w14:paraId="23E6D9E3">
            <w:pPr>
              <w:keepNext w:val="0"/>
              <w:keepLines w:val="0"/>
              <w:widowControl w:val="0"/>
              <w:suppressLineNumbers w:val="0"/>
              <w:adjustRightInd w:val="0"/>
              <w:snapToGrid w:val="0"/>
              <w:spacing w:before="0" w:beforeAutospacing="0" w:after="0" w:afterAutospacing="0" w:line="360" w:lineRule="auto"/>
              <w:ind w:left="0" w:right="0" w:firstLine="480"/>
              <w:jc w:val="left"/>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施工过程中，承包人应当建立建筑垃圾管理台账，分类收集、贮存和及时清运施工过程中产生的建筑垃圾，具体要求按照《广东省建筑垃圾管理条例》（广东省第十三届人民代表大会常务委员会公告第</w:t>
            </w:r>
            <w:r>
              <w:rPr>
                <w:rFonts w:hint="default" w:ascii="Times New Roman" w:hAnsi="Times New Roman" w:eastAsia="宋体" w:cs="Times New Roman"/>
                <w:color w:val="auto"/>
                <w:kern w:val="2"/>
                <w:sz w:val="21"/>
                <w:szCs w:val="21"/>
                <w:highlight w:val="none"/>
                <w:lang w:val="en-US" w:eastAsia="zh-CN" w:bidi="ar"/>
              </w:rPr>
              <w:t>126</w:t>
            </w:r>
            <w:r>
              <w:rPr>
                <w:rFonts w:hint="eastAsia" w:ascii="宋体" w:hAnsi="宋体" w:eastAsia="宋体" w:cs="宋体"/>
                <w:color w:val="auto"/>
                <w:kern w:val="2"/>
                <w:sz w:val="21"/>
                <w:szCs w:val="21"/>
                <w:highlight w:val="none"/>
                <w:lang w:val="en-US" w:eastAsia="zh-CN" w:bidi="ar"/>
              </w:rPr>
              <w:t>号）等环境卫生管理的有关规定执行</w:t>
            </w:r>
            <w:r>
              <w:rPr>
                <w:rFonts w:hint="default" w:ascii="Times New Roman" w:hAnsi="Times New Roman" w:eastAsia="宋体" w:cs="Times New Roman"/>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确保施工场地清洁达到合同协议书约定的安全生产及文明施工目标。同时，工程竣工验收后</w:t>
            </w:r>
            <w:r>
              <w:rPr>
                <w:rFonts w:hint="default" w:ascii="Times New Roman" w:hAnsi="Times New Roman" w:eastAsia="宋体" w:cs="Times New Roman"/>
                <w:color w:val="auto"/>
                <w:kern w:val="2"/>
                <w:sz w:val="21"/>
                <w:szCs w:val="21"/>
                <w:highlight w:val="none"/>
                <w:lang w:val="en-US" w:eastAsia="zh-CN" w:bidi="ar"/>
              </w:rPr>
              <w:t>10</w:t>
            </w:r>
            <w:r>
              <w:rPr>
                <w:rFonts w:hint="eastAsia" w:ascii="宋体" w:hAnsi="宋体" w:eastAsia="宋体" w:cs="宋体"/>
                <w:color w:val="auto"/>
                <w:kern w:val="2"/>
                <w:sz w:val="21"/>
                <w:szCs w:val="21"/>
                <w:highlight w:val="none"/>
                <w:lang w:val="en-US" w:eastAsia="zh-CN" w:bidi="ar"/>
              </w:rPr>
              <w:t>天内，承包人应当对施工场地进行全面清理。</w:t>
            </w:r>
          </w:p>
          <w:p w14:paraId="0B365CE9">
            <w:pPr>
              <w:keepNext w:val="0"/>
              <w:keepLines w:val="0"/>
              <w:widowControl w:val="0"/>
              <w:suppressLineNumbers w:val="0"/>
              <w:adjustRightInd w:val="0"/>
              <w:snapToGrid w:val="0"/>
              <w:spacing w:before="0" w:beforeAutospacing="0" w:after="0" w:afterAutospacing="0" w:line="360" w:lineRule="auto"/>
              <w:ind w:left="0" w:right="0" w:firstLine="480"/>
              <w:jc w:val="left"/>
              <w:rPr>
                <w:rFonts w:hint="eastAsia" w:ascii="宋体" w:hAnsi="Calibri" w:eastAsia="宋体" w:cs="宋体"/>
                <w:color w:val="auto"/>
                <w:kern w:val="0"/>
                <w:sz w:val="21"/>
                <w:szCs w:val="21"/>
                <w:highlight w:val="none"/>
              </w:rPr>
            </w:pPr>
          </w:p>
        </w:tc>
      </w:tr>
      <w:tr w14:paraId="0DC6C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8"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6C8AB8">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9</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43851223">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9.3（2）</w:t>
            </w:r>
            <w:r>
              <w:rPr>
                <w:rFonts w:hint="eastAsia" w:ascii="宋体" w:hAnsi="Calibri" w:eastAsia="宋体" w:cs="宋体"/>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（4）</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703A55C1">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center"/>
          </w:tcPr>
          <w:p w14:paraId="569872FE">
            <w:pPr>
              <w:pStyle w:val="14"/>
              <w:keepNext w:val="0"/>
              <w:keepLines w:val="0"/>
              <w:widowControl w:val="0"/>
              <w:suppressLineNumbers w:val="0"/>
              <w:adjustRightInd w:val="0"/>
              <w:snapToGrid w:val="0"/>
              <w:spacing w:before="0" w:beforeAutospacing="1" w:after="0" w:afterAutospacing="1" w:line="266" w:lineRule="auto"/>
              <w:ind w:left="0" w:right="0"/>
              <w:jc w:val="both"/>
              <w:outlineLvl w:val="4"/>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（2）计算机网络</w:t>
            </w:r>
          </w:p>
          <w:p w14:paraId="0F97C859">
            <w:pPr>
              <w:pStyle w:val="14"/>
              <w:keepNext w:val="0"/>
              <w:keepLines w:val="0"/>
              <w:widowControl w:val="0"/>
              <w:suppressLineNumbers w:val="0"/>
              <w:adjustRightInd w:val="0"/>
              <w:snapToGrid w:val="0"/>
              <w:spacing w:before="0" w:beforeAutospacing="1" w:after="0" w:afterAutospacing="1" w:line="266"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承包人须以宽带形式接入发包人网站以保证信息传输速度要求，网络规划、布线、网络设备、维护由承包人负责。</w:t>
            </w:r>
          </w:p>
          <w:p w14:paraId="5C016066">
            <w:pPr>
              <w:pStyle w:val="14"/>
              <w:keepNext w:val="0"/>
              <w:keepLines w:val="0"/>
              <w:widowControl w:val="0"/>
              <w:suppressLineNumbers w:val="0"/>
              <w:adjustRightInd w:val="0"/>
              <w:snapToGrid w:val="0"/>
              <w:spacing w:before="0" w:beforeAutospacing="1" w:after="0" w:afterAutospacing="1" w:line="266" w:lineRule="auto"/>
              <w:ind w:left="0" w:right="0"/>
              <w:jc w:val="both"/>
              <w:outlineLvl w:val="4"/>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（3）计算机硬件</w:t>
            </w:r>
          </w:p>
          <w:p w14:paraId="6F77090A">
            <w:pPr>
              <w:pStyle w:val="14"/>
              <w:keepNext w:val="0"/>
              <w:keepLines w:val="0"/>
              <w:widowControl w:val="0"/>
              <w:suppressLineNumbers w:val="0"/>
              <w:adjustRightInd w:val="0"/>
              <w:snapToGrid w:val="0"/>
              <w:spacing w:before="0" w:beforeAutospacing="1" w:after="0" w:afterAutospacing="1" w:line="266"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承包人应配置满足发包人计算机工程信息管理系统运行要求的计算机和工作站来支持日常的合同项目施工管理工作。运行计算机工程信息管理系统的计算机最低配置为：CPU双核主频2.0MH以上、内存2G以上、硬盘120G。</w:t>
            </w:r>
          </w:p>
          <w:p w14:paraId="75DDB3B6">
            <w:pPr>
              <w:pStyle w:val="14"/>
              <w:keepNext w:val="0"/>
              <w:keepLines w:val="0"/>
              <w:widowControl w:val="0"/>
              <w:suppressLineNumbers w:val="0"/>
              <w:adjustRightInd w:val="0"/>
              <w:snapToGrid w:val="0"/>
              <w:spacing w:before="0" w:beforeAutospacing="1" w:after="0" w:afterAutospacing="1" w:line="266" w:lineRule="auto"/>
              <w:ind w:left="0" w:right="0"/>
              <w:jc w:val="both"/>
              <w:outlineLvl w:val="4"/>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（4）计算机软件</w:t>
            </w:r>
          </w:p>
          <w:p w14:paraId="6F6294B1">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计算机工程信息管理系统运行在</w:t>
            </w:r>
            <w:r>
              <w:rPr>
                <w:rFonts w:hint="default" w:ascii="Calibri" w:hAnsi="Calibri" w:eastAsia="宋体" w:cs="Calibri"/>
                <w:color w:val="auto"/>
                <w:kern w:val="0"/>
                <w:sz w:val="21"/>
                <w:szCs w:val="21"/>
                <w:highlight w:val="none"/>
                <w:lang w:val="en-US" w:eastAsia="zh-CN" w:bidi="ar"/>
              </w:rPr>
              <w:t>Windows2000</w:t>
            </w:r>
            <w:r>
              <w:rPr>
                <w:rFonts w:hint="eastAsia" w:ascii="宋体" w:hAnsi="宋体" w:eastAsia="宋体" w:cs="宋体"/>
                <w:color w:val="auto"/>
                <w:kern w:val="0"/>
                <w:sz w:val="21"/>
                <w:szCs w:val="21"/>
                <w:highlight w:val="none"/>
                <w:lang w:val="en-US" w:eastAsia="zh-CN" w:bidi="ar"/>
              </w:rPr>
              <w:t>或更高版本的操作系统上，这部分软件由承包人自己负责。计算机工程信息管理系统应用软件和进度计划管理软件由发包人统一免费配置。</w:t>
            </w: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516A9AB4">
            <w:pPr>
              <w:keepNext w:val="0"/>
              <w:keepLines w:val="0"/>
              <w:widowControl w:val="0"/>
              <w:suppressLineNumbers w:val="0"/>
              <w:spacing w:before="0" w:beforeAutospacing="0" w:after="0" w:afterAutospacing="0" w:line="266" w:lineRule="auto"/>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default" w:ascii="Calibri" w:hAnsi="Calibri" w:eastAsia="宋体" w:cs="Calibri"/>
                <w:color w:val="auto"/>
                <w:kern w:val="2"/>
                <w:sz w:val="21"/>
                <w:szCs w:val="21"/>
                <w:highlight w:val="none"/>
                <w:lang w:val="en-US" w:eastAsia="zh-CN" w:bidi="ar"/>
              </w:rPr>
              <w:t>2</w:t>
            </w:r>
            <w:r>
              <w:rPr>
                <w:rFonts w:hint="eastAsia" w:ascii="宋体" w:hAnsi="宋体" w:eastAsia="宋体" w:cs="宋体"/>
                <w:color w:val="auto"/>
                <w:kern w:val="2"/>
                <w:sz w:val="21"/>
                <w:szCs w:val="21"/>
                <w:highlight w:val="none"/>
                <w:lang w:val="en-US" w:eastAsia="zh-CN" w:bidi="ar"/>
              </w:rPr>
              <w:t>）计算机网络</w:t>
            </w:r>
          </w:p>
          <w:p w14:paraId="1B19BEB5">
            <w:pPr>
              <w:keepNext w:val="0"/>
              <w:keepLines w:val="0"/>
              <w:widowControl w:val="0"/>
              <w:suppressLineNumbers w:val="0"/>
              <w:spacing w:before="0" w:beforeAutospacing="0" w:after="0" w:afterAutospacing="0" w:line="266" w:lineRule="auto"/>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承包人须以宽带形式接入发包人网站以保证信息传输速度要求，网络规划、布线、网络设备、维护</w:t>
            </w:r>
            <w:r>
              <w:rPr>
                <w:rFonts w:hint="eastAsia" w:ascii="宋体" w:hAnsi="宋体" w:eastAsia="宋体" w:cs="宋体"/>
                <w:color w:val="auto"/>
                <w:kern w:val="2"/>
                <w:sz w:val="21"/>
                <w:szCs w:val="21"/>
                <w:highlight w:val="none"/>
                <w:u w:val="single"/>
                <w:lang w:val="en-US" w:eastAsia="zh-CN" w:bidi="ar"/>
              </w:rPr>
              <w:t>及网络安全</w:t>
            </w:r>
            <w:r>
              <w:rPr>
                <w:rFonts w:hint="eastAsia" w:ascii="宋体" w:hAnsi="宋体" w:eastAsia="宋体" w:cs="宋体"/>
                <w:color w:val="auto"/>
                <w:kern w:val="2"/>
                <w:sz w:val="21"/>
                <w:szCs w:val="21"/>
                <w:highlight w:val="none"/>
                <w:lang w:val="en-US" w:eastAsia="zh-CN" w:bidi="ar"/>
              </w:rPr>
              <w:t>由承包人负责。</w:t>
            </w:r>
          </w:p>
          <w:p w14:paraId="1C1B9EA1">
            <w:pPr>
              <w:keepNext w:val="0"/>
              <w:keepLines w:val="0"/>
              <w:widowControl w:val="0"/>
              <w:suppressLineNumbers w:val="0"/>
              <w:spacing w:before="0" w:beforeAutospacing="0" w:after="0" w:afterAutospacing="0" w:line="266" w:lineRule="auto"/>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default" w:ascii="Calibri" w:hAnsi="Calibri" w:eastAsia="宋体" w:cs="Calibri"/>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val="en-US" w:eastAsia="zh-CN" w:bidi="ar"/>
              </w:rPr>
              <w:t>）计算机硬件</w:t>
            </w:r>
          </w:p>
          <w:p w14:paraId="22B70295">
            <w:pPr>
              <w:keepNext w:val="0"/>
              <w:keepLines w:val="0"/>
              <w:widowControl w:val="0"/>
              <w:suppressLineNumbers w:val="0"/>
              <w:spacing w:before="0" w:beforeAutospacing="0" w:after="0" w:afterAutospacing="0" w:line="266" w:lineRule="auto"/>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承包人应配置满足发包人计算机工程信息管理系统运行要求的计算机和工作站来支持日常的合同项目施工管理工作。运行计算机工程信息管理系统的计算机最低配置为：</w:t>
            </w:r>
            <w:r>
              <w:rPr>
                <w:rFonts w:hint="default" w:ascii="Calibri" w:hAnsi="Calibri" w:eastAsia="宋体" w:cs="Calibri"/>
                <w:color w:val="auto"/>
                <w:kern w:val="2"/>
                <w:sz w:val="21"/>
                <w:szCs w:val="21"/>
                <w:highlight w:val="none"/>
                <w:u w:val="single"/>
                <w:lang w:val="en-US" w:eastAsia="zh-CN" w:bidi="ar"/>
              </w:rPr>
              <w:t>CPU</w:t>
            </w:r>
            <w:r>
              <w:rPr>
                <w:rFonts w:hint="eastAsia" w:ascii="宋体" w:hAnsi="宋体" w:eastAsia="宋体" w:cs="宋体"/>
                <w:color w:val="auto"/>
                <w:kern w:val="2"/>
                <w:sz w:val="21"/>
                <w:szCs w:val="21"/>
                <w:highlight w:val="none"/>
                <w:u w:val="single"/>
                <w:lang w:val="en-US" w:eastAsia="zh-CN" w:bidi="ar"/>
              </w:rPr>
              <w:t>四核主频</w:t>
            </w:r>
            <w:r>
              <w:rPr>
                <w:rFonts w:hint="default" w:ascii="Calibri" w:hAnsi="Calibri" w:eastAsia="宋体" w:cs="Calibri"/>
                <w:color w:val="auto"/>
                <w:kern w:val="2"/>
                <w:sz w:val="21"/>
                <w:szCs w:val="21"/>
                <w:highlight w:val="none"/>
                <w:u w:val="single"/>
                <w:lang w:val="en-US" w:eastAsia="zh-CN" w:bidi="ar"/>
              </w:rPr>
              <w:t>3.0GHz</w:t>
            </w:r>
            <w:r>
              <w:rPr>
                <w:rFonts w:hint="eastAsia" w:ascii="宋体" w:hAnsi="宋体" w:eastAsia="宋体" w:cs="宋体"/>
                <w:color w:val="auto"/>
                <w:kern w:val="2"/>
                <w:sz w:val="21"/>
                <w:szCs w:val="21"/>
                <w:highlight w:val="none"/>
                <w:u w:val="single"/>
                <w:lang w:val="en-US" w:eastAsia="zh-CN" w:bidi="ar"/>
              </w:rPr>
              <w:t>以上、内存</w:t>
            </w:r>
            <w:r>
              <w:rPr>
                <w:rFonts w:hint="default" w:ascii="Calibri" w:hAnsi="Calibri" w:eastAsia="宋体" w:cs="Calibri"/>
                <w:color w:val="auto"/>
                <w:kern w:val="2"/>
                <w:sz w:val="21"/>
                <w:szCs w:val="21"/>
                <w:highlight w:val="none"/>
                <w:u w:val="single"/>
                <w:lang w:val="en-US" w:eastAsia="zh-CN" w:bidi="ar"/>
              </w:rPr>
              <w:t>8G</w:t>
            </w:r>
            <w:r>
              <w:rPr>
                <w:rFonts w:hint="eastAsia" w:ascii="宋体" w:hAnsi="宋体" w:eastAsia="宋体" w:cs="宋体"/>
                <w:color w:val="auto"/>
                <w:kern w:val="2"/>
                <w:sz w:val="21"/>
                <w:szCs w:val="21"/>
                <w:highlight w:val="none"/>
                <w:u w:val="single"/>
                <w:lang w:val="en-US" w:eastAsia="zh-CN" w:bidi="ar"/>
              </w:rPr>
              <w:t>以上、硬盘</w:t>
            </w:r>
            <w:r>
              <w:rPr>
                <w:rFonts w:hint="default" w:ascii="Calibri" w:hAnsi="Calibri" w:eastAsia="宋体" w:cs="Calibri"/>
                <w:color w:val="auto"/>
                <w:kern w:val="2"/>
                <w:sz w:val="21"/>
                <w:szCs w:val="21"/>
                <w:highlight w:val="none"/>
                <w:u w:val="single"/>
                <w:lang w:val="en-US" w:eastAsia="zh-CN" w:bidi="ar"/>
              </w:rPr>
              <w:t>500G</w:t>
            </w:r>
            <w:r>
              <w:rPr>
                <w:rFonts w:hint="eastAsia" w:ascii="宋体" w:hAnsi="宋体" w:eastAsia="宋体" w:cs="宋体"/>
                <w:color w:val="auto"/>
                <w:kern w:val="2"/>
                <w:sz w:val="21"/>
                <w:szCs w:val="21"/>
                <w:highlight w:val="none"/>
                <w:u w:val="single"/>
                <w:lang w:val="en-US" w:eastAsia="zh-CN" w:bidi="ar"/>
              </w:rPr>
              <w:t>以上</w:t>
            </w:r>
            <w:r>
              <w:rPr>
                <w:rFonts w:hint="eastAsia" w:ascii="宋体" w:hAnsi="宋体" w:eastAsia="宋体" w:cs="宋体"/>
                <w:color w:val="auto"/>
                <w:kern w:val="2"/>
                <w:sz w:val="21"/>
                <w:szCs w:val="21"/>
                <w:highlight w:val="none"/>
                <w:lang w:val="en-US" w:eastAsia="zh-CN" w:bidi="ar"/>
              </w:rPr>
              <w:t>。</w:t>
            </w:r>
          </w:p>
          <w:p w14:paraId="3A21B091">
            <w:pPr>
              <w:keepNext w:val="0"/>
              <w:keepLines w:val="0"/>
              <w:widowControl w:val="0"/>
              <w:suppressLineNumbers w:val="0"/>
              <w:spacing w:before="0" w:beforeAutospacing="0" w:after="0" w:afterAutospacing="0" w:line="266" w:lineRule="auto"/>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default" w:ascii="Calibri" w:hAnsi="Calibri" w:eastAsia="宋体" w:cs="Calibri"/>
                <w:color w:val="auto"/>
                <w:kern w:val="2"/>
                <w:sz w:val="21"/>
                <w:szCs w:val="21"/>
                <w:highlight w:val="none"/>
                <w:lang w:val="en-US" w:eastAsia="zh-CN" w:bidi="ar"/>
              </w:rPr>
              <w:t>4</w:t>
            </w:r>
            <w:r>
              <w:rPr>
                <w:rFonts w:hint="eastAsia" w:ascii="宋体" w:hAnsi="宋体" w:eastAsia="宋体" w:cs="宋体"/>
                <w:color w:val="auto"/>
                <w:kern w:val="2"/>
                <w:sz w:val="21"/>
                <w:szCs w:val="21"/>
                <w:highlight w:val="none"/>
                <w:lang w:val="en-US" w:eastAsia="zh-CN" w:bidi="ar"/>
              </w:rPr>
              <w:t>）计算机软件</w:t>
            </w:r>
          </w:p>
          <w:p w14:paraId="0DFB6360">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计算机工程信息管理系统运行在</w:t>
            </w:r>
            <w:r>
              <w:rPr>
                <w:rFonts w:hint="default" w:ascii="Calibri" w:hAnsi="Calibri" w:eastAsia="宋体" w:cs="Calibri"/>
                <w:color w:val="auto"/>
                <w:kern w:val="2"/>
                <w:sz w:val="21"/>
                <w:szCs w:val="21"/>
                <w:highlight w:val="none"/>
                <w:u w:val="single"/>
                <w:lang w:val="en-US" w:eastAsia="zh-CN" w:bidi="ar"/>
              </w:rPr>
              <w:t>Windows7</w:t>
            </w:r>
            <w:r>
              <w:rPr>
                <w:rFonts w:hint="eastAsia" w:ascii="宋体" w:hAnsi="宋体" w:eastAsia="宋体" w:cs="宋体"/>
                <w:color w:val="auto"/>
                <w:kern w:val="2"/>
                <w:sz w:val="21"/>
                <w:szCs w:val="21"/>
                <w:highlight w:val="none"/>
                <w:lang w:val="en-US" w:eastAsia="zh-CN" w:bidi="ar"/>
              </w:rPr>
              <w:t>或更高版本的操作系统上，这部分软件由承包人自己负责。计算机工程信息管理系统应用软件和进度计划管理软件由发包人统一免费配置。</w:t>
            </w:r>
          </w:p>
        </w:tc>
      </w:tr>
      <w:tr w14:paraId="3BC0D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8"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DE3595">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10</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1D4785C9">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仿宋"/>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第二篇</w:t>
            </w:r>
            <w:r>
              <w:rPr>
                <w:rFonts w:hint="eastAsia" w:ascii="宋体" w:hAnsi="宋体" w:eastAsia="宋体" w:cs="仿宋"/>
                <w:color w:val="auto"/>
                <w:kern w:val="0"/>
                <w:sz w:val="21"/>
                <w:szCs w:val="21"/>
                <w:highlight w:val="none"/>
                <w:lang w:val="en-US" w:eastAsia="zh-CN" w:bidi="ar"/>
              </w:rPr>
              <w:t>9.5</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仿宋"/>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2E1AC5D5">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仿宋"/>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增加</w:t>
            </w:r>
          </w:p>
        </w:tc>
        <w:tc>
          <w:tcPr>
            <w:tcW w:w="3669" w:type="dxa"/>
            <w:tcBorders>
              <w:top w:val="single" w:color="auto" w:sz="4" w:space="0"/>
              <w:left w:val="nil"/>
              <w:bottom w:val="single" w:color="auto" w:sz="4" w:space="0"/>
              <w:right w:val="single" w:color="auto" w:sz="4" w:space="0"/>
            </w:tcBorders>
            <w:shd w:val="clear" w:color="auto" w:fill="auto"/>
            <w:noWrap/>
            <w:vAlign w:val="center"/>
          </w:tcPr>
          <w:p w14:paraId="0AA5114F">
            <w:pPr>
              <w:keepNext w:val="0"/>
              <w:keepLines w:val="0"/>
              <w:widowControl w:val="0"/>
              <w:suppressLineNumbers w:val="0"/>
              <w:adjustRightInd w:val="0"/>
              <w:snapToGrid w:val="0"/>
              <w:spacing w:before="0" w:beforeAutospacing="0" w:after="0" w:afterAutospacing="0"/>
              <w:ind w:left="0" w:right="0"/>
              <w:jc w:val="left"/>
              <w:outlineLvl w:val="3"/>
              <w:rPr>
                <w:rFonts w:hint="eastAsia" w:ascii="宋体" w:hAnsi="Calibri" w:eastAsia="宋体" w:cs="仿宋"/>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w:t>
            </w:r>
            <w:r>
              <w:rPr>
                <w:rFonts w:hint="eastAsia" w:ascii="宋体" w:hAnsi="宋体" w:eastAsia="宋体" w:cs="仿宋"/>
                <w:bCs/>
                <w:color w:val="auto"/>
                <w:kern w:val="0"/>
                <w:sz w:val="21"/>
                <w:szCs w:val="21"/>
                <w:highlight w:val="none"/>
                <w:lang w:val="en-US" w:eastAsia="zh-CN" w:bidi="ar"/>
              </w:rPr>
              <w:t>1</w:t>
            </w:r>
            <w:r>
              <w:rPr>
                <w:rFonts w:hint="eastAsia" w:ascii="宋体" w:hAnsi="宋体" w:eastAsia="宋体" w:cs="宋体"/>
                <w:bCs/>
                <w:color w:val="auto"/>
                <w:kern w:val="0"/>
                <w:sz w:val="21"/>
                <w:szCs w:val="21"/>
                <w:highlight w:val="none"/>
                <w:lang w:val="en-US" w:eastAsia="zh-CN" w:bidi="ar"/>
              </w:rPr>
              <w:t>）按时足额支付施工人员工资</w:t>
            </w:r>
          </w:p>
          <w:p w14:paraId="337F380C">
            <w:pPr>
              <w:keepNext w:val="0"/>
              <w:keepLines w:val="0"/>
              <w:widowControl w:val="0"/>
              <w:suppressLineNumbers w:val="0"/>
              <w:adjustRightInd w:val="0"/>
              <w:snapToGrid w:val="0"/>
              <w:spacing w:before="0" w:beforeAutospacing="0" w:after="0" w:afterAutospacing="0"/>
              <w:ind w:left="0" w:right="0"/>
              <w:jc w:val="left"/>
              <w:outlineLvl w:val="3"/>
              <w:rPr>
                <w:rFonts w:hint="eastAsia" w:ascii="宋体" w:hAnsi="Calibri" w:eastAsia="宋体" w:cs="仿宋"/>
                <w:bCs/>
                <w:color w:val="auto"/>
                <w:kern w:val="0"/>
                <w:sz w:val="21"/>
                <w:szCs w:val="21"/>
                <w:highlight w:val="none"/>
              </w:rPr>
            </w:pPr>
            <w:r>
              <w:rPr>
                <w:rFonts w:hint="eastAsia" w:ascii="宋体" w:hAnsi="宋体" w:eastAsia="宋体" w:cs="仿宋"/>
                <w:bCs/>
                <w:color w:val="auto"/>
                <w:kern w:val="0"/>
                <w:sz w:val="21"/>
                <w:szCs w:val="21"/>
                <w:highlight w:val="none"/>
                <w:lang w:val="en-US" w:eastAsia="zh-CN" w:bidi="ar"/>
              </w:rPr>
              <w:t>1</w:t>
            </w:r>
            <w:r>
              <w:rPr>
                <w:rFonts w:hint="eastAsia" w:ascii="宋体" w:hAnsi="宋体" w:eastAsia="宋体" w:cs="宋体"/>
                <w:bCs/>
                <w:color w:val="auto"/>
                <w:kern w:val="0"/>
                <w:sz w:val="21"/>
                <w:szCs w:val="21"/>
                <w:highlight w:val="none"/>
                <w:lang w:val="en-US" w:eastAsia="zh-CN" w:bidi="ar"/>
              </w:rPr>
              <w:t>）承包人应当根据劳动合同约定的施工人员工资标准等内容，按照依法签订的集体合同或劳动合同约定的日期按月支付工资，并不得低于当地最低工资标准。</w:t>
            </w:r>
          </w:p>
          <w:p w14:paraId="689ED3F2">
            <w:pPr>
              <w:keepNext w:val="0"/>
              <w:keepLines w:val="0"/>
              <w:widowControl w:val="0"/>
              <w:suppressLineNumbers w:val="0"/>
              <w:adjustRightInd w:val="0"/>
              <w:snapToGrid w:val="0"/>
              <w:spacing w:before="0" w:beforeAutospacing="0" w:after="0" w:afterAutospacing="0"/>
              <w:ind w:left="0" w:right="0"/>
              <w:jc w:val="left"/>
              <w:outlineLvl w:val="3"/>
              <w:rPr>
                <w:rFonts w:hint="eastAsia" w:ascii="宋体" w:hAnsi="Calibri" w:eastAsia="宋体" w:cs="仿宋"/>
                <w:bCs/>
                <w:color w:val="auto"/>
                <w:kern w:val="0"/>
                <w:sz w:val="21"/>
                <w:szCs w:val="21"/>
                <w:highlight w:val="none"/>
              </w:rPr>
            </w:pPr>
            <w:r>
              <w:rPr>
                <w:rFonts w:hint="eastAsia" w:ascii="宋体" w:hAnsi="宋体" w:eastAsia="宋体" w:cs="仿宋"/>
                <w:bCs/>
                <w:color w:val="auto"/>
                <w:kern w:val="0"/>
                <w:sz w:val="21"/>
                <w:szCs w:val="21"/>
                <w:highlight w:val="none"/>
                <w:lang w:val="en-US" w:eastAsia="zh-CN" w:bidi="ar"/>
              </w:rPr>
              <w:t>2</w:t>
            </w:r>
            <w:r>
              <w:rPr>
                <w:rFonts w:hint="eastAsia" w:ascii="宋体" w:hAnsi="宋体" w:eastAsia="宋体" w:cs="宋体"/>
                <w:bCs/>
                <w:color w:val="auto"/>
                <w:kern w:val="0"/>
                <w:sz w:val="21"/>
                <w:szCs w:val="21"/>
                <w:highlight w:val="none"/>
                <w:lang w:val="en-US" w:eastAsia="zh-CN" w:bidi="ar"/>
              </w:rPr>
              <w:t>）承包人应每月编制施工人员工资支付表，如实记录支付时间、支付对象、支付金额等工资支付情况，并于每月底在其现场管理机构办公场所显眼位置公示，接受监督。</w:t>
            </w:r>
          </w:p>
          <w:p w14:paraId="730B3814">
            <w:pPr>
              <w:keepNext w:val="0"/>
              <w:keepLines w:val="0"/>
              <w:widowControl w:val="0"/>
              <w:suppressLineNumbers w:val="0"/>
              <w:adjustRightInd w:val="0"/>
              <w:snapToGrid w:val="0"/>
              <w:spacing w:before="0" w:beforeAutospacing="0" w:after="0" w:afterAutospacing="0"/>
              <w:ind w:left="0" w:right="0"/>
              <w:jc w:val="left"/>
              <w:outlineLvl w:val="3"/>
              <w:rPr>
                <w:rFonts w:hint="eastAsia" w:ascii="宋体" w:hAnsi="Calibri" w:eastAsia="宋体" w:cs="仿宋"/>
                <w:bCs/>
                <w:color w:val="auto"/>
                <w:kern w:val="0"/>
                <w:sz w:val="21"/>
                <w:szCs w:val="21"/>
                <w:highlight w:val="none"/>
              </w:rPr>
            </w:pPr>
            <w:r>
              <w:rPr>
                <w:rFonts w:hint="eastAsia" w:ascii="宋体" w:hAnsi="宋体" w:eastAsia="宋体" w:cs="仿宋"/>
                <w:bCs/>
                <w:color w:val="auto"/>
                <w:kern w:val="0"/>
                <w:sz w:val="21"/>
                <w:szCs w:val="21"/>
                <w:highlight w:val="none"/>
                <w:lang w:val="en-US" w:eastAsia="zh-CN" w:bidi="ar"/>
              </w:rPr>
              <w:t>3</w:t>
            </w:r>
            <w:r>
              <w:rPr>
                <w:rFonts w:hint="eastAsia" w:ascii="宋体" w:hAnsi="宋体" w:eastAsia="宋体" w:cs="宋体"/>
                <w:bCs/>
                <w:color w:val="auto"/>
                <w:kern w:val="0"/>
                <w:sz w:val="21"/>
                <w:szCs w:val="21"/>
                <w:highlight w:val="none"/>
                <w:lang w:val="en-US" w:eastAsia="zh-CN" w:bidi="ar"/>
              </w:rPr>
              <w:t>）承包人应对其专业分包或劳务分包单位工资支付进行监督，督促其依法支付施工人员工资。</w:t>
            </w:r>
          </w:p>
          <w:p w14:paraId="0A9E1BD4">
            <w:pPr>
              <w:keepNext w:val="0"/>
              <w:keepLines w:val="0"/>
              <w:widowControl w:val="0"/>
              <w:suppressLineNumbers w:val="0"/>
              <w:adjustRightInd w:val="0"/>
              <w:snapToGrid w:val="0"/>
              <w:spacing w:before="0" w:beforeAutospacing="0" w:after="0" w:afterAutospacing="0"/>
              <w:ind w:left="0" w:right="0"/>
              <w:jc w:val="left"/>
              <w:outlineLvl w:val="3"/>
              <w:rPr>
                <w:rFonts w:hint="eastAsia" w:ascii="宋体" w:hAnsi="Calibri" w:eastAsia="宋体" w:cs="仿宋"/>
                <w:bCs/>
                <w:color w:val="auto"/>
                <w:kern w:val="0"/>
                <w:sz w:val="21"/>
                <w:szCs w:val="21"/>
                <w:highlight w:val="none"/>
              </w:rPr>
            </w:pPr>
            <w:r>
              <w:rPr>
                <w:rFonts w:hint="eastAsia" w:ascii="宋体" w:hAnsi="宋体" w:eastAsia="宋体" w:cs="仿宋"/>
                <w:bCs/>
                <w:color w:val="auto"/>
                <w:kern w:val="0"/>
                <w:sz w:val="21"/>
                <w:szCs w:val="21"/>
                <w:highlight w:val="none"/>
                <w:lang w:val="en-US" w:eastAsia="zh-CN" w:bidi="ar"/>
              </w:rPr>
              <w:t>4</w:t>
            </w:r>
            <w:r>
              <w:rPr>
                <w:rFonts w:hint="eastAsia" w:ascii="宋体" w:hAnsi="宋体" w:eastAsia="宋体" w:cs="宋体"/>
                <w:bCs/>
                <w:color w:val="auto"/>
                <w:kern w:val="0"/>
                <w:sz w:val="21"/>
                <w:szCs w:val="21"/>
                <w:highlight w:val="none"/>
                <w:lang w:val="en-US" w:eastAsia="zh-CN" w:bidi="ar"/>
              </w:rPr>
              <w:t>）承包人不按合同及有关规定按时、足额支付分包单位合同价款及施工人员工资而被投诉或上访属实的，发包人将严格按照合同约定追究其违约责任；如因此致使施工人员集体上访、集聚围阻而造成社会不良影响的，发包人将立即终止与承包人的合同，并上报省、市主管部门建议取消其参加广州地区省、市重大项目的投标资格，并予以公告。如属恶意煽动并造成社会不良影响的，发包人将提请司法部门追究其法律责任。</w:t>
            </w:r>
          </w:p>
          <w:p w14:paraId="457E98B5">
            <w:pPr>
              <w:keepNext w:val="0"/>
              <w:keepLines w:val="0"/>
              <w:widowControl w:val="0"/>
              <w:suppressLineNumbers w:val="0"/>
              <w:adjustRightInd w:val="0"/>
              <w:snapToGrid w:val="0"/>
              <w:spacing w:before="0" w:beforeAutospacing="0" w:after="0" w:afterAutospacing="0"/>
              <w:ind w:left="0" w:right="0"/>
              <w:jc w:val="left"/>
              <w:outlineLvl w:val="3"/>
              <w:rPr>
                <w:rFonts w:hint="eastAsia" w:ascii="宋体" w:hAnsi="Calibri" w:eastAsia="宋体" w:cs="仿宋"/>
                <w:bCs/>
                <w:color w:val="auto"/>
                <w:kern w:val="0"/>
                <w:sz w:val="21"/>
                <w:szCs w:val="21"/>
                <w:highlight w:val="none"/>
              </w:rPr>
            </w:pPr>
            <w:r>
              <w:rPr>
                <w:rFonts w:hint="eastAsia" w:ascii="宋体" w:hAnsi="宋体" w:eastAsia="宋体" w:cs="仿宋"/>
                <w:bCs/>
                <w:color w:val="auto"/>
                <w:kern w:val="0"/>
                <w:sz w:val="21"/>
                <w:szCs w:val="21"/>
                <w:highlight w:val="none"/>
                <w:lang w:val="en-US" w:eastAsia="zh-CN" w:bidi="ar"/>
              </w:rPr>
              <w:t>5</w:t>
            </w:r>
            <w:r>
              <w:rPr>
                <w:rFonts w:hint="eastAsia" w:ascii="宋体" w:hAnsi="宋体" w:eastAsia="宋体" w:cs="宋体"/>
                <w:bCs/>
                <w:color w:val="auto"/>
                <w:kern w:val="0"/>
                <w:sz w:val="21"/>
                <w:szCs w:val="21"/>
                <w:highlight w:val="none"/>
                <w:lang w:val="en-US" w:eastAsia="zh-CN" w:bidi="ar"/>
              </w:rPr>
              <w:t>）由于承包人或其管理的分包单位、劳务合作单位拖欠施工人员工资，致使发包人被投诉或起诉并被判令先行垫付施工人员工资的，发包人除追究承包人和其他相关责任单位的违约责任外，还将在工程结算时按合同专用条款第</w:t>
            </w:r>
            <w:r>
              <w:rPr>
                <w:rFonts w:hint="eastAsia" w:ascii="宋体" w:hAnsi="宋体" w:eastAsia="宋体" w:cs="仿宋"/>
                <w:bCs/>
                <w:color w:val="auto"/>
                <w:kern w:val="0"/>
                <w:sz w:val="21"/>
                <w:szCs w:val="21"/>
                <w:highlight w:val="none"/>
                <w:lang w:val="en-US" w:eastAsia="zh-CN" w:bidi="ar"/>
              </w:rPr>
              <w:t>38.14</w:t>
            </w:r>
            <w:r>
              <w:rPr>
                <w:rFonts w:hint="eastAsia" w:ascii="宋体" w:hAnsi="宋体" w:eastAsia="宋体" w:cs="宋体"/>
                <w:bCs/>
                <w:color w:val="auto"/>
                <w:kern w:val="0"/>
                <w:sz w:val="21"/>
                <w:szCs w:val="21"/>
                <w:highlight w:val="none"/>
                <w:lang w:val="en-US" w:eastAsia="zh-CN" w:bidi="ar"/>
              </w:rPr>
              <w:t>（</w:t>
            </w:r>
            <w:r>
              <w:rPr>
                <w:rFonts w:hint="eastAsia" w:ascii="宋体" w:hAnsi="宋体" w:eastAsia="宋体" w:cs="仿宋"/>
                <w:bCs/>
                <w:color w:val="auto"/>
                <w:kern w:val="0"/>
                <w:sz w:val="21"/>
                <w:szCs w:val="21"/>
                <w:highlight w:val="none"/>
                <w:lang w:val="en-US" w:eastAsia="zh-CN" w:bidi="ar"/>
              </w:rPr>
              <w:t>2</w:t>
            </w:r>
            <w:r>
              <w:rPr>
                <w:rFonts w:hint="eastAsia" w:ascii="宋体" w:hAnsi="宋体" w:eastAsia="宋体" w:cs="宋体"/>
                <w:bCs/>
                <w:color w:val="auto"/>
                <w:kern w:val="0"/>
                <w:sz w:val="21"/>
                <w:szCs w:val="21"/>
                <w:highlight w:val="none"/>
                <w:lang w:val="en-US" w:eastAsia="zh-CN" w:bidi="ar"/>
              </w:rPr>
              <w:t>）款的约定扣回相关款项作为补偿。</w:t>
            </w:r>
          </w:p>
          <w:p w14:paraId="76C19D41">
            <w:pPr>
              <w:keepNext w:val="0"/>
              <w:keepLines w:val="0"/>
              <w:widowControl w:val="0"/>
              <w:suppressLineNumbers w:val="0"/>
              <w:adjustRightInd w:val="0"/>
              <w:snapToGrid w:val="0"/>
              <w:spacing w:before="0" w:beforeAutospacing="0" w:after="0" w:afterAutospacing="0"/>
              <w:ind w:left="0" w:right="0"/>
              <w:jc w:val="left"/>
              <w:outlineLvl w:val="3"/>
              <w:rPr>
                <w:rFonts w:hint="eastAsia" w:ascii="宋体" w:hAnsi="Calibri" w:eastAsia="宋体" w:cs="仿宋"/>
                <w:bCs/>
                <w:color w:val="auto"/>
                <w:kern w:val="0"/>
                <w:sz w:val="21"/>
                <w:szCs w:val="21"/>
                <w:highlight w:val="none"/>
              </w:rPr>
            </w:pPr>
            <w:r>
              <w:rPr>
                <w:rFonts w:hint="eastAsia" w:ascii="宋体" w:hAnsi="宋体" w:eastAsia="宋体" w:cs="仿宋"/>
                <w:bCs/>
                <w:color w:val="auto"/>
                <w:kern w:val="0"/>
                <w:sz w:val="21"/>
                <w:szCs w:val="21"/>
                <w:highlight w:val="none"/>
                <w:lang w:val="en-US" w:eastAsia="zh-CN" w:bidi="ar"/>
              </w:rPr>
              <w:t>6</w:t>
            </w:r>
            <w:r>
              <w:rPr>
                <w:rFonts w:hint="eastAsia" w:ascii="宋体" w:hAnsi="宋体" w:eastAsia="宋体" w:cs="宋体"/>
                <w:bCs/>
                <w:color w:val="auto"/>
                <w:kern w:val="0"/>
                <w:sz w:val="21"/>
                <w:szCs w:val="21"/>
                <w:highlight w:val="none"/>
                <w:lang w:val="en-US" w:eastAsia="zh-CN" w:bidi="ar"/>
              </w:rPr>
              <w:t>）承包人必须以高度负责的态度，对存在可能引发劳资纠纷的各种因素进行排查，及时化解、处理可能发生劳资纠纷的不稳定因素；尤其是对恶意煽动施工人员集体上访、集聚围阻的行为，要善于及时发现并敢于揭露、制止，创造安全、文明、和谐的环境。</w:t>
            </w:r>
            <w:r>
              <w:rPr>
                <w:rFonts w:hint="eastAsia" w:ascii="宋体" w:hAnsi="宋体" w:eastAsia="宋体" w:cs="仿宋"/>
                <w:bCs/>
                <w:color w:val="auto"/>
                <w:kern w:val="0"/>
                <w:sz w:val="21"/>
                <w:szCs w:val="21"/>
                <w:highlight w:val="none"/>
                <w:lang w:val="en-US" w:eastAsia="zh-CN" w:bidi="ar"/>
              </w:rPr>
              <w:t>7</w:t>
            </w:r>
            <w:r>
              <w:rPr>
                <w:rFonts w:hint="eastAsia" w:ascii="宋体" w:hAnsi="宋体" w:eastAsia="宋体" w:cs="宋体"/>
                <w:bCs/>
                <w:color w:val="auto"/>
                <w:kern w:val="0"/>
                <w:sz w:val="21"/>
                <w:szCs w:val="21"/>
                <w:highlight w:val="none"/>
                <w:lang w:val="en-US" w:eastAsia="zh-CN" w:bidi="ar"/>
              </w:rPr>
              <w:t>）承包人必须按《广州市建设领域工人工资支付分账管理实施细则》（穗建规字〔</w:t>
            </w:r>
            <w:r>
              <w:rPr>
                <w:rFonts w:hint="eastAsia" w:ascii="宋体" w:hAnsi="宋体" w:eastAsia="宋体" w:cs="仿宋"/>
                <w:bCs/>
                <w:color w:val="auto"/>
                <w:kern w:val="0"/>
                <w:sz w:val="21"/>
                <w:szCs w:val="21"/>
                <w:highlight w:val="none"/>
                <w:lang w:val="en-US" w:eastAsia="zh-CN" w:bidi="ar"/>
              </w:rPr>
              <w:t>2020</w:t>
            </w:r>
            <w:r>
              <w:rPr>
                <w:rFonts w:hint="eastAsia" w:ascii="宋体" w:hAnsi="宋体" w:eastAsia="宋体" w:cs="宋体"/>
                <w:bCs/>
                <w:color w:val="auto"/>
                <w:kern w:val="0"/>
                <w:sz w:val="21"/>
                <w:szCs w:val="21"/>
                <w:highlight w:val="none"/>
                <w:lang w:val="en-US" w:eastAsia="zh-CN" w:bidi="ar"/>
              </w:rPr>
              <w:t>〕</w:t>
            </w:r>
            <w:r>
              <w:rPr>
                <w:rFonts w:hint="eastAsia" w:ascii="宋体" w:hAnsi="宋体" w:eastAsia="宋体" w:cs="仿宋"/>
                <w:bCs/>
                <w:color w:val="auto"/>
                <w:kern w:val="0"/>
                <w:sz w:val="21"/>
                <w:szCs w:val="21"/>
                <w:highlight w:val="none"/>
                <w:lang w:val="en-US" w:eastAsia="zh-CN" w:bidi="ar"/>
              </w:rPr>
              <w:t>37</w:t>
            </w:r>
            <w:r>
              <w:rPr>
                <w:rFonts w:hint="eastAsia" w:ascii="宋体" w:hAnsi="宋体" w:eastAsia="宋体" w:cs="宋体"/>
                <w:bCs/>
                <w:color w:val="auto"/>
                <w:kern w:val="0"/>
                <w:sz w:val="21"/>
                <w:szCs w:val="21"/>
                <w:highlight w:val="none"/>
                <w:lang w:val="en-US" w:eastAsia="zh-CN" w:bidi="ar"/>
              </w:rPr>
              <w:t>号）设立工人工资支付专用账户，通过工人工资支付专用账户，依法按时足额将工人工资直接支付到工人的工资个人账户，并按月将工人工资支付明细表报发包人备案。承包人应当建立用工管理台账，真实、准确记录工人名册、劳动合同、劳务合同、工程进度、工时、劳务承包款和工人工资支付情况等信息，并保存两年以上备查。</w:t>
            </w: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6BC6CC08">
            <w:pPr>
              <w:keepNext w:val="0"/>
              <w:keepLines w:val="0"/>
              <w:widowControl w:val="0"/>
              <w:suppressLineNumbers w:val="0"/>
              <w:adjustRightInd w:val="0"/>
              <w:snapToGrid w:val="0"/>
              <w:spacing w:before="0" w:beforeAutospacing="0" w:after="0" w:afterAutospacing="0"/>
              <w:ind w:left="0" w:right="0"/>
              <w:jc w:val="left"/>
              <w:outlineLvl w:val="3"/>
              <w:rPr>
                <w:rFonts w:hint="eastAsia" w:ascii="宋体" w:hAnsi="Calibri" w:eastAsia="宋体" w:cs="仿宋"/>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w:t>
            </w:r>
            <w:r>
              <w:rPr>
                <w:rFonts w:hint="eastAsia" w:ascii="宋体" w:hAnsi="宋体" w:eastAsia="宋体" w:cs="仿宋"/>
                <w:bCs/>
                <w:color w:val="auto"/>
                <w:kern w:val="0"/>
                <w:sz w:val="21"/>
                <w:szCs w:val="21"/>
                <w:highlight w:val="none"/>
                <w:lang w:val="en-US" w:eastAsia="zh-CN" w:bidi="ar"/>
              </w:rPr>
              <w:t>1</w:t>
            </w:r>
            <w:r>
              <w:rPr>
                <w:rFonts w:hint="eastAsia" w:ascii="宋体" w:hAnsi="宋体" w:eastAsia="宋体" w:cs="宋体"/>
                <w:bCs/>
                <w:color w:val="auto"/>
                <w:kern w:val="0"/>
                <w:sz w:val="21"/>
                <w:szCs w:val="21"/>
                <w:highlight w:val="none"/>
                <w:lang w:val="en-US" w:eastAsia="zh-CN" w:bidi="ar"/>
              </w:rPr>
              <w:t>）按时足额支付施工人员工资</w:t>
            </w:r>
          </w:p>
          <w:p w14:paraId="5A157C91">
            <w:pPr>
              <w:keepNext w:val="0"/>
              <w:keepLines w:val="0"/>
              <w:widowControl w:val="0"/>
              <w:suppressLineNumbers w:val="0"/>
              <w:adjustRightInd w:val="0"/>
              <w:snapToGrid w:val="0"/>
              <w:spacing w:before="0" w:beforeAutospacing="0" w:after="0" w:afterAutospacing="0"/>
              <w:ind w:left="0" w:right="0"/>
              <w:jc w:val="left"/>
              <w:outlineLvl w:val="3"/>
              <w:rPr>
                <w:rFonts w:hint="eastAsia" w:ascii="宋体" w:hAnsi="Calibri" w:eastAsia="宋体" w:cs="仿宋"/>
                <w:bCs/>
                <w:color w:val="auto"/>
                <w:kern w:val="0"/>
                <w:sz w:val="21"/>
                <w:szCs w:val="21"/>
                <w:highlight w:val="none"/>
              </w:rPr>
            </w:pPr>
            <w:r>
              <w:rPr>
                <w:rFonts w:hint="eastAsia" w:ascii="宋体" w:hAnsi="宋体" w:eastAsia="宋体" w:cs="仿宋"/>
                <w:bCs/>
                <w:color w:val="auto"/>
                <w:kern w:val="0"/>
                <w:sz w:val="21"/>
                <w:szCs w:val="21"/>
                <w:highlight w:val="none"/>
                <w:lang w:val="en-US" w:eastAsia="zh-CN" w:bidi="ar"/>
              </w:rPr>
              <w:t>1</w:t>
            </w:r>
            <w:r>
              <w:rPr>
                <w:rFonts w:hint="eastAsia" w:ascii="宋体" w:hAnsi="宋体" w:eastAsia="宋体" w:cs="宋体"/>
                <w:bCs/>
                <w:color w:val="auto"/>
                <w:kern w:val="0"/>
                <w:sz w:val="21"/>
                <w:szCs w:val="21"/>
                <w:highlight w:val="none"/>
                <w:lang w:val="en-US" w:eastAsia="zh-CN" w:bidi="ar"/>
              </w:rPr>
              <w:t>）承包人应当根据劳动合同约定的施工人员工资标准等内容，按照依法签订的集体合同或劳动合同约定的日期按月支付工资，并不得低于当地最低工资标准。</w:t>
            </w:r>
          </w:p>
          <w:p w14:paraId="64FCA14E">
            <w:pPr>
              <w:keepNext w:val="0"/>
              <w:keepLines w:val="0"/>
              <w:widowControl w:val="0"/>
              <w:suppressLineNumbers w:val="0"/>
              <w:adjustRightInd w:val="0"/>
              <w:snapToGrid w:val="0"/>
              <w:spacing w:before="0" w:beforeAutospacing="0" w:after="0" w:afterAutospacing="0"/>
              <w:ind w:left="0" w:right="0"/>
              <w:jc w:val="left"/>
              <w:outlineLvl w:val="3"/>
              <w:rPr>
                <w:rFonts w:hint="eastAsia" w:ascii="宋体" w:hAnsi="Calibri" w:eastAsia="宋体" w:cs="仿宋"/>
                <w:bCs/>
                <w:color w:val="auto"/>
                <w:kern w:val="0"/>
                <w:sz w:val="21"/>
                <w:szCs w:val="21"/>
                <w:highlight w:val="none"/>
              </w:rPr>
            </w:pPr>
            <w:r>
              <w:rPr>
                <w:rFonts w:hint="eastAsia" w:ascii="宋体" w:hAnsi="宋体" w:eastAsia="宋体" w:cs="仿宋"/>
                <w:bCs/>
                <w:color w:val="auto"/>
                <w:kern w:val="0"/>
                <w:sz w:val="21"/>
                <w:szCs w:val="21"/>
                <w:highlight w:val="none"/>
                <w:lang w:val="en-US" w:eastAsia="zh-CN" w:bidi="ar"/>
              </w:rPr>
              <w:t>2</w:t>
            </w:r>
            <w:r>
              <w:rPr>
                <w:rFonts w:hint="eastAsia" w:ascii="宋体" w:hAnsi="宋体" w:eastAsia="宋体" w:cs="宋体"/>
                <w:bCs/>
                <w:color w:val="auto"/>
                <w:kern w:val="0"/>
                <w:sz w:val="21"/>
                <w:szCs w:val="21"/>
                <w:highlight w:val="none"/>
                <w:lang w:val="en-US" w:eastAsia="zh-CN" w:bidi="ar"/>
              </w:rPr>
              <w:t>）承包人应每月编制施工人员工资支付表，如实记录支付时间、支付对象、支付金额等工资支付情况，并于每月底在其现场管理机构办公场所显眼位置公示，接受监督。</w:t>
            </w:r>
          </w:p>
          <w:p w14:paraId="1379D345">
            <w:pPr>
              <w:keepNext w:val="0"/>
              <w:keepLines w:val="0"/>
              <w:widowControl w:val="0"/>
              <w:suppressLineNumbers w:val="0"/>
              <w:adjustRightInd w:val="0"/>
              <w:snapToGrid w:val="0"/>
              <w:spacing w:before="0" w:beforeAutospacing="0" w:after="0" w:afterAutospacing="0"/>
              <w:ind w:left="0" w:right="0"/>
              <w:jc w:val="left"/>
              <w:outlineLvl w:val="3"/>
              <w:rPr>
                <w:rFonts w:hint="eastAsia" w:ascii="宋体" w:hAnsi="Calibri" w:eastAsia="宋体" w:cs="仿宋"/>
                <w:bCs/>
                <w:color w:val="auto"/>
                <w:kern w:val="0"/>
                <w:sz w:val="21"/>
                <w:szCs w:val="21"/>
                <w:highlight w:val="none"/>
              </w:rPr>
            </w:pPr>
            <w:r>
              <w:rPr>
                <w:rFonts w:hint="eastAsia" w:ascii="宋体" w:hAnsi="宋体" w:eastAsia="宋体" w:cs="仿宋"/>
                <w:bCs/>
                <w:color w:val="auto"/>
                <w:kern w:val="0"/>
                <w:sz w:val="21"/>
                <w:szCs w:val="21"/>
                <w:highlight w:val="none"/>
                <w:lang w:val="en-US" w:eastAsia="zh-CN" w:bidi="ar"/>
              </w:rPr>
              <w:t>3</w:t>
            </w:r>
            <w:r>
              <w:rPr>
                <w:rFonts w:hint="eastAsia" w:ascii="宋体" w:hAnsi="宋体" w:eastAsia="宋体" w:cs="宋体"/>
                <w:bCs/>
                <w:color w:val="auto"/>
                <w:kern w:val="0"/>
                <w:sz w:val="21"/>
                <w:szCs w:val="21"/>
                <w:highlight w:val="none"/>
                <w:lang w:val="en-US" w:eastAsia="zh-CN" w:bidi="ar"/>
              </w:rPr>
              <w:t>）实施工人工资总包代发制度。承包人应对专业分包单位（含发包人直接发包的专业承包单位）和劳务分包单位（统称分包单位，下同）的劳动用工进行监督管理，与分包单位签订委托工资支付协议，审核分包单位编制的施工人员考勤表、工资支付表等工资发放资料，并按《工程建设领域农民工工资专用账户管理暂行办法》（人社部发〔</w:t>
            </w:r>
            <w:r>
              <w:rPr>
                <w:rFonts w:hint="eastAsia" w:ascii="宋体" w:hAnsi="宋体" w:eastAsia="宋体" w:cs="仿宋"/>
                <w:bCs/>
                <w:color w:val="auto"/>
                <w:kern w:val="0"/>
                <w:sz w:val="21"/>
                <w:szCs w:val="21"/>
                <w:highlight w:val="none"/>
                <w:lang w:val="en-US" w:eastAsia="zh-CN" w:bidi="ar"/>
              </w:rPr>
              <w:t>2021</w:t>
            </w:r>
            <w:r>
              <w:rPr>
                <w:rFonts w:hint="eastAsia" w:ascii="宋体" w:hAnsi="宋体" w:eastAsia="宋体" w:cs="宋体"/>
                <w:bCs/>
                <w:color w:val="auto"/>
                <w:kern w:val="0"/>
                <w:sz w:val="21"/>
                <w:szCs w:val="21"/>
                <w:highlight w:val="none"/>
                <w:lang w:val="en-US" w:eastAsia="zh-CN" w:bidi="ar"/>
              </w:rPr>
              <w:t>〕</w:t>
            </w:r>
            <w:r>
              <w:rPr>
                <w:rFonts w:hint="eastAsia" w:ascii="宋体" w:hAnsi="宋体" w:eastAsia="宋体" w:cs="仿宋"/>
                <w:bCs/>
                <w:color w:val="auto"/>
                <w:kern w:val="0"/>
                <w:sz w:val="21"/>
                <w:szCs w:val="21"/>
                <w:highlight w:val="none"/>
                <w:lang w:val="en-US" w:eastAsia="zh-CN" w:bidi="ar"/>
              </w:rPr>
              <w:t>53</w:t>
            </w:r>
            <w:r>
              <w:rPr>
                <w:rFonts w:hint="eastAsia" w:ascii="宋体" w:hAnsi="宋体" w:eastAsia="宋体" w:cs="宋体"/>
                <w:bCs/>
                <w:color w:val="auto"/>
                <w:kern w:val="0"/>
                <w:sz w:val="21"/>
                <w:szCs w:val="21"/>
                <w:highlight w:val="none"/>
                <w:lang w:val="en-US" w:eastAsia="zh-CN" w:bidi="ar"/>
              </w:rPr>
              <w:t>号）以及合同专用条款第</w:t>
            </w:r>
            <w:r>
              <w:rPr>
                <w:rFonts w:hint="eastAsia" w:ascii="宋体" w:hAnsi="宋体" w:eastAsia="宋体" w:cs="仿宋"/>
                <w:bCs/>
                <w:color w:val="auto"/>
                <w:kern w:val="0"/>
                <w:sz w:val="21"/>
                <w:szCs w:val="21"/>
                <w:highlight w:val="none"/>
                <w:lang w:val="en-US" w:eastAsia="zh-CN" w:bidi="ar"/>
              </w:rPr>
              <w:t>9.5</w:t>
            </w:r>
            <w:r>
              <w:rPr>
                <w:rFonts w:hint="eastAsia" w:ascii="宋体" w:hAnsi="宋体" w:eastAsia="宋体" w:cs="宋体"/>
                <w:bCs/>
                <w:color w:val="auto"/>
                <w:kern w:val="0"/>
                <w:sz w:val="21"/>
                <w:szCs w:val="21"/>
                <w:highlight w:val="none"/>
                <w:lang w:val="en-US" w:eastAsia="zh-CN" w:bidi="ar"/>
              </w:rPr>
              <w:t>（</w:t>
            </w:r>
            <w:r>
              <w:rPr>
                <w:rFonts w:hint="eastAsia" w:ascii="宋体" w:hAnsi="宋体" w:eastAsia="宋体" w:cs="仿宋"/>
                <w:bCs/>
                <w:color w:val="auto"/>
                <w:kern w:val="0"/>
                <w:sz w:val="21"/>
                <w:szCs w:val="21"/>
                <w:highlight w:val="none"/>
                <w:lang w:val="en-US" w:eastAsia="zh-CN" w:bidi="ar"/>
              </w:rPr>
              <w:t>1</w:t>
            </w:r>
            <w:r>
              <w:rPr>
                <w:rFonts w:hint="eastAsia" w:ascii="宋体" w:hAnsi="宋体" w:eastAsia="宋体" w:cs="宋体"/>
                <w:bCs/>
                <w:color w:val="auto"/>
                <w:kern w:val="0"/>
                <w:sz w:val="21"/>
                <w:szCs w:val="21"/>
                <w:highlight w:val="none"/>
                <w:lang w:val="en-US" w:eastAsia="zh-CN" w:bidi="ar"/>
              </w:rPr>
              <w:t>）款</w:t>
            </w:r>
            <w:r>
              <w:rPr>
                <w:rFonts w:hint="eastAsia" w:ascii="宋体" w:hAnsi="宋体" w:eastAsia="宋体" w:cs="仿宋"/>
                <w:bCs/>
                <w:color w:val="auto"/>
                <w:kern w:val="0"/>
                <w:sz w:val="21"/>
                <w:szCs w:val="21"/>
                <w:highlight w:val="none"/>
                <w:lang w:val="en-US" w:eastAsia="zh-CN" w:bidi="ar"/>
              </w:rPr>
              <w:t>7</w:t>
            </w:r>
            <w:r>
              <w:rPr>
                <w:rFonts w:hint="eastAsia" w:ascii="宋体" w:hAnsi="宋体" w:eastAsia="宋体" w:cs="宋体"/>
                <w:bCs/>
                <w:color w:val="auto"/>
                <w:kern w:val="0"/>
                <w:sz w:val="21"/>
                <w:szCs w:val="21"/>
                <w:highlight w:val="none"/>
                <w:lang w:val="en-US" w:eastAsia="zh-CN" w:bidi="ar"/>
              </w:rPr>
              <w:t>）项的要求支付分包单位施工人员工资。开展班组长、农民工进场签订守法承诺书、退场签订工资结清确认书制度。</w:t>
            </w:r>
          </w:p>
          <w:p w14:paraId="661F436F">
            <w:pPr>
              <w:keepNext w:val="0"/>
              <w:keepLines w:val="0"/>
              <w:widowControl w:val="0"/>
              <w:suppressLineNumbers w:val="0"/>
              <w:adjustRightInd w:val="0"/>
              <w:snapToGrid w:val="0"/>
              <w:spacing w:before="0" w:beforeAutospacing="0" w:after="0" w:afterAutospacing="0"/>
              <w:ind w:left="0" w:right="0"/>
              <w:jc w:val="left"/>
              <w:outlineLvl w:val="3"/>
              <w:rPr>
                <w:rFonts w:hint="eastAsia" w:ascii="宋体" w:hAnsi="Calibri" w:eastAsia="宋体" w:cs="仿宋"/>
                <w:bCs/>
                <w:color w:val="auto"/>
                <w:kern w:val="0"/>
                <w:sz w:val="21"/>
                <w:szCs w:val="21"/>
                <w:highlight w:val="none"/>
              </w:rPr>
            </w:pPr>
            <w:r>
              <w:rPr>
                <w:rFonts w:hint="eastAsia" w:ascii="宋体" w:hAnsi="宋体" w:eastAsia="宋体" w:cs="仿宋"/>
                <w:bCs/>
                <w:color w:val="auto"/>
                <w:kern w:val="0"/>
                <w:sz w:val="21"/>
                <w:szCs w:val="21"/>
                <w:highlight w:val="none"/>
                <w:lang w:val="en-US" w:eastAsia="zh-CN" w:bidi="ar"/>
              </w:rPr>
              <w:t>4</w:t>
            </w:r>
            <w:r>
              <w:rPr>
                <w:rFonts w:hint="eastAsia" w:ascii="宋体" w:hAnsi="宋体" w:eastAsia="宋体" w:cs="宋体"/>
                <w:bCs/>
                <w:color w:val="auto"/>
                <w:kern w:val="0"/>
                <w:sz w:val="21"/>
                <w:szCs w:val="21"/>
                <w:highlight w:val="none"/>
                <w:lang w:val="en-US" w:eastAsia="zh-CN" w:bidi="ar"/>
              </w:rPr>
              <w:t>）承包人不按合同及有关规定按时、足额支付分包单位合同价款及施工人员工资而被投诉或上访属实的，发包人将严格按照合同约定追究其违约责任；如因此致使施工人员集体上访、集聚围阻而造成社会不良影响的，发包人将立即终止与承包人的合同，并上报省、市主管部门建议取消其参加广州地区省、市重大项目的投标资格，并予以公告。如属恶意煽动并造成社会不良影响的，发包人将提请司法部门追究其法律责任。</w:t>
            </w:r>
          </w:p>
          <w:p w14:paraId="10E5AD2E">
            <w:pPr>
              <w:keepNext w:val="0"/>
              <w:keepLines w:val="0"/>
              <w:widowControl w:val="0"/>
              <w:suppressLineNumbers w:val="0"/>
              <w:adjustRightInd w:val="0"/>
              <w:snapToGrid w:val="0"/>
              <w:spacing w:before="0" w:beforeAutospacing="0" w:after="0" w:afterAutospacing="0"/>
              <w:ind w:left="0" w:right="0"/>
              <w:jc w:val="left"/>
              <w:outlineLvl w:val="3"/>
              <w:rPr>
                <w:rFonts w:hint="eastAsia" w:ascii="宋体" w:hAnsi="Calibri" w:eastAsia="宋体" w:cs="仿宋"/>
                <w:bCs/>
                <w:color w:val="auto"/>
                <w:kern w:val="0"/>
                <w:sz w:val="21"/>
                <w:szCs w:val="21"/>
                <w:highlight w:val="none"/>
              </w:rPr>
            </w:pPr>
            <w:r>
              <w:rPr>
                <w:rFonts w:hint="eastAsia" w:ascii="宋体" w:hAnsi="宋体" w:eastAsia="宋体" w:cs="仿宋"/>
                <w:bCs/>
                <w:color w:val="auto"/>
                <w:kern w:val="0"/>
                <w:sz w:val="21"/>
                <w:szCs w:val="21"/>
                <w:highlight w:val="none"/>
                <w:lang w:val="en-US" w:eastAsia="zh-CN" w:bidi="ar"/>
              </w:rPr>
              <w:t>5</w:t>
            </w:r>
            <w:r>
              <w:rPr>
                <w:rFonts w:hint="eastAsia" w:ascii="宋体" w:hAnsi="宋体" w:eastAsia="宋体" w:cs="宋体"/>
                <w:bCs/>
                <w:color w:val="auto"/>
                <w:kern w:val="0"/>
                <w:sz w:val="21"/>
                <w:szCs w:val="21"/>
                <w:highlight w:val="none"/>
                <w:lang w:val="en-US" w:eastAsia="zh-CN" w:bidi="ar"/>
              </w:rPr>
              <w:t>）由于承包人或其管理的分包单位、劳务合作单位拖欠施工人员工资，致使发包人被投诉或起诉并被判令先行垫付施工人员工资的，发包人除追究承包人和其他相关责任单位的违约责任外，还将在工程结算时按合同专用条款第</w:t>
            </w:r>
            <w:r>
              <w:rPr>
                <w:rFonts w:hint="eastAsia" w:ascii="宋体" w:hAnsi="宋体" w:eastAsia="宋体" w:cs="仿宋"/>
                <w:bCs/>
                <w:color w:val="auto"/>
                <w:kern w:val="0"/>
                <w:sz w:val="21"/>
                <w:szCs w:val="21"/>
                <w:highlight w:val="none"/>
                <w:lang w:val="en-US" w:eastAsia="zh-CN" w:bidi="ar"/>
              </w:rPr>
              <w:t>38.14</w:t>
            </w:r>
            <w:r>
              <w:rPr>
                <w:rFonts w:hint="eastAsia" w:ascii="宋体" w:hAnsi="宋体" w:eastAsia="宋体" w:cs="宋体"/>
                <w:bCs/>
                <w:color w:val="auto"/>
                <w:kern w:val="0"/>
                <w:sz w:val="21"/>
                <w:szCs w:val="21"/>
                <w:highlight w:val="none"/>
                <w:lang w:val="en-US" w:eastAsia="zh-CN" w:bidi="ar"/>
              </w:rPr>
              <w:t>（</w:t>
            </w:r>
            <w:r>
              <w:rPr>
                <w:rFonts w:hint="eastAsia" w:ascii="宋体" w:hAnsi="宋体" w:eastAsia="宋体" w:cs="仿宋"/>
                <w:bCs/>
                <w:color w:val="auto"/>
                <w:kern w:val="0"/>
                <w:sz w:val="21"/>
                <w:szCs w:val="21"/>
                <w:highlight w:val="none"/>
                <w:lang w:val="en-US" w:eastAsia="zh-CN" w:bidi="ar"/>
              </w:rPr>
              <w:t>2</w:t>
            </w:r>
            <w:r>
              <w:rPr>
                <w:rFonts w:hint="eastAsia" w:ascii="宋体" w:hAnsi="宋体" w:eastAsia="宋体" w:cs="宋体"/>
                <w:bCs/>
                <w:color w:val="auto"/>
                <w:kern w:val="0"/>
                <w:sz w:val="21"/>
                <w:szCs w:val="21"/>
                <w:highlight w:val="none"/>
                <w:lang w:val="en-US" w:eastAsia="zh-CN" w:bidi="ar"/>
              </w:rPr>
              <w:t>）款的约定扣回相关款项作为补偿。</w:t>
            </w:r>
          </w:p>
          <w:p w14:paraId="1CC1EFE1">
            <w:pPr>
              <w:keepNext w:val="0"/>
              <w:keepLines w:val="0"/>
              <w:widowControl w:val="0"/>
              <w:suppressLineNumbers w:val="0"/>
              <w:adjustRightInd w:val="0"/>
              <w:snapToGrid w:val="0"/>
              <w:spacing w:before="0" w:beforeAutospacing="0" w:after="0" w:afterAutospacing="0"/>
              <w:ind w:left="0" w:right="0"/>
              <w:jc w:val="both"/>
              <w:outlineLvl w:val="3"/>
              <w:rPr>
                <w:rFonts w:hint="eastAsia" w:ascii="宋体" w:hAnsi="Calibri" w:eastAsia="宋体" w:cs="仿宋"/>
                <w:bCs/>
                <w:color w:val="auto"/>
                <w:kern w:val="0"/>
                <w:sz w:val="21"/>
                <w:szCs w:val="21"/>
                <w:highlight w:val="none"/>
              </w:rPr>
            </w:pPr>
            <w:r>
              <w:rPr>
                <w:rFonts w:hint="eastAsia" w:ascii="宋体" w:hAnsi="宋体" w:eastAsia="宋体" w:cs="仿宋"/>
                <w:bCs/>
                <w:color w:val="auto"/>
                <w:kern w:val="0"/>
                <w:sz w:val="21"/>
                <w:szCs w:val="21"/>
                <w:highlight w:val="none"/>
                <w:lang w:val="en-US" w:eastAsia="zh-CN" w:bidi="ar"/>
              </w:rPr>
              <w:t>6</w:t>
            </w:r>
            <w:r>
              <w:rPr>
                <w:rFonts w:hint="eastAsia" w:ascii="宋体" w:hAnsi="宋体" w:eastAsia="宋体" w:cs="宋体"/>
                <w:bCs/>
                <w:color w:val="auto"/>
                <w:kern w:val="0"/>
                <w:sz w:val="21"/>
                <w:szCs w:val="21"/>
                <w:highlight w:val="none"/>
                <w:lang w:val="en-US" w:eastAsia="zh-CN" w:bidi="ar"/>
              </w:rPr>
              <w:t>）承包人必须以高度负责的态度，对存在可能引发劳资纠纷的各种因素进行排查，及时化解、处理可能发生劳资纠纷的不稳定因素；尤其是对恶意煽动施工人员集体上访、集聚围阻的行为，要善于及时发现并敢于揭露、制止，创造安全、文明、和谐的环境。</w:t>
            </w:r>
          </w:p>
          <w:p w14:paraId="3334DE16">
            <w:pPr>
              <w:keepNext w:val="0"/>
              <w:keepLines w:val="0"/>
              <w:widowControl w:val="0"/>
              <w:suppressLineNumbers w:val="0"/>
              <w:adjustRightInd w:val="0"/>
              <w:snapToGrid w:val="0"/>
              <w:spacing w:before="0" w:beforeAutospacing="0" w:after="0" w:afterAutospacing="0"/>
              <w:ind w:left="0" w:right="0"/>
              <w:jc w:val="both"/>
              <w:outlineLvl w:val="3"/>
              <w:rPr>
                <w:rFonts w:hint="eastAsia" w:ascii="宋体" w:hAnsi="Calibri" w:eastAsia="宋体" w:cs="仿宋"/>
                <w:b/>
                <w:bCs w:val="0"/>
                <w:color w:val="auto"/>
                <w:kern w:val="2"/>
                <w:sz w:val="21"/>
                <w:szCs w:val="21"/>
                <w:highlight w:val="none"/>
              </w:rPr>
            </w:pPr>
            <w:r>
              <w:rPr>
                <w:rFonts w:hint="eastAsia" w:ascii="宋体" w:hAnsi="宋体" w:eastAsia="宋体" w:cs="仿宋"/>
                <w:bCs/>
                <w:color w:val="auto"/>
                <w:kern w:val="0"/>
                <w:sz w:val="21"/>
                <w:szCs w:val="21"/>
                <w:highlight w:val="none"/>
                <w:lang w:val="en-US" w:eastAsia="zh-CN" w:bidi="ar"/>
              </w:rPr>
              <w:t>7</w:t>
            </w:r>
            <w:r>
              <w:rPr>
                <w:rFonts w:hint="eastAsia" w:ascii="宋体" w:hAnsi="宋体" w:eastAsia="宋体" w:cs="宋体"/>
                <w:bCs/>
                <w:color w:val="auto"/>
                <w:kern w:val="0"/>
                <w:sz w:val="21"/>
                <w:szCs w:val="21"/>
                <w:highlight w:val="none"/>
                <w:lang w:val="en-US" w:eastAsia="zh-CN" w:bidi="ar"/>
              </w:rPr>
              <w:t>）承包人必须按《广州市建设领域工人工资支付分账管理实施细则》（穗建规字〔</w:t>
            </w:r>
            <w:r>
              <w:rPr>
                <w:rFonts w:hint="eastAsia" w:ascii="宋体" w:hAnsi="宋体" w:eastAsia="宋体" w:cs="仿宋"/>
                <w:bCs/>
                <w:color w:val="auto"/>
                <w:kern w:val="0"/>
                <w:sz w:val="21"/>
                <w:szCs w:val="21"/>
                <w:highlight w:val="none"/>
                <w:lang w:val="en-US" w:eastAsia="zh-CN" w:bidi="ar"/>
              </w:rPr>
              <w:t>2020</w:t>
            </w:r>
            <w:r>
              <w:rPr>
                <w:rFonts w:hint="eastAsia" w:ascii="宋体" w:hAnsi="宋体" w:eastAsia="宋体" w:cs="宋体"/>
                <w:bCs/>
                <w:color w:val="auto"/>
                <w:kern w:val="0"/>
                <w:sz w:val="21"/>
                <w:szCs w:val="21"/>
                <w:highlight w:val="none"/>
                <w:lang w:val="en-US" w:eastAsia="zh-CN" w:bidi="ar"/>
              </w:rPr>
              <w:t>〕</w:t>
            </w:r>
            <w:r>
              <w:rPr>
                <w:rFonts w:hint="eastAsia" w:ascii="宋体" w:hAnsi="宋体" w:eastAsia="宋体" w:cs="仿宋"/>
                <w:bCs/>
                <w:color w:val="auto"/>
                <w:kern w:val="0"/>
                <w:sz w:val="21"/>
                <w:szCs w:val="21"/>
                <w:highlight w:val="none"/>
                <w:lang w:val="en-US" w:eastAsia="zh-CN" w:bidi="ar"/>
              </w:rPr>
              <w:t>37</w:t>
            </w:r>
            <w:r>
              <w:rPr>
                <w:rFonts w:hint="eastAsia" w:ascii="宋体" w:hAnsi="宋体" w:eastAsia="宋体" w:cs="宋体"/>
                <w:bCs/>
                <w:color w:val="auto"/>
                <w:kern w:val="0"/>
                <w:sz w:val="21"/>
                <w:szCs w:val="21"/>
                <w:highlight w:val="none"/>
                <w:lang w:val="en-US" w:eastAsia="zh-CN" w:bidi="ar"/>
              </w:rPr>
              <w:t>号）设立工人工资支付专用账户，通过工人工资支付专用账户，依法按时足额将工人工资直接支付到工人的工资个人账户，并按月将工人工资支付明细表报发包人备案以及向分包单位提供代发工资凭证。承包人应当建立用工管理台账，真实、准确记录工人名册、劳动合同、劳务合同、工程进度、工时、劳务承包款和工人工资支付情况等信息，并至少保存至工程完工且工资全部结清后</w:t>
            </w:r>
            <w:r>
              <w:rPr>
                <w:rFonts w:hint="eastAsia" w:ascii="宋体" w:hAnsi="宋体" w:eastAsia="宋体" w:cs="仿宋"/>
                <w:bCs/>
                <w:color w:val="auto"/>
                <w:kern w:val="0"/>
                <w:sz w:val="21"/>
                <w:szCs w:val="21"/>
                <w:highlight w:val="none"/>
                <w:lang w:val="en-US" w:eastAsia="zh-CN" w:bidi="ar"/>
              </w:rPr>
              <w:t>3</w:t>
            </w:r>
            <w:r>
              <w:rPr>
                <w:rFonts w:hint="eastAsia" w:ascii="宋体" w:hAnsi="宋体" w:eastAsia="宋体" w:cs="宋体"/>
                <w:bCs/>
                <w:color w:val="auto"/>
                <w:kern w:val="0"/>
                <w:sz w:val="21"/>
                <w:szCs w:val="21"/>
                <w:highlight w:val="none"/>
                <w:lang w:val="en-US" w:eastAsia="zh-CN" w:bidi="ar"/>
              </w:rPr>
              <w:t>年备查。</w:t>
            </w:r>
          </w:p>
        </w:tc>
      </w:tr>
      <w:tr w14:paraId="0435B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8"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CC4461">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11</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7E42FB8F">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10.1</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5D70C21C">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center"/>
          </w:tcPr>
          <w:p w14:paraId="548C481A">
            <w:pPr>
              <w:keepNext w:val="0"/>
              <w:keepLines w:val="0"/>
              <w:widowControl w:val="0"/>
              <w:suppressLineNumbers w:val="0"/>
              <w:adjustRightInd w:val="0"/>
              <w:snapToGrid w:val="0"/>
              <w:spacing w:before="0" w:beforeAutospacing="0" w:after="0" w:afterAutospacing="0" w:line="300" w:lineRule="auto"/>
              <w:ind w:left="0" w:right="0"/>
              <w:jc w:val="left"/>
              <w:rPr>
                <w:rFonts w:hint="eastAsia" w:ascii="宋体" w:hAnsi="Calibri"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10.1计划的提交和确认</w:t>
            </w:r>
          </w:p>
          <w:p w14:paraId="650513EA">
            <w:pPr>
              <w:keepNext w:val="0"/>
              <w:keepLines w:val="0"/>
              <w:widowControl w:val="0"/>
              <w:suppressLineNumbers w:val="0"/>
              <w:adjustRightInd w:val="0"/>
              <w:snapToGrid w:val="0"/>
              <w:spacing w:before="0" w:beforeAutospacing="0" w:after="0" w:afterAutospacing="0" w:line="300" w:lineRule="auto"/>
              <w:ind w:left="0" w:right="0"/>
              <w:jc w:val="left"/>
              <w:rPr>
                <w:rFonts w:hint="eastAsia" w:ascii="宋体" w:hAnsi="Calibri"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（1）承包人应于收到总监理工程师的进场通知后7天内向总监理工程师提交项目及单位工程的施工组织设计与进度计划。</w:t>
            </w:r>
          </w:p>
          <w:p w14:paraId="5044D0EB">
            <w:pPr>
              <w:keepNext w:val="0"/>
              <w:keepLines w:val="0"/>
              <w:widowControl w:val="0"/>
              <w:suppressLineNumbers w:val="0"/>
              <w:adjustRightInd w:val="0"/>
              <w:snapToGrid w:val="0"/>
              <w:spacing w:before="0" w:beforeAutospacing="0" w:after="0" w:afterAutospacing="0" w:line="300" w:lineRule="auto"/>
              <w:ind w:left="0" w:right="0"/>
              <w:jc w:val="left"/>
              <w:rPr>
                <w:rFonts w:hint="eastAsia" w:ascii="宋体" w:hAnsi="Calibri"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承包人提交的施工组织设计应当载明如下内容（包括但不限于）：</w:t>
            </w:r>
          </w:p>
          <w:p w14:paraId="128BA313">
            <w:pPr>
              <w:keepNext w:val="0"/>
              <w:keepLines w:val="0"/>
              <w:widowControl w:val="0"/>
              <w:suppressLineNumbers w:val="0"/>
              <w:adjustRightInd w:val="0"/>
              <w:snapToGrid w:val="0"/>
              <w:spacing w:before="0" w:beforeAutospacing="0" w:after="0" w:afterAutospacing="0" w:line="300" w:lineRule="auto"/>
              <w:ind w:left="0" w:right="0"/>
              <w:jc w:val="left"/>
              <w:rPr>
                <w:rFonts w:hint="eastAsia" w:ascii="宋体" w:hAnsi="Calibri"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1）各分部分项工程完整的施工方案；</w:t>
            </w:r>
          </w:p>
          <w:p w14:paraId="1DB21B0B">
            <w:pPr>
              <w:keepNext w:val="0"/>
              <w:keepLines w:val="0"/>
              <w:widowControl w:val="0"/>
              <w:suppressLineNumbers w:val="0"/>
              <w:adjustRightInd w:val="0"/>
              <w:snapToGrid w:val="0"/>
              <w:spacing w:before="0" w:beforeAutospacing="0" w:after="0" w:afterAutospacing="0" w:line="300" w:lineRule="auto"/>
              <w:ind w:left="0" w:right="0"/>
              <w:jc w:val="left"/>
              <w:rPr>
                <w:rFonts w:hint="eastAsia" w:ascii="宋体" w:hAnsi="Calibri"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2）施工资源投入计划，包括：机械设备进场计划、工程材料和物料进场及仓储计划、施工人员进场计划等；</w:t>
            </w:r>
          </w:p>
          <w:p w14:paraId="1D6EB8B9">
            <w:pPr>
              <w:keepNext w:val="0"/>
              <w:keepLines w:val="0"/>
              <w:widowControl w:val="0"/>
              <w:suppressLineNumbers w:val="0"/>
              <w:adjustRightInd w:val="0"/>
              <w:snapToGrid w:val="0"/>
              <w:spacing w:before="0" w:beforeAutospacing="0" w:after="0" w:afterAutospacing="0" w:line="300" w:lineRule="auto"/>
              <w:ind w:left="0" w:right="0"/>
              <w:jc w:val="left"/>
              <w:rPr>
                <w:rFonts w:hint="eastAsia" w:ascii="宋体" w:hAnsi="Calibri"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3）施工现场平面布置图（包括施工道路平面图、各种临时设施、施工用水、监控设施、施工机具、材料构配件存放位置）；</w:t>
            </w:r>
          </w:p>
          <w:p w14:paraId="44C32354">
            <w:pPr>
              <w:keepNext w:val="0"/>
              <w:keepLines w:val="0"/>
              <w:widowControl w:val="0"/>
              <w:suppressLineNumbers w:val="0"/>
              <w:adjustRightInd w:val="0"/>
              <w:snapToGrid w:val="0"/>
              <w:spacing w:before="0" w:beforeAutospacing="0" w:after="0" w:afterAutospacing="0" w:line="300" w:lineRule="auto"/>
              <w:ind w:left="0" w:right="0"/>
              <w:jc w:val="left"/>
              <w:rPr>
                <w:rFonts w:hint="eastAsia" w:ascii="宋体" w:hAnsi="Calibri"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4）季节性施工措施；</w:t>
            </w:r>
          </w:p>
          <w:p w14:paraId="7D734448">
            <w:pPr>
              <w:keepNext w:val="0"/>
              <w:keepLines w:val="0"/>
              <w:widowControl w:val="0"/>
              <w:suppressLineNumbers w:val="0"/>
              <w:adjustRightInd w:val="0"/>
              <w:snapToGrid w:val="0"/>
              <w:spacing w:before="0" w:beforeAutospacing="0" w:after="0" w:afterAutospacing="0" w:line="300" w:lineRule="auto"/>
              <w:ind w:left="0" w:right="0"/>
              <w:jc w:val="left"/>
              <w:rPr>
                <w:rFonts w:hint="eastAsia" w:ascii="宋体" w:hAnsi="Calibri"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5）地下管线及其他地下设施的处理措施；</w:t>
            </w:r>
          </w:p>
          <w:p w14:paraId="428A23A0">
            <w:pPr>
              <w:keepNext w:val="0"/>
              <w:keepLines w:val="0"/>
              <w:widowControl w:val="0"/>
              <w:suppressLineNumbers w:val="0"/>
              <w:adjustRightInd w:val="0"/>
              <w:snapToGrid w:val="0"/>
              <w:spacing w:before="0" w:beforeAutospacing="0" w:after="0" w:afterAutospacing="0" w:line="300" w:lineRule="auto"/>
              <w:ind w:left="0" w:right="0"/>
              <w:jc w:val="left"/>
              <w:rPr>
                <w:rFonts w:hint="eastAsia" w:ascii="宋体" w:hAnsi="Calibri"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6）保证工期、质量的措施；</w:t>
            </w:r>
          </w:p>
          <w:p w14:paraId="719436D0">
            <w:pPr>
              <w:keepNext w:val="0"/>
              <w:keepLines w:val="0"/>
              <w:widowControl w:val="0"/>
              <w:suppressLineNumbers w:val="0"/>
              <w:adjustRightInd w:val="0"/>
              <w:snapToGrid w:val="0"/>
              <w:spacing w:before="0" w:beforeAutospacing="0" w:after="0" w:afterAutospacing="0" w:line="300" w:lineRule="auto"/>
              <w:ind w:left="0" w:right="0"/>
              <w:jc w:val="left"/>
              <w:rPr>
                <w:rFonts w:hint="eastAsia" w:ascii="宋体" w:hAnsi="Calibri"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7）保证安全生产、文明施工、减少扰民，且满足环境保护要求的措施；</w:t>
            </w:r>
          </w:p>
          <w:p w14:paraId="010622EA">
            <w:pPr>
              <w:keepNext w:val="0"/>
              <w:keepLines w:val="0"/>
              <w:widowControl w:val="0"/>
              <w:suppressLineNumbers w:val="0"/>
              <w:adjustRightInd w:val="0"/>
              <w:snapToGrid w:val="0"/>
              <w:spacing w:before="0" w:beforeAutospacing="0" w:after="0" w:afterAutospacing="0" w:line="300" w:lineRule="auto"/>
              <w:ind w:left="0" w:right="0"/>
              <w:jc w:val="left"/>
              <w:rPr>
                <w:rFonts w:hint="eastAsia" w:ascii="宋体" w:hAnsi="Calibri"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8）妥善处理与相邻施工作业现场关系的措施；</w:t>
            </w:r>
          </w:p>
          <w:p w14:paraId="570351DE">
            <w:pPr>
              <w:keepNext w:val="0"/>
              <w:keepLines w:val="0"/>
              <w:widowControl w:val="0"/>
              <w:suppressLineNumbers w:val="0"/>
              <w:adjustRightInd w:val="0"/>
              <w:snapToGrid w:val="0"/>
              <w:spacing w:before="0" w:beforeAutospacing="0" w:after="0" w:afterAutospacing="0" w:line="300" w:lineRule="auto"/>
              <w:ind w:left="0" w:right="0"/>
              <w:jc w:val="left"/>
              <w:rPr>
                <w:rFonts w:hint="eastAsia" w:ascii="宋体" w:hAnsi="Calibri" w:eastAsia="宋体" w:cs="宋体"/>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9）其他与工程施工有关的管理方案、措施。</w:t>
            </w: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6212809A">
            <w:pPr>
              <w:keepNext w:val="0"/>
              <w:keepLines w:val="0"/>
              <w:widowControl w:val="0"/>
              <w:suppressLineNumbers w:val="0"/>
              <w:adjustRightInd w:val="0"/>
              <w:snapToGrid w:val="0"/>
              <w:spacing w:before="0" w:beforeAutospacing="0" w:after="0" w:afterAutospacing="0"/>
              <w:ind w:left="0" w:right="0" w:firstLine="480"/>
              <w:jc w:val="left"/>
              <w:rPr>
                <w:rFonts w:hint="eastAsia" w:ascii="宋体" w:hAnsi="Calibri"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10.1计划的提交和确认</w:t>
            </w:r>
          </w:p>
          <w:p w14:paraId="64607FB4">
            <w:pPr>
              <w:keepNext w:val="0"/>
              <w:keepLines w:val="0"/>
              <w:widowControl w:val="0"/>
              <w:suppressLineNumbers w:val="0"/>
              <w:adjustRightInd w:val="0"/>
              <w:snapToGrid w:val="0"/>
              <w:spacing w:before="0" w:beforeAutospacing="0" w:after="0" w:afterAutospacing="0"/>
              <w:ind w:left="0" w:right="0" w:firstLine="480"/>
              <w:jc w:val="left"/>
              <w:rPr>
                <w:rFonts w:hint="eastAsia" w:ascii="宋体" w:hAnsi="Calibri"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（1）承包人应于收到总监理工程师的进场通知后7天内向总监理工程师提交项目及单位工程的施工组织设计与进度计划。</w:t>
            </w:r>
          </w:p>
          <w:p w14:paraId="15C8AE8F">
            <w:pPr>
              <w:keepNext w:val="0"/>
              <w:keepLines w:val="0"/>
              <w:widowControl w:val="0"/>
              <w:suppressLineNumbers w:val="0"/>
              <w:adjustRightInd w:val="0"/>
              <w:snapToGrid w:val="0"/>
              <w:spacing w:before="0" w:beforeAutospacing="0" w:after="0" w:afterAutospacing="0"/>
              <w:ind w:left="0" w:right="0" w:firstLine="480"/>
              <w:jc w:val="left"/>
              <w:rPr>
                <w:rFonts w:hint="eastAsia" w:ascii="宋体" w:hAnsi="Calibri"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承包人提交的施工组织设计应当载明如下内容（包括但不限于）：</w:t>
            </w:r>
          </w:p>
          <w:p w14:paraId="3584B654">
            <w:pPr>
              <w:keepNext w:val="0"/>
              <w:keepLines w:val="0"/>
              <w:widowControl w:val="0"/>
              <w:suppressLineNumbers w:val="0"/>
              <w:adjustRightInd w:val="0"/>
              <w:snapToGrid w:val="0"/>
              <w:spacing w:before="0" w:beforeAutospacing="0" w:after="0" w:afterAutospacing="0"/>
              <w:ind w:left="0" w:right="0" w:firstLine="480"/>
              <w:jc w:val="left"/>
              <w:rPr>
                <w:rFonts w:hint="eastAsia" w:ascii="宋体" w:hAnsi="Calibri"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1）各分部分项工程完整的施工方案；</w:t>
            </w:r>
          </w:p>
          <w:p w14:paraId="1B82B3CE">
            <w:pPr>
              <w:keepNext w:val="0"/>
              <w:keepLines w:val="0"/>
              <w:widowControl w:val="0"/>
              <w:suppressLineNumbers w:val="0"/>
              <w:adjustRightInd w:val="0"/>
              <w:snapToGrid w:val="0"/>
              <w:spacing w:before="0" w:beforeAutospacing="0" w:after="0" w:afterAutospacing="0"/>
              <w:ind w:left="0" w:right="0" w:firstLine="480"/>
              <w:jc w:val="left"/>
              <w:rPr>
                <w:rFonts w:hint="eastAsia" w:ascii="宋体" w:hAnsi="Calibri"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2）施工资源投入计划，包括：机械设备进场计划、工程材料和物料进场及仓储计划、施工人员进场计划等；</w:t>
            </w:r>
          </w:p>
          <w:p w14:paraId="1F2D6AF2">
            <w:pPr>
              <w:keepNext w:val="0"/>
              <w:keepLines w:val="0"/>
              <w:widowControl w:val="0"/>
              <w:suppressLineNumbers w:val="0"/>
              <w:adjustRightInd w:val="0"/>
              <w:snapToGrid w:val="0"/>
              <w:spacing w:before="0" w:beforeAutospacing="0" w:after="0" w:afterAutospacing="0"/>
              <w:ind w:left="0" w:right="0" w:firstLine="480"/>
              <w:jc w:val="left"/>
              <w:rPr>
                <w:rFonts w:hint="eastAsia" w:ascii="宋体" w:hAnsi="Calibri"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3）施工现场平面布置图（包括施工道路平面图、各种临时设施、施工用水、监控设施、施工机具、材料构配件存放位置）；</w:t>
            </w:r>
          </w:p>
          <w:p w14:paraId="7F1BF3B2">
            <w:pPr>
              <w:keepNext w:val="0"/>
              <w:keepLines w:val="0"/>
              <w:widowControl w:val="0"/>
              <w:suppressLineNumbers w:val="0"/>
              <w:adjustRightInd w:val="0"/>
              <w:snapToGrid w:val="0"/>
              <w:spacing w:before="0" w:beforeAutospacing="0" w:after="0" w:afterAutospacing="0"/>
              <w:ind w:left="0" w:right="0" w:firstLine="480"/>
              <w:jc w:val="left"/>
              <w:rPr>
                <w:rFonts w:hint="eastAsia" w:ascii="宋体" w:hAnsi="Calibri"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4）季节性施工措施；</w:t>
            </w:r>
          </w:p>
          <w:p w14:paraId="2E6C5593">
            <w:pPr>
              <w:keepNext w:val="0"/>
              <w:keepLines w:val="0"/>
              <w:widowControl w:val="0"/>
              <w:suppressLineNumbers w:val="0"/>
              <w:adjustRightInd w:val="0"/>
              <w:snapToGrid w:val="0"/>
              <w:spacing w:before="0" w:beforeAutospacing="0" w:after="0" w:afterAutospacing="0"/>
              <w:ind w:left="0" w:right="0" w:firstLine="480"/>
              <w:jc w:val="left"/>
              <w:rPr>
                <w:rFonts w:hint="eastAsia" w:ascii="宋体" w:hAnsi="Calibri"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5）地下管线及其他地下设施的处理措施；</w:t>
            </w:r>
          </w:p>
          <w:p w14:paraId="2A00D429">
            <w:pPr>
              <w:keepNext w:val="0"/>
              <w:keepLines w:val="0"/>
              <w:widowControl w:val="0"/>
              <w:suppressLineNumbers w:val="0"/>
              <w:adjustRightInd w:val="0"/>
              <w:snapToGrid w:val="0"/>
              <w:spacing w:before="0" w:beforeAutospacing="0" w:after="0" w:afterAutospacing="0"/>
              <w:ind w:left="0" w:right="0" w:firstLine="480"/>
              <w:jc w:val="left"/>
              <w:rPr>
                <w:rFonts w:hint="eastAsia" w:ascii="宋体" w:hAnsi="Calibri"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6）保证工期、质量的措施；</w:t>
            </w:r>
          </w:p>
          <w:p w14:paraId="55669E3A">
            <w:pPr>
              <w:keepNext w:val="0"/>
              <w:keepLines w:val="0"/>
              <w:widowControl w:val="0"/>
              <w:suppressLineNumbers w:val="0"/>
              <w:adjustRightInd w:val="0"/>
              <w:snapToGrid w:val="0"/>
              <w:spacing w:before="0" w:beforeAutospacing="0" w:after="0" w:afterAutospacing="0"/>
              <w:ind w:left="0" w:right="0" w:firstLine="480"/>
              <w:jc w:val="left"/>
              <w:rPr>
                <w:rFonts w:hint="eastAsia" w:ascii="宋体" w:hAnsi="Calibri"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7）建筑垃圾处理方案（包括施工现场建筑垃圾源头减量的具体要求和措施，以及建筑垃圾综合利用产品的使用要求等）；</w:t>
            </w:r>
          </w:p>
          <w:p w14:paraId="0F963AEB">
            <w:pPr>
              <w:keepNext w:val="0"/>
              <w:keepLines w:val="0"/>
              <w:widowControl w:val="0"/>
              <w:suppressLineNumbers w:val="0"/>
              <w:adjustRightInd w:val="0"/>
              <w:snapToGrid w:val="0"/>
              <w:spacing w:before="0" w:beforeAutospacing="0" w:after="0" w:afterAutospacing="0"/>
              <w:ind w:left="0" w:right="0" w:firstLine="480"/>
              <w:jc w:val="left"/>
              <w:rPr>
                <w:rFonts w:hint="eastAsia" w:ascii="宋体" w:hAnsi="Calibri"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8）保证安全生产、文明施工、减少扰民，且满足环境保护要求的措施；</w:t>
            </w:r>
          </w:p>
          <w:p w14:paraId="0883C0F2">
            <w:pPr>
              <w:keepNext w:val="0"/>
              <w:keepLines w:val="0"/>
              <w:widowControl w:val="0"/>
              <w:suppressLineNumbers w:val="0"/>
              <w:adjustRightInd w:val="0"/>
              <w:snapToGrid w:val="0"/>
              <w:spacing w:before="0" w:beforeAutospacing="0" w:after="0" w:afterAutospacing="0"/>
              <w:ind w:left="0" w:right="0" w:firstLine="480"/>
              <w:jc w:val="left"/>
              <w:rPr>
                <w:rFonts w:hint="eastAsia" w:ascii="宋体" w:hAnsi="Calibri"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9）妥善处理与相邻施工作业现场关系的措施；</w:t>
            </w:r>
          </w:p>
          <w:p w14:paraId="11C50290">
            <w:pPr>
              <w:keepNext w:val="0"/>
              <w:keepLines w:val="0"/>
              <w:widowControl w:val="0"/>
              <w:suppressLineNumbers w:val="0"/>
              <w:adjustRightInd w:val="0"/>
              <w:snapToGrid w:val="0"/>
              <w:spacing w:before="0" w:beforeAutospacing="0" w:after="0" w:afterAutospacing="0"/>
              <w:ind w:left="0" w:right="0" w:firstLine="480"/>
              <w:jc w:val="left"/>
              <w:rPr>
                <w:rFonts w:hint="eastAsia" w:ascii="宋体" w:hAnsi="Calibri"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10）其他与工程施工有关的管理方案、措施。</w:t>
            </w:r>
          </w:p>
          <w:p w14:paraId="25102E1B">
            <w:pPr>
              <w:keepNext w:val="0"/>
              <w:keepLines w:val="0"/>
              <w:widowControl w:val="0"/>
              <w:suppressLineNumbers w:val="0"/>
              <w:adjustRightInd w:val="0"/>
              <w:snapToGrid w:val="0"/>
              <w:spacing w:before="0" w:beforeAutospacing="0" w:after="0" w:afterAutospacing="0" w:line="360" w:lineRule="auto"/>
              <w:ind w:left="0" w:right="0" w:firstLine="480"/>
              <w:jc w:val="left"/>
              <w:rPr>
                <w:rFonts w:hint="eastAsia" w:ascii="宋体" w:hAnsi="Calibri" w:eastAsia="宋体" w:cs="宋体"/>
                <w:color w:val="auto"/>
                <w:kern w:val="2"/>
                <w:sz w:val="21"/>
                <w:szCs w:val="21"/>
                <w:highlight w:val="none"/>
              </w:rPr>
            </w:pPr>
          </w:p>
        </w:tc>
      </w:tr>
      <w:tr w14:paraId="7B210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8"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1D4FE6">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12</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3EF74804">
            <w:pPr>
              <w:keepNext w:val="0"/>
              <w:keepLines w:val="0"/>
              <w:widowControl w:val="0"/>
              <w:suppressLineNumbers w:val="0"/>
              <w:spacing w:before="0" w:beforeAutospacing="0" w:after="0" w:afterAutospacing="0"/>
              <w:ind w:left="0" w:right="0"/>
              <w:jc w:val="center"/>
              <w:rPr>
                <w:rFonts w:hint="eastAsia"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12.3</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1703D0D4">
            <w:pPr>
              <w:keepNext w:val="0"/>
              <w:keepLines w:val="0"/>
              <w:widowControl w:val="0"/>
              <w:suppressLineNumbers w:val="0"/>
              <w:spacing w:before="0" w:beforeAutospacing="0" w:after="0" w:afterAutospacing="0"/>
              <w:ind w:left="0" w:right="0"/>
              <w:jc w:val="center"/>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增加</w:t>
            </w:r>
          </w:p>
        </w:tc>
        <w:tc>
          <w:tcPr>
            <w:tcW w:w="3669" w:type="dxa"/>
            <w:tcBorders>
              <w:top w:val="single" w:color="auto" w:sz="4" w:space="0"/>
              <w:left w:val="nil"/>
              <w:bottom w:val="single" w:color="auto" w:sz="4" w:space="0"/>
              <w:right w:val="single" w:color="auto" w:sz="4" w:space="0"/>
            </w:tcBorders>
            <w:shd w:val="clear" w:color="auto" w:fill="auto"/>
            <w:noWrap/>
            <w:vAlign w:val="bottom"/>
          </w:tcPr>
          <w:p w14:paraId="5CD757AD">
            <w:pPr>
              <w:keepNext w:val="0"/>
              <w:keepLines w:val="0"/>
              <w:widowControl w:val="0"/>
              <w:suppressLineNumbers w:val="0"/>
              <w:spacing w:before="0" w:beforeAutospacing="0" w:after="0" w:afterAutospacing="0"/>
              <w:ind w:left="0" w:right="0"/>
              <w:jc w:val="both"/>
              <w:rPr>
                <w:rFonts w:hint="eastAsia" w:ascii="宋体" w:hAnsi="Calibri" w:eastAsia="宋体" w:cs="宋体"/>
                <w:color w:val="auto"/>
                <w:kern w:val="2"/>
                <w:sz w:val="21"/>
                <w:szCs w:val="21"/>
                <w:highlight w:val="none"/>
              </w:rPr>
            </w:pPr>
          </w:p>
        </w:tc>
        <w:tc>
          <w:tcPr>
            <w:tcW w:w="3577" w:type="dxa"/>
            <w:tcBorders>
              <w:top w:val="single" w:color="auto" w:sz="4" w:space="0"/>
              <w:left w:val="nil"/>
              <w:bottom w:val="single" w:color="auto" w:sz="4" w:space="0"/>
              <w:right w:val="single" w:color="auto" w:sz="4" w:space="0"/>
            </w:tcBorders>
            <w:shd w:val="clear" w:color="auto" w:fill="auto"/>
            <w:noWrap/>
            <w:vAlign w:val="bottom"/>
          </w:tcPr>
          <w:p w14:paraId="57A0BAD9">
            <w:pPr>
              <w:keepNext w:val="0"/>
              <w:keepLines w:val="0"/>
              <w:widowControl w:val="0"/>
              <w:suppressLineNumbers w:val="0"/>
              <w:spacing w:before="0" w:beforeAutospacing="0" w:after="0" w:afterAutospacing="0"/>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承包人在总监理工程师发出开工令之前的现场施工准备工作，不计算任何停工、窝工损失补偿费。施工期间，非承包人原因导致停工的，在总监理工程师发出停工令3天内，承包人应向总监理工程师提交停工期间的人员、设备安排计划，经总监理工程师、发包人批准后实施，并作为停工结算的依据。</w:t>
            </w:r>
          </w:p>
          <w:p w14:paraId="7121BBC5">
            <w:pPr>
              <w:keepNext w:val="0"/>
              <w:keepLines w:val="0"/>
              <w:widowControl w:val="0"/>
              <w:suppressLineNumbers w:val="0"/>
              <w:spacing w:before="0" w:beforeAutospacing="0" w:after="0" w:afterAutospacing="0"/>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承包人未按批准的停工期间的施工组织方案（含工作计划）投入人员、设备的，或承包人在经批准的停工期间施工组织方案（含工作计划）之外额外投入人员、设备不计算停工、窝工费用。</w:t>
            </w:r>
          </w:p>
        </w:tc>
      </w:tr>
      <w:tr w14:paraId="0AD31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8"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240DD9">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13</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5299CF9C">
            <w:pPr>
              <w:keepNext w:val="0"/>
              <w:keepLines w:val="0"/>
              <w:widowControl w:val="0"/>
              <w:suppressLineNumbers w:val="0"/>
              <w:spacing w:before="0" w:beforeAutospacing="0" w:after="0" w:afterAutospacing="0"/>
              <w:ind w:left="0" w:right="0"/>
              <w:jc w:val="center"/>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21.3</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6DB383E4">
            <w:pPr>
              <w:keepNext w:val="0"/>
              <w:keepLines w:val="0"/>
              <w:widowControl w:val="0"/>
              <w:suppressLineNumbers w:val="0"/>
              <w:spacing w:before="0" w:beforeAutospacing="0" w:after="0" w:afterAutospacing="0"/>
              <w:ind w:left="0" w:right="0"/>
              <w:jc w:val="center"/>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增加</w:t>
            </w:r>
          </w:p>
        </w:tc>
        <w:tc>
          <w:tcPr>
            <w:tcW w:w="3669" w:type="dxa"/>
            <w:tcBorders>
              <w:top w:val="single" w:color="auto" w:sz="4" w:space="0"/>
              <w:left w:val="nil"/>
              <w:bottom w:val="single" w:color="auto" w:sz="4" w:space="0"/>
              <w:right w:val="single" w:color="auto" w:sz="4" w:space="0"/>
            </w:tcBorders>
            <w:shd w:val="clear" w:color="auto" w:fill="auto"/>
            <w:noWrap/>
            <w:vAlign w:val="center"/>
          </w:tcPr>
          <w:p w14:paraId="2BA6A080">
            <w:pPr>
              <w:keepNext w:val="0"/>
              <w:keepLines w:val="0"/>
              <w:widowControl w:val="0"/>
              <w:suppressLineNumbers w:val="0"/>
              <w:spacing w:before="0" w:beforeAutospacing="0" w:after="0" w:afterAutospacing="0"/>
              <w:ind w:left="0" w:right="0"/>
              <w:jc w:val="both"/>
              <w:rPr>
                <w:rFonts w:hint="eastAsia" w:ascii="宋体" w:hAnsi="Calibri" w:eastAsia="宋体" w:cs="宋体"/>
                <w:color w:val="auto"/>
                <w:kern w:val="2"/>
                <w:sz w:val="21"/>
                <w:szCs w:val="21"/>
                <w:highlight w:val="none"/>
              </w:rPr>
            </w:pPr>
            <w:r>
              <w:rPr>
                <w:rFonts w:hint="default" w:ascii="Calibri" w:hAnsi="Calibri" w:eastAsia="宋体" w:cs="Calibri"/>
                <w:color w:val="auto"/>
                <w:kern w:val="2"/>
                <w:sz w:val="21"/>
                <w:szCs w:val="21"/>
                <w:highlight w:val="none"/>
                <w:lang w:val="en-US" w:eastAsia="zh-CN" w:bidi="ar"/>
              </w:rPr>
              <w:t>/</w:t>
            </w: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3E333997">
            <w:pPr>
              <w:keepNext w:val="0"/>
              <w:keepLines w:val="0"/>
              <w:widowControl w:val="0"/>
              <w:suppressLineNumbers w:val="0"/>
              <w:spacing w:before="0" w:beforeAutospacing="0" w:after="0" w:afterAutospacing="0"/>
              <w:ind w:left="0" w:right="0"/>
              <w:jc w:val="both"/>
              <w:rPr>
                <w:rFonts w:hint="eastAsia" w:ascii="宋体" w:hAnsi="Calibri" w:eastAsia="宋体" w:cs="Times New Roman"/>
                <w:color w:val="auto"/>
                <w:kern w:val="2"/>
                <w:sz w:val="21"/>
                <w:szCs w:val="21"/>
                <w:highlight w:val="none"/>
              </w:rPr>
            </w:pPr>
            <w:r>
              <w:rPr>
                <w:rFonts w:hint="default" w:ascii="Calibri" w:hAnsi="Calibri" w:eastAsia="宋体" w:cs="Calibri"/>
                <w:color w:val="auto"/>
                <w:kern w:val="2"/>
                <w:sz w:val="21"/>
                <w:szCs w:val="21"/>
                <w:highlight w:val="none"/>
                <w:lang w:val="en-US" w:eastAsia="zh-CN" w:bidi="ar"/>
              </w:rPr>
              <w:t>21.3</w:t>
            </w:r>
            <w:r>
              <w:rPr>
                <w:rFonts w:hint="eastAsia" w:ascii="宋体" w:hAnsi="宋体" w:eastAsia="宋体" w:cs="宋体"/>
                <w:color w:val="auto"/>
                <w:kern w:val="2"/>
                <w:sz w:val="21"/>
                <w:szCs w:val="21"/>
                <w:highlight w:val="none"/>
                <w:lang w:val="en-US" w:eastAsia="zh-CN" w:bidi="ar"/>
              </w:rPr>
              <w:t>承包人应当将施工现场的办公、生活区与作业区分开设置，并保持安全距离。</w:t>
            </w:r>
          </w:p>
        </w:tc>
      </w:tr>
      <w:tr w14:paraId="14EB0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8"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C562C9">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14</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23CC56C9">
            <w:pPr>
              <w:keepNext w:val="0"/>
              <w:keepLines w:val="0"/>
              <w:widowControl w:val="0"/>
              <w:suppressLineNumbers w:val="0"/>
              <w:spacing w:before="0" w:beforeAutospacing="0" w:after="0" w:afterAutospacing="0"/>
              <w:ind w:left="0" w:right="0"/>
              <w:jc w:val="center"/>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专用条</w:t>
            </w:r>
          </w:p>
          <w:p w14:paraId="0A64B6D2">
            <w:pPr>
              <w:keepNext w:val="0"/>
              <w:keepLines w:val="0"/>
              <w:widowControl w:val="0"/>
              <w:suppressLineNumbers w:val="0"/>
              <w:spacing w:before="0" w:beforeAutospacing="0" w:after="0" w:afterAutospacing="0"/>
              <w:ind w:left="0" w:right="0"/>
              <w:jc w:val="center"/>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款第</w:t>
            </w:r>
          </w:p>
          <w:p w14:paraId="677E81DA">
            <w:pPr>
              <w:keepNext w:val="0"/>
              <w:keepLines w:val="0"/>
              <w:widowControl w:val="0"/>
              <w:suppressLineNumbers w:val="0"/>
              <w:spacing w:before="0" w:beforeAutospacing="0" w:after="0" w:afterAutospacing="0"/>
              <w:ind w:left="0" w:right="0"/>
              <w:jc w:val="center"/>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22.4 款</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65ECE86C">
            <w:pPr>
              <w:keepNext w:val="0"/>
              <w:keepLines w:val="0"/>
              <w:widowControl w:val="0"/>
              <w:suppressLineNumbers w:val="0"/>
              <w:spacing w:before="0" w:beforeAutospacing="0" w:after="0" w:afterAutospacing="0"/>
              <w:ind w:left="0" w:right="0"/>
              <w:jc w:val="center"/>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center"/>
          </w:tcPr>
          <w:p w14:paraId="207089A1">
            <w:pPr>
              <w:pStyle w:val="14"/>
              <w:keepNext w:val="0"/>
              <w:keepLines w:val="0"/>
              <w:widowControl w:val="0"/>
              <w:suppressLineNumbers w:val="0"/>
              <w:adjustRightInd w:val="0"/>
              <w:snapToGrid w:val="0"/>
              <w:spacing w:before="0" w:beforeAutospacing="1" w:after="0" w:afterAutospacing="1" w:line="266" w:lineRule="auto"/>
              <w:ind w:left="0" w:right="0"/>
              <w:jc w:val="both"/>
              <w:outlineLvl w:val="4"/>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22.4 措施项目的实施要求须满足《广州市重点公共建设项目管理办公室建设项目环境管理文明施工标准》、《建筑施工安全检查标准》（JGJ59-2011）、《建设工程施工现场环境与卫生标准》（JGJ146-2013）、广东省建设厅转发建设部关于印发《建筑工程安全防护、文明施工措施费用及使用管理规定》的通知（粤建管字[2005]116 号）、关于印发《广东省建设厅建筑工程安全防护、文明施工措施费用管理办法》的通知（粤建管字[2007]39 号）、关于印发《广州市建设工程现场文明施工管理办法》的通知（穗建质[2008]937 号）、《关于印发&lt;广州市建</w:t>
            </w:r>
          </w:p>
          <w:p w14:paraId="10F37B31">
            <w:pPr>
              <w:pStyle w:val="14"/>
              <w:keepNext w:val="0"/>
              <w:keepLines w:val="0"/>
              <w:widowControl w:val="0"/>
              <w:suppressLineNumbers w:val="0"/>
              <w:adjustRightInd w:val="0"/>
              <w:snapToGrid w:val="0"/>
              <w:spacing w:before="0" w:beforeAutospacing="1" w:after="0" w:afterAutospacing="1" w:line="266" w:lineRule="auto"/>
              <w:ind w:left="0" w:right="0"/>
              <w:jc w:val="both"/>
              <w:outlineLvl w:val="4"/>
              <w:rPr>
                <w:rFonts w:hint="eastAsia" w:ascii="宋体" w:hAnsi="Courier New" w:eastAsia="宋体" w:cs="Times New Roman"/>
                <w:color w:val="auto"/>
                <w:kern w:val="0"/>
                <w:sz w:val="20"/>
                <w:szCs w:val="20"/>
                <w:highlight w:val="none"/>
              </w:rPr>
            </w:pPr>
            <w:r>
              <w:rPr>
                <w:rFonts w:hint="eastAsia" w:ascii="宋体" w:hAnsi="宋体" w:eastAsia="宋体" w:cs="宋体"/>
                <w:color w:val="auto"/>
                <w:kern w:val="2"/>
                <w:sz w:val="21"/>
                <w:szCs w:val="21"/>
                <w:highlight w:val="none"/>
                <w:lang w:val="en-US" w:eastAsia="zh-CN" w:bidi="ar"/>
              </w:rPr>
              <w:t>设工程施工现场消防安全管理规定&gt;的通知》（穗建质[2011]617 号）、《广州市建设工程文明施工管理规定》（广州市政府2011年第 62 号令）、《广州市提升建设工程安全文明施工管理水平的工作指引》（穗建质[2017]815 号）等及发包人制定的相关规定的要求</w:t>
            </w: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4EB02F4B">
            <w:pPr>
              <w:keepNext w:val="0"/>
              <w:keepLines w:val="0"/>
              <w:suppressLineNumbers w:val="0"/>
              <w:spacing w:before="0" w:beforeAutospacing="0" w:after="0" w:afterAutospacing="0"/>
              <w:ind w:left="0" w:right="0"/>
              <w:rPr>
                <w:rFonts w:hint="default"/>
                <w:color w:val="auto"/>
                <w:highlight w:val="none"/>
              </w:rPr>
            </w:pPr>
            <w:r>
              <w:rPr>
                <w:rFonts w:hint="eastAsia" w:ascii="宋体" w:hAnsi="宋体" w:eastAsia="宋体" w:cs="宋体"/>
                <w:color w:val="auto"/>
                <w:kern w:val="2"/>
                <w:sz w:val="21"/>
                <w:szCs w:val="21"/>
                <w:highlight w:val="none"/>
                <w:lang w:val="en-US" w:eastAsia="zh-CN" w:bidi="ar"/>
              </w:rPr>
              <w:t>22.4 措施项目的实施要求须满足《广州市重点公共建设项目管理办公室建设项目环境管理文明施工标准》、《建筑施工安全检查标准》（JGJ59-2011）、《建设工程施工现场环境与卫生标准》（JGJ146-2013）、广东省建设厅转发建设部关于印发《建筑工程安全防护、文明施工措施费用及使用管理规定》的通知（粤建管字[2005]116 号）、关于印发《广东省建设厅建筑工程安全防护、文明施工措施费用管理办法》的通知（粤建管字[2007]39 号）、关于印发《广州市建设工程现场文明施</w:t>
            </w:r>
          </w:p>
          <w:p w14:paraId="348E9185">
            <w:pPr>
              <w:keepNext w:val="0"/>
              <w:keepLines w:val="0"/>
              <w:suppressLineNumbers w:val="0"/>
              <w:spacing w:before="0" w:beforeAutospacing="0" w:after="0" w:afterAutospacing="0"/>
              <w:ind w:left="0" w:right="0"/>
              <w:rPr>
                <w:rFonts w:hint="default"/>
                <w:color w:val="auto"/>
                <w:highlight w:val="none"/>
              </w:rPr>
            </w:pPr>
            <w:r>
              <w:rPr>
                <w:rFonts w:hint="eastAsia" w:ascii="宋体" w:hAnsi="宋体" w:eastAsia="宋体" w:cs="宋体"/>
                <w:color w:val="auto"/>
                <w:kern w:val="2"/>
                <w:sz w:val="21"/>
                <w:szCs w:val="21"/>
                <w:highlight w:val="none"/>
                <w:lang w:val="en-US" w:eastAsia="zh-CN" w:bidi="ar"/>
              </w:rPr>
              <w:t>工管理办法》的通知（穗建质[2008]937 号）、《关于印发&lt;广州市建设工程施工现场消防安全管理规定&gt;的通知》（穗建质[2011]617 号）、《广州市建设工程文明施工管理规定》（广州市政府2011年第62号令）、《广州市提升建设工程安全文明施工管理</w:t>
            </w:r>
          </w:p>
          <w:p w14:paraId="5A79741D">
            <w:pPr>
              <w:pStyle w:val="14"/>
              <w:keepNext w:val="0"/>
              <w:keepLines w:val="0"/>
              <w:widowControl w:val="0"/>
              <w:suppressLineNumbers w:val="0"/>
              <w:adjustRightInd w:val="0"/>
              <w:snapToGrid w:val="0"/>
              <w:spacing w:before="0" w:beforeAutospacing="1" w:after="0" w:afterAutospacing="1" w:line="266" w:lineRule="auto"/>
              <w:ind w:left="0" w:right="0"/>
              <w:jc w:val="both"/>
              <w:outlineLvl w:val="4"/>
              <w:rPr>
                <w:rFonts w:hint="eastAsia" w:ascii="宋体" w:hAnsi="Courier New" w:eastAsia="宋体" w:cs="Times New Roman"/>
                <w:color w:val="auto"/>
                <w:kern w:val="0"/>
                <w:sz w:val="20"/>
                <w:szCs w:val="20"/>
                <w:highlight w:val="none"/>
              </w:rPr>
            </w:pPr>
            <w:r>
              <w:rPr>
                <w:rFonts w:hint="eastAsia" w:ascii="宋体" w:hAnsi="宋体" w:eastAsia="宋体" w:cs="宋体"/>
                <w:color w:val="auto"/>
                <w:kern w:val="2"/>
                <w:sz w:val="21"/>
                <w:szCs w:val="21"/>
                <w:highlight w:val="none"/>
                <w:lang w:val="en-US" w:eastAsia="zh-CN" w:bidi="ar"/>
              </w:rPr>
              <w:t>水平的工作指引》（穗建质[2017]815 号）、《广州市住房和城乡建设局关印发广州市建设工程安全文明施工规程（试行版）的通知》（穗建质〔2021) 316 号）、《广东省建筑垃圾管理条例》（广东省第十三届人民代表大会常务委员会公告第126号）等及发包人制定的相关规定的要求</w:t>
            </w:r>
          </w:p>
        </w:tc>
      </w:tr>
      <w:tr w14:paraId="0D4E5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41931C">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15</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47F67F02">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25.8</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7DF61131">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center"/>
          </w:tcPr>
          <w:p w14:paraId="66194531">
            <w:pPr>
              <w:pStyle w:val="14"/>
              <w:keepNext w:val="0"/>
              <w:keepLines w:val="0"/>
              <w:widowControl w:val="0"/>
              <w:suppressLineNumbers w:val="0"/>
              <w:adjustRightInd w:val="0"/>
              <w:snapToGrid w:val="0"/>
              <w:spacing w:before="0" w:beforeAutospacing="1" w:after="0" w:afterAutospacing="1" w:line="266" w:lineRule="auto"/>
              <w:ind w:left="0" w:right="0"/>
              <w:jc w:val="both"/>
              <w:outlineLvl w:val="4"/>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25.8本项目执行国家和省有关计价规范（《建设工程工程量清单计价规范（GB50500-2013）》）、《广东省住房和城乡建设厅关于营业税改征增值税后调整广东省建设工程计价依据的通知》（粤建市函[2016]1113号）和《广州市建设工程造价管理站关于营业税改征增值税后广州市建设工程计价有关问题的通知》（穗建造价[2016]31号）。</w:t>
            </w: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2DAD314B">
            <w:pPr>
              <w:keepNext w:val="0"/>
              <w:keepLines w:val="0"/>
              <w:widowControl w:val="0"/>
              <w:suppressLineNumbers w:val="0"/>
              <w:adjustRightInd w:val="0"/>
              <w:snapToGrid w:val="0"/>
              <w:spacing w:before="0" w:beforeAutospacing="0" w:after="0" w:afterAutospacing="0" w:line="266" w:lineRule="auto"/>
              <w:ind w:left="0" w:right="0"/>
              <w:jc w:val="both"/>
              <w:outlineLvl w:val="4"/>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25.8本项目执行国家和省有关计价规范（《建设工程工程量清单计价规范（GB50500-2013）》）、《广东省住房和城乡建设厅关于营业税改征增值税后调整广东省建设工程计价依据的通知》（粤建市函[2016]1113号）和《广东省住房和城乡建设厅关于印发&lt;广东省建设工程计价依据（2018）&gt;的通知》（粤建市[2019]6号）。</w:t>
            </w:r>
          </w:p>
        </w:tc>
      </w:tr>
      <w:tr w14:paraId="38439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8"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68601E">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16</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27BB3CE8">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25.10</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351EEFA2">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center"/>
          </w:tcPr>
          <w:p w14:paraId="7117AE22">
            <w:pPr>
              <w:keepNext w:val="0"/>
              <w:keepLines w:val="0"/>
              <w:widowControl/>
              <w:suppressLineNumbers w:val="0"/>
              <w:spacing w:before="0" w:beforeAutospacing="0" w:after="0" w:afterAutospacing="0"/>
              <w:ind w:left="0" w:right="0"/>
              <w:jc w:val="left"/>
              <w:textAlignment w:val="center"/>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25.10非承包人原因引起的分部分项工程量变化，其综合单价的调整原则：</w:t>
            </w:r>
            <w:r>
              <w:rPr>
                <w:rFonts w:hint="eastAsia" w:ascii="宋体" w:hAnsi="宋体" w:eastAsia="宋体" w:cs="宋体"/>
                <w:color w:val="auto"/>
                <w:kern w:val="0"/>
                <w:sz w:val="21"/>
                <w:szCs w:val="21"/>
                <w:highlight w:val="none"/>
                <w:lang w:val="en-US" w:eastAsia="zh-CN" w:bidi="ar"/>
              </w:rPr>
              <w:br w:type="textWrapping"/>
            </w:r>
            <w:r>
              <w:rPr>
                <w:rFonts w:hint="eastAsia" w:ascii="宋体" w:hAnsi="宋体" w:eastAsia="宋体" w:cs="宋体"/>
                <w:color w:val="auto"/>
                <w:kern w:val="0"/>
                <w:sz w:val="21"/>
                <w:szCs w:val="21"/>
                <w:highlight w:val="none"/>
                <w:lang w:val="en-US" w:eastAsia="zh-CN" w:bidi="ar"/>
              </w:rPr>
              <w:t>（1）对任一分部分项工程的清单项目，如结算工程量与招标工程量相比变化幅度在10%以内时，其综合单价不做调整，执行原有合同综合单价。</w:t>
            </w:r>
            <w:r>
              <w:rPr>
                <w:rFonts w:hint="eastAsia" w:ascii="宋体" w:hAnsi="宋体" w:eastAsia="宋体" w:cs="宋体"/>
                <w:color w:val="auto"/>
                <w:kern w:val="0"/>
                <w:sz w:val="21"/>
                <w:szCs w:val="21"/>
                <w:highlight w:val="none"/>
                <w:lang w:val="en-US" w:eastAsia="zh-CN" w:bidi="ar"/>
              </w:rPr>
              <w:br w:type="textWrapping"/>
            </w:r>
            <w:r>
              <w:rPr>
                <w:rFonts w:hint="eastAsia" w:ascii="宋体" w:hAnsi="宋体" w:eastAsia="宋体" w:cs="宋体"/>
                <w:color w:val="auto"/>
                <w:kern w:val="0"/>
                <w:sz w:val="21"/>
                <w:szCs w:val="21"/>
                <w:highlight w:val="none"/>
                <w:lang w:val="en-US" w:eastAsia="zh-CN" w:bidi="ar"/>
              </w:rPr>
              <w:t>（2）对任一分部分项工程的清单项目，如结算工程量与招标工程量相比变化幅度在10%以外，且该清单项目原综合单价＞(1+100%)×基准价（基准价指以合同约定的合同外新增项目计价规定核算的综合单价，下同），或原综合单价＜(1-50%)×基准价，对超过招标工程量10%以外部分（如超过11%，只对1%的部分进行调整）其综合单价按基准价进行调整和结算。</w:t>
            </w: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33CC92C7">
            <w:pPr>
              <w:keepNext w:val="0"/>
              <w:keepLines w:val="0"/>
              <w:widowControl/>
              <w:suppressLineNumbers w:val="0"/>
              <w:spacing w:before="0" w:beforeAutospacing="0" w:after="0" w:afterAutospacing="0"/>
              <w:ind w:left="0" w:right="0"/>
              <w:jc w:val="left"/>
              <w:textAlignment w:val="center"/>
              <w:rPr>
                <w:rFonts w:hint="eastAsia" w:ascii="宋体" w:hAnsi="宋体" w:eastAsia="宋体" w:cs="仿宋"/>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25.10非承包人原因引起的分部分项工程量变化，其综合单价的调整原则：</w:t>
            </w:r>
            <w:r>
              <w:rPr>
                <w:rFonts w:hint="eastAsia" w:ascii="宋体" w:hAnsi="宋体" w:eastAsia="宋体" w:cs="宋体"/>
                <w:color w:val="auto"/>
                <w:kern w:val="2"/>
                <w:sz w:val="21"/>
                <w:szCs w:val="21"/>
                <w:highlight w:val="none"/>
                <w:lang w:val="en-US" w:eastAsia="zh-CN" w:bidi="ar"/>
              </w:rPr>
              <w:br w:type="textWrapping"/>
            </w:r>
            <w:r>
              <w:rPr>
                <w:rFonts w:hint="eastAsia" w:ascii="宋体" w:hAnsi="宋体" w:eastAsia="宋体" w:cs="宋体"/>
                <w:color w:val="auto"/>
                <w:kern w:val="2"/>
                <w:sz w:val="21"/>
                <w:szCs w:val="21"/>
                <w:highlight w:val="none"/>
                <w:lang w:val="en-US" w:eastAsia="zh-CN" w:bidi="ar"/>
              </w:rPr>
              <w:t>（1）对任一分部分项工程的清单项目，如结算工程量与招标工程量相比变化幅度在10%以内时，其综合单价不做调整，执行原有合同综合单价。</w:t>
            </w:r>
            <w:r>
              <w:rPr>
                <w:rFonts w:hint="eastAsia" w:ascii="宋体" w:hAnsi="宋体" w:eastAsia="宋体" w:cs="宋体"/>
                <w:color w:val="auto"/>
                <w:kern w:val="2"/>
                <w:sz w:val="21"/>
                <w:szCs w:val="21"/>
                <w:highlight w:val="none"/>
                <w:lang w:val="en-US" w:eastAsia="zh-CN" w:bidi="ar"/>
              </w:rPr>
              <w:br w:type="textWrapping"/>
            </w:r>
            <w:r>
              <w:rPr>
                <w:rFonts w:hint="eastAsia" w:ascii="宋体" w:hAnsi="宋体" w:eastAsia="宋体" w:cs="宋体"/>
                <w:color w:val="auto"/>
                <w:kern w:val="2"/>
                <w:sz w:val="21"/>
                <w:szCs w:val="21"/>
                <w:highlight w:val="none"/>
                <w:lang w:val="en-US" w:eastAsia="zh-CN" w:bidi="ar"/>
              </w:rPr>
              <w:t>（2）对任一分部分项工程的清单项目，如结算工程量与招标工程量相比变化幅度在10%以外，且该清单项目原综合单价＞(1+</w:t>
            </w:r>
            <w:r>
              <w:rPr>
                <w:rFonts w:hint="eastAsia" w:ascii="宋体" w:hAnsi="宋体" w:eastAsia="宋体" w:cs="宋体"/>
                <w:b/>
                <w:bCs w:val="0"/>
                <w:color w:val="auto"/>
                <w:kern w:val="2"/>
                <w:sz w:val="21"/>
                <w:szCs w:val="21"/>
                <w:highlight w:val="none"/>
                <w:u w:val="single"/>
                <w:lang w:val="en-US" w:eastAsia="zh-CN" w:bidi="ar"/>
              </w:rPr>
              <w:t>50%</w:t>
            </w:r>
            <w:r>
              <w:rPr>
                <w:rFonts w:hint="eastAsia" w:ascii="宋体" w:hAnsi="宋体" w:eastAsia="宋体" w:cs="宋体"/>
                <w:color w:val="auto"/>
                <w:kern w:val="2"/>
                <w:sz w:val="21"/>
                <w:szCs w:val="21"/>
                <w:highlight w:val="none"/>
                <w:lang w:val="en-US" w:eastAsia="zh-CN" w:bidi="ar"/>
              </w:rPr>
              <w:t>)×基准价（基准价指以合同约定的合同外新增项目计价规定核算的综合单价，下同），或原综合单价＜(1-50%)×基准价，对超过招标工程量10%以外部分（如超过11%，只对1%的部分进行调整）其综合单价按基准价进行调整和结算。</w:t>
            </w:r>
          </w:p>
        </w:tc>
      </w:tr>
      <w:tr w14:paraId="6FF78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8"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BC789B">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16</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50D5BD58">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25.11</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524E423E">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center"/>
          </w:tcPr>
          <w:p w14:paraId="290683A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25.11投标文件有漏项的，在签订合同时，漏项项目清单工程量以招标工程量清单和清单修正项为依据计列，漏项项目综合单价按该【前3名中标候选人】相应投标单价平均值计列，形成漏项项目工程量清单作为合同附件；在工程结算时，按施工实际工程数量减漏项项目招标工程数量计算增减工程量，增减工程量乘以上述综合单价作为漏项项目结算款。 </w:t>
            </w: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3ED75958">
            <w:pPr>
              <w:keepNext w:val="0"/>
              <w:keepLines w:val="0"/>
              <w:widowControl/>
              <w:suppressLineNumbers w:val="0"/>
              <w:spacing w:before="0" w:beforeAutospacing="0" w:after="0" w:afterAutospacing="0"/>
              <w:ind w:left="0" w:right="0" w:firstLine="420"/>
              <w:jc w:val="left"/>
              <w:textAlignment w:val="center"/>
              <w:rPr>
                <w:rFonts w:hint="eastAsia" w:ascii="宋体" w:hAnsi="宋体" w:eastAsia="宋体" w:cs="宋体"/>
                <w:bCs w:val="0"/>
                <w:color w:val="auto"/>
                <w:kern w:val="0"/>
                <w:sz w:val="21"/>
                <w:szCs w:val="21"/>
                <w:highlight w:val="none"/>
                <w:u w:val="single"/>
              </w:rPr>
            </w:pPr>
            <w:r>
              <w:rPr>
                <w:rFonts w:hint="eastAsia" w:ascii="宋体" w:hAnsi="宋体" w:eastAsia="宋体" w:cs="宋体"/>
                <w:bCs w:val="0"/>
                <w:color w:val="auto"/>
                <w:kern w:val="0"/>
                <w:sz w:val="21"/>
                <w:szCs w:val="21"/>
                <w:highlight w:val="none"/>
                <w:u w:val="single"/>
                <w:lang w:val="en-US" w:eastAsia="zh-CN" w:bidi="ar"/>
              </w:rPr>
              <w:t>25.11投标文件有漏项的，在签订合同时，漏项项目清单工程量以招标工程量清单和清单修正项为依据计列，漏项项目综合单价按该项目【第2、3名中标候选人】相应投标单价平均值计列，形成漏项项目工程量清单作为合同附件；在工程结算时，按施工实际工程数量减漏项项目招标工程数量计算增减工程量，增减工程量乘以上述综合单价作为漏项项目结算款。</w:t>
            </w:r>
          </w:p>
          <w:p w14:paraId="617B75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1"/>
                <w:szCs w:val="21"/>
                <w:highlight w:val="none"/>
              </w:rPr>
            </w:pPr>
          </w:p>
        </w:tc>
      </w:tr>
      <w:tr w14:paraId="56FC9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8"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3691E4">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17</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58CF9636">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26.1</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3B86F227">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bottom"/>
          </w:tcPr>
          <w:p w14:paraId="7EF0A4A8">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0"/>
                <w:sz w:val="21"/>
                <w:szCs w:val="21"/>
                <w:highlight w:val="none"/>
              </w:rPr>
            </w:pPr>
            <w:r>
              <w:rPr>
                <w:rFonts w:hint="default" w:ascii="Calibri" w:hAnsi="Calibri" w:eastAsia="宋体" w:cs="Times New Roman"/>
                <w:color w:val="auto"/>
                <w:kern w:val="2"/>
                <w:sz w:val="21"/>
                <w:szCs w:val="21"/>
                <w:highlight w:val="none"/>
                <w:lang w:val="en-US" w:eastAsia="zh-CN" w:bidi="ar"/>
              </w:rPr>
              <w:t>26.1</w:t>
            </w:r>
            <w:r>
              <w:rPr>
                <w:rFonts w:hint="eastAsia" w:ascii="宋体" w:hAnsi="宋体" w:eastAsia="宋体" w:cs="宋体"/>
                <w:color w:val="auto"/>
                <w:kern w:val="2"/>
                <w:sz w:val="21"/>
                <w:szCs w:val="21"/>
                <w:highlight w:val="none"/>
                <w:lang w:val="en-US" w:eastAsia="zh-CN" w:bidi="ar"/>
              </w:rPr>
              <w:t>承包人按招标文件及合同专用条款第</w:t>
            </w:r>
            <w:r>
              <w:rPr>
                <w:rFonts w:hint="default" w:ascii="Calibri" w:hAnsi="Calibri" w:eastAsia="宋体" w:cs="Times New Roman"/>
                <w:color w:val="auto"/>
                <w:kern w:val="2"/>
                <w:sz w:val="21"/>
                <w:szCs w:val="21"/>
                <w:highlight w:val="none"/>
                <w:lang w:val="en-US" w:eastAsia="zh-CN" w:bidi="ar"/>
              </w:rPr>
              <w:t>44</w:t>
            </w:r>
            <w:r>
              <w:rPr>
                <w:rFonts w:hint="eastAsia" w:ascii="宋体" w:hAnsi="宋体" w:eastAsia="宋体" w:cs="宋体"/>
                <w:color w:val="auto"/>
                <w:kern w:val="2"/>
                <w:sz w:val="21"/>
                <w:szCs w:val="21"/>
                <w:highlight w:val="none"/>
                <w:lang w:val="en-US" w:eastAsia="zh-CN" w:bidi="ar"/>
              </w:rPr>
              <w:t>条的要求提交履约银行保函且本合同签订后，承包人提交工程预付款申请书，发包人收到后</w:t>
            </w:r>
            <w:r>
              <w:rPr>
                <w:rFonts w:hint="default" w:ascii="Calibri" w:hAnsi="Calibri" w:eastAsia="宋体" w:cs="Times New Roman"/>
                <w:color w:val="auto"/>
                <w:kern w:val="2"/>
                <w:sz w:val="21"/>
                <w:szCs w:val="21"/>
                <w:highlight w:val="none"/>
                <w:lang w:val="en-US" w:eastAsia="zh-CN" w:bidi="ar"/>
              </w:rPr>
              <w:t>14</w:t>
            </w:r>
            <w:r>
              <w:rPr>
                <w:rFonts w:hint="eastAsia" w:ascii="宋体" w:hAnsi="宋体" w:eastAsia="宋体" w:cs="宋体"/>
                <w:color w:val="auto"/>
                <w:kern w:val="2"/>
                <w:sz w:val="21"/>
                <w:szCs w:val="21"/>
                <w:highlight w:val="none"/>
                <w:lang w:val="en-US" w:eastAsia="zh-CN" w:bidi="ar"/>
              </w:rPr>
              <w:t>天内向承包人支付分部分项工程量清单计价的（</w:t>
            </w:r>
            <w:r>
              <w:rPr>
                <w:rFonts w:hint="eastAsia" w:ascii="宋体" w:hAnsi="宋体" w:eastAsia="宋体" w:cs="宋体"/>
                <w:b/>
                <w:bCs w:val="0"/>
                <w:color w:val="auto"/>
                <w:kern w:val="2"/>
                <w:sz w:val="21"/>
                <w:szCs w:val="21"/>
                <w:highlight w:val="none"/>
                <w:lang w:val="en-US" w:eastAsia="zh-CN" w:bidi="ar"/>
              </w:rPr>
              <w:t>□</w:t>
            </w:r>
            <w:r>
              <w:rPr>
                <w:rFonts w:hint="default" w:ascii="Calibri" w:hAnsi="Calibri" w:eastAsia="宋体" w:cs="Times New Roman"/>
                <w:color w:val="auto"/>
                <w:kern w:val="2"/>
                <w:sz w:val="21"/>
                <w:szCs w:val="21"/>
                <w:highlight w:val="none"/>
                <w:lang w:val="en-US" w:eastAsia="zh-CN" w:bidi="ar"/>
              </w:rPr>
              <w:t xml:space="preserve"> 0%</w:t>
            </w: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b/>
                <w:bCs w:val="0"/>
                <w:color w:val="auto"/>
                <w:kern w:val="2"/>
                <w:sz w:val="21"/>
                <w:szCs w:val="21"/>
                <w:highlight w:val="none"/>
                <w:lang w:val="en-US" w:eastAsia="zh-CN" w:bidi="ar"/>
              </w:rPr>
              <w:t>□</w:t>
            </w:r>
            <w:r>
              <w:rPr>
                <w:rFonts w:hint="default" w:ascii="Calibri" w:hAnsi="Calibri" w:eastAsia="宋体" w:cs="Times New Roman"/>
                <w:color w:val="auto"/>
                <w:kern w:val="2"/>
                <w:sz w:val="21"/>
                <w:szCs w:val="21"/>
                <w:highlight w:val="none"/>
                <w:lang w:val="en-US" w:eastAsia="zh-CN" w:bidi="ar"/>
              </w:rPr>
              <w:t xml:space="preserve"> 5%</w:t>
            </w: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b/>
                <w:bCs w:val="0"/>
                <w:color w:val="auto"/>
                <w:kern w:val="2"/>
                <w:sz w:val="21"/>
                <w:szCs w:val="21"/>
                <w:highlight w:val="none"/>
                <w:lang w:val="en-US" w:eastAsia="zh-CN" w:bidi="ar"/>
              </w:rPr>
              <w:t>□</w:t>
            </w:r>
            <w:r>
              <w:rPr>
                <w:rFonts w:hint="default" w:ascii="Calibri" w:hAnsi="Calibri" w:eastAsia="宋体" w:cs="Times New Roman"/>
                <w:color w:val="auto"/>
                <w:kern w:val="2"/>
                <w:sz w:val="21"/>
                <w:szCs w:val="21"/>
                <w:highlight w:val="none"/>
                <w:lang w:val="en-US" w:eastAsia="zh-CN" w:bidi="ar"/>
              </w:rPr>
              <w:t xml:space="preserve"> 10%</w:t>
            </w: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b/>
                <w:bCs w:val="0"/>
                <w:color w:val="auto"/>
                <w:kern w:val="2"/>
                <w:sz w:val="21"/>
                <w:szCs w:val="21"/>
                <w:highlight w:val="none"/>
                <w:lang w:val="en-US" w:eastAsia="zh-CN" w:bidi="ar"/>
              </w:rPr>
              <w:t>□</w:t>
            </w:r>
            <w:r>
              <w:rPr>
                <w:rFonts w:hint="default" w:ascii="Calibri" w:hAnsi="Calibri" w:eastAsia="宋体" w:cs="Times New Roman"/>
                <w:color w:val="auto"/>
                <w:kern w:val="2"/>
                <w:sz w:val="21"/>
                <w:szCs w:val="21"/>
                <w:highlight w:val="none"/>
                <w:lang w:val="en-US" w:eastAsia="zh-CN" w:bidi="ar"/>
              </w:rPr>
              <w:t xml:space="preserve"> 15%</w:t>
            </w:r>
            <w:r>
              <w:rPr>
                <w:rFonts w:hint="eastAsia" w:ascii="宋体" w:hAnsi="宋体" w:eastAsia="宋体" w:cs="宋体"/>
                <w:color w:val="auto"/>
                <w:kern w:val="2"/>
                <w:sz w:val="21"/>
                <w:szCs w:val="21"/>
                <w:highlight w:val="none"/>
                <w:lang w:val="en-US" w:eastAsia="zh-CN" w:bidi="ar"/>
              </w:rPr>
              <w:t>）作为工程预付款，并从工程预付款中扣除已含在合同价款中但由发包人预交的款项及承包人的相关人员（包括项目经理、技术负责人、专职安全员、造价人员及资料员）现场组织实施管理费（以下简称“现场组织实施管理费”）的</w:t>
            </w:r>
            <w:r>
              <w:rPr>
                <w:rFonts w:hint="default" w:ascii="Calibri" w:hAnsi="Calibri" w:eastAsia="宋体" w:cs="Times New Roman"/>
                <w:color w:val="auto"/>
                <w:kern w:val="2"/>
                <w:sz w:val="21"/>
                <w:szCs w:val="21"/>
                <w:highlight w:val="none"/>
                <w:lang w:val="en-US" w:eastAsia="zh-CN" w:bidi="ar"/>
              </w:rPr>
              <w:t>50%</w:t>
            </w: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若有</w:t>
            </w:r>
            <w:r>
              <w:rPr>
                <w:rFonts w:hint="eastAsia" w:ascii="宋体" w:hAnsi="宋体" w:eastAsia="宋体" w:cs="宋体"/>
                <w:b/>
                <w:bCs w:val="0"/>
                <w:color w:val="auto"/>
                <w:kern w:val="2"/>
                <w:sz w:val="21"/>
                <w:szCs w:val="21"/>
                <w:highlight w:val="none"/>
                <w:lang w:val="en-US" w:eastAsia="zh-CN" w:bidi="ar"/>
              </w:rPr>
              <w:t>□</w:t>
            </w:r>
            <w:r>
              <w:rPr>
                <w:rFonts w:hint="default" w:ascii="Calibri" w:hAnsi="Calibri" w:eastAsia="宋体" w:cs="Times New Roman"/>
                <w:b/>
                <w:bCs w:val="0"/>
                <w:color w:val="auto"/>
                <w:kern w:val="2"/>
                <w:sz w:val="21"/>
                <w:szCs w:val="21"/>
                <w:highlight w:val="none"/>
                <w:lang w:val="en-US" w:eastAsia="zh-CN" w:bidi="ar"/>
              </w:rPr>
              <w:t> </w:t>
            </w:r>
            <w:r>
              <w:rPr>
                <w:rFonts w:hint="eastAsia" w:ascii="宋体" w:hAnsi="宋体" w:eastAsia="宋体" w:cs="宋体"/>
                <w:color w:val="auto"/>
                <w:kern w:val="2"/>
                <w:sz w:val="21"/>
                <w:szCs w:val="21"/>
                <w:highlight w:val="none"/>
                <w:lang w:val="en-US" w:eastAsia="zh-CN" w:bidi="ar"/>
              </w:rPr>
              <w:t>甲招乙供材料设备和</w:t>
            </w:r>
            <w:r>
              <w:rPr>
                <w:rFonts w:hint="eastAsia" w:ascii="宋体" w:hAnsi="宋体" w:eastAsia="宋体" w:cs="宋体"/>
                <w:b/>
                <w:bCs w:val="0"/>
                <w:color w:val="auto"/>
                <w:kern w:val="2"/>
                <w:sz w:val="21"/>
                <w:szCs w:val="21"/>
                <w:highlight w:val="none"/>
                <w:lang w:val="en-US" w:eastAsia="zh-CN" w:bidi="ar"/>
              </w:rPr>
              <w:t>□</w:t>
            </w:r>
            <w:r>
              <w:rPr>
                <w:rFonts w:hint="default" w:ascii="Calibri" w:hAnsi="Calibri" w:eastAsia="宋体" w:cs="Times New Roman"/>
                <w:b/>
                <w:bCs w:val="0"/>
                <w:color w:val="auto"/>
                <w:kern w:val="2"/>
                <w:sz w:val="21"/>
                <w:szCs w:val="21"/>
                <w:highlight w:val="none"/>
                <w:lang w:val="en-US" w:eastAsia="zh-CN" w:bidi="ar"/>
              </w:rPr>
              <w:t> </w:t>
            </w:r>
            <w:r>
              <w:rPr>
                <w:rFonts w:hint="eastAsia" w:ascii="宋体" w:hAnsi="宋体" w:eastAsia="宋体" w:cs="宋体"/>
                <w:color w:val="auto"/>
                <w:kern w:val="2"/>
                <w:sz w:val="21"/>
                <w:szCs w:val="21"/>
                <w:highlight w:val="none"/>
                <w:lang w:val="en-US" w:eastAsia="zh-CN" w:bidi="ar"/>
              </w:rPr>
              <w:t>甲管乙供材料设备的，按分部分项工程量报价清单一定比例计算的工程预付款已包含甲招乙供材料设备和甲管乙供材料设备款，并须按本条第</w:t>
            </w:r>
            <w:r>
              <w:rPr>
                <w:rFonts w:hint="default" w:ascii="Calibri" w:hAnsi="Calibri" w:eastAsia="宋体" w:cs="Times New Roman"/>
                <w:color w:val="auto"/>
                <w:kern w:val="2"/>
                <w:sz w:val="21"/>
                <w:szCs w:val="21"/>
                <w:highlight w:val="none"/>
                <w:lang w:val="en-US" w:eastAsia="zh-CN" w:bidi="ar"/>
              </w:rPr>
              <w:t>26.2</w:t>
            </w:r>
            <w:r>
              <w:rPr>
                <w:rFonts w:hint="eastAsia" w:ascii="宋体" w:hAnsi="宋体" w:eastAsia="宋体" w:cs="宋体"/>
                <w:color w:val="auto"/>
                <w:kern w:val="2"/>
                <w:sz w:val="21"/>
                <w:szCs w:val="21"/>
                <w:highlight w:val="none"/>
                <w:lang w:val="en-US" w:eastAsia="zh-CN" w:bidi="ar"/>
              </w:rPr>
              <w:t>款及</w:t>
            </w:r>
            <w:r>
              <w:rPr>
                <w:rFonts w:hint="default" w:ascii="Calibri" w:hAnsi="Calibri" w:eastAsia="宋体" w:cs="Times New Roman"/>
                <w:color w:val="auto"/>
                <w:kern w:val="2"/>
                <w:sz w:val="21"/>
                <w:szCs w:val="21"/>
                <w:highlight w:val="none"/>
                <w:lang w:val="en-US" w:eastAsia="zh-CN" w:bidi="ar"/>
              </w:rPr>
              <w:t>26.3</w:t>
            </w:r>
            <w:r>
              <w:rPr>
                <w:rFonts w:hint="eastAsia" w:ascii="宋体" w:hAnsi="宋体" w:eastAsia="宋体" w:cs="宋体"/>
                <w:color w:val="auto"/>
                <w:kern w:val="2"/>
                <w:sz w:val="21"/>
                <w:szCs w:val="21"/>
                <w:highlight w:val="none"/>
                <w:lang w:val="en-US" w:eastAsia="zh-CN" w:bidi="ar"/>
              </w:rPr>
              <w:t>款的约定一并考虑执行）。</w:t>
            </w:r>
            <w:r>
              <w:rPr>
                <w:rFonts w:hint="eastAsia" w:ascii="宋体" w:hAnsi="宋体" w:eastAsia="宋体" w:cs="宋体"/>
                <w:b/>
                <w:bCs w:val="0"/>
                <w:color w:val="auto"/>
                <w:kern w:val="2"/>
                <w:sz w:val="21"/>
                <w:szCs w:val="21"/>
                <w:highlight w:val="none"/>
                <w:lang w:val="en-US" w:eastAsia="zh-CN" w:bidi="ar"/>
              </w:rPr>
              <w:t>建筑业职工工伤保险费已包含在工程预付款中，发包人不另行支付。</w:t>
            </w: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235C1C60">
            <w:pPr>
              <w:keepNext w:val="0"/>
              <w:keepLines w:val="0"/>
              <w:widowControl w:val="0"/>
              <w:suppressLineNumbers w:val="0"/>
              <w:spacing w:before="0" w:beforeAutospacing="0" w:after="0" w:afterAutospacing="0"/>
              <w:ind w:left="0" w:right="0"/>
              <w:jc w:val="both"/>
              <w:rPr>
                <w:rFonts w:hint="default" w:ascii="Calibri" w:hAnsi="Calibri" w:eastAsia="宋体" w:cs="Times New Roman"/>
                <w:strike w:val="0"/>
                <w:dstrike/>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26.1</w:t>
            </w:r>
            <w:r>
              <w:rPr>
                <w:rFonts w:hint="eastAsia" w:ascii="宋体" w:hAnsi="宋体" w:eastAsia="宋体" w:cs="宋体"/>
                <w:color w:val="auto"/>
                <w:kern w:val="0"/>
                <w:sz w:val="21"/>
                <w:szCs w:val="21"/>
                <w:highlight w:val="none"/>
                <w:lang w:val="en-US" w:eastAsia="zh-CN" w:bidi="ar"/>
              </w:rPr>
              <w:t>承包人按招标文件及合同专用条款第44条的要求提交</w:t>
            </w:r>
            <w:r>
              <w:rPr>
                <w:rFonts w:hint="eastAsia" w:ascii="宋体" w:hAnsi="宋体" w:eastAsia="宋体" w:cs="宋体"/>
                <w:color w:val="auto"/>
                <w:kern w:val="0"/>
                <w:sz w:val="21"/>
                <w:szCs w:val="21"/>
                <w:highlight w:val="none"/>
                <w:u w:val="single"/>
                <w:lang w:val="en-US" w:eastAsia="zh-CN" w:bidi="ar"/>
              </w:rPr>
              <w:t>履约担保</w:t>
            </w:r>
            <w:r>
              <w:rPr>
                <w:rFonts w:hint="eastAsia" w:ascii="宋体" w:hAnsi="宋体" w:eastAsia="宋体" w:cs="宋体"/>
                <w:color w:val="auto"/>
                <w:kern w:val="0"/>
                <w:sz w:val="21"/>
                <w:szCs w:val="21"/>
                <w:highlight w:val="none"/>
                <w:lang w:val="en-US" w:eastAsia="zh-CN" w:bidi="ar"/>
              </w:rPr>
              <w:t>且本合同签订后，承包人提交工程预付款申请书，发包人收到后14天内向承包人支付分部分项工程量清单计价的</w:t>
            </w:r>
            <w:r>
              <w:rPr>
                <w:rFonts w:hint="eastAsia" w:ascii="宋体" w:hAnsi="宋体" w:eastAsia="宋体" w:cs="宋体"/>
                <w:color w:val="auto"/>
                <w:kern w:val="0"/>
                <w:sz w:val="21"/>
                <w:szCs w:val="21"/>
                <w:highlight w:val="none"/>
                <w:u w:val="single"/>
                <w:lang w:val="en-US" w:eastAsia="zh-CN" w:bidi="ar"/>
              </w:rPr>
              <w:t>20</w:t>
            </w:r>
            <w:r>
              <w:rPr>
                <w:rFonts w:hint="eastAsia" w:ascii="宋体" w:hAnsi="宋体" w:eastAsia="宋体" w:cs="宋体"/>
                <w:color w:val="auto"/>
                <w:kern w:val="0"/>
                <w:sz w:val="21"/>
                <w:szCs w:val="21"/>
                <w:highlight w:val="none"/>
                <w:lang w:val="en-US" w:eastAsia="zh-CN" w:bidi="ar"/>
              </w:rPr>
              <w:t>% (根据实际测算情况填写，可为15%、20%、25%、30%，最多不超过30%；如承包人为中小企业的，按前述基数计取的比例为30%），即</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元作为工程预付款</w:t>
            </w:r>
            <w:r>
              <w:rPr>
                <w:rFonts w:hint="eastAsia" w:ascii="宋体" w:hAnsi="宋体" w:eastAsia="宋体" w:cs="宋体"/>
                <w:color w:val="auto"/>
                <w:kern w:val="2"/>
                <w:sz w:val="21"/>
                <w:szCs w:val="21"/>
                <w:highlight w:val="none"/>
                <w:lang w:val="en-US" w:eastAsia="zh-CN" w:bidi="ar"/>
              </w:rPr>
              <w:t>（发包人有权根据项目资金落实情况进行分批支付工程预付款）；</w:t>
            </w:r>
            <w:r>
              <w:rPr>
                <w:rFonts w:hint="eastAsia" w:ascii="宋体" w:hAnsi="宋体" w:eastAsia="宋体" w:cs="宋体"/>
                <w:b/>
                <w:bCs w:val="0"/>
                <w:color w:val="auto"/>
                <w:kern w:val="2"/>
                <w:sz w:val="21"/>
                <w:szCs w:val="21"/>
                <w:highlight w:val="none"/>
                <w:lang w:val="en-US" w:eastAsia="zh-CN" w:bidi="ar"/>
              </w:rPr>
              <w:t>其中属于人工费用预付款部分的金额为本合同总价的1%，即</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元，一次性拨付到工人工资支付专用账户；</w:t>
            </w:r>
            <w:r>
              <w:rPr>
                <w:rFonts w:hint="eastAsia" w:ascii="宋体" w:hAnsi="宋体" w:eastAsia="宋体" w:cs="宋体"/>
                <w:color w:val="auto"/>
                <w:kern w:val="2"/>
                <w:sz w:val="21"/>
                <w:szCs w:val="21"/>
                <w:highlight w:val="none"/>
                <w:lang w:val="en-US" w:eastAsia="zh-CN" w:bidi="ar"/>
              </w:rPr>
              <w:t>并从工程预付款中扣除已含在合同价款中但由发包人预交的款项及承包人的相关人员（包括项目经理、技术负责人、专职安全员、×造价人员及资料员）现场组织实施管理费（以下简称“现场组织实施管理费”）</w:t>
            </w:r>
          </w:p>
          <w:p w14:paraId="3CCD9E53">
            <w:pPr>
              <w:keepNext w:val="0"/>
              <w:keepLines w:val="0"/>
              <w:widowControl/>
              <w:suppressLineNumbers w:val="0"/>
              <w:spacing w:before="0" w:beforeAutospacing="0" w:after="0" w:afterAutospacing="0"/>
              <w:ind w:left="0" w:right="0"/>
              <w:jc w:val="left"/>
              <w:rPr>
                <w:rFonts w:hint="eastAsia" w:ascii="宋体" w:hAnsi="Calibri" w:eastAsia="宋体" w:cs="仿宋"/>
                <w:b/>
                <w:bCs w:val="0"/>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宋体"/>
                <w:b/>
                <w:bCs w:val="0"/>
                <w:color w:val="auto"/>
                <w:kern w:val="2"/>
                <w:sz w:val="21"/>
                <w:szCs w:val="21"/>
                <w:highlight w:val="none"/>
                <w:lang w:val="en-US" w:eastAsia="zh-CN" w:bidi="ar"/>
              </w:rPr>
              <w:t>注：项目部可根据具体项目实际需要在不超过30%的范围内填选工程预付款比例，但应注意发包人向承包人实际支付的工程预付款金额（即扣除现场组织实施管理费后剩余的工程预付款金额）须不低于本合同总价的10%。】（此备注不作为合同正文）</w:t>
            </w:r>
          </w:p>
          <w:p w14:paraId="1106DBD5">
            <w:pPr>
              <w:keepNext w:val="0"/>
              <w:keepLines w:val="0"/>
              <w:widowControl w:val="0"/>
              <w:suppressLineNumbers w:val="0"/>
              <w:adjustRightInd w:val="0"/>
              <w:snapToGrid w:val="0"/>
              <w:spacing w:before="0" w:beforeAutospacing="0" w:after="0" w:afterAutospacing="0"/>
              <w:ind w:left="0" w:right="0" w:firstLine="411" w:firstLineChars="196"/>
              <w:jc w:val="both"/>
              <w:outlineLvl w:val="3"/>
              <w:rPr>
                <w:rFonts w:hint="eastAsia" w:ascii="宋体" w:hAnsi="Calibri" w:eastAsia="宋体" w:cs="仿宋"/>
                <w:b/>
                <w:bCs w:val="0"/>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若有×甲招乙供材料设备和×甲管乙供材料设备的，按分部分项工程量报价清单一定比例计算的工程预付款已包含甲招乙供材料设备和甲管乙供材料设备款，并须按本条第26.2款及26.3款的约定一并考虑执行）。建筑业职工工伤保险费已包含在工程预付款中，发包人不另行支付。</w:t>
            </w:r>
          </w:p>
          <w:p w14:paraId="750A73C7">
            <w:pPr>
              <w:keepNext w:val="0"/>
              <w:keepLines w:val="0"/>
              <w:widowControl w:val="0"/>
              <w:suppressLineNumbers w:val="0"/>
              <w:adjustRightInd w:val="0"/>
              <w:snapToGrid w:val="0"/>
              <w:spacing w:before="0" w:beforeAutospacing="0" w:after="0" w:afterAutospacing="0"/>
              <w:ind w:left="0" w:right="0"/>
              <w:jc w:val="both"/>
              <w:outlineLvl w:val="3"/>
              <w:rPr>
                <w:rFonts w:hint="eastAsia" w:ascii="宋体" w:hAnsi="Calibri" w:eastAsia="宋体" w:cs="仿宋"/>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承包人在收到发包人工程预付款后，应及时向作业班组、分包单位、供应商支付人工费用、备料款等相关费用。承包人如挪用预付款，或未及时向作业班组、分包单位、供应商支付人工费用、备料款导致工期延误的，发包人一经查实，承包人承担严重违约责任。</w:t>
            </w:r>
          </w:p>
        </w:tc>
      </w:tr>
      <w:tr w14:paraId="0D16E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8"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0166F0">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18</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7151AF90">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28.1（12）-2）</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4DD18755">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bottom"/>
          </w:tcPr>
          <w:p w14:paraId="62FF277F">
            <w:pPr>
              <w:keepNext w:val="0"/>
              <w:keepLines w:val="0"/>
              <w:widowControl w:val="0"/>
              <w:suppressLineNumbers w:val="0"/>
              <w:autoSpaceDE w:val="0"/>
              <w:autoSpaceDN w:val="0"/>
              <w:adjustRightInd w:val="0"/>
              <w:snapToGrid w:val="0"/>
              <w:spacing w:before="0" w:beforeAutospacing="0" w:after="0" w:afterAutospacing="0" w:line="264" w:lineRule="auto"/>
              <w:ind w:left="0" w:right="11"/>
              <w:jc w:val="both"/>
              <w:rPr>
                <w:rFonts w:hint="eastAsia" w:ascii="宋体" w:hAnsi="Calibri" w:eastAsia="宋体" w:cs="宋体"/>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本工程若不涉及防水工程的，工程竣工验收合格后满2年，且承包人在缺陷责任期内未出现违约情形，发包人应在收到承包人的款项申请手续且扣除应扣除款项后14天内将质量保证金（本合同结算定审金额的3%）无息支付给承包人。</w:t>
            </w:r>
          </w:p>
          <w:p w14:paraId="346FDF12">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本工程若涉及防水工程的，工程竣工验收合格后满2年，且承包人在工程缺陷责任期内未出现防水工程质量缺陷原因造成的渗水、漏水或其他违约情形，发包人应在收到承包人的款项申请手续且扣除应扣款项后14天内将质量保证金（本合同结算定审金额的3%）无息支付给承包人。</w:t>
            </w:r>
            <w:r>
              <w:rPr>
                <w:rFonts w:hint="eastAsia" w:ascii="宋体" w:hAnsi="宋体" w:eastAsia="宋体" w:cs="宋体"/>
                <w:color w:val="auto"/>
                <w:kern w:val="0"/>
                <w:sz w:val="21"/>
                <w:szCs w:val="21"/>
                <w:highlight w:val="none"/>
                <w:u w:val="single"/>
                <w:lang w:val="en-US" w:eastAsia="zh-CN" w:bidi="ar"/>
              </w:rPr>
              <w:t>承包人承诺按照本合同约定的质量标准和目标，确保防水工程质量。</w:t>
            </w:r>
            <w:r>
              <w:rPr>
                <w:rFonts w:hint="eastAsia" w:ascii="宋体" w:hAnsi="宋体" w:eastAsia="宋体" w:cs="宋体"/>
                <w:color w:val="auto"/>
                <w:kern w:val="0"/>
                <w:sz w:val="21"/>
                <w:szCs w:val="21"/>
                <w:highlight w:val="none"/>
                <w:lang w:val="en-US" w:eastAsia="zh-CN" w:bidi="ar"/>
              </w:rPr>
              <w:t>在缺陷责任期内，如出现因防水工程质量问题导致建筑物渗水、漏水的，经维修后同一部位再次发生渗漏的，或渗漏水严重造成业主单位（或使用单位）损失的，</w:t>
            </w:r>
            <w:r>
              <w:rPr>
                <w:rFonts w:hint="eastAsia" w:ascii="宋体" w:hAnsi="宋体" w:eastAsia="宋体" w:cs="宋体"/>
                <w:color w:val="auto"/>
                <w:kern w:val="0"/>
                <w:sz w:val="21"/>
                <w:szCs w:val="21"/>
                <w:highlight w:val="none"/>
                <w:u w:val="single"/>
                <w:lang w:val="en-US" w:eastAsia="zh-CN" w:bidi="ar"/>
              </w:rPr>
              <w:t>均视为承包人对该承诺的违反，</w:t>
            </w:r>
            <w:r>
              <w:rPr>
                <w:rFonts w:hint="eastAsia" w:ascii="宋体" w:hAnsi="宋体" w:eastAsia="宋体" w:cs="宋体"/>
                <w:color w:val="auto"/>
                <w:kern w:val="0"/>
                <w:sz w:val="21"/>
                <w:szCs w:val="21"/>
                <w:highlight w:val="none"/>
                <w:lang w:val="en-US" w:eastAsia="zh-CN" w:bidi="ar"/>
              </w:rPr>
              <w:t>每出现一次，承包人应按合同约定承担一次严重违约责任</w:t>
            </w:r>
            <w:r>
              <w:rPr>
                <w:rFonts w:hint="eastAsia" w:ascii="宋体" w:hAnsi="宋体" w:eastAsia="宋体" w:cs="宋体"/>
                <w:color w:val="auto"/>
                <w:kern w:val="0"/>
                <w:sz w:val="21"/>
                <w:szCs w:val="21"/>
                <w:highlight w:val="none"/>
                <w:u w:val="single"/>
                <w:lang w:val="en-US" w:eastAsia="zh-CN" w:bidi="ar"/>
              </w:rPr>
              <w:t>并承担业主单位（或使用单位）的损失，</w:t>
            </w:r>
            <w:r>
              <w:rPr>
                <w:rFonts w:hint="eastAsia" w:ascii="宋体" w:hAnsi="宋体" w:eastAsia="宋体" w:cs="宋体"/>
                <w:color w:val="auto"/>
                <w:kern w:val="0"/>
                <w:sz w:val="21"/>
                <w:szCs w:val="21"/>
                <w:highlight w:val="none"/>
                <w:lang w:val="en-US" w:eastAsia="zh-CN" w:bidi="ar"/>
              </w:rPr>
              <w:t>同时，</w:t>
            </w:r>
            <w:r>
              <w:rPr>
                <w:rFonts w:hint="eastAsia" w:ascii="宋体" w:hAnsi="宋体" w:eastAsia="宋体" w:cs="宋体"/>
                <w:color w:val="auto"/>
                <w:kern w:val="0"/>
                <w:sz w:val="21"/>
                <w:szCs w:val="21"/>
                <w:highlight w:val="none"/>
                <w:u w:val="single"/>
                <w:lang w:val="en-US" w:eastAsia="zh-CN" w:bidi="ar"/>
              </w:rPr>
              <w:t>承包人同意</w:t>
            </w:r>
            <w:r>
              <w:rPr>
                <w:rFonts w:hint="eastAsia" w:ascii="宋体" w:hAnsi="宋体" w:eastAsia="宋体" w:cs="宋体"/>
                <w:color w:val="auto"/>
                <w:kern w:val="0"/>
                <w:sz w:val="21"/>
                <w:szCs w:val="21"/>
                <w:highlight w:val="none"/>
                <w:lang w:val="en-US" w:eastAsia="zh-CN" w:bidi="ar"/>
              </w:rPr>
              <w:t>在缺陷责任期界满时发包人有权仅退还质量保证金的50%，剩余50%的质量保证金在防水工程质保期（5年）届满后再退还。</w:t>
            </w:r>
            <w:r>
              <w:rPr>
                <w:rFonts w:hint="eastAsia" w:ascii="宋体" w:hAnsi="Calibri" w:eastAsia="宋体" w:cs="Times New Roman"/>
                <w:color w:val="auto"/>
                <w:kern w:val="2"/>
                <w:sz w:val="21"/>
                <w:szCs w:val="21"/>
                <w:highlight w:val="none"/>
                <w:lang w:val="en-US" w:eastAsia="zh-CN" w:bidi="ar"/>
              </w:rPr>
              <w:br w:type="textWrapping"/>
            </w:r>
            <w:r>
              <w:rPr>
                <w:rFonts w:hint="eastAsia" w:ascii="宋体" w:hAnsi="宋体" w:eastAsia="宋体" w:cs="宋体"/>
                <w:color w:val="auto"/>
                <w:kern w:val="2"/>
                <w:sz w:val="21"/>
                <w:szCs w:val="21"/>
                <w:highlight w:val="none"/>
                <w:lang w:val="en-US" w:eastAsia="zh-CN" w:bidi="ar"/>
              </w:rPr>
              <w:t>结清工程尾款不豁免承包人继续按照本合同（含合同附件）约定应承担的保修责任。。</w:t>
            </w:r>
          </w:p>
          <w:p w14:paraId="4220AF54">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Calibri" w:hAnsi="Calibri" w:eastAsia="宋体" w:cs="Times New Roman"/>
                <w:color w:val="auto"/>
                <w:kern w:val="2"/>
                <w:sz w:val="21"/>
                <w:szCs w:val="21"/>
                <w:highlight w:val="none"/>
              </w:rPr>
            </w:pPr>
          </w:p>
        </w:tc>
        <w:tc>
          <w:tcPr>
            <w:tcW w:w="3577" w:type="dxa"/>
            <w:tcBorders>
              <w:top w:val="single" w:color="auto" w:sz="4" w:space="0"/>
              <w:left w:val="nil"/>
              <w:bottom w:val="single" w:color="auto" w:sz="4" w:space="0"/>
              <w:right w:val="single" w:color="auto" w:sz="4" w:space="0"/>
            </w:tcBorders>
            <w:shd w:val="clear" w:color="auto" w:fill="auto"/>
            <w:noWrap/>
            <w:vAlign w:val="bottom"/>
          </w:tcPr>
          <w:p w14:paraId="25B68DE0">
            <w:pPr>
              <w:keepNext w:val="0"/>
              <w:keepLines w:val="0"/>
              <w:widowControl w:val="0"/>
              <w:suppressLineNumbers w:val="0"/>
              <w:spacing w:before="0" w:beforeAutospacing="0" w:after="0" w:afterAutospacing="0"/>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本工程若不涉及防水工程的，工程竣工验收合格后满2年，且承包人在缺陷责任期内未出现违约情形，发包人应在收到承包人的款项申请手续且扣除应扣除款项后14天内将质量保证金（本合同结算定审金额的3%）无息支付给承包人。</w:t>
            </w:r>
          </w:p>
          <w:p w14:paraId="6932A465">
            <w:pPr>
              <w:keepNext w:val="0"/>
              <w:keepLines w:val="0"/>
              <w:widowControl w:val="0"/>
              <w:suppressLineNumbers w:val="0"/>
              <w:adjustRightInd w:val="0"/>
              <w:snapToGrid w:val="0"/>
              <w:spacing w:before="0" w:beforeAutospacing="0" w:after="0" w:afterAutospacing="0" w:line="266" w:lineRule="auto"/>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本工程若涉及防水工程的，工程竣工验收合格后满2年，</w:t>
            </w:r>
            <w:r>
              <w:rPr>
                <w:rFonts w:hint="eastAsia" w:ascii="宋体" w:hAnsi="宋体" w:eastAsia="宋体" w:cs="宋体"/>
                <w:b/>
                <w:bCs w:val="0"/>
                <w:color w:val="auto"/>
                <w:kern w:val="2"/>
                <w:sz w:val="21"/>
                <w:szCs w:val="21"/>
                <w:highlight w:val="none"/>
                <w:lang w:val="en-US" w:eastAsia="zh-CN" w:bidi="ar"/>
              </w:rPr>
              <w:t>承包人应按要求向发包人提交合同结算定审金额的3%的质保期银行履约保函（保函期限等同于防水工程质保期）</w:t>
            </w:r>
            <w:r>
              <w:rPr>
                <w:rFonts w:hint="eastAsia" w:ascii="宋体" w:hAnsi="宋体" w:eastAsia="宋体" w:cs="宋体"/>
                <w:color w:val="auto"/>
                <w:kern w:val="2"/>
                <w:sz w:val="21"/>
                <w:szCs w:val="21"/>
                <w:highlight w:val="none"/>
                <w:lang w:val="en-US" w:eastAsia="zh-CN" w:bidi="ar"/>
              </w:rPr>
              <w:t>，发包人应在收到</w:t>
            </w:r>
            <w:r>
              <w:rPr>
                <w:rFonts w:hint="eastAsia" w:ascii="宋体" w:hAnsi="宋体" w:eastAsia="宋体" w:cs="宋体"/>
                <w:b/>
                <w:bCs w:val="0"/>
                <w:color w:val="auto"/>
                <w:kern w:val="2"/>
                <w:sz w:val="21"/>
                <w:szCs w:val="21"/>
                <w:highlight w:val="none"/>
                <w:lang w:val="en-US" w:eastAsia="zh-CN" w:bidi="ar"/>
              </w:rPr>
              <w:t>质保期银行履约保函原件以及</w:t>
            </w:r>
            <w:r>
              <w:rPr>
                <w:rFonts w:hint="eastAsia" w:ascii="宋体" w:hAnsi="宋体" w:eastAsia="宋体" w:cs="宋体"/>
                <w:color w:val="auto"/>
                <w:kern w:val="2"/>
                <w:sz w:val="21"/>
                <w:szCs w:val="21"/>
                <w:highlight w:val="none"/>
                <w:lang w:val="en-US" w:eastAsia="zh-CN" w:bidi="ar"/>
              </w:rPr>
              <w:t>承包人的款项申请手续，扣除应扣款项</w:t>
            </w:r>
            <w:r>
              <w:rPr>
                <w:rFonts w:hint="eastAsia" w:ascii="宋体" w:hAnsi="宋体" w:eastAsia="宋体" w:cs="宋体"/>
                <w:b/>
                <w:bCs w:val="0"/>
                <w:color w:val="auto"/>
                <w:kern w:val="2"/>
                <w:sz w:val="21"/>
                <w:szCs w:val="21"/>
                <w:highlight w:val="none"/>
                <w:lang w:val="en-US" w:eastAsia="zh-CN" w:bidi="ar"/>
              </w:rPr>
              <w:t>且缺陷责任期届满</w:t>
            </w:r>
            <w:r>
              <w:rPr>
                <w:rFonts w:hint="eastAsia" w:ascii="宋体" w:hAnsi="宋体" w:eastAsia="宋体" w:cs="宋体"/>
                <w:color w:val="auto"/>
                <w:kern w:val="2"/>
                <w:sz w:val="21"/>
                <w:szCs w:val="21"/>
                <w:highlight w:val="none"/>
                <w:lang w:val="en-US" w:eastAsia="zh-CN" w:bidi="ar"/>
              </w:rPr>
              <w:t>后14天内将工程质量保证金（本合同结算定审金额的3%）无息支付给承包人。承包人承诺按照本合同约定的质量标准和目标，确保防水工程质量。在</w:t>
            </w:r>
            <w:r>
              <w:rPr>
                <w:rFonts w:hint="eastAsia" w:ascii="宋体" w:hAnsi="宋体" w:eastAsia="宋体" w:cs="宋体"/>
                <w:b/>
                <w:bCs w:val="0"/>
                <w:color w:val="auto"/>
                <w:kern w:val="2"/>
                <w:sz w:val="21"/>
                <w:szCs w:val="21"/>
                <w:highlight w:val="none"/>
                <w:lang w:val="en-US" w:eastAsia="zh-CN" w:bidi="ar"/>
              </w:rPr>
              <w:t>防水工程质量保修期</w:t>
            </w:r>
            <w:r>
              <w:rPr>
                <w:rFonts w:hint="eastAsia" w:ascii="宋体" w:hAnsi="宋体" w:eastAsia="宋体" w:cs="宋体"/>
                <w:color w:val="auto"/>
                <w:kern w:val="2"/>
                <w:sz w:val="21"/>
                <w:szCs w:val="21"/>
                <w:highlight w:val="none"/>
                <w:lang w:val="en-US" w:eastAsia="zh-CN" w:bidi="ar"/>
              </w:rPr>
              <w:t>内，如出现因防水工程质量问题导致建筑物渗水、漏水的，经维修后同一部位再次发生渗漏的，或渗漏水严重造成业主单位（或使用单位）损失的，均视为承包人对该承诺的违反，每出现1次，承包人应按合同约定承担1次严重违约责任，并赔偿业主单位（或使用单位）的损失；同时，</w:t>
            </w:r>
            <w:r>
              <w:rPr>
                <w:rFonts w:hint="eastAsia" w:ascii="宋体" w:hAnsi="宋体" w:eastAsia="宋体" w:cs="宋体"/>
                <w:b/>
                <w:bCs w:val="0"/>
                <w:color w:val="auto"/>
                <w:kern w:val="2"/>
                <w:sz w:val="21"/>
                <w:szCs w:val="21"/>
                <w:highlight w:val="none"/>
                <w:lang w:val="en-US" w:eastAsia="zh-CN" w:bidi="ar"/>
              </w:rPr>
              <w:t>在防水工程质保期（5年）届满后，承包人不存在违约情形或向发包人缴纳上述相关违约金及赔偿损失后，可向发包人申请退还质保期银行履约保函。</w:t>
            </w:r>
          </w:p>
          <w:p w14:paraId="594250D7">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结清工程尾款不豁免承包人继续按照本合同（含合同附件）约定应承担的保修责任。</w:t>
            </w:r>
          </w:p>
          <w:p w14:paraId="4E187F75">
            <w:pPr>
              <w:keepNext w:val="0"/>
              <w:keepLines w:val="0"/>
              <w:widowControl w:val="0"/>
              <w:suppressLineNumbers w:val="0"/>
              <w:spacing w:before="0" w:beforeAutospacing="0" w:after="0" w:afterAutospacing="0"/>
              <w:ind w:left="0" w:right="0"/>
              <w:jc w:val="both"/>
              <w:rPr>
                <w:rFonts w:hint="eastAsia" w:ascii="Calibri" w:hAnsi="Calibri" w:eastAsia="宋体" w:cs="Times New Roman"/>
                <w:color w:val="auto"/>
                <w:kern w:val="2"/>
                <w:sz w:val="21"/>
                <w:szCs w:val="21"/>
                <w:highlight w:val="none"/>
              </w:rPr>
            </w:pPr>
          </w:p>
        </w:tc>
      </w:tr>
      <w:tr w14:paraId="16D94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8"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552B9F">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19</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40EB52BF">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0"/>
                <w:sz w:val="24"/>
                <w:szCs w:val="24"/>
                <w:highlight w:val="none"/>
                <w:lang w:val="en-US" w:eastAsia="zh-CN" w:bidi="ar"/>
              </w:rPr>
              <w:t>28.2（1）</w:t>
            </w:r>
            <w:r>
              <w:rPr>
                <w:rFonts w:hint="eastAsia" w:ascii="宋体" w:hAnsi="宋体" w:eastAsia="宋体" w:cs="宋体"/>
                <w:color w:val="auto"/>
                <w:kern w:val="0"/>
                <w:sz w:val="21"/>
                <w:szCs w:val="21"/>
                <w:highlight w:val="none"/>
                <w:lang w:val="en-US" w:eastAsia="zh-CN" w:bidi="ar"/>
              </w:rPr>
              <w:t>2）</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2CC519FC">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center"/>
          </w:tcPr>
          <w:p w14:paraId="58EFE5EF">
            <w:pPr>
              <w:keepNext w:val="0"/>
              <w:keepLines w:val="0"/>
              <w:widowControl w:val="0"/>
              <w:suppressLineNumbers w:val="0"/>
              <w:adjustRightInd w:val="0"/>
              <w:snapToGrid w:val="0"/>
              <w:spacing w:before="0" w:beforeAutospacing="0" w:after="0" w:afterAutospacing="0"/>
              <w:ind w:left="0" w:right="11"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2）工程进度款计算公式（本合同另有约定的，从其约定）</w:t>
            </w:r>
          </w:p>
          <w:p w14:paraId="4DF0E811">
            <w:pPr>
              <w:keepNext w:val="0"/>
              <w:keepLines w:val="0"/>
              <w:widowControl w:val="0"/>
              <w:suppressLineNumbers w:val="0"/>
              <w:adjustRightInd w:val="0"/>
              <w:snapToGrid w:val="0"/>
              <w:spacing w:before="0" w:beforeAutospacing="0" w:after="0" w:afterAutospacing="0"/>
              <w:ind w:left="0" w:right="0"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① 当期实际完成的工程进度款、已支付款（含预付款及由发包人预交的款项）累计总数＜分部分项工程量清单计价×40%时</w:t>
            </w:r>
          </w:p>
          <w:p w14:paraId="41DE1252">
            <w:pPr>
              <w:keepNext w:val="0"/>
              <w:keepLines w:val="0"/>
              <w:widowControl w:val="0"/>
              <w:suppressLineNumbers w:val="0"/>
              <w:adjustRightInd w:val="0"/>
              <w:snapToGrid w:val="0"/>
              <w:spacing w:before="0" w:beforeAutospacing="0" w:after="0" w:afterAutospacing="0"/>
              <w:ind w:left="0" w:right="0"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当期可支付工程进度款＝承包人当期实际完成的工程进度款×90%</w:t>
            </w:r>
          </w:p>
          <w:p w14:paraId="027D91F2">
            <w:pPr>
              <w:keepNext w:val="0"/>
              <w:keepLines w:val="0"/>
              <w:widowControl w:val="0"/>
              <w:suppressLineNumbers w:val="0"/>
              <w:adjustRightInd w:val="0"/>
              <w:snapToGrid w:val="0"/>
              <w:spacing w:before="0" w:beforeAutospacing="0" w:after="0" w:afterAutospacing="0"/>
              <w:ind w:left="0" w:right="11"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② 当期实际完成的工程进度款、已支付款（含预付款及由发包人预交的款项）累计总数≥分部分项工程量清单计价×40%时，开始扣回预付款：</w:t>
            </w:r>
          </w:p>
          <w:p w14:paraId="548195B9">
            <w:pPr>
              <w:keepNext w:val="0"/>
              <w:keepLines w:val="0"/>
              <w:widowControl w:val="0"/>
              <w:suppressLineNumbers w:val="0"/>
              <w:adjustRightInd w:val="0"/>
              <w:snapToGrid w:val="0"/>
              <w:spacing w:before="0" w:beforeAutospacing="0" w:after="0" w:afterAutospacing="0"/>
              <w:ind w:left="0" w:right="0"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当期可支付工程进度款＝承包人当期实际完成的工程进度款×90%-预付款总额×抵扣比例</w:t>
            </w:r>
          </w:p>
          <w:p w14:paraId="3C5F88C0">
            <w:pPr>
              <w:keepNext w:val="0"/>
              <w:keepLines w:val="0"/>
              <w:widowControl w:val="0"/>
              <w:suppressLineNumbers w:val="0"/>
              <w:adjustRightInd w:val="0"/>
              <w:snapToGrid w:val="0"/>
              <w:spacing w:before="0" w:beforeAutospacing="0" w:after="0" w:afterAutospacing="0"/>
              <w:ind w:left="0" w:right="0"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抵扣比例＝承包人当期实际完成的工程进度款/（分部分项工程量清单计价×40%）</w:t>
            </w:r>
          </w:p>
          <w:p w14:paraId="309A027E">
            <w:pPr>
              <w:keepNext w:val="0"/>
              <w:keepLines w:val="0"/>
              <w:widowControl w:val="0"/>
              <w:suppressLineNumbers w:val="0"/>
              <w:adjustRightInd w:val="0"/>
              <w:snapToGrid w:val="0"/>
              <w:spacing w:before="0" w:beforeAutospacing="0" w:after="0" w:afterAutospacing="0"/>
              <w:ind w:left="0" w:right="11"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③ 当期实际完成的工程进度款、已支付款（含预付款及由发包人预交的款项）累计总数＝分部分项工程量清单计价×80%时</w:t>
            </w:r>
          </w:p>
          <w:p w14:paraId="000D2ABB">
            <w:pPr>
              <w:keepNext w:val="0"/>
              <w:keepLines w:val="0"/>
              <w:widowControl w:val="0"/>
              <w:suppressLineNumbers w:val="0"/>
              <w:adjustRightInd w:val="0"/>
              <w:snapToGrid w:val="0"/>
              <w:spacing w:before="0" w:beforeAutospacing="0" w:after="0" w:afterAutospacing="0"/>
              <w:ind w:left="0" w:right="11"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当期可支付工程进度款＝承包人当期实际完成的工程进度款×90%-应扣预付款余额。</w:t>
            </w:r>
          </w:p>
          <w:p w14:paraId="1F2B2B03">
            <w:pPr>
              <w:keepNext w:val="0"/>
              <w:keepLines w:val="0"/>
              <w:widowControl w:val="0"/>
              <w:suppressLineNumbers w:val="0"/>
              <w:adjustRightInd w:val="0"/>
              <w:snapToGrid w:val="0"/>
              <w:spacing w:before="0" w:beforeAutospacing="0" w:after="0" w:afterAutospacing="0"/>
              <w:ind w:left="0" w:right="0"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④ 预付款扣清以后的工程进度款计算</w:t>
            </w:r>
          </w:p>
          <w:p w14:paraId="7228E102">
            <w:pPr>
              <w:keepNext w:val="0"/>
              <w:keepLines w:val="0"/>
              <w:widowControl w:val="0"/>
              <w:suppressLineNumbers w:val="0"/>
              <w:adjustRightInd w:val="0"/>
              <w:snapToGrid w:val="0"/>
              <w:spacing w:before="0" w:beforeAutospacing="0" w:after="0" w:afterAutospacing="0"/>
              <w:ind w:left="0" w:right="0" w:firstLine="420" w:firstLineChars="20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当期可支付工程进度款＝承包人当期实际完成的工程进度款×90%</w:t>
            </w: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1828A953">
            <w:pPr>
              <w:keepNext w:val="0"/>
              <w:keepLines w:val="0"/>
              <w:widowControl w:val="0"/>
              <w:suppressLineNumbers w:val="0"/>
              <w:adjustRightInd w:val="0"/>
              <w:snapToGrid w:val="0"/>
              <w:spacing w:before="0" w:beforeAutospacing="0" w:after="0" w:afterAutospacing="0"/>
              <w:ind w:left="0" w:right="11"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2）工程进度款计算公式</w:t>
            </w:r>
          </w:p>
          <w:p w14:paraId="23F145C8">
            <w:pPr>
              <w:keepNext w:val="0"/>
              <w:keepLines w:val="0"/>
              <w:widowControl w:val="0"/>
              <w:suppressLineNumbers w:val="0"/>
              <w:adjustRightInd w:val="0"/>
              <w:snapToGrid w:val="0"/>
              <w:spacing w:before="0" w:beforeAutospacing="0" w:after="0" w:afterAutospacing="0"/>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① 当期实际完成的工程进度款、已支付款（含预付款及由发包人预交的款项）累计总数＜</w:t>
            </w:r>
            <w:r>
              <w:rPr>
                <w:rFonts w:hint="eastAsia" w:ascii="宋体" w:hAnsi="宋体" w:eastAsia="宋体" w:cs="宋体"/>
                <w:b/>
                <w:bCs w:val="0"/>
                <w:color w:val="auto"/>
                <w:kern w:val="0"/>
                <w:sz w:val="21"/>
                <w:szCs w:val="21"/>
                <w:highlight w:val="none"/>
                <w:lang w:val="en-US" w:eastAsia="zh-CN" w:bidi="ar"/>
              </w:rPr>
              <w:t>合同清单内</w:t>
            </w:r>
            <w:r>
              <w:rPr>
                <w:rFonts w:hint="eastAsia" w:ascii="宋体" w:hAnsi="宋体" w:eastAsia="宋体" w:cs="宋体"/>
                <w:color w:val="auto"/>
                <w:kern w:val="0"/>
                <w:sz w:val="21"/>
                <w:szCs w:val="21"/>
                <w:highlight w:val="none"/>
                <w:lang w:val="en-US" w:eastAsia="zh-CN" w:bidi="ar"/>
              </w:rPr>
              <w:t>分部分项工程量清单计价×40%时</w:t>
            </w:r>
          </w:p>
          <w:p w14:paraId="4D7218CB">
            <w:pPr>
              <w:keepNext w:val="0"/>
              <w:keepLines w:val="0"/>
              <w:widowControl w:val="0"/>
              <w:suppressLineNumbers w:val="0"/>
              <w:adjustRightInd w:val="0"/>
              <w:snapToGrid w:val="0"/>
              <w:spacing w:before="0" w:beforeAutospacing="0" w:after="0" w:afterAutospacing="0"/>
              <w:ind w:left="0" w:right="0" w:firstLine="420" w:firstLineChars="200"/>
              <w:jc w:val="both"/>
              <w:rPr>
                <w:rFonts w:hint="eastAsia" w:ascii="宋体" w:hAnsi="Calibri" w:eastAsia="宋体" w:cs="Times New Roman"/>
                <w:color w:val="auto"/>
                <w:kern w:val="0"/>
                <w:sz w:val="21"/>
                <w:szCs w:val="21"/>
                <w:highlight w:val="none"/>
              </w:rPr>
            </w:pPr>
          </w:p>
          <w:p w14:paraId="6673DBF7">
            <w:pPr>
              <w:keepNext w:val="0"/>
              <w:keepLines w:val="0"/>
              <w:widowControl w:val="0"/>
              <w:suppressLineNumbers w:val="0"/>
              <w:autoSpaceDE w:val="0"/>
              <w:autoSpaceDN w:val="0"/>
              <w:adjustRightInd w:val="0"/>
              <w:snapToGrid w:val="0"/>
              <w:spacing w:before="0" w:beforeAutospacing="0" w:after="0" w:afterAutospacing="0"/>
              <w:ind w:left="0" w:right="11" w:firstLine="420" w:firstLineChars="200"/>
              <w:jc w:val="both"/>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当期可支付工程进度款＝承包人当期实际完成的工程进度款×90%</w:t>
            </w:r>
          </w:p>
          <w:p w14:paraId="1C342277">
            <w:pPr>
              <w:keepNext w:val="0"/>
              <w:keepLines w:val="0"/>
              <w:widowControl w:val="0"/>
              <w:suppressLineNumbers w:val="0"/>
              <w:adjustRightInd w:val="0"/>
              <w:snapToGrid w:val="0"/>
              <w:spacing w:before="0" w:beforeAutospacing="0" w:after="0" w:afterAutospacing="0"/>
              <w:ind w:left="0" w:right="11"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② 当期实际完成的工程进度款、已支付款（含预付款及由发包人预交的款项）累计总数≥分部分项工程量清单计价×40%时，开始扣回预付款：</w:t>
            </w:r>
          </w:p>
          <w:p w14:paraId="6B377F45">
            <w:pPr>
              <w:keepNext w:val="0"/>
              <w:keepLines w:val="0"/>
              <w:widowControl w:val="0"/>
              <w:suppressLineNumbers w:val="0"/>
              <w:autoSpaceDE w:val="0"/>
              <w:autoSpaceDN w:val="0"/>
              <w:adjustRightInd w:val="0"/>
              <w:snapToGrid w:val="0"/>
              <w:spacing w:before="0" w:beforeAutospacing="0" w:after="0" w:afterAutospacing="0"/>
              <w:ind w:left="0" w:right="11"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当期可支付工程进度款＝承包人当期实际完成的工程进度款×90%-预付款总额×抵扣比例</w:t>
            </w:r>
          </w:p>
          <w:p w14:paraId="6DB722EE">
            <w:pPr>
              <w:keepNext w:val="0"/>
              <w:keepLines w:val="0"/>
              <w:widowControl w:val="0"/>
              <w:suppressLineNumbers w:val="0"/>
              <w:autoSpaceDE w:val="0"/>
              <w:autoSpaceDN w:val="0"/>
              <w:adjustRightInd w:val="0"/>
              <w:snapToGrid w:val="0"/>
              <w:spacing w:before="0" w:beforeAutospacing="0" w:after="0" w:afterAutospacing="0"/>
              <w:ind w:left="0" w:right="11" w:firstLine="420" w:firstLineChars="200"/>
              <w:jc w:val="both"/>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抵扣比例＝承包人当期实际完成的工程进度款中分部分项清单计价部分/（合同清单内分部分项工程量清单计价×40%）</w:t>
            </w:r>
          </w:p>
          <w:p w14:paraId="45AA370B">
            <w:pPr>
              <w:keepNext w:val="0"/>
              <w:keepLines w:val="0"/>
              <w:widowControl w:val="0"/>
              <w:suppressLineNumbers w:val="0"/>
              <w:adjustRightInd w:val="0"/>
              <w:snapToGrid w:val="0"/>
              <w:spacing w:before="0" w:beforeAutospacing="0" w:after="0" w:afterAutospacing="0"/>
              <w:ind w:left="0" w:right="11"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③ 当期实际完成的工程进度款、已支付款（含预付款及由发包人预交的款项）累计总数＝分部分项工程量清单计价×80%时</w:t>
            </w:r>
          </w:p>
          <w:p w14:paraId="1AC01F64">
            <w:pPr>
              <w:keepNext w:val="0"/>
              <w:keepLines w:val="0"/>
              <w:widowControl w:val="0"/>
              <w:suppressLineNumbers w:val="0"/>
              <w:adjustRightInd w:val="0"/>
              <w:snapToGrid w:val="0"/>
              <w:spacing w:before="0" w:beforeAutospacing="0" w:after="0" w:afterAutospacing="0"/>
              <w:ind w:left="0" w:right="11"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当期可支付工程进度款＝承包人当期实际完成的工程进度款×90%-应扣预付款余额。</w:t>
            </w:r>
          </w:p>
          <w:p w14:paraId="0175F25B">
            <w:pPr>
              <w:keepNext w:val="0"/>
              <w:keepLines w:val="0"/>
              <w:widowControl w:val="0"/>
              <w:suppressLineNumbers w:val="0"/>
              <w:adjustRightInd w:val="0"/>
              <w:snapToGrid w:val="0"/>
              <w:spacing w:before="0" w:beforeAutospacing="0" w:after="0" w:afterAutospacing="0"/>
              <w:ind w:left="0" w:right="0"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④ 预付款扣清以后的工程进度款计算</w:t>
            </w:r>
          </w:p>
          <w:p w14:paraId="2C10875C">
            <w:pPr>
              <w:keepNext w:val="0"/>
              <w:keepLines w:val="0"/>
              <w:widowControl w:val="0"/>
              <w:suppressLineNumbers w:val="0"/>
              <w:adjustRightInd w:val="0"/>
              <w:snapToGrid w:val="0"/>
              <w:spacing w:before="0" w:beforeAutospacing="0" w:after="0" w:afterAutospacing="0" w:line="360" w:lineRule="auto"/>
              <w:ind w:left="0" w:right="11" w:firstLine="420" w:firstLineChars="20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当期可支付工程进度款＝承包人当期实际完成的工程进度款×90%</w:t>
            </w:r>
          </w:p>
        </w:tc>
      </w:tr>
      <w:tr w14:paraId="2845D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6"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00149B">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20</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2E3D21EB">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28.2（4）</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060EB830">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bottom"/>
          </w:tcPr>
          <w:p w14:paraId="6C9E2E79">
            <w:pPr>
              <w:pStyle w:val="14"/>
              <w:keepNext w:val="0"/>
              <w:keepLines w:val="0"/>
              <w:widowControl w:val="0"/>
              <w:suppressLineNumbers w:val="0"/>
              <w:adjustRightInd w:val="0"/>
              <w:snapToGrid w:val="0"/>
              <w:spacing w:before="0" w:beforeAutospacing="1" w:after="0" w:afterAutospacing="1" w:line="266" w:lineRule="auto"/>
              <w:ind w:left="0" w:right="0"/>
              <w:jc w:val="left"/>
              <w:outlineLvl w:val="4"/>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（4）规费及税金项目的支付方式</w:t>
            </w:r>
          </w:p>
          <w:p w14:paraId="5E5C2258">
            <w:pPr>
              <w:keepNext w:val="0"/>
              <w:keepLines w:val="0"/>
              <w:widowControl w:val="0"/>
              <w:suppressLineNumbers w:val="0"/>
              <w:spacing w:before="0" w:beforeAutospacing="0" w:after="0" w:afterAutospacing="0"/>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规费及税金项目的支付方式规费、税金按政府及广州地区税务部门有关规定计算，根据当期进度款按月支付。</w:t>
            </w:r>
          </w:p>
        </w:tc>
        <w:tc>
          <w:tcPr>
            <w:tcW w:w="3577" w:type="dxa"/>
            <w:tcBorders>
              <w:top w:val="single" w:color="auto" w:sz="4" w:space="0"/>
              <w:left w:val="nil"/>
              <w:bottom w:val="single" w:color="auto" w:sz="4" w:space="0"/>
              <w:right w:val="single" w:color="auto" w:sz="4" w:space="0"/>
            </w:tcBorders>
            <w:shd w:val="clear" w:color="auto" w:fill="auto"/>
            <w:noWrap/>
            <w:vAlign w:val="bottom"/>
          </w:tcPr>
          <w:p w14:paraId="22B257D2">
            <w:pPr>
              <w:pStyle w:val="14"/>
              <w:keepNext w:val="0"/>
              <w:keepLines w:val="0"/>
              <w:widowControl w:val="0"/>
              <w:suppressLineNumbers w:val="0"/>
              <w:adjustRightInd w:val="0"/>
              <w:snapToGrid w:val="0"/>
              <w:spacing w:before="0" w:beforeAutospacing="1" w:after="0" w:afterAutospacing="1" w:line="266" w:lineRule="auto"/>
              <w:ind w:left="0" w:right="0"/>
              <w:jc w:val="left"/>
              <w:outlineLvl w:val="4"/>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（4）税金项目的支付方式</w:t>
            </w:r>
          </w:p>
          <w:p w14:paraId="6C227652">
            <w:pPr>
              <w:keepNext w:val="0"/>
              <w:keepLines w:val="0"/>
              <w:widowControl w:val="0"/>
              <w:suppressLineNumbers w:val="0"/>
              <w:spacing w:before="0" w:beforeAutospacing="0" w:after="0" w:afterAutospacing="0"/>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税金按政府、广东及广州地区税务部门有关规定计算，根据当期进度款按月支付。</w:t>
            </w:r>
          </w:p>
        </w:tc>
      </w:tr>
      <w:tr w14:paraId="4C609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6"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C36F05">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21</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6FEAA8F9">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28.2（5）-1)</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7A987836">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bottom"/>
          </w:tcPr>
          <w:p w14:paraId="25D94FA6">
            <w:pPr>
              <w:pStyle w:val="14"/>
              <w:keepNext w:val="0"/>
              <w:keepLines w:val="0"/>
              <w:widowControl w:val="0"/>
              <w:suppressLineNumbers w:val="0"/>
              <w:adjustRightInd w:val="0"/>
              <w:snapToGrid w:val="0"/>
              <w:spacing w:before="0" w:beforeAutospacing="1" w:after="0" w:afterAutospacing="1" w:line="266" w:lineRule="auto"/>
              <w:ind w:left="0" w:right="0"/>
              <w:jc w:val="left"/>
              <w:outlineLvl w:val="4"/>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现场组织实施管理费以月为单位，进行计量支付。现场组织实施管理费的支付标准为：项目经理10万元/月；技术负责人8万元/月；专职安全员5万元/月；造价人员3万元/月；资料员3万元/月。在支付工程预付款时，按上述标准的50%扣减此项费用；在支付进度款时，按上述标准的50%支付此项费用。（说明：该费用已包含在合同价款中，是发包人向承包人支付本项目现场组织实施管理费的依据，不作为承包人向上述相关人员支付工资费用的标准。）</w:t>
            </w:r>
          </w:p>
        </w:tc>
        <w:tc>
          <w:tcPr>
            <w:tcW w:w="3577" w:type="dxa"/>
            <w:tcBorders>
              <w:top w:val="single" w:color="auto" w:sz="4" w:space="0"/>
              <w:left w:val="nil"/>
              <w:bottom w:val="single" w:color="auto" w:sz="4" w:space="0"/>
              <w:right w:val="single" w:color="auto" w:sz="4" w:space="0"/>
            </w:tcBorders>
            <w:shd w:val="clear" w:color="auto" w:fill="auto"/>
            <w:noWrap/>
            <w:vAlign w:val="bottom"/>
          </w:tcPr>
          <w:p w14:paraId="3FCE836B">
            <w:pPr>
              <w:pStyle w:val="14"/>
              <w:keepNext w:val="0"/>
              <w:keepLines w:val="0"/>
              <w:widowControl w:val="0"/>
              <w:suppressLineNumbers w:val="0"/>
              <w:adjustRightInd w:val="0"/>
              <w:snapToGrid w:val="0"/>
              <w:spacing w:before="0" w:beforeAutospacing="1" w:after="0" w:afterAutospacing="1" w:line="266" w:lineRule="auto"/>
              <w:ind w:left="0" w:right="0"/>
              <w:jc w:val="left"/>
              <w:outlineLvl w:val="4"/>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u w:val="single"/>
                <w:lang w:val="en-US" w:eastAsia="zh-CN" w:bidi="ar"/>
              </w:rPr>
              <w:t>1）现场组织实施管理费以月为单位，进行计量支付。现场组织实施管理费的支付标准为：项目经理3万元/月；技术负责人2万元/月；专职安全员1万元/月。在支付工程预付款时，按上述标准扣减此项费用；在支付进度款时，按上述标准支付此项费用。</w:t>
            </w:r>
            <w:r>
              <w:rPr>
                <w:rFonts w:hint="eastAsia" w:ascii="宋体" w:hAnsi="宋体" w:eastAsia="宋体" w:cs="宋体"/>
                <w:color w:val="auto"/>
                <w:kern w:val="0"/>
                <w:sz w:val="21"/>
                <w:szCs w:val="21"/>
                <w:highlight w:val="none"/>
                <w:lang w:val="en-US" w:eastAsia="zh-CN" w:bidi="ar"/>
              </w:rPr>
              <w:t>（说明：该费用已包含在合同价款中，是发包人向承包人支付本项目现场组织实施管理费的依据，不作为承包人向上述相关人员支付工资费用的标准。）</w:t>
            </w:r>
          </w:p>
        </w:tc>
      </w:tr>
      <w:tr w14:paraId="03DBC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F9E00E">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22</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29954C3D">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28.2（5）-2)</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61E2C929">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bottom"/>
          </w:tcPr>
          <w:p w14:paraId="0EE95B90">
            <w:pPr>
              <w:keepNext w:val="0"/>
              <w:keepLines w:val="0"/>
              <w:widowControl w:val="0"/>
              <w:suppressLineNumbers w:val="0"/>
              <w:adjustRightInd w:val="0"/>
              <w:snapToGrid w:val="0"/>
              <w:spacing w:before="0" w:beforeAutospacing="0" w:after="0" w:afterAutospacing="0" w:line="266" w:lineRule="auto"/>
              <w:ind w:left="0" w:right="0"/>
              <w:jc w:val="both"/>
              <w:outlineLvl w:val="4"/>
              <w:rPr>
                <w:rFonts w:hint="default" w:ascii="Calibri" w:hAnsi="Calibri" w:eastAsia="宋体" w:cs="宋体"/>
                <w:color w:val="auto"/>
                <w:kern w:val="2"/>
                <w:sz w:val="21"/>
                <w:szCs w:val="21"/>
                <w:highlight w:val="none"/>
              </w:rPr>
            </w:pPr>
            <w:r>
              <w:rPr>
                <w:rFonts w:hint="eastAsia" w:ascii="宋体" w:hAnsi="宋体" w:eastAsia="宋体" w:cs="宋体"/>
                <w:color w:val="auto"/>
                <w:kern w:val="0"/>
                <w:sz w:val="24"/>
                <w:szCs w:val="24"/>
                <w:highlight w:val="none"/>
                <w:lang w:val="en-US" w:eastAsia="zh-CN" w:bidi="ar"/>
              </w:rPr>
              <w:t xml:space="preserve">在施工期内，如承包人的上述相关人员在一个月内经监理单位、发包人书面确认的现场办公管理天数不低于20个日历天，则相应人员在该月的现场组织实施管理费予以全额的50%支付；如低于20个日历天，则相应人员在该月的现场组织实施管理费不予支付，结算时相应扣除 </w:t>
            </w:r>
          </w:p>
        </w:tc>
        <w:tc>
          <w:tcPr>
            <w:tcW w:w="3577" w:type="dxa"/>
            <w:tcBorders>
              <w:top w:val="single" w:color="auto" w:sz="4" w:space="0"/>
              <w:left w:val="nil"/>
              <w:bottom w:val="single" w:color="auto" w:sz="4" w:space="0"/>
              <w:right w:val="single" w:color="auto" w:sz="4" w:space="0"/>
            </w:tcBorders>
            <w:shd w:val="clear" w:color="auto" w:fill="auto"/>
            <w:noWrap/>
            <w:vAlign w:val="bottom"/>
          </w:tcPr>
          <w:p w14:paraId="42C8E2B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0"/>
                <w:sz w:val="24"/>
                <w:szCs w:val="24"/>
                <w:highlight w:val="none"/>
                <w:lang w:val="en-US" w:eastAsia="zh-CN" w:bidi="ar"/>
              </w:rPr>
              <w:t xml:space="preserve">在施工期内，如承包人的上述相关人员在一个月内经监理单位、发包人书面确认的现场办公管理天数不低于20个日历天，则相应人员在该月的现场组织实施管理费予以全额支付；如低于20个日历天，则相应人员在该月的现场组织实施管理费不予支付，结算时相应扣除 </w:t>
            </w:r>
          </w:p>
          <w:p w14:paraId="1E9D699E">
            <w:pPr>
              <w:pStyle w:val="14"/>
              <w:keepNext w:val="0"/>
              <w:keepLines w:val="0"/>
              <w:widowControl w:val="0"/>
              <w:suppressLineNumbers w:val="0"/>
              <w:adjustRightInd w:val="0"/>
              <w:snapToGrid w:val="0"/>
              <w:spacing w:before="0" w:beforeAutospacing="0" w:after="0" w:afterAutospacing="0" w:line="266" w:lineRule="auto"/>
              <w:ind w:left="0" w:right="0"/>
              <w:jc w:val="left"/>
              <w:outlineLvl w:val="4"/>
              <w:rPr>
                <w:rFonts w:hint="eastAsia" w:ascii="宋体" w:hAnsi="宋体" w:eastAsia="宋体" w:cs="宋体"/>
                <w:color w:val="auto"/>
                <w:kern w:val="0"/>
                <w:sz w:val="21"/>
                <w:szCs w:val="21"/>
                <w:highlight w:val="none"/>
                <w:u w:val="single"/>
              </w:rPr>
            </w:pPr>
          </w:p>
        </w:tc>
      </w:tr>
      <w:tr w14:paraId="4F143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4"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6A683A">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23</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5CA9D780">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33.2</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5BFC7148">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center"/>
          </w:tcPr>
          <w:p w14:paraId="7D0ADCE2">
            <w:pPr>
              <w:keepNext w:val="0"/>
              <w:keepLines w:val="0"/>
              <w:widowControl w:val="0"/>
              <w:suppressLineNumbers w:val="0"/>
              <w:spacing w:before="0" w:beforeAutospacing="0" w:after="0" w:afterAutospacing="0"/>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原文见范本</w:t>
            </w: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0744D673">
            <w:pPr>
              <w:keepNext w:val="0"/>
              <w:keepLines w:val="0"/>
              <w:widowControl w:val="0"/>
              <w:suppressLineNumbers w:val="0"/>
              <w:spacing w:before="0" w:beforeAutospacing="0" w:after="0" w:afterAutospacing="0"/>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见后附文：合同专用条款33.2现文</w:t>
            </w:r>
          </w:p>
        </w:tc>
      </w:tr>
      <w:tr w14:paraId="0CEA9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4"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E78F1E">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24</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189C6736">
            <w:pPr>
              <w:keepNext w:val="0"/>
              <w:keepLines w:val="0"/>
              <w:widowControl w:val="0"/>
              <w:suppressLineNumbers w:val="0"/>
              <w:spacing w:before="0" w:beforeAutospacing="0" w:after="0" w:afterAutospacing="0"/>
              <w:ind w:left="0" w:right="0"/>
              <w:jc w:val="center"/>
              <w:rPr>
                <w:rFonts w:hint="eastAsia" w:ascii="宋体"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35.9</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107403C0">
            <w:pPr>
              <w:keepNext w:val="0"/>
              <w:keepLines w:val="0"/>
              <w:widowControl w:val="0"/>
              <w:suppressLineNumbers w:val="0"/>
              <w:spacing w:before="0" w:beforeAutospacing="0" w:after="0" w:afterAutospacing="0"/>
              <w:ind w:left="0" w:right="0"/>
              <w:jc w:val="center"/>
              <w:rPr>
                <w:rFonts w:hint="eastAsia" w:ascii="宋体"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center"/>
          </w:tcPr>
          <w:p w14:paraId="0A25B88B">
            <w:pPr>
              <w:keepNext w:val="0"/>
              <w:keepLines w:val="0"/>
              <w:widowControl w:val="0"/>
              <w:suppressLineNumbers w:val="0"/>
              <w:spacing w:before="0" w:beforeAutospacing="0" w:after="0" w:afterAutospacing="0"/>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发包人留取合同协议书第6条约定的合同价款的2%作为承包人按时、完整移交竣工档案的保证金。承包人按时、完整移交竣工档案的，发包人在向政府有关部门移交档案后15日内给承包人付还该保证金；承包人不按时移交竣工档案，或者移交的竣工档案不完整且在发包人规定的期限内不补充完整的，发包人有权扣取部分或者全部保证金，同时，并不免除承包人完整移交竣工档案的义务。</w:t>
            </w: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1D4C256D">
            <w:pPr>
              <w:keepNext w:val="0"/>
              <w:keepLines w:val="0"/>
              <w:widowControl w:val="0"/>
              <w:suppressLineNumbers w:val="0"/>
              <w:spacing w:before="0" w:beforeAutospacing="0" w:after="0" w:afterAutospacing="0"/>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承包人不按时移交竣工档案，或者移交的竣工档案不完整且在发包人规定的期限内不补充完整的，发包人有权按照合同专用条款28.1约定的工程进度款支付原则暂停支付余下工程款，同时，并不免除承包人完整移交竣工档案的义务。</w:t>
            </w:r>
          </w:p>
        </w:tc>
      </w:tr>
      <w:tr w14:paraId="40954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4"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486B85">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25</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4BBCBA9E">
            <w:pPr>
              <w:keepNext w:val="0"/>
              <w:keepLines w:val="0"/>
              <w:widowControl w:val="0"/>
              <w:suppressLineNumbers w:val="0"/>
              <w:spacing w:before="0" w:beforeAutospacing="0" w:after="0" w:afterAutospacing="0"/>
              <w:ind w:left="0" w:right="0"/>
              <w:jc w:val="center"/>
              <w:rPr>
                <w:rFonts w:hint="eastAsia" w:ascii="宋体" w:hAnsi="Calibri" w:eastAsia="宋体" w:cs="Times New Roman"/>
                <w:color w:val="auto"/>
                <w:kern w:val="2"/>
                <w:sz w:val="20"/>
                <w:szCs w:val="20"/>
                <w:highlight w:val="none"/>
              </w:rPr>
            </w:pPr>
            <w:r>
              <w:rPr>
                <w:rFonts w:hint="eastAsia" w:ascii="宋体" w:hAnsi="宋体" w:eastAsia="宋体" w:cs="宋体"/>
                <w:color w:val="auto"/>
                <w:kern w:val="2"/>
                <w:sz w:val="21"/>
                <w:szCs w:val="21"/>
                <w:highlight w:val="none"/>
                <w:lang w:val="en-US" w:eastAsia="zh-CN" w:bidi="ar"/>
              </w:rPr>
              <w:t>36.11</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7BC463CE">
            <w:pPr>
              <w:keepNext w:val="0"/>
              <w:keepLines w:val="0"/>
              <w:widowControl w:val="0"/>
              <w:suppressLineNumbers w:val="0"/>
              <w:spacing w:before="0" w:beforeAutospacing="0" w:after="0" w:afterAutospacing="0"/>
              <w:ind w:left="0" w:right="0"/>
              <w:jc w:val="center"/>
              <w:rPr>
                <w:rFonts w:hint="eastAsia" w:ascii="宋体" w:hAnsi="Calibri" w:eastAsia="宋体" w:cs="Times New Roman"/>
                <w:color w:val="auto"/>
                <w:kern w:val="2"/>
                <w:sz w:val="20"/>
                <w:szCs w:val="20"/>
                <w:highlight w:val="none"/>
              </w:rPr>
            </w:pPr>
            <w:r>
              <w:rPr>
                <w:rFonts w:hint="eastAsia" w:ascii="宋体" w:hAnsi="宋体" w:eastAsia="宋体" w:cs="宋体"/>
                <w:color w:val="auto"/>
                <w:kern w:val="2"/>
                <w:sz w:val="21"/>
                <w:szCs w:val="21"/>
                <w:highlight w:val="none"/>
                <w:lang w:val="en-US" w:eastAsia="zh-CN" w:bidi="ar"/>
              </w:rPr>
              <w:t>增加</w:t>
            </w:r>
          </w:p>
        </w:tc>
        <w:tc>
          <w:tcPr>
            <w:tcW w:w="3669" w:type="dxa"/>
            <w:tcBorders>
              <w:top w:val="single" w:color="auto" w:sz="4" w:space="0"/>
              <w:left w:val="nil"/>
              <w:bottom w:val="single" w:color="auto" w:sz="4" w:space="0"/>
              <w:right w:val="single" w:color="auto" w:sz="4" w:space="0"/>
            </w:tcBorders>
            <w:shd w:val="clear" w:color="auto" w:fill="auto"/>
            <w:noWrap/>
            <w:vAlign w:val="bottom"/>
          </w:tcPr>
          <w:p w14:paraId="43CBA57D">
            <w:pPr>
              <w:keepNext w:val="0"/>
              <w:keepLines w:val="0"/>
              <w:widowControl w:val="0"/>
              <w:suppressLineNumbers w:val="0"/>
              <w:spacing w:before="0" w:beforeAutospacing="0" w:after="0" w:afterAutospacing="0"/>
              <w:ind w:left="0" w:right="0"/>
              <w:jc w:val="both"/>
              <w:rPr>
                <w:rFonts w:hint="eastAsia" w:ascii="宋体" w:hAnsi="Calibri" w:eastAsia="宋体" w:cs="Times New Roman"/>
                <w:color w:val="auto"/>
                <w:kern w:val="2"/>
                <w:sz w:val="20"/>
                <w:szCs w:val="20"/>
                <w:highlight w:val="none"/>
              </w:rPr>
            </w:pP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3D7EE120">
            <w:pPr>
              <w:keepNext w:val="0"/>
              <w:keepLines w:val="0"/>
              <w:widowControl w:val="0"/>
              <w:suppressLineNumbers w:val="0"/>
              <w:spacing w:before="0" w:beforeAutospacing="0" w:after="0" w:afterAutospacing="0"/>
              <w:ind w:left="0" w:right="0"/>
              <w:jc w:val="both"/>
              <w:rPr>
                <w:rFonts w:hint="eastAsia" w:ascii="宋体" w:hAnsi="Calibri" w:eastAsia="宋体" w:cs="Times New Roman"/>
                <w:color w:val="auto"/>
                <w:kern w:val="2"/>
                <w:sz w:val="20"/>
                <w:szCs w:val="20"/>
                <w:highlight w:val="none"/>
              </w:rPr>
            </w:pPr>
            <w:r>
              <w:rPr>
                <w:rFonts w:hint="eastAsia" w:ascii="宋体" w:hAnsi="宋体" w:eastAsia="宋体" w:cs="宋体"/>
                <w:color w:val="auto"/>
                <w:kern w:val="2"/>
                <w:sz w:val="21"/>
                <w:szCs w:val="21"/>
                <w:highlight w:val="none"/>
                <w:lang w:val="en-US" w:eastAsia="zh-CN" w:bidi="ar"/>
              </w:rPr>
              <w:t>若承包人送审结算价与有权结算终审部门审定价的净核减率大于或等于8%，则发包人有权要求承包人按粤价函[2011]742号文规定的竣工结算审核咨询费标准向发包人承担违约责任。</w:t>
            </w:r>
          </w:p>
        </w:tc>
      </w:tr>
      <w:tr w14:paraId="7FF2F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4"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0081DC">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26</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195E8C94">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38.7（3）</w:t>
            </w:r>
          </w:p>
          <w:p w14:paraId="3F168205">
            <w:pPr>
              <w:pStyle w:val="14"/>
              <w:keepNext w:val="0"/>
              <w:keepLines w:val="0"/>
              <w:widowControl w:val="0"/>
              <w:suppressLineNumbers w:val="0"/>
              <w:spacing w:before="0" w:beforeAutospacing="1" w:after="120" w:afterAutospacing="0"/>
              <w:ind w:left="0" w:right="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（不含表格）</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2B7421BD">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center"/>
          </w:tcPr>
          <w:p w14:paraId="59F93C27">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Calibri" w:hAnsi="Calibri" w:eastAsia="宋体" w:cs="Calibri"/>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）承包人不按合同专用条款第</w:t>
            </w:r>
            <w:r>
              <w:rPr>
                <w:rFonts w:hint="default" w:ascii="Calibri" w:hAnsi="Calibri" w:eastAsia="宋体" w:cs="Calibri"/>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条、第</w:t>
            </w:r>
            <w:r>
              <w:rPr>
                <w:rFonts w:hint="default" w:ascii="Calibri" w:hAnsi="Calibri" w:eastAsia="宋体" w:cs="Calibri"/>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条的有关约定投入现场组织管理人员、施工作业人员、施工机械设备，或者擅自变更资源投入计划或者擅自对已投入的资源进行调整的，承包人必须按照总监理工程师或者发包人的指令限期改正；承包人拒不限期改正的，发包人有权要求其承担</w:t>
            </w:r>
            <w:r>
              <w:rPr>
                <w:rFonts w:hint="default" w:ascii="Calibri" w:hAnsi="Calibri" w:eastAsia="宋体" w:cs="Calibri"/>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次一般违约责任或者</w:t>
            </w:r>
            <w:r>
              <w:rPr>
                <w:rFonts w:hint="default" w:ascii="Calibri" w:hAnsi="Calibri" w:eastAsia="宋体" w:cs="Calibri"/>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次严重违约责任。情节较轻的，可给予书面警告；情节特别严重的，发包人有权单方面部分解除合同或解除合同。因缺勤而被扣除现场组织实施管理费的人员不再给予违约处罚。</w:t>
            </w:r>
          </w:p>
          <w:p w14:paraId="52A2ECF8">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color w:val="auto"/>
                <w:kern w:val="0"/>
                <w:sz w:val="21"/>
                <w:szCs w:val="21"/>
                <w:highlight w:val="none"/>
                <w:u w:val="single"/>
              </w:rPr>
            </w:pPr>
            <w:r>
              <w:rPr>
                <w:rFonts w:hint="eastAsia" w:ascii="宋体" w:hAnsi="宋体" w:eastAsia="宋体" w:cs="宋体"/>
                <w:color w:val="auto"/>
                <w:kern w:val="0"/>
                <w:sz w:val="21"/>
                <w:szCs w:val="21"/>
                <w:highlight w:val="none"/>
                <w:lang w:val="en-US" w:eastAsia="zh-CN" w:bidi="ar"/>
              </w:rPr>
              <w:t>经发包人或总监理工程师考核，承包人投入的现场组织管理人员不能满足本工程建设要求的，承包人必须无条件按发包人的要求更换，直至满足本工程建设要求为止。而且，不能满足本工程建设要求的现场组织管理人员按缺勤处理。</w:t>
            </w:r>
          </w:p>
          <w:p w14:paraId="18757D25">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宋体" w:hAnsi="Calibri" w:eastAsia="宋体" w:cs="Times New Roman"/>
                <w:color w:val="auto"/>
                <w:kern w:val="2"/>
                <w:sz w:val="20"/>
                <w:szCs w:val="20"/>
                <w:highlight w:val="none"/>
              </w:rPr>
            </w:pPr>
            <w:r>
              <w:rPr>
                <w:rFonts w:hint="eastAsia" w:ascii="宋体" w:hAnsi="宋体" w:eastAsia="宋体" w:cs="宋体"/>
                <w:color w:val="auto"/>
                <w:kern w:val="0"/>
                <w:sz w:val="21"/>
                <w:szCs w:val="21"/>
                <w:highlight w:val="none"/>
                <w:lang w:val="en-US" w:eastAsia="zh-CN" w:bidi="ar"/>
              </w:rPr>
              <w:t>如承包人违背投标承诺，除按上述约定承担违约责任之外，还应同时无条件按下表约定的金额向发包人支付违约金：</w:t>
            </w: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39BC51E2">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Calibri" w:hAnsi="Calibri" w:eastAsia="宋体" w:cs="Calibri"/>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）承包人不按合同专用条款第</w:t>
            </w:r>
            <w:r>
              <w:rPr>
                <w:rFonts w:hint="default" w:ascii="Calibri" w:hAnsi="Calibri" w:eastAsia="宋体" w:cs="Calibri"/>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条、第</w:t>
            </w:r>
            <w:r>
              <w:rPr>
                <w:rFonts w:hint="default" w:ascii="Calibri" w:hAnsi="Calibri" w:eastAsia="宋体" w:cs="Calibri"/>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条的有关约定投入现场组织管理人员、施工作业人员、施工机械设备，或者擅自变更资源投入计划或者擅自对已投入的资源进行调整的，承包人必须按照总监理工程师或者发包人的指令限期改正；承包人拒不改正</w:t>
            </w:r>
            <w:r>
              <w:rPr>
                <w:rFonts w:hint="eastAsia" w:ascii="宋体" w:hAnsi="宋体" w:eastAsia="宋体" w:cs="宋体"/>
                <w:color w:val="auto"/>
                <w:kern w:val="0"/>
                <w:sz w:val="21"/>
                <w:szCs w:val="21"/>
                <w:highlight w:val="none"/>
                <w:u w:val="single"/>
                <w:lang w:val="en-US" w:eastAsia="zh-CN" w:bidi="ar"/>
              </w:rPr>
              <w:t>或未及时完成整改的</w:t>
            </w:r>
            <w:r>
              <w:rPr>
                <w:rFonts w:hint="eastAsia" w:ascii="宋体" w:hAnsi="宋体" w:eastAsia="宋体" w:cs="宋体"/>
                <w:color w:val="auto"/>
                <w:kern w:val="0"/>
                <w:sz w:val="21"/>
                <w:szCs w:val="21"/>
                <w:highlight w:val="none"/>
                <w:lang w:val="en-US" w:eastAsia="zh-CN" w:bidi="ar"/>
              </w:rPr>
              <w:t>，发包人有权要求其承担</w:t>
            </w:r>
            <w:r>
              <w:rPr>
                <w:rFonts w:hint="default" w:ascii="Calibri" w:hAnsi="Calibri" w:eastAsia="宋体" w:cs="Calibri"/>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次一般违约责任或者</w:t>
            </w:r>
            <w:r>
              <w:rPr>
                <w:rFonts w:hint="default" w:ascii="Calibri" w:hAnsi="Calibri" w:eastAsia="宋体" w:cs="Calibri"/>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次严重违约责任。情节较轻的，可给予书面警告；情节特别严重的，发包人有权单方面部分解除合同或解除合同。</w:t>
            </w:r>
          </w:p>
          <w:p w14:paraId="4BA53C7C">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经发包人或总监理工程师考核，承包人投入的现场组织管理人员不能满足本工程建设要求的，承包人必须无条件按发包人的要求更换，直至满足本工程建设要求为止。而且，不能满足本工程建设要求的现场组织管理人员按缺勤处理。</w:t>
            </w:r>
          </w:p>
          <w:p w14:paraId="2284D5B6">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宋体" w:hAnsi="Calibri" w:eastAsia="宋体" w:cs="Times New Roman"/>
                <w:strike/>
                <w:dstrike w:val="0"/>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如承包人违背投标承诺，除按上述约定承担违约责任之外，还应同时按下表约定的金额向发包人支付违约金：</w:t>
            </w:r>
          </w:p>
        </w:tc>
      </w:tr>
      <w:tr w14:paraId="233EC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4"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C53F7A">
            <w:pPr>
              <w:keepNext w:val="0"/>
              <w:keepLines w:val="0"/>
              <w:widowControl w:val="0"/>
              <w:suppressLineNumbers w:val="0"/>
              <w:adjustRightInd w:val="0"/>
              <w:snapToGrid w:val="0"/>
              <w:spacing w:before="0" w:beforeAutospacing="0" w:after="0" w:afterAutospacing="0"/>
              <w:ind w:left="840" w:leftChars="400" w:right="0"/>
              <w:jc w:val="center"/>
              <w:rPr>
                <w:rFonts w:hint="eastAsia" w:ascii="宋体" w:hAnsi="宋体" w:eastAsia="宋体" w:cs="宋体"/>
                <w:color w:val="auto"/>
                <w:kern w:val="0"/>
                <w:sz w:val="21"/>
                <w:szCs w:val="21"/>
                <w:highlight w:val="none"/>
              </w:rPr>
            </w:pP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558A58CE">
            <w:pPr>
              <w:pStyle w:val="14"/>
              <w:keepNext w:val="0"/>
              <w:keepLines w:val="0"/>
              <w:widowControl w:val="0"/>
              <w:suppressLineNumbers w:val="0"/>
              <w:spacing w:before="0" w:beforeAutospacing="1" w:after="120" w:afterAutospacing="0"/>
              <w:ind w:left="0" w:leftChars="0" w:right="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38.13（2）</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45D9EC01">
            <w:pPr>
              <w:keepNext w:val="0"/>
              <w:keepLines w:val="0"/>
              <w:widowControl w:val="0"/>
              <w:suppressLineNumbers w:val="0"/>
              <w:spacing w:before="0" w:beforeAutospacing="0" w:after="0" w:afterAutospacing="0"/>
              <w:ind w:left="0" w:leftChars="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增加</w:t>
            </w:r>
          </w:p>
        </w:tc>
        <w:tc>
          <w:tcPr>
            <w:tcW w:w="3669" w:type="dxa"/>
            <w:tcBorders>
              <w:top w:val="single" w:color="auto" w:sz="4" w:space="0"/>
              <w:left w:val="nil"/>
              <w:bottom w:val="single" w:color="auto" w:sz="4" w:space="0"/>
              <w:right w:val="single" w:color="auto" w:sz="4" w:space="0"/>
            </w:tcBorders>
            <w:shd w:val="clear" w:color="auto" w:fill="auto"/>
            <w:noWrap/>
            <w:vAlign w:val="center"/>
          </w:tcPr>
          <w:p w14:paraId="6C59CB12">
            <w:pPr>
              <w:keepNext w:val="0"/>
              <w:keepLines w:val="0"/>
              <w:widowControl w:val="0"/>
              <w:suppressLineNumbers w:val="0"/>
              <w:adjustRightInd w:val="0"/>
              <w:snapToGrid w:val="0"/>
              <w:spacing w:before="0" w:beforeAutospacing="0" w:after="0" w:afterAutospacing="0" w:line="360" w:lineRule="auto"/>
              <w:ind w:left="0" w:right="0"/>
              <w:jc w:val="both"/>
              <w:outlineLvl w:val="3"/>
              <w:rPr>
                <w:rFonts w:hint="eastAsia" w:ascii="宋体" w:hAnsi="宋体" w:eastAsia="宋体" w:cs="宋体"/>
                <w:bCs/>
                <w:color w:val="auto"/>
                <w:kern w:val="0"/>
                <w:sz w:val="21"/>
                <w:szCs w:val="21"/>
                <w:highlight w:val="none"/>
              </w:rPr>
            </w:pP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2CC3B3D8">
            <w:pPr>
              <w:keepNext w:val="0"/>
              <w:keepLines w:val="0"/>
              <w:widowControl w:val="0"/>
              <w:suppressLineNumbers w:val="0"/>
              <w:adjustRightInd w:val="0"/>
              <w:snapToGrid w:val="0"/>
              <w:spacing w:before="0" w:beforeAutospacing="0" w:after="0" w:afterAutospacing="0" w:line="360" w:lineRule="auto"/>
              <w:ind w:left="0" w:right="0"/>
              <w:jc w:val="both"/>
              <w:outlineLvl w:val="3"/>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38.13工程转包、分包方面的违约责任</w:t>
            </w:r>
          </w:p>
          <w:p w14:paraId="121C1168">
            <w:pPr>
              <w:keepNext w:val="0"/>
              <w:keepLines w:val="0"/>
              <w:widowControl w:val="0"/>
              <w:suppressLineNumbers w:val="0"/>
              <w:adjustRightInd w:val="0"/>
              <w:snapToGrid w:val="0"/>
              <w:spacing w:before="0" w:beforeAutospacing="0" w:after="0" w:afterAutospacing="0" w:line="360" w:lineRule="auto"/>
              <w:ind w:left="0" w:right="0"/>
              <w:jc w:val="both"/>
              <w:outlineLvl w:val="3"/>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承包人未严格按照合同专用条款第41条13款约定执行的，应当承担1次严重违约责任，且发包人有权决定是否解除合同，因承包人未按照约定保证中小企业承担的合同份额给发包人造成损失或承担有关行政责任的，发包人有权要求承包人赔偿。</w:t>
            </w:r>
          </w:p>
        </w:tc>
      </w:tr>
      <w:tr w14:paraId="335C4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4"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9BE5F0">
            <w:pPr>
              <w:keepNext w:val="0"/>
              <w:keepLines w:val="0"/>
              <w:widowControl w:val="0"/>
              <w:suppressLineNumbers w:val="0"/>
              <w:adjustRightInd w:val="0"/>
              <w:snapToGrid w:val="0"/>
              <w:spacing w:before="0" w:beforeAutospacing="0" w:after="0" w:afterAutospacing="0"/>
              <w:ind w:left="840" w:leftChars="40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24</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4D78D571">
            <w:pPr>
              <w:pStyle w:val="14"/>
              <w:keepNext w:val="0"/>
              <w:keepLines w:val="0"/>
              <w:widowControl w:val="0"/>
              <w:suppressLineNumbers w:val="0"/>
              <w:spacing w:before="0" w:beforeAutospacing="1" w:after="120" w:afterAutospacing="0"/>
              <w:ind w:left="0" w:leftChars="0" w:right="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39.3</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1D9EF956">
            <w:pPr>
              <w:keepNext w:val="0"/>
              <w:keepLines w:val="0"/>
              <w:widowControl w:val="0"/>
              <w:suppressLineNumbers w:val="0"/>
              <w:spacing w:before="0" w:beforeAutospacing="0" w:after="0" w:afterAutospacing="0"/>
              <w:ind w:left="0" w:leftChars="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center"/>
          </w:tcPr>
          <w:p w14:paraId="34D374E3">
            <w:pPr>
              <w:keepNext w:val="0"/>
              <w:keepLines w:val="0"/>
              <w:widowControl w:val="0"/>
              <w:suppressLineNumbers w:val="0"/>
              <w:adjustRightInd w:val="0"/>
              <w:snapToGrid w:val="0"/>
              <w:spacing w:before="0" w:beforeAutospacing="0" w:after="0" w:afterAutospacing="0" w:line="360" w:lineRule="auto"/>
              <w:ind w:left="0" w:right="0"/>
              <w:jc w:val="both"/>
              <w:outlineLvl w:val="3"/>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39.3承包人未能按合同约定履行自己的各项义务或发生错误，发包人按如下约定向承包人索赔：</w:t>
            </w:r>
          </w:p>
          <w:p w14:paraId="047B6CAA">
            <w:pPr>
              <w:keepNext w:val="0"/>
              <w:keepLines w:val="0"/>
              <w:widowControl w:val="0"/>
              <w:suppressLineNumbers w:val="0"/>
              <w:adjustRightInd w:val="0"/>
              <w:snapToGrid w:val="0"/>
              <w:spacing w:before="0" w:beforeAutospacing="0" w:after="0" w:afterAutospacing="0" w:line="360" w:lineRule="auto"/>
              <w:ind w:left="0" w:right="0"/>
              <w:jc w:val="both"/>
              <w:outlineLvl w:val="3"/>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（1）发包人将自己的索赔意向书面通知承包人（同时抄送其</w:t>
            </w:r>
            <w:r>
              <w:rPr>
                <w:rFonts w:hint="eastAsia" w:ascii="宋体" w:hAnsi="宋体" w:eastAsia="宋体" w:cs="宋体"/>
                <w:bCs/>
                <w:color w:val="auto"/>
                <w:kern w:val="0"/>
                <w:sz w:val="21"/>
                <w:szCs w:val="21"/>
                <w:highlight w:val="none"/>
                <w:u w:val="single"/>
                <w:lang w:val="en-US" w:eastAsia="zh-CN" w:bidi="ar"/>
              </w:rPr>
              <w:t>担保银行</w:t>
            </w:r>
            <w:r>
              <w:rPr>
                <w:rFonts w:hint="eastAsia" w:ascii="宋体" w:hAnsi="宋体" w:eastAsia="宋体" w:cs="宋体"/>
                <w:bCs/>
                <w:color w:val="auto"/>
                <w:kern w:val="0"/>
                <w:sz w:val="21"/>
                <w:szCs w:val="21"/>
                <w:highlight w:val="none"/>
                <w:lang w:val="en-US" w:eastAsia="zh-CN" w:bidi="ar"/>
              </w:rPr>
              <w:t>），要求承包人在限期内纠正其违约行为，否则发包人将考虑按合同约定作出相关处理决定。</w:t>
            </w:r>
          </w:p>
          <w:p w14:paraId="33F8AB0B">
            <w:pPr>
              <w:keepNext w:val="0"/>
              <w:keepLines w:val="0"/>
              <w:widowControl w:val="0"/>
              <w:suppressLineNumbers w:val="0"/>
              <w:adjustRightInd w:val="0"/>
              <w:snapToGrid w:val="0"/>
              <w:spacing w:before="0" w:beforeAutospacing="0" w:after="0" w:afterAutospacing="0" w:line="360" w:lineRule="auto"/>
              <w:ind w:left="0" w:right="0"/>
              <w:jc w:val="both"/>
              <w:outlineLvl w:val="3"/>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（2）限期届满，承包人没有用实际行动纠正自己的违约行为或者纠正行为不能使发包人满意或者纠正行为无法弥补发包人的损失的，则发包人直接按合同约定作出相关处理决定并向</w:t>
            </w:r>
            <w:r>
              <w:rPr>
                <w:rFonts w:hint="eastAsia" w:ascii="宋体" w:hAnsi="宋体" w:eastAsia="宋体" w:cs="宋体"/>
                <w:bCs/>
                <w:color w:val="auto"/>
                <w:kern w:val="0"/>
                <w:sz w:val="21"/>
                <w:szCs w:val="21"/>
                <w:highlight w:val="none"/>
                <w:u w:val="single"/>
                <w:lang w:val="en-US" w:eastAsia="zh-CN" w:bidi="ar"/>
              </w:rPr>
              <w:t>银行</w:t>
            </w:r>
            <w:r>
              <w:rPr>
                <w:rFonts w:hint="eastAsia" w:ascii="宋体" w:hAnsi="宋体" w:eastAsia="宋体" w:cs="宋体"/>
                <w:bCs/>
                <w:color w:val="auto"/>
                <w:kern w:val="0"/>
                <w:sz w:val="21"/>
                <w:szCs w:val="21"/>
                <w:highlight w:val="none"/>
                <w:lang w:val="en-US" w:eastAsia="zh-CN" w:bidi="ar"/>
              </w:rPr>
              <w:t>发出正式书面索赔通知。</w:t>
            </w:r>
          </w:p>
          <w:p w14:paraId="55DB6FED">
            <w:pPr>
              <w:keepNext w:val="0"/>
              <w:keepLines w:val="0"/>
              <w:widowControl w:val="0"/>
              <w:suppressLineNumbers w:val="0"/>
              <w:adjustRightInd w:val="0"/>
              <w:snapToGrid w:val="0"/>
              <w:spacing w:before="0" w:beforeAutospacing="0" w:after="0" w:afterAutospacing="0" w:line="360" w:lineRule="auto"/>
              <w:ind w:left="0" w:right="0"/>
              <w:jc w:val="both"/>
              <w:outlineLvl w:val="3"/>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（3）如果通过向</w:t>
            </w:r>
            <w:r>
              <w:rPr>
                <w:rFonts w:hint="eastAsia" w:ascii="宋体" w:hAnsi="宋体" w:eastAsia="宋体" w:cs="宋体"/>
                <w:bCs/>
                <w:color w:val="auto"/>
                <w:kern w:val="0"/>
                <w:sz w:val="21"/>
                <w:szCs w:val="21"/>
                <w:highlight w:val="none"/>
                <w:u w:val="single"/>
                <w:lang w:val="en-US" w:eastAsia="zh-CN" w:bidi="ar"/>
              </w:rPr>
              <w:t>银行</w:t>
            </w:r>
            <w:r>
              <w:rPr>
                <w:rFonts w:hint="eastAsia" w:ascii="宋体" w:hAnsi="宋体" w:eastAsia="宋体" w:cs="宋体"/>
                <w:bCs/>
                <w:color w:val="auto"/>
                <w:kern w:val="0"/>
                <w:sz w:val="21"/>
                <w:szCs w:val="21"/>
                <w:highlight w:val="none"/>
                <w:lang w:val="en-US" w:eastAsia="zh-CN" w:bidi="ar"/>
              </w:rPr>
              <w:t>索赔的方式依然不能完全弥补发包人的损失，则发包人有权在应支付给承包人的工程款中直接扣取。同时发包人有权要求承包人在规定时间内按合同专用条款第44.5款的约定向发包人补充提交履约</w:t>
            </w:r>
            <w:r>
              <w:rPr>
                <w:rFonts w:hint="eastAsia" w:ascii="宋体" w:hAnsi="宋体" w:eastAsia="宋体" w:cs="宋体"/>
                <w:bCs/>
                <w:color w:val="auto"/>
                <w:kern w:val="0"/>
                <w:sz w:val="21"/>
                <w:szCs w:val="21"/>
                <w:highlight w:val="none"/>
                <w:u w:val="single"/>
                <w:lang w:val="en-US" w:eastAsia="zh-CN" w:bidi="ar"/>
              </w:rPr>
              <w:t>银行保函</w:t>
            </w:r>
            <w:r>
              <w:rPr>
                <w:rFonts w:hint="eastAsia" w:ascii="宋体" w:hAnsi="宋体" w:eastAsia="宋体" w:cs="宋体"/>
                <w:bCs/>
                <w:color w:val="auto"/>
                <w:kern w:val="0"/>
                <w:sz w:val="21"/>
                <w:szCs w:val="21"/>
                <w:highlight w:val="none"/>
                <w:lang w:val="en-US" w:eastAsia="zh-CN" w:bidi="ar"/>
              </w:rPr>
              <w:t>。</w:t>
            </w:r>
          </w:p>
          <w:p w14:paraId="43082151">
            <w:pPr>
              <w:keepNext w:val="0"/>
              <w:keepLines w:val="0"/>
              <w:widowControl w:val="0"/>
              <w:suppressLineNumbers w:val="0"/>
              <w:adjustRightInd w:val="0"/>
              <w:snapToGrid w:val="0"/>
              <w:spacing w:before="0" w:beforeAutospacing="0" w:after="0" w:afterAutospacing="0" w:line="360" w:lineRule="auto"/>
              <w:ind w:left="0" w:right="0"/>
              <w:jc w:val="both"/>
              <w:outlineLvl w:val="3"/>
              <w:rPr>
                <w:rFonts w:hint="eastAsia" w:ascii="宋体" w:hAnsi="宋体" w:eastAsia="宋体" w:cs="宋体"/>
                <w:color w:val="auto"/>
                <w:kern w:val="2"/>
                <w:sz w:val="21"/>
                <w:szCs w:val="21"/>
                <w:highlight w:val="none"/>
              </w:rPr>
            </w:pPr>
            <w:r>
              <w:rPr>
                <w:rFonts w:hint="eastAsia" w:ascii="宋体" w:hAnsi="宋体" w:eastAsia="宋体" w:cs="宋体"/>
                <w:bCs/>
                <w:color w:val="auto"/>
                <w:kern w:val="0"/>
                <w:sz w:val="21"/>
                <w:szCs w:val="21"/>
                <w:highlight w:val="none"/>
                <w:lang w:val="en-US" w:eastAsia="zh-CN" w:bidi="ar"/>
              </w:rPr>
              <w:t>（4）如果通过向</w:t>
            </w:r>
            <w:r>
              <w:rPr>
                <w:rFonts w:hint="eastAsia" w:ascii="宋体" w:hAnsi="宋体" w:eastAsia="宋体" w:cs="宋体"/>
                <w:bCs/>
                <w:color w:val="auto"/>
                <w:kern w:val="0"/>
                <w:sz w:val="21"/>
                <w:szCs w:val="21"/>
                <w:highlight w:val="none"/>
                <w:u w:val="single"/>
                <w:lang w:val="en-US" w:eastAsia="zh-CN" w:bidi="ar"/>
              </w:rPr>
              <w:t>银行</w:t>
            </w:r>
            <w:r>
              <w:rPr>
                <w:rFonts w:hint="eastAsia" w:ascii="宋体" w:hAnsi="宋体" w:eastAsia="宋体" w:cs="宋体"/>
                <w:bCs/>
                <w:color w:val="auto"/>
                <w:kern w:val="0"/>
                <w:sz w:val="21"/>
                <w:szCs w:val="21"/>
                <w:highlight w:val="none"/>
                <w:lang w:val="en-US" w:eastAsia="zh-CN" w:bidi="ar"/>
              </w:rPr>
              <w:t>索赔以及直接扣取工程款等方式依然不能完全弥补发包人损失的，承包人必须在发包人规定的时间内以现金形式支付剩余索赔额，否则发包人将按合同专用条款第40条的约定处理。</w:t>
            </w: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48B0212B">
            <w:pPr>
              <w:keepNext w:val="0"/>
              <w:keepLines w:val="0"/>
              <w:widowControl w:val="0"/>
              <w:suppressLineNumbers w:val="0"/>
              <w:adjustRightInd w:val="0"/>
              <w:snapToGrid w:val="0"/>
              <w:spacing w:before="0" w:beforeAutospacing="0" w:after="0" w:afterAutospacing="0" w:line="360" w:lineRule="auto"/>
              <w:ind w:left="0" w:right="0"/>
              <w:jc w:val="both"/>
              <w:outlineLvl w:val="3"/>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39.3承包人未能按合同约定履行自己的各项义务或发生错误，发包人按如下约定向承包人索赔：</w:t>
            </w:r>
          </w:p>
          <w:p w14:paraId="76B061C4">
            <w:pPr>
              <w:keepNext w:val="0"/>
              <w:keepLines w:val="0"/>
              <w:widowControl w:val="0"/>
              <w:suppressLineNumbers w:val="0"/>
              <w:adjustRightInd w:val="0"/>
              <w:snapToGrid w:val="0"/>
              <w:spacing w:before="0" w:beforeAutospacing="0" w:after="0" w:afterAutospacing="0" w:line="360" w:lineRule="auto"/>
              <w:ind w:left="0" w:right="0"/>
              <w:jc w:val="both"/>
              <w:outlineLvl w:val="3"/>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（1）发包人将自己的索赔意向书面通知承包人（同时抄送其</w:t>
            </w:r>
            <w:r>
              <w:rPr>
                <w:rFonts w:hint="eastAsia" w:ascii="宋体" w:hAnsi="宋体" w:eastAsia="宋体" w:cs="宋体"/>
                <w:bCs/>
                <w:color w:val="auto"/>
                <w:kern w:val="0"/>
                <w:sz w:val="21"/>
                <w:szCs w:val="21"/>
                <w:highlight w:val="none"/>
                <w:u w:val="single"/>
                <w:lang w:val="en-US" w:eastAsia="zh-CN" w:bidi="ar"/>
              </w:rPr>
              <w:t>保证人</w:t>
            </w:r>
            <w:r>
              <w:rPr>
                <w:rFonts w:hint="eastAsia" w:ascii="宋体" w:hAnsi="宋体" w:eastAsia="宋体" w:cs="宋体"/>
                <w:bCs/>
                <w:color w:val="auto"/>
                <w:kern w:val="0"/>
                <w:sz w:val="21"/>
                <w:szCs w:val="21"/>
                <w:highlight w:val="none"/>
                <w:lang w:val="en-US" w:eastAsia="zh-CN" w:bidi="ar"/>
              </w:rPr>
              <w:t>），要求承包人在限期内纠正其违约行为，否则发包人将考虑按合同约定作出相关处理决定。</w:t>
            </w:r>
          </w:p>
          <w:p w14:paraId="535011C5">
            <w:pPr>
              <w:keepNext w:val="0"/>
              <w:keepLines w:val="0"/>
              <w:widowControl w:val="0"/>
              <w:suppressLineNumbers w:val="0"/>
              <w:adjustRightInd w:val="0"/>
              <w:snapToGrid w:val="0"/>
              <w:spacing w:before="0" w:beforeAutospacing="0" w:after="0" w:afterAutospacing="0" w:line="360" w:lineRule="auto"/>
              <w:ind w:left="0" w:right="0"/>
              <w:jc w:val="both"/>
              <w:outlineLvl w:val="3"/>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（2）限期届满，承包人没有用实际行动纠正自己的违约行为或者纠正行为不能使发包人满意或者纠正行为无法弥补发包人的损失的，则发包人直接按合同约定作出相关处理决定并向</w:t>
            </w:r>
            <w:r>
              <w:rPr>
                <w:rFonts w:hint="eastAsia" w:ascii="宋体" w:hAnsi="宋体" w:eastAsia="宋体" w:cs="宋体"/>
                <w:bCs/>
                <w:color w:val="auto"/>
                <w:kern w:val="0"/>
                <w:sz w:val="21"/>
                <w:szCs w:val="21"/>
                <w:highlight w:val="none"/>
                <w:u w:val="single"/>
                <w:lang w:val="en-US" w:eastAsia="zh-CN" w:bidi="ar"/>
              </w:rPr>
              <w:t>保证人</w:t>
            </w:r>
            <w:r>
              <w:rPr>
                <w:rFonts w:hint="eastAsia" w:ascii="宋体" w:hAnsi="宋体" w:eastAsia="宋体" w:cs="宋体"/>
                <w:bCs/>
                <w:color w:val="auto"/>
                <w:kern w:val="0"/>
                <w:sz w:val="21"/>
                <w:szCs w:val="21"/>
                <w:highlight w:val="none"/>
                <w:lang w:val="en-US" w:eastAsia="zh-CN" w:bidi="ar"/>
              </w:rPr>
              <w:t>发出正式书面索赔通知。</w:t>
            </w:r>
          </w:p>
          <w:p w14:paraId="425BF263">
            <w:pPr>
              <w:keepNext w:val="0"/>
              <w:keepLines w:val="0"/>
              <w:widowControl w:val="0"/>
              <w:suppressLineNumbers w:val="0"/>
              <w:adjustRightInd w:val="0"/>
              <w:snapToGrid w:val="0"/>
              <w:spacing w:before="0" w:beforeAutospacing="0" w:after="0" w:afterAutospacing="0" w:line="360" w:lineRule="auto"/>
              <w:ind w:left="0" w:right="0"/>
              <w:jc w:val="both"/>
              <w:outlineLvl w:val="3"/>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（3）如果通过向</w:t>
            </w:r>
            <w:r>
              <w:rPr>
                <w:rFonts w:hint="eastAsia" w:ascii="宋体" w:hAnsi="宋体" w:eastAsia="宋体" w:cs="宋体"/>
                <w:bCs/>
                <w:color w:val="auto"/>
                <w:kern w:val="0"/>
                <w:sz w:val="21"/>
                <w:szCs w:val="21"/>
                <w:highlight w:val="none"/>
                <w:u w:val="single"/>
                <w:lang w:val="en-US" w:eastAsia="zh-CN" w:bidi="ar"/>
              </w:rPr>
              <w:t>保证人</w:t>
            </w:r>
            <w:r>
              <w:rPr>
                <w:rFonts w:hint="eastAsia" w:ascii="宋体" w:hAnsi="宋体" w:eastAsia="宋体" w:cs="宋体"/>
                <w:bCs/>
                <w:color w:val="auto"/>
                <w:kern w:val="0"/>
                <w:sz w:val="21"/>
                <w:szCs w:val="21"/>
                <w:highlight w:val="none"/>
                <w:lang w:val="en-US" w:eastAsia="zh-CN" w:bidi="ar"/>
              </w:rPr>
              <w:t>索赔的方式依然不能完全弥补发包人的损失，则发包人有权在应支付给承包人的工程款中直接扣取。同时发包人有权要求承包人在规定时间内按合同专用条款第44.5款的约定向发包人补充提交</w:t>
            </w:r>
            <w:r>
              <w:rPr>
                <w:rFonts w:hint="eastAsia" w:ascii="宋体" w:hAnsi="宋体" w:eastAsia="宋体" w:cs="宋体"/>
                <w:bCs/>
                <w:color w:val="auto"/>
                <w:kern w:val="0"/>
                <w:sz w:val="21"/>
                <w:szCs w:val="21"/>
                <w:highlight w:val="none"/>
                <w:u w:val="single"/>
                <w:lang w:val="en-US" w:eastAsia="zh-CN" w:bidi="ar"/>
              </w:rPr>
              <w:t>履约担保</w:t>
            </w:r>
            <w:r>
              <w:rPr>
                <w:rFonts w:hint="eastAsia" w:ascii="宋体" w:hAnsi="宋体" w:eastAsia="宋体" w:cs="宋体"/>
                <w:bCs/>
                <w:color w:val="auto"/>
                <w:kern w:val="0"/>
                <w:sz w:val="21"/>
                <w:szCs w:val="21"/>
                <w:highlight w:val="none"/>
                <w:lang w:val="en-US" w:eastAsia="zh-CN" w:bidi="ar"/>
              </w:rPr>
              <w:t>。</w:t>
            </w:r>
          </w:p>
          <w:p w14:paraId="6636568C">
            <w:pPr>
              <w:keepNext w:val="0"/>
              <w:keepLines w:val="0"/>
              <w:widowControl w:val="0"/>
              <w:suppressLineNumbers w:val="0"/>
              <w:adjustRightInd w:val="0"/>
              <w:snapToGrid w:val="0"/>
              <w:spacing w:before="0" w:beforeAutospacing="0" w:after="0" w:afterAutospacing="0" w:line="360" w:lineRule="auto"/>
              <w:ind w:left="0" w:right="0"/>
              <w:jc w:val="both"/>
              <w:outlineLvl w:val="3"/>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（4）如果通过向</w:t>
            </w:r>
            <w:r>
              <w:rPr>
                <w:rFonts w:hint="eastAsia" w:ascii="宋体" w:hAnsi="宋体" w:eastAsia="宋体" w:cs="宋体"/>
                <w:bCs/>
                <w:color w:val="auto"/>
                <w:kern w:val="0"/>
                <w:sz w:val="21"/>
                <w:szCs w:val="21"/>
                <w:highlight w:val="none"/>
                <w:u w:val="single"/>
                <w:lang w:val="en-US" w:eastAsia="zh-CN" w:bidi="ar"/>
              </w:rPr>
              <w:t>保证人</w:t>
            </w:r>
            <w:r>
              <w:rPr>
                <w:rFonts w:hint="eastAsia" w:ascii="宋体" w:hAnsi="宋体" w:eastAsia="宋体" w:cs="宋体"/>
                <w:bCs/>
                <w:color w:val="auto"/>
                <w:kern w:val="0"/>
                <w:sz w:val="21"/>
                <w:szCs w:val="21"/>
                <w:highlight w:val="none"/>
                <w:lang w:val="en-US" w:eastAsia="zh-CN" w:bidi="ar"/>
              </w:rPr>
              <w:t>索赔以及直接扣取工程款等方式依然不能完全弥补发包人损失的，承包人必须在发包人规定的时间内以现金形式支付剩余索赔额，否则发包人将按合同专用条款第40条的约定处理。</w:t>
            </w:r>
          </w:p>
        </w:tc>
      </w:tr>
      <w:tr w14:paraId="60B04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4"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ACA735">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29</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113655F0">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41.1</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6A0B860A">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center"/>
          </w:tcPr>
          <w:p w14:paraId="207183AA">
            <w:pPr>
              <w:keepNext w:val="0"/>
              <w:keepLines w:val="0"/>
              <w:widowControl w:val="0"/>
              <w:suppressLineNumbers w:val="0"/>
              <w:adjustRightInd w:val="0"/>
              <w:snapToGrid w:val="0"/>
              <w:spacing w:before="0" w:beforeAutospacing="0" w:after="0" w:afterAutospacing="0" w:line="360" w:lineRule="auto"/>
              <w:ind w:left="0" w:right="0"/>
              <w:jc w:val="both"/>
              <w:outlineLvl w:val="3"/>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41.1 本工程的主体及关键性工作必须由承包人自行完成，不得分包。非主体、非关键性工作的分包应当在投标文件中载明或者经发包人同意，承包人应严格按照招投标文件的约定或发包人限定的时间与分包单位签订分包合同。</w:t>
            </w: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4FC29614">
            <w:pPr>
              <w:keepNext w:val="0"/>
              <w:keepLines w:val="0"/>
              <w:widowControl w:val="0"/>
              <w:suppressLineNumbers w:val="0"/>
              <w:spacing w:before="0" w:beforeAutospacing="0" w:after="0" w:afterAutospacing="0"/>
              <w:ind w:left="0" w:right="0" w:firstLine="420" w:firstLineChars="200"/>
              <w:jc w:val="both"/>
              <w:rPr>
                <w:rFonts w:hint="eastAsia" w:ascii="宋体" w:hAnsi="宋体" w:eastAsia="宋体" w:cs="宋体"/>
                <w:color w:val="auto"/>
                <w:kern w:val="2"/>
                <w:sz w:val="21"/>
                <w:szCs w:val="21"/>
                <w:highlight w:val="none"/>
              </w:rPr>
            </w:pPr>
            <w:r>
              <w:rPr>
                <w:rFonts w:hint="default" w:ascii="Times New Roman" w:hAnsi="Times New Roman" w:eastAsia="宋体" w:cs="Times New Roman"/>
                <w:color w:val="auto"/>
                <w:kern w:val="0"/>
                <w:sz w:val="21"/>
                <w:szCs w:val="21"/>
                <w:highlight w:val="none"/>
                <w:lang w:val="en-US" w:eastAsia="zh-CN" w:bidi="ar"/>
              </w:rPr>
              <w:t>41.1</w:t>
            </w:r>
            <w:r>
              <w:rPr>
                <w:rFonts w:hint="eastAsia" w:ascii="宋体" w:hAnsi="宋体" w:eastAsia="宋体" w:cs="宋体"/>
                <w:color w:val="auto"/>
                <w:kern w:val="0"/>
                <w:sz w:val="21"/>
                <w:szCs w:val="21"/>
                <w:highlight w:val="none"/>
                <w:lang w:val="en-US" w:eastAsia="zh-CN" w:bidi="ar"/>
              </w:rPr>
              <w:t>本工程的主体及关键性工作必须由承包人自行完成，不得分包。非主体、非关键性工作的分包应当在投标文件中载明或者经发包人同意，承包人应当在合同订立后</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个月内编制分包计划表，列明分包项目，分包项目份额按本条</w:t>
            </w:r>
            <w:r>
              <w:rPr>
                <w:rFonts w:hint="eastAsia" w:ascii="宋体" w:hAnsi="宋体" w:eastAsia="宋体" w:cs="宋体"/>
                <w:b/>
                <w:bCs w:val="0"/>
                <w:color w:val="auto"/>
                <w:kern w:val="0"/>
                <w:sz w:val="21"/>
                <w:szCs w:val="21"/>
                <w:highlight w:val="none"/>
                <w:lang w:val="en-US" w:eastAsia="zh-CN" w:bidi="ar"/>
              </w:rPr>
              <w:t>41.13</w:t>
            </w:r>
            <w:r>
              <w:rPr>
                <w:rFonts w:hint="eastAsia" w:ascii="宋体" w:hAnsi="宋体" w:eastAsia="宋体" w:cs="宋体"/>
                <w:color w:val="auto"/>
                <w:kern w:val="0"/>
                <w:sz w:val="21"/>
                <w:szCs w:val="21"/>
                <w:highlight w:val="none"/>
                <w:lang w:val="en-US" w:eastAsia="zh-CN" w:bidi="ar"/>
              </w:rPr>
              <w:t>约定执行。承包人应严格按照招投标文件的约定或发包人限定的时间与分包单位签订分包合同</w:t>
            </w:r>
          </w:p>
        </w:tc>
      </w:tr>
      <w:tr w14:paraId="7CFC3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4"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FD1AEE">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30</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2155CE43">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41.12</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016BA555">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增加</w:t>
            </w:r>
          </w:p>
        </w:tc>
        <w:tc>
          <w:tcPr>
            <w:tcW w:w="3669" w:type="dxa"/>
            <w:tcBorders>
              <w:top w:val="single" w:color="auto" w:sz="4" w:space="0"/>
              <w:left w:val="nil"/>
              <w:bottom w:val="single" w:color="auto" w:sz="4" w:space="0"/>
              <w:right w:val="single" w:color="auto" w:sz="4" w:space="0"/>
            </w:tcBorders>
            <w:shd w:val="clear" w:color="auto" w:fill="auto"/>
            <w:noWrap/>
            <w:vAlign w:val="center"/>
          </w:tcPr>
          <w:p w14:paraId="5CB19C64">
            <w:pPr>
              <w:keepNext w:val="0"/>
              <w:keepLines w:val="0"/>
              <w:widowControl w:val="0"/>
              <w:suppressLineNumbers w:val="0"/>
              <w:adjustRightInd w:val="0"/>
              <w:snapToGrid w:val="0"/>
              <w:spacing w:before="0" w:beforeAutospacing="0" w:after="0" w:afterAutospacing="0" w:line="360" w:lineRule="auto"/>
              <w:ind w:left="0" w:right="0"/>
              <w:jc w:val="both"/>
              <w:outlineLvl w:val="3"/>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585D28D0">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41.12如发现承包人有转包、违法分包及挂靠等违法行为相关线索，发包人将约谈承包人。承包人若无法作出合理解释，无法提供或提供的材料不能证明其不存在线索所示违法行为的，发包人将上报行业行政主管部门，相应的法律后果及由此产生的一切损失由承包人承担。</w:t>
            </w:r>
          </w:p>
        </w:tc>
      </w:tr>
      <w:tr w14:paraId="48504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4"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2B37E2">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31</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609A0A40">
            <w:pPr>
              <w:keepNext w:val="0"/>
              <w:keepLines w:val="0"/>
              <w:widowControl w:val="0"/>
              <w:suppressLineNumbers w:val="0"/>
              <w:spacing w:before="0" w:beforeAutospacing="0" w:after="0" w:afterAutospacing="0"/>
              <w:ind w:left="0" w:right="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41.13</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7F716B26">
            <w:pPr>
              <w:keepNext w:val="0"/>
              <w:keepLines w:val="0"/>
              <w:widowControl w:val="0"/>
              <w:suppressLineNumbers w:val="0"/>
              <w:spacing w:before="0" w:beforeAutospacing="0" w:after="0" w:afterAutospacing="0"/>
              <w:ind w:left="0" w:right="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增加</w:t>
            </w:r>
          </w:p>
        </w:tc>
        <w:tc>
          <w:tcPr>
            <w:tcW w:w="3669" w:type="dxa"/>
            <w:tcBorders>
              <w:top w:val="single" w:color="auto" w:sz="4" w:space="0"/>
              <w:left w:val="nil"/>
              <w:bottom w:val="single" w:color="auto" w:sz="4" w:space="0"/>
              <w:right w:val="single" w:color="auto" w:sz="4" w:space="0"/>
            </w:tcBorders>
            <w:shd w:val="clear" w:color="auto" w:fill="auto"/>
            <w:noWrap/>
            <w:vAlign w:val="center"/>
          </w:tcPr>
          <w:p w14:paraId="01DC20ED">
            <w:pPr>
              <w:keepNext w:val="0"/>
              <w:keepLines w:val="0"/>
              <w:widowControl w:val="0"/>
              <w:suppressLineNumbers w:val="0"/>
              <w:adjustRightInd w:val="0"/>
              <w:snapToGrid w:val="0"/>
              <w:spacing w:before="0" w:beforeAutospacing="0" w:after="0" w:afterAutospacing="0" w:line="360" w:lineRule="auto"/>
              <w:ind w:left="0" w:right="0"/>
              <w:jc w:val="both"/>
              <w:outlineLvl w:val="3"/>
              <w:rPr>
                <w:rFonts w:hint="eastAsia" w:ascii="宋体" w:hAnsi="宋体" w:eastAsia="宋体" w:cs="宋体"/>
                <w:color w:val="auto"/>
                <w:kern w:val="0"/>
                <w:sz w:val="21"/>
                <w:szCs w:val="21"/>
                <w:highlight w:val="none"/>
              </w:rPr>
            </w:pP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10007E7D">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41.13为促进中小企业发展，本工程约定如下：</w:t>
            </w:r>
          </w:p>
          <w:p w14:paraId="2F7A8E13">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承包人不属于中小企业的，必须将本项目合同分包给一家或者多家中小企业，或采购中小企业作为供应商提供的材料设备及将劳务分包给中小企业。前述各方式中，中小企业累计承担的合同份额占项目总投资额的比例达到</w:t>
            </w:r>
            <w:r>
              <w:rPr>
                <w:rFonts w:hint="default" w:ascii="Times New Roman" w:hAnsi="Times New Roman" w:eastAsia="宋体" w:cs="Times New Roman"/>
                <w:color w:val="auto"/>
                <w:kern w:val="0"/>
                <w:sz w:val="21"/>
                <w:szCs w:val="21"/>
                <w:highlight w:val="none"/>
                <w:lang w:val="en-US" w:eastAsia="zh-CN" w:bidi="ar"/>
              </w:rPr>
              <w:t>40%</w:t>
            </w:r>
            <w:r>
              <w:rPr>
                <w:rFonts w:hint="eastAsia" w:ascii="宋体" w:hAnsi="宋体" w:eastAsia="宋体" w:cs="宋体"/>
                <w:color w:val="auto"/>
                <w:kern w:val="0"/>
                <w:sz w:val="21"/>
                <w:szCs w:val="21"/>
                <w:highlight w:val="none"/>
                <w:lang w:val="en-US" w:eastAsia="zh-CN" w:bidi="ar"/>
              </w:rPr>
              <w:t>以上（其中预留给小微企业的部分不低于项目总投资额的</w:t>
            </w:r>
            <w:r>
              <w:rPr>
                <w:rFonts w:hint="default" w:ascii="Times New Roman" w:hAnsi="Times New Roman" w:eastAsia="宋体" w:cs="Times New Roman"/>
                <w:color w:val="auto"/>
                <w:kern w:val="0"/>
                <w:sz w:val="21"/>
                <w:szCs w:val="21"/>
                <w:highlight w:val="none"/>
                <w:lang w:val="en-US" w:eastAsia="zh-CN" w:bidi="ar"/>
              </w:rPr>
              <w:t>28%</w:t>
            </w:r>
            <w:r>
              <w:rPr>
                <w:rFonts w:hint="eastAsia" w:ascii="宋体" w:hAnsi="宋体" w:eastAsia="宋体" w:cs="宋体"/>
                <w:color w:val="auto"/>
                <w:kern w:val="0"/>
                <w:sz w:val="21"/>
                <w:szCs w:val="21"/>
                <w:highlight w:val="none"/>
                <w:lang w:val="en-US" w:eastAsia="zh-CN" w:bidi="ar"/>
              </w:rPr>
              <w:t xml:space="preserve">。最终比例以发包人审核确认为准），拟分包的中小企业与承包人之间不得存在直接控股、管理关系。 </w:t>
            </w:r>
          </w:p>
          <w:p w14:paraId="2C7F8D67">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承包人属于中型企业的，必须将本项目合同分包给一家或者多家小微企业，小微企业承担的合同份额不低于项目总投资额的</w:t>
            </w:r>
            <w:r>
              <w:rPr>
                <w:rFonts w:hint="default" w:ascii="Times New Roman" w:hAnsi="Times New Roman" w:eastAsia="宋体" w:cs="Times New Roman"/>
                <w:color w:val="auto"/>
                <w:kern w:val="0"/>
                <w:sz w:val="21"/>
                <w:szCs w:val="21"/>
                <w:highlight w:val="none"/>
                <w:lang w:val="en-US" w:eastAsia="zh-CN" w:bidi="ar"/>
              </w:rPr>
              <w:t>28%</w:t>
            </w:r>
            <w:r>
              <w:rPr>
                <w:rFonts w:hint="eastAsia" w:ascii="宋体" w:hAnsi="宋体" w:eastAsia="宋体" w:cs="宋体"/>
                <w:color w:val="auto"/>
                <w:kern w:val="0"/>
                <w:sz w:val="21"/>
                <w:szCs w:val="21"/>
                <w:highlight w:val="none"/>
                <w:lang w:val="en-US" w:eastAsia="zh-CN" w:bidi="ar"/>
              </w:rPr>
              <w:t>（最终比例以发包人审核确认为准），拟分包的中小企业与承包人之间不得存在直接控股、管理关系。</w:t>
            </w:r>
          </w:p>
          <w:p w14:paraId="4EC5175B">
            <w:pPr>
              <w:keepNext w:val="0"/>
              <w:keepLines w:val="0"/>
              <w:widowControl w:val="0"/>
              <w:suppressLineNumbers w:val="0"/>
              <w:adjustRightInd w:val="0"/>
              <w:snapToGrid w:val="0"/>
              <w:spacing w:before="0" w:beforeAutospacing="0" w:after="0" w:afterAutospacing="0" w:line="360" w:lineRule="auto"/>
              <w:ind w:left="0" w:right="0" w:firstLine="210" w:firstLineChars="100"/>
              <w:jc w:val="both"/>
              <w:outlineLvl w:val="3"/>
              <w:rPr>
                <w:rFonts w:hint="eastAsia" w:ascii="宋体" w:hAnsi="宋体" w:eastAsia="宋体" w:cs="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承包人属于小微企业的，是否采取分包不作强制要求。</w:t>
            </w:r>
          </w:p>
        </w:tc>
      </w:tr>
      <w:tr w14:paraId="344D8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4"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1FD302">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32</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2CC577D0">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0"/>
                <w:szCs w:val="20"/>
                <w:highlight w:val="none"/>
                <w:lang w:val="en-US" w:eastAsia="zh-CN" w:bidi="ar"/>
              </w:rPr>
              <w:t>43.6</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671F2BA7">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0"/>
                <w:szCs w:val="20"/>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top"/>
          </w:tcPr>
          <w:p w14:paraId="2674FD9F">
            <w:pPr>
              <w:keepNext w:val="0"/>
              <w:keepLines w:val="0"/>
              <w:widowControl w:val="0"/>
              <w:suppressLineNumbers w:val="0"/>
              <w:adjustRightInd w:val="0"/>
              <w:snapToGrid w:val="0"/>
              <w:spacing w:before="0" w:beforeAutospacing="0" w:after="0" w:afterAutospacing="0" w:line="300" w:lineRule="auto"/>
              <w:ind w:left="0" w:right="11"/>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43.6双方同意按照以下约定购买工程保险：</w:t>
            </w:r>
          </w:p>
          <w:p w14:paraId="2D84AE65">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（1）由发包人购买的保险：无。</w:t>
            </w:r>
          </w:p>
          <w:p w14:paraId="06FBA0A7">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（2）承包人应当购买的保险包括：</w:t>
            </w:r>
          </w:p>
          <w:p w14:paraId="500E6EB4">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1）建筑职工意外伤害险（足额购买）；</w:t>
            </w:r>
          </w:p>
          <w:p w14:paraId="02A53925">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2）承包人雇主责任险；</w:t>
            </w:r>
          </w:p>
          <w:p w14:paraId="53541B01">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3）施工机械设备保险；</w:t>
            </w:r>
          </w:p>
          <w:p w14:paraId="41465F60">
            <w:pPr>
              <w:keepNext w:val="0"/>
              <w:keepLines w:val="0"/>
              <w:widowControl w:val="0"/>
              <w:suppressLineNumbers w:val="0"/>
              <w:spacing w:before="0" w:beforeAutospacing="0" w:after="0" w:afterAutospacing="0"/>
              <w:ind w:left="0" w:right="0" w:firstLine="42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4）建筑业职工工伤保险【按《广州市建筑业职工参加工伤保险实施办法》（穗人社发〔2015〕73号）的规定购买】；</w:t>
            </w:r>
          </w:p>
          <w:p w14:paraId="16F80051">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5）工程保险。</w:t>
            </w:r>
          </w:p>
          <w:p w14:paraId="54CBAA9E">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运至施工场地内用于工程的材料和待安装设备，由承包人办理保险，并支付保险费用。</w:t>
            </w:r>
          </w:p>
          <w:p w14:paraId="55DF4BB4">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（3）承包人不按上述约定购买保险所产生的后果，由承包人自行承担。</w:t>
            </w: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75D68A48">
            <w:pPr>
              <w:keepNext w:val="0"/>
              <w:keepLines w:val="0"/>
              <w:widowControl w:val="0"/>
              <w:suppressLineNumbers w:val="0"/>
              <w:spacing w:before="0" w:beforeAutospacing="0" w:after="0" w:afterAutospacing="0"/>
              <w:ind w:left="0" w:right="26"/>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43.6双方同意按照以下约定购买工程保险：</w:t>
            </w:r>
          </w:p>
          <w:p w14:paraId="0372D132">
            <w:pPr>
              <w:keepNext w:val="0"/>
              <w:keepLines w:val="0"/>
              <w:widowControl w:val="0"/>
              <w:suppressLineNumbers w:val="0"/>
              <w:spacing w:before="0" w:beforeAutospacing="0" w:after="0" w:afterAutospacing="0"/>
              <w:ind w:left="0" w:right="26"/>
              <w:jc w:val="both"/>
              <w:rPr>
                <w:rFonts w:hint="eastAsia" w:ascii="宋体" w:hAnsi="宋体" w:eastAsia="宋体" w:cs="宋体"/>
                <w:b/>
                <w:bCs w:val="0"/>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（1）由发包人购买的保险：</w:t>
            </w:r>
            <w:r>
              <w:rPr>
                <w:rFonts w:hint="eastAsia" w:ascii="宋体" w:hAnsi="宋体" w:eastAsia="宋体" w:cs="宋体"/>
                <w:b/>
                <w:bCs w:val="0"/>
                <w:color w:val="auto"/>
                <w:kern w:val="2"/>
                <w:sz w:val="21"/>
                <w:szCs w:val="21"/>
                <w:highlight w:val="none"/>
                <w:lang w:val="en-US" w:eastAsia="zh-CN" w:bidi="ar"/>
              </w:rPr>
              <w:t>发包人就本工程项目购买建筑（安装）工程一切险、</w:t>
            </w:r>
            <w:r>
              <w:rPr>
                <w:rFonts w:hint="eastAsia" w:ascii="宋体" w:hAnsi="宋体" w:eastAsia="宋体" w:cs="宋体"/>
                <w:b/>
                <w:bCs w:val="0"/>
                <w:color w:val="auto"/>
                <w:kern w:val="2"/>
                <w:sz w:val="21"/>
                <w:szCs w:val="21"/>
                <w:highlight w:val="none"/>
                <w:u w:val="single"/>
                <w:lang w:val="en-US" w:eastAsia="zh-CN" w:bidi="ar"/>
              </w:rPr>
              <w:t>安全生产责任险中第三者人身伤亡和财产损失赔偿等保险、</w:t>
            </w:r>
            <w:r>
              <w:rPr>
                <w:rFonts w:hint="eastAsia" w:ascii="宋体" w:hAnsi="宋体" w:eastAsia="宋体" w:cs="宋体"/>
                <w:b/>
                <w:bCs w:val="0"/>
                <w:color w:val="auto"/>
                <w:kern w:val="2"/>
                <w:sz w:val="21"/>
                <w:szCs w:val="21"/>
                <w:highlight w:val="none"/>
                <w:lang w:val="en-US" w:eastAsia="zh-CN" w:bidi="ar"/>
              </w:rPr>
              <w:t>其他保险（为运至施工场地内用于工程的材料和待安装工程设备办理）；前述保险事项委托承包人进行购买，承包人应当在开工前向具备相应资格的保险人投保，该保险费已包含在本合同价款中，具体支付和结算方式按照合同专用条款28.2的约定执行。</w:t>
            </w:r>
          </w:p>
          <w:p w14:paraId="64CFE738">
            <w:pPr>
              <w:keepNext w:val="0"/>
              <w:keepLines w:val="0"/>
              <w:widowControl w:val="0"/>
              <w:suppressLineNumbers w:val="0"/>
              <w:spacing w:before="0" w:beforeAutospacing="0" w:after="0" w:afterAutospacing="0"/>
              <w:ind w:left="0" w:right="26"/>
              <w:jc w:val="both"/>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A：保险责任</w:t>
            </w:r>
          </w:p>
          <w:p w14:paraId="16013379">
            <w:pPr>
              <w:keepNext w:val="0"/>
              <w:keepLines w:val="0"/>
              <w:widowControl w:val="0"/>
              <w:suppressLineNumbers w:val="0"/>
              <w:spacing w:before="0" w:beforeAutospacing="0" w:after="0" w:afterAutospacing="0"/>
              <w:ind w:left="0" w:right="26"/>
              <w:jc w:val="both"/>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1）建筑（安装）工程一切险保险责任：保险人负责赔偿在工程项目所在工地和中华人民共和国境内地域范围内其它地方，属于被保险人或其负有责任的永久性工程、临时工程、辅助工程和与此有关的设备、材料等（包括场地外堆放和任何形式的运输），包括在保险期限终止前由工程所有人（或发包人）签发完工验收证书或验收合格或实际占有或使用或接收的部分，因自然灾害及意外事故导致的损失，包括因此而产生的施救费用、清理场地费用及其他费用项目。</w:t>
            </w:r>
          </w:p>
          <w:p w14:paraId="449E0B3D">
            <w:pPr>
              <w:keepNext w:val="0"/>
              <w:keepLines w:val="0"/>
              <w:widowControl w:val="0"/>
              <w:suppressLineNumbers w:val="0"/>
              <w:spacing w:before="0" w:beforeAutospacing="0" w:after="0" w:afterAutospacing="0"/>
              <w:ind w:left="0" w:right="26"/>
              <w:jc w:val="both"/>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2）</w:t>
            </w:r>
            <w:r>
              <w:rPr>
                <w:rFonts w:hint="default" w:ascii="宋体" w:hAnsi="宋体" w:eastAsia="宋体" w:cs="宋体"/>
                <w:b/>
                <w:bCs w:val="0"/>
                <w:color w:val="auto"/>
                <w:kern w:val="2"/>
                <w:sz w:val="21"/>
                <w:szCs w:val="21"/>
                <w:highlight w:val="none"/>
                <w:lang w:eastAsia="zh-CN" w:bidi="ar"/>
              </w:rPr>
              <w:t>安全</w:t>
            </w:r>
            <w:r>
              <w:rPr>
                <w:rFonts w:hint="eastAsia" w:ascii="宋体" w:hAnsi="宋体" w:eastAsia="宋体" w:cs="宋体"/>
                <w:b/>
                <w:bCs w:val="0"/>
                <w:color w:val="auto"/>
                <w:kern w:val="2"/>
                <w:sz w:val="21"/>
                <w:szCs w:val="21"/>
                <w:highlight w:val="none"/>
                <w:u w:val="single"/>
                <w:lang w:val="en-US" w:eastAsia="zh-CN" w:bidi="ar"/>
              </w:rPr>
              <w:t>生产责任险中的第三者人身伤亡和财产损失赔偿等保险责任</w:t>
            </w:r>
            <w:r>
              <w:rPr>
                <w:rFonts w:hint="eastAsia" w:ascii="宋体" w:hAnsi="宋体" w:eastAsia="宋体" w:cs="宋体"/>
                <w:b/>
                <w:bCs w:val="0"/>
                <w:color w:val="auto"/>
                <w:kern w:val="2"/>
                <w:sz w:val="21"/>
                <w:szCs w:val="21"/>
                <w:highlight w:val="none"/>
                <w:lang w:val="en-US" w:eastAsia="zh-CN" w:bidi="ar"/>
              </w:rPr>
              <w:t>：保险人负责赔偿因发生与保险工程（包括在保险期限终止前由工程所有人（或发包人）签发完工验收证书或验收合格或实际占有或使用或接收的部分）直接相关的包括但不限于施工所致意外事故引起工地内及邻近区域的第三者人身伤亡和财产损失赔偿以及因此造成的事故抢险救援、医疗救护、事故鉴定、法律服务和诉讼等费用。</w:t>
            </w:r>
          </w:p>
          <w:p w14:paraId="4697FDF1">
            <w:pPr>
              <w:keepNext w:val="0"/>
              <w:keepLines w:val="0"/>
              <w:widowControl w:val="0"/>
              <w:suppressLineNumbers w:val="0"/>
              <w:spacing w:before="0" w:beforeAutospacing="0" w:after="0" w:afterAutospacing="0"/>
              <w:ind w:left="0" w:right="26"/>
              <w:jc w:val="both"/>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B：保险人资格</w:t>
            </w:r>
          </w:p>
          <w:p w14:paraId="46D65CDD">
            <w:pPr>
              <w:keepNext w:val="0"/>
              <w:keepLines w:val="0"/>
              <w:widowControl w:val="0"/>
              <w:suppressLineNumbers w:val="0"/>
              <w:spacing w:before="0" w:beforeAutospacing="0" w:after="0" w:afterAutospacing="0"/>
              <w:ind w:left="0" w:right="26"/>
              <w:jc w:val="both"/>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1）</w:t>
            </w:r>
            <w:r>
              <w:rPr>
                <w:rFonts w:hint="eastAsia" w:ascii="宋体" w:hAnsi="宋体" w:eastAsia="宋体" w:cs="宋体"/>
                <w:b/>
                <w:bCs w:val="0"/>
                <w:color w:val="auto"/>
                <w:kern w:val="2"/>
                <w:sz w:val="21"/>
                <w:szCs w:val="21"/>
                <w:highlight w:val="none"/>
                <w:u w:val="single"/>
                <w:lang w:val="en-US" w:eastAsia="zh-CN" w:bidi="ar"/>
              </w:rPr>
              <w:t>安全生产责任险保险人应在中华人民共和国境内依法注册并具有相应承保服务能力，遵照法律法规开展安责险业务。同属一家公司的保险机构应向上级公司申请授权在广州市注册唯一地市级分支机构统筹开展房屋建筑工程相关的安责险业务，并告知广州市安全生产委员会办公室（广州市应急管理局）、广州市住房和城乡建设局</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b/>
                <w:bCs w:val="0"/>
                <w:color w:val="auto"/>
                <w:kern w:val="2"/>
                <w:sz w:val="21"/>
                <w:szCs w:val="21"/>
                <w:highlight w:val="none"/>
                <w:u w:val="single"/>
                <w:lang w:val="en-US" w:eastAsia="zh-CN" w:bidi="ar"/>
              </w:rPr>
              <w:t>其他保险人应为</w:t>
            </w:r>
            <w:r>
              <w:rPr>
                <w:rFonts w:hint="eastAsia" w:ascii="宋体" w:hAnsi="宋体" w:eastAsia="宋体" w:cs="宋体"/>
                <w:b/>
                <w:bCs w:val="0"/>
                <w:color w:val="auto"/>
                <w:kern w:val="2"/>
                <w:sz w:val="21"/>
                <w:szCs w:val="21"/>
                <w:highlight w:val="none"/>
                <w:lang w:val="en-US" w:eastAsia="zh-CN" w:bidi="ar"/>
              </w:rPr>
              <w:t>在中华人民共和国境内注册具有独立法人资格的保险公司总公司或经其唯一授权的省/市级分支机构。</w:t>
            </w:r>
            <w:r>
              <w:rPr>
                <w:rFonts w:hint="eastAsia" w:ascii="宋体" w:hAnsi="宋体" w:eastAsia="宋体" w:cs="宋体"/>
                <w:b/>
                <w:bCs w:val="0"/>
                <w:color w:val="auto"/>
                <w:kern w:val="2"/>
                <w:sz w:val="21"/>
                <w:szCs w:val="21"/>
                <w:highlight w:val="none"/>
                <w:u w:val="single"/>
                <w:lang w:val="en-US" w:eastAsia="zh-CN" w:bidi="ar"/>
              </w:rPr>
              <w:t>上述</w:t>
            </w:r>
            <w:r>
              <w:rPr>
                <w:rFonts w:hint="eastAsia" w:ascii="宋体" w:hAnsi="宋体" w:eastAsia="宋体" w:cs="宋体"/>
                <w:b/>
                <w:bCs w:val="0"/>
                <w:color w:val="auto"/>
                <w:kern w:val="2"/>
                <w:sz w:val="21"/>
                <w:szCs w:val="21"/>
                <w:highlight w:val="none"/>
                <w:lang w:val="en-US" w:eastAsia="zh-CN" w:bidi="ar"/>
              </w:rPr>
              <w:t>分支机构必须获得保险公司</w:t>
            </w:r>
            <w:r>
              <w:rPr>
                <w:rFonts w:hint="eastAsia" w:ascii="宋体" w:hAnsi="宋体" w:eastAsia="宋体" w:cs="宋体"/>
                <w:b/>
                <w:bCs w:val="0"/>
                <w:color w:val="auto"/>
                <w:kern w:val="2"/>
                <w:sz w:val="21"/>
                <w:szCs w:val="21"/>
                <w:highlight w:val="none"/>
                <w:u w:val="single"/>
                <w:lang w:val="en-US" w:eastAsia="zh-CN" w:bidi="ar"/>
              </w:rPr>
              <w:t>总公司</w:t>
            </w:r>
            <w:r>
              <w:rPr>
                <w:rFonts w:hint="eastAsia" w:ascii="宋体" w:hAnsi="宋体" w:eastAsia="宋体" w:cs="宋体"/>
                <w:b/>
                <w:bCs w:val="0"/>
                <w:color w:val="auto"/>
                <w:kern w:val="2"/>
                <w:sz w:val="21"/>
                <w:szCs w:val="21"/>
                <w:highlight w:val="none"/>
                <w:lang w:val="en-US" w:eastAsia="zh-CN" w:bidi="ar"/>
              </w:rPr>
              <w:t>法定代表人授权其参加本次承保的授权书；</w:t>
            </w:r>
          </w:p>
          <w:p w14:paraId="05E855DA">
            <w:pPr>
              <w:keepNext w:val="0"/>
              <w:keepLines w:val="0"/>
              <w:widowControl w:val="0"/>
              <w:suppressLineNumbers w:val="0"/>
              <w:spacing w:before="0" w:beforeAutospacing="0" w:after="0" w:afterAutospacing="0"/>
              <w:ind w:left="0" w:right="26"/>
              <w:jc w:val="both"/>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2）保险人必须为经中国银行保险监督管理委员会批准在中华人民共和国境内设立和营业，且自身依法持有中国银行保险监督管理委员会或其派出机构颁发的包含本项目承保范围的保险业务许可证（业务范围包括财产保险和责任保险）。</w:t>
            </w:r>
          </w:p>
          <w:p w14:paraId="13E43483">
            <w:pPr>
              <w:keepNext w:val="0"/>
              <w:keepLines w:val="0"/>
              <w:widowControl w:val="0"/>
              <w:suppressLineNumbers w:val="0"/>
              <w:spacing w:before="0" w:beforeAutospacing="0" w:after="0" w:afterAutospacing="0"/>
              <w:ind w:left="0" w:right="26"/>
              <w:jc w:val="both"/>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C：保险期限</w:t>
            </w:r>
          </w:p>
          <w:p w14:paraId="5FE4E15A">
            <w:pPr>
              <w:keepNext w:val="0"/>
              <w:keepLines w:val="0"/>
              <w:widowControl w:val="0"/>
              <w:suppressLineNumbers w:val="0"/>
              <w:spacing w:before="0" w:beforeAutospacing="0" w:after="0" w:afterAutospacing="0"/>
              <w:ind w:left="0" w:right="26"/>
              <w:jc w:val="both"/>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自保单生效之日起至合同约定项目工程竣工验收且</w:t>
            </w:r>
            <w:r>
              <w:rPr>
                <w:rFonts w:hint="eastAsia" w:ascii="宋体" w:hAnsi="宋体" w:eastAsia="宋体" w:cs="宋体"/>
                <w:b/>
                <w:bCs w:val="0"/>
                <w:color w:val="auto"/>
                <w:kern w:val="2"/>
                <w:sz w:val="21"/>
                <w:szCs w:val="21"/>
                <w:highlight w:val="none"/>
                <w:u w:val="single"/>
                <w:lang w:val="en-US" w:eastAsia="zh-CN" w:bidi="ar"/>
              </w:rPr>
              <w:t>完成竣工联合验收取得批复意见</w:t>
            </w:r>
            <w:r>
              <w:rPr>
                <w:rFonts w:hint="eastAsia" w:ascii="宋体" w:hAnsi="宋体" w:eastAsia="宋体" w:cs="宋体"/>
                <w:b/>
                <w:bCs w:val="0"/>
                <w:color w:val="auto"/>
                <w:kern w:val="2"/>
                <w:sz w:val="21"/>
                <w:szCs w:val="21"/>
                <w:highlight w:val="none"/>
                <w:lang w:val="en-US" w:eastAsia="zh-CN" w:bidi="ar"/>
              </w:rPr>
              <w:t>之日止，且保单生效之日必须不迟于工程开工之日。</w:t>
            </w:r>
          </w:p>
          <w:p w14:paraId="60BA37CC">
            <w:pPr>
              <w:keepNext w:val="0"/>
              <w:keepLines w:val="0"/>
              <w:widowControl w:val="0"/>
              <w:suppressLineNumbers w:val="0"/>
              <w:spacing w:before="0" w:beforeAutospacing="0" w:after="0" w:afterAutospacing="0"/>
              <w:ind w:left="0" w:right="26"/>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（2）承包人应当购买的保险包括：</w:t>
            </w:r>
          </w:p>
          <w:p w14:paraId="11A52708">
            <w:pPr>
              <w:keepNext w:val="0"/>
              <w:keepLines w:val="0"/>
              <w:widowControl w:val="0"/>
              <w:suppressLineNumbers w:val="0"/>
              <w:spacing w:before="0" w:beforeAutospacing="0" w:after="0" w:afterAutospacing="0"/>
              <w:ind w:left="0" w:right="26"/>
              <w:jc w:val="both"/>
              <w:rPr>
                <w:rFonts w:hint="eastAsia" w:ascii="宋体" w:hAnsi="宋体" w:eastAsia="宋体" w:cs="宋体"/>
                <w:color w:val="auto"/>
                <w:kern w:val="2"/>
                <w:sz w:val="21"/>
                <w:szCs w:val="21"/>
                <w:highlight w:val="none"/>
                <w:u w:val="single"/>
              </w:rPr>
            </w:pPr>
            <w:r>
              <w:rPr>
                <w:rFonts w:hint="eastAsia" w:ascii="宋体" w:hAnsi="宋体" w:eastAsia="宋体" w:cs="宋体"/>
                <w:color w:val="auto"/>
                <w:kern w:val="2"/>
                <w:sz w:val="21"/>
                <w:szCs w:val="21"/>
                <w:highlight w:val="none"/>
                <w:lang w:val="en-US" w:eastAsia="zh-CN" w:bidi="ar"/>
              </w:rPr>
              <w:t>1）建筑职工意外伤害险（足额购买）、</w:t>
            </w:r>
            <w:r>
              <w:rPr>
                <w:rFonts w:hint="eastAsia" w:ascii="宋体" w:hAnsi="宋体" w:eastAsia="宋体" w:cs="宋体"/>
                <w:b/>
                <w:bCs w:val="0"/>
                <w:color w:val="auto"/>
                <w:kern w:val="2"/>
                <w:sz w:val="21"/>
                <w:szCs w:val="21"/>
                <w:highlight w:val="none"/>
                <w:u w:val="single"/>
                <w:lang w:val="en-US" w:eastAsia="zh-CN" w:bidi="ar"/>
              </w:rPr>
              <w:t>2）安全生产责任险中施工单位从业人员（含劳务派遣人员）人身伤亡和损害、赔偿以及因此造成的事故抢险救援、医疗救护、事故鉴定、法律服务和诉讼等相关保险（足额购买）；</w:t>
            </w:r>
          </w:p>
          <w:p w14:paraId="129BD3B9">
            <w:pPr>
              <w:keepNext w:val="0"/>
              <w:keepLines w:val="0"/>
              <w:widowControl w:val="0"/>
              <w:suppressLineNumbers w:val="0"/>
              <w:spacing w:before="0" w:beforeAutospacing="0" w:after="0" w:afterAutospacing="0"/>
              <w:ind w:left="0" w:right="26"/>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3）承包人雇主责任险；</w:t>
            </w:r>
          </w:p>
          <w:p w14:paraId="244C0909">
            <w:pPr>
              <w:keepNext w:val="0"/>
              <w:keepLines w:val="0"/>
              <w:widowControl w:val="0"/>
              <w:suppressLineNumbers w:val="0"/>
              <w:spacing w:before="0" w:beforeAutospacing="0" w:after="0" w:afterAutospacing="0"/>
              <w:ind w:left="0" w:right="26"/>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4）施工机械设备保险；</w:t>
            </w:r>
          </w:p>
          <w:p w14:paraId="114EDEBB">
            <w:pPr>
              <w:keepNext w:val="0"/>
              <w:keepLines w:val="0"/>
              <w:widowControl w:val="0"/>
              <w:suppressLineNumbers w:val="0"/>
              <w:spacing w:before="0" w:beforeAutospacing="0" w:after="0" w:afterAutospacing="0"/>
              <w:ind w:left="0" w:right="26"/>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5）建筑业职工工伤保险</w:t>
            </w:r>
            <w:r>
              <w:rPr>
                <w:rFonts w:hint="eastAsia" w:ascii="宋体" w:hAnsi="宋体" w:eastAsia="宋体" w:cs="宋体"/>
                <w:b/>
                <w:bCs w:val="0"/>
                <w:color w:val="auto"/>
                <w:kern w:val="2"/>
                <w:sz w:val="21"/>
                <w:szCs w:val="21"/>
                <w:highlight w:val="none"/>
                <w:lang w:val="en-US" w:eastAsia="zh-CN" w:bidi="ar"/>
              </w:rPr>
              <w:t>[按《广东省人力资源和社会保障厅  广东省财政厅 国家税     务总局广东省税务局关于印发广东省工伤保险基金省级统筹实施方案的通知》（粤人社规[2019]</w:t>
            </w:r>
            <w:r>
              <w:rPr>
                <w:rFonts w:hint="default" w:ascii="宋体" w:hAnsi="宋体" w:eastAsia="宋体" w:cs="宋体"/>
                <w:b/>
                <w:bCs w:val="0"/>
                <w:color w:val="auto"/>
                <w:kern w:val="2"/>
                <w:sz w:val="21"/>
                <w:szCs w:val="21"/>
                <w:highlight w:val="none"/>
                <w:lang w:eastAsia="zh-CN" w:bidi="ar"/>
              </w:rPr>
              <w:t>20</w:t>
            </w:r>
            <w:r>
              <w:rPr>
                <w:rFonts w:hint="eastAsia" w:ascii="宋体" w:hAnsi="宋体" w:eastAsia="宋体" w:cs="宋体"/>
                <w:b/>
                <w:bCs w:val="0"/>
                <w:color w:val="auto"/>
                <w:kern w:val="2"/>
                <w:sz w:val="21"/>
                <w:szCs w:val="21"/>
                <w:highlight w:val="none"/>
                <w:lang w:val="en-US" w:eastAsia="zh-CN" w:bidi="ar"/>
              </w:rPr>
              <w:t>号）和《关于进一步做好我省建筑业工伤保险工作的实施意见》（粤人社规﹝2015﹞5号）</w:t>
            </w:r>
            <w:r>
              <w:rPr>
                <w:rFonts w:hint="eastAsia" w:ascii="宋体" w:hAnsi="宋体" w:eastAsia="宋体" w:cs="宋体"/>
                <w:color w:val="auto"/>
                <w:kern w:val="2"/>
                <w:sz w:val="21"/>
                <w:szCs w:val="21"/>
                <w:highlight w:val="none"/>
                <w:lang w:val="en-US" w:eastAsia="zh-CN" w:bidi="ar"/>
              </w:rPr>
              <w:t>的规定购买]。</w:t>
            </w:r>
          </w:p>
          <w:p w14:paraId="64D8EC31">
            <w:pPr>
              <w:keepNext w:val="0"/>
              <w:keepLines w:val="0"/>
              <w:widowControl w:val="0"/>
              <w:suppressLineNumbers w:val="0"/>
              <w:spacing w:before="0" w:beforeAutospacing="0" w:after="0" w:afterAutospacing="0"/>
              <w:ind w:left="0" w:right="26" w:firstLine="0" w:firstLineChars="0"/>
              <w:jc w:val="both"/>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（3）承包人不按上述约定购买保险</w:t>
            </w:r>
            <w:r>
              <w:rPr>
                <w:rFonts w:hint="eastAsia" w:ascii="宋体" w:hAnsi="宋体" w:eastAsia="宋体" w:cs="宋体"/>
                <w:b/>
                <w:bCs w:val="0"/>
                <w:color w:val="auto"/>
                <w:kern w:val="2"/>
                <w:sz w:val="21"/>
                <w:szCs w:val="21"/>
                <w:highlight w:val="none"/>
                <w:lang w:val="en-US" w:eastAsia="zh-CN" w:bidi="ar"/>
              </w:rPr>
              <w:t>或保险购买不足额所产生的一切</w:t>
            </w:r>
            <w:r>
              <w:rPr>
                <w:rFonts w:hint="eastAsia" w:ascii="宋体" w:hAnsi="宋体" w:eastAsia="宋体" w:cs="宋体"/>
                <w:color w:val="auto"/>
                <w:kern w:val="2"/>
                <w:sz w:val="21"/>
                <w:szCs w:val="21"/>
                <w:highlight w:val="none"/>
                <w:lang w:val="en-US" w:eastAsia="zh-CN" w:bidi="ar"/>
              </w:rPr>
              <w:t>后果，由承包人自行承担。</w:t>
            </w:r>
          </w:p>
        </w:tc>
      </w:tr>
      <w:tr w14:paraId="44023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4"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09F524">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33</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68E0DAA5">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44.3</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22E035CD">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center"/>
          </w:tcPr>
          <w:p w14:paraId="3C5FC7D5">
            <w:pPr>
              <w:keepNext w:val="0"/>
              <w:keepLines w:val="0"/>
              <w:widowControl w:val="0"/>
              <w:suppressLineNumbers w:val="0"/>
              <w:adjustRightInd w:val="0"/>
              <w:snapToGrid w:val="0"/>
              <w:spacing w:before="0" w:beforeAutospacing="0" w:after="0" w:afterAutospacing="0" w:line="360" w:lineRule="auto"/>
              <w:ind w:left="0" w:right="0"/>
              <w:jc w:val="both"/>
              <w:outlineLvl w:val="3"/>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44.3双方同意，承包人按如下约定向发包人提供</w:t>
            </w:r>
            <w:r>
              <w:rPr>
                <w:rFonts w:hint="eastAsia" w:ascii="宋体" w:hAnsi="宋体" w:eastAsia="宋体" w:cs="宋体"/>
                <w:color w:val="auto"/>
                <w:kern w:val="0"/>
                <w:sz w:val="21"/>
                <w:szCs w:val="21"/>
                <w:highlight w:val="none"/>
                <w:u w:val="single"/>
                <w:lang w:val="en-US" w:eastAsia="zh-CN" w:bidi="ar"/>
              </w:rPr>
              <w:t>履约担保</w:t>
            </w:r>
            <w:r>
              <w:rPr>
                <w:rFonts w:hint="eastAsia" w:ascii="宋体" w:hAnsi="宋体" w:eastAsia="宋体" w:cs="宋体"/>
                <w:color w:val="auto"/>
                <w:kern w:val="0"/>
                <w:sz w:val="21"/>
                <w:szCs w:val="21"/>
                <w:highlight w:val="none"/>
                <w:lang w:val="en-US" w:eastAsia="zh-CN" w:bidi="ar"/>
              </w:rPr>
              <w:t>：</w:t>
            </w:r>
          </w:p>
          <w:p w14:paraId="5A30B0D0">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1.本合同签订后30日内，承包人按合同附件载明的格式向发包人提交由在中华人民共和国注册且营业地点在广州市行政辖区内</w:t>
            </w:r>
            <w:r>
              <w:rPr>
                <w:rFonts w:hint="eastAsia" w:ascii="宋体" w:hAnsi="宋体" w:eastAsia="宋体" w:cs="宋体"/>
                <w:color w:val="auto"/>
                <w:kern w:val="2"/>
                <w:sz w:val="21"/>
                <w:szCs w:val="21"/>
                <w:highlight w:val="none"/>
                <w:u w:val="single"/>
                <w:lang w:val="en-US" w:eastAsia="zh-CN" w:bidi="ar"/>
              </w:rPr>
              <w:t>的银行</w:t>
            </w:r>
            <w:r>
              <w:rPr>
                <w:rFonts w:hint="eastAsia" w:ascii="宋体" w:hAnsi="宋体" w:eastAsia="宋体" w:cs="宋体"/>
                <w:color w:val="auto"/>
                <w:kern w:val="2"/>
                <w:sz w:val="21"/>
                <w:szCs w:val="21"/>
                <w:highlight w:val="none"/>
                <w:lang w:val="en-US" w:eastAsia="zh-CN" w:bidi="ar"/>
              </w:rPr>
              <w:t>开出的</w:t>
            </w:r>
            <w:r>
              <w:rPr>
                <w:rFonts w:hint="eastAsia" w:ascii="宋体" w:hAnsi="宋体" w:eastAsia="宋体" w:cs="宋体"/>
                <w:color w:val="auto"/>
                <w:kern w:val="2"/>
                <w:sz w:val="21"/>
                <w:szCs w:val="21"/>
                <w:highlight w:val="none"/>
                <w:u w:val="single"/>
                <w:lang w:val="en-US" w:eastAsia="zh-CN" w:bidi="ar"/>
              </w:rPr>
              <w:t>担保</w:t>
            </w:r>
            <w:r>
              <w:rPr>
                <w:rFonts w:hint="eastAsia" w:ascii="宋体" w:hAnsi="宋体" w:eastAsia="宋体" w:cs="宋体"/>
                <w:color w:val="auto"/>
                <w:kern w:val="2"/>
                <w:sz w:val="21"/>
                <w:szCs w:val="21"/>
                <w:highlight w:val="none"/>
                <w:lang w:val="en-US" w:eastAsia="zh-CN" w:bidi="ar"/>
              </w:rPr>
              <w:t>金额为合同价款10%的</w:t>
            </w:r>
            <w:r>
              <w:rPr>
                <w:rFonts w:hint="eastAsia" w:ascii="宋体" w:hAnsi="宋体" w:eastAsia="宋体" w:cs="宋体"/>
                <w:color w:val="auto"/>
                <w:kern w:val="2"/>
                <w:sz w:val="21"/>
                <w:szCs w:val="21"/>
                <w:highlight w:val="none"/>
                <w:u w:val="single"/>
                <w:lang w:val="en-US" w:eastAsia="zh-CN" w:bidi="ar"/>
              </w:rPr>
              <w:t>《履约银行保函》（以下简称“保函”）原件</w:t>
            </w:r>
            <w:r>
              <w:rPr>
                <w:rFonts w:hint="eastAsia" w:ascii="宋体" w:hAnsi="宋体" w:eastAsia="宋体" w:cs="宋体"/>
                <w:color w:val="auto"/>
                <w:kern w:val="2"/>
                <w:sz w:val="21"/>
                <w:szCs w:val="21"/>
                <w:highlight w:val="none"/>
                <w:lang w:val="en-US" w:eastAsia="zh-CN" w:bidi="ar"/>
              </w:rPr>
              <w:t>。</w:t>
            </w:r>
          </w:p>
          <w:p w14:paraId="5115E2CC">
            <w:pPr>
              <w:keepNext w:val="0"/>
              <w:keepLines w:val="0"/>
              <w:widowControl w:val="0"/>
              <w:suppressLineNumbers w:val="0"/>
              <w:adjustRightInd w:val="0"/>
              <w:snapToGrid w:val="0"/>
              <w:spacing w:before="0" w:beforeAutospacing="0" w:after="0" w:afterAutospacing="0" w:line="360" w:lineRule="auto"/>
              <w:ind w:left="0" w:right="11" w:firstLine="403" w:firstLineChars="192"/>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承包人如未能在上述约定的时间内提交</w:t>
            </w:r>
            <w:r>
              <w:rPr>
                <w:rFonts w:hint="eastAsia" w:ascii="宋体" w:hAnsi="宋体" w:eastAsia="宋体" w:cs="宋体"/>
                <w:color w:val="auto"/>
                <w:kern w:val="2"/>
                <w:sz w:val="21"/>
                <w:szCs w:val="21"/>
                <w:highlight w:val="none"/>
                <w:u w:val="single"/>
                <w:lang w:val="en-US" w:eastAsia="zh-CN" w:bidi="ar"/>
              </w:rPr>
              <w:t>保函</w:t>
            </w:r>
            <w:r>
              <w:rPr>
                <w:rFonts w:hint="eastAsia" w:ascii="宋体" w:hAnsi="宋体" w:eastAsia="宋体" w:cs="宋体"/>
                <w:color w:val="auto"/>
                <w:kern w:val="2"/>
                <w:sz w:val="21"/>
                <w:szCs w:val="21"/>
                <w:highlight w:val="none"/>
                <w:lang w:val="en-US" w:eastAsia="zh-CN" w:bidi="ar"/>
              </w:rPr>
              <w:t>的，发包人有权取消承包人中标资格并解除合同，且发包人有权不予退还承包人所提交的投标保证金。</w:t>
            </w:r>
          </w:p>
          <w:p w14:paraId="530DC675">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2.承包人需保证</w:t>
            </w:r>
            <w:r>
              <w:rPr>
                <w:rFonts w:hint="eastAsia" w:ascii="宋体" w:hAnsi="宋体" w:eastAsia="宋体" w:cs="宋体"/>
                <w:color w:val="auto"/>
                <w:kern w:val="2"/>
                <w:sz w:val="21"/>
                <w:szCs w:val="21"/>
                <w:highlight w:val="none"/>
                <w:u w:val="single"/>
                <w:lang w:val="en-US" w:eastAsia="zh-CN" w:bidi="ar"/>
              </w:rPr>
              <w:t>保函</w:t>
            </w:r>
            <w:r>
              <w:rPr>
                <w:rFonts w:hint="eastAsia" w:ascii="宋体" w:hAnsi="宋体" w:eastAsia="宋体" w:cs="宋体"/>
                <w:color w:val="auto"/>
                <w:kern w:val="2"/>
                <w:sz w:val="21"/>
                <w:szCs w:val="21"/>
                <w:highlight w:val="none"/>
                <w:lang w:val="en-US" w:eastAsia="zh-CN" w:bidi="ar"/>
              </w:rPr>
              <w:t>在本合同整个履行期间的有效性；若因工程延期或因其他原因导致</w:t>
            </w:r>
            <w:r>
              <w:rPr>
                <w:rFonts w:hint="eastAsia" w:ascii="宋体" w:hAnsi="宋体" w:eastAsia="宋体" w:cs="宋体"/>
                <w:color w:val="auto"/>
                <w:kern w:val="2"/>
                <w:sz w:val="21"/>
                <w:szCs w:val="21"/>
                <w:highlight w:val="none"/>
                <w:u w:val="single"/>
                <w:lang w:val="en-US" w:eastAsia="zh-CN" w:bidi="ar"/>
              </w:rPr>
              <w:t>保函</w:t>
            </w:r>
            <w:r>
              <w:rPr>
                <w:rFonts w:hint="eastAsia" w:ascii="宋体" w:hAnsi="宋体" w:eastAsia="宋体" w:cs="宋体"/>
                <w:color w:val="auto"/>
                <w:kern w:val="2"/>
                <w:sz w:val="21"/>
                <w:szCs w:val="21"/>
                <w:highlight w:val="none"/>
                <w:lang w:val="en-US" w:eastAsia="zh-CN" w:bidi="ar"/>
              </w:rPr>
              <w:t>期限未涵盖本合同整个有效期的，承包人应在</w:t>
            </w:r>
            <w:r>
              <w:rPr>
                <w:rFonts w:hint="eastAsia" w:ascii="宋体" w:hAnsi="宋体" w:eastAsia="宋体" w:cs="宋体"/>
                <w:color w:val="auto"/>
                <w:kern w:val="2"/>
                <w:sz w:val="21"/>
                <w:szCs w:val="21"/>
                <w:highlight w:val="none"/>
                <w:u w:val="single"/>
                <w:lang w:val="en-US" w:eastAsia="zh-CN" w:bidi="ar"/>
              </w:rPr>
              <w:t>保函</w:t>
            </w:r>
            <w:r>
              <w:rPr>
                <w:rFonts w:hint="eastAsia" w:ascii="宋体" w:hAnsi="宋体" w:eastAsia="宋体" w:cs="宋体"/>
                <w:color w:val="auto"/>
                <w:kern w:val="2"/>
                <w:sz w:val="21"/>
                <w:szCs w:val="21"/>
                <w:highlight w:val="none"/>
                <w:lang w:val="en-US" w:eastAsia="zh-CN" w:bidi="ar"/>
              </w:rPr>
              <w:t>有效期届满前45天办理</w:t>
            </w:r>
            <w:r>
              <w:rPr>
                <w:rFonts w:hint="eastAsia" w:ascii="宋体" w:hAnsi="宋体" w:eastAsia="宋体" w:cs="宋体"/>
                <w:color w:val="auto"/>
                <w:kern w:val="2"/>
                <w:sz w:val="21"/>
                <w:szCs w:val="21"/>
                <w:highlight w:val="none"/>
                <w:u w:val="single"/>
                <w:lang w:val="en-US" w:eastAsia="zh-CN" w:bidi="ar"/>
              </w:rPr>
              <w:t>保函</w:t>
            </w:r>
            <w:r>
              <w:rPr>
                <w:rFonts w:hint="eastAsia" w:ascii="宋体" w:hAnsi="宋体" w:eastAsia="宋体" w:cs="宋体"/>
                <w:color w:val="auto"/>
                <w:kern w:val="2"/>
                <w:sz w:val="21"/>
                <w:szCs w:val="21"/>
                <w:highlight w:val="none"/>
                <w:lang w:val="en-US" w:eastAsia="zh-CN" w:bidi="ar"/>
              </w:rPr>
              <w:t>续期手续，并于原</w:t>
            </w:r>
            <w:r>
              <w:rPr>
                <w:rFonts w:hint="eastAsia" w:ascii="宋体" w:hAnsi="宋体" w:eastAsia="宋体" w:cs="宋体"/>
                <w:color w:val="auto"/>
                <w:kern w:val="2"/>
                <w:sz w:val="21"/>
                <w:szCs w:val="21"/>
                <w:highlight w:val="none"/>
                <w:u w:val="single"/>
                <w:lang w:val="en-US" w:eastAsia="zh-CN" w:bidi="ar"/>
              </w:rPr>
              <w:t>保函</w:t>
            </w:r>
            <w:r>
              <w:rPr>
                <w:rFonts w:hint="eastAsia" w:ascii="宋体" w:hAnsi="宋体" w:eastAsia="宋体" w:cs="宋体"/>
                <w:color w:val="auto"/>
                <w:kern w:val="2"/>
                <w:sz w:val="21"/>
                <w:szCs w:val="21"/>
                <w:highlight w:val="none"/>
                <w:lang w:val="en-US" w:eastAsia="zh-CN" w:bidi="ar"/>
              </w:rPr>
              <w:t>有效期届满前10天向发包人提交同样格式且更新日期后的有效</w:t>
            </w:r>
            <w:r>
              <w:rPr>
                <w:rFonts w:hint="eastAsia" w:ascii="宋体" w:hAnsi="宋体" w:eastAsia="宋体" w:cs="宋体"/>
                <w:color w:val="auto"/>
                <w:kern w:val="2"/>
                <w:sz w:val="21"/>
                <w:szCs w:val="21"/>
                <w:highlight w:val="none"/>
                <w:u w:val="single"/>
                <w:lang w:val="en-US" w:eastAsia="zh-CN" w:bidi="ar"/>
              </w:rPr>
              <w:t>保函</w:t>
            </w:r>
            <w:r>
              <w:rPr>
                <w:rFonts w:hint="eastAsia" w:ascii="宋体" w:hAnsi="宋体" w:eastAsia="宋体" w:cs="宋体"/>
                <w:color w:val="auto"/>
                <w:kern w:val="2"/>
                <w:sz w:val="21"/>
                <w:szCs w:val="21"/>
                <w:highlight w:val="none"/>
                <w:lang w:val="en-US" w:eastAsia="zh-CN" w:bidi="ar"/>
              </w:rPr>
              <w:t>，以替代原</w:t>
            </w:r>
            <w:r>
              <w:rPr>
                <w:rFonts w:hint="eastAsia" w:ascii="宋体" w:hAnsi="宋体" w:eastAsia="宋体" w:cs="宋体"/>
                <w:color w:val="auto"/>
                <w:kern w:val="2"/>
                <w:sz w:val="21"/>
                <w:szCs w:val="21"/>
                <w:highlight w:val="none"/>
                <w:u w:val="single"/>
                <w:lang w:val="en-US" w:eastAsia="zh-CN" w:bidi="ar"/>
              </w:rPr>
              <w:t>保函</w:t>
            </w:r>
            <w:r>
              <w:rPr>
                <w:rFonts w:hint="eastAsia" w:ascii="宋体" w:hAnsi="宋体" w:eastAsia="宋体" w:cs="宋体"/>
                <w:color w:val="auto"/>
                <w:kern w:val="2"/>
                <w:sz w:val="21"/>
                <w:szCs w:val="21"/>
                <w:highlight w:val="none"/>
                <w:lang w:val="en-US" w:eastAsia="zh-CN" w:bidi="ar"/>
              </w:rPr>
              <w:t>。关于新</w:t>
            </w:r>
            <w:r>
              <w:rPr>
                <w:rFonts w:hint="eastAsia" w:ascii="宋体" w:hAnsi="宋体" w:eastAsia="宋体" w:cs="宋体"/>
                <w:color w:val="auto"/>
                <w:kern w:val="2"/>
                <w:sz w:val="21"/>
                <w:szCs w:val="21"/>
                <w:highlight w:val="none"/>
                <w:u w:val="single"/>
                <w:lang w:val="en-US" w:eastAsia="zh-CN" w:bidi="ar"/>
              </w:rPr>
              <w:t>保函担保</w:t>
            </w:r>
            <w:r>
              <w:rPr>
                <w:rFonts w:hint="eastAsia" w:ascii="宋体" w:hAnsi="宋体" w:eastAsia="宋体" w:cs="宋体"/>
                <w:color w:val="auto"/>
                <w:kern w:val="2"/>
                <w:sz w:val="21"/>
                <w:szCs w:val="21"/>
                <w:highlight w:val="none"/>
                <w:lang w:val="en-US" w:eastAsia="zh-CN" w:bidi="ar"/>
              </w:rPr>
              <w:t>金额：</w:t>
            </w:r>
          </w:p>
          <w:p w14:paraId="03909A99">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（1）若承包人已完成实体工程并无欠付发包人相关费用的，则无论原</w:t>
            </w:r>
            <w:r>
              <w:rPr>
                <w:rFonts w:hint="eastAsia" w:ascii="宋体" w:hAnsi="宋体" w:eastAsia="宋体" w:cs="宋体"/>
                <w:color w:val="auto"/>
                <w:kern w:val="2"/>
                <w:sz w:val="21"/>
                <w:szCs w:val="21"/>
                <w:highlight w:val="none"/>
                <w:u w:val="single"/>
                <w:lang w:val="en-US" w:eastAsia="zh-CN" w:bidi="ar"/>
              </w:rPr>
              <w:t>保函</w:t>
            </w:r>
            <w:r>
              <w:rPr>
                <w:rFonts w:hint="eastAsia" w:ascii="宋体" w:hAnsi="宋体" w:eastAsia="宋体" w:cs="宋体"/>
                <w:color w:val="auto"/>
                <w:kern w:val="2"/>
                <w:sz w:val="21"/>
                <w:szCs w:val="21"/>
                <w:highlight w:val="none"/>
                <w:lang w:val="en-US" w:eastAsia="zh-CN" w:bidi="ar"/>
              </w:rPr>
              <w:t>是否到期，承包人均可申请提交</w:t>
            </w:r>
            <w:r>
              <w:rPr>
                <w:rFonts w:hint="eastAsia" w:ascii="宋体" w:hAnsi="宋体" w:eastAsia="宋体" w:cs="宋体"/>
                <w:color w:val="auto"/>
                <w:kern w:val="2"/>
                <w:sz w:val="21"/>
                <w:szCs w:val="21"/>
                <w:highlight w:val="none"/>
                <w:u w:val="single"/>
                <w:lang w:val="en-US" w:eastAsia="zh-CN" w:bidi="ar"/>
              </w:rPr>
              <w:t>担保</w:t>
            </w:r>
            <w:r>
              <w:rPr>
                <w:rFonts w:hint="eastAsia" w:ascii="宋体" w:hAnsi="宋体" w:eastAsia="宋体" w:cs="宋体"/>
                <w:color w:val="auto"/>
                <w:kern w:val="2"/>
                <w:sz w:val="21"/>
                <w:szCs w:val="21"/>
                <w:highlight w:val="none"/>
                <w:lang w:val="en-US" w:eastAsia="zh-CN" w:bidi="ar"/>
              </w:rPr>
              <w:t>金额为原</w:t>
            </w:r>
            <w:r>
              <w:rPr>
                <w:rFonts w:hint="eastAsia" w:ascii="宋体" w:hAnsi="宋体" w:eastAsia="宋体" w:cs="宋体"/>
                <w:color w:val="auto"/>
                <w:kern w:val="2"/>
                <w:sz w:val="21"/>
                <w:szCs w:val="21"/>
                <w:highlight w:val="none"/>
                <w:u w:val="single"/>
                <w:lang w:val="en-US" w:eastAsia="zh-CN" w:bidi="ar"/>
              </w:rPr>
              <w:t>保函担保</w:t>
            </w:r>
            <w:r>
              <w:rPr>
                <w:rFonts w:hint="eastAsia" w:ascii="宋体" w:hAnsi="宋体" w:eastAsia="宋体" w:cs="宋体"/>
                <w:color w:val="auto"/>
                <w:kern w:val="2"/>
                <w:sz w:val="21"/>
                <w:szCs w:val="21"/>
                <w:highlight w:val="none"/>
                <w:lang w:val="en-US" w:eastAsia="zh-CN" w:bidi="ar"/>
              </w:rPr>
              <w:t>金额30%的新</w:t>
            </w:r>
            <w:r>
              <w:rPr>
                <w:rFonts w:hint="eastAsia" w:ascii="宋体" w:hAnsi="宋体" w:eastAsia="宋体" w:cs="宋体"/>
                <w:color w:val="auto"/>
                <w:kern w:val="2"/>
                <w:sz w:val="21"/>
                <w:szCs w:val="21"/>
                <w:highlight w:val="none"/>
                <w:u w:val="single"/>
                <w:lang w:val="en-US" w:eastAsia="zh-CN" w:bidi="ar"/>
              </w:rPr>
              <w:t>保函</w:t>
            </w:r>
            <w:r>
              <w:rPr>
                <w:rFonts w:hint="eastAsia" w:ascii="宋体" w:hAnsi="宋体" w:eastAsia="宋体" w:cs="宋体"/>
                <w:color w:val="auto"/>
                <w:kern w:val="2"/>
                <w:sz w:val="21"/>
                <w:szCs w:val="21"/>
                <w:highlight w:val="none"/>
                <w:lang w:val="en-US" w:eastAsia="zh-CN" w:bidi="ar"/>
              </w:rPr>
              <w:t>替换原</w:t>
            </w:r>
            <w:r>
              <w:rPr>
                <w:rFonts w:hint="eastAsia" w:ascii="宋体" w:hAnsi="宋体" w:eastAsia="宋体" w:cs="宋体"/>
                <w:color w:val="auto"/>
                <w:kern w:val="2"/>
                <w:sz w:val="21"/>
                <w:szCs w:val="21"/>
                <w:highlight w:val="none"/>
                <w:u w:val="single"/>
                <w:lang w:val="en-US" w:eastAsia="zh-CN" w:bidi="ar"/>
              </w:rPr>
              <w:t>保函</w:t>
            </w:r>
            <w:r>
              <w:rPr>
                <w:rFonts w:hint="eastAsia" w:ascii="宋体" w:hAnsi="宋体" w:eastAsia="宋体" w:cs="宋体"/>
                <w:color w:val="auto"/>
                <w:kern w:val="2"/>
                <w:sz w:val="21"/>
                <w:szCs w:val="21"/>
                <w:highlight w:val="none"/>
                <w:lang w:val="en-US" w:eastAsia="zh-CN" w:bidi="ar"/>
              </w:rPr>
              <w:t>。经监理单位及发包人审核同意后方可执行。</w:t>
            </w:r>
          </w:p>
          <w:p w14:paraId="7BA96889">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（2）若承包人未完成实体工程的，则须按原</w:t>
            </w:r>
            <w:r>
              <w:rPr>
                <w:rFonts w:hint="eastAsia" w:ascii="宋体" w:hAnsi="宋体" w:eastAsia="宋体" w:cs="宋体"/>
                <w:color w:val="auto"/>
                <w:kern w:val="2"/>
                <w:sz w:val="21"/>
                <w:szCs w:val="21"/>
                <w:highlight w:val="none"/>
                <w:u w:val="single"/>
                <w:lang w:val="en-US" w:eastAsia="zh-CN" w:bidi="ar"/>
              </w:rPr>
              <w:t>保函</w:t>
            </w:r>
            <w:r>
              <w:rPr>
                <w:rFonts w:hint="eastAsia" w:ascii="宋体" w:hAnsi="宋体" w:eastAsia="宋体" w:cs="宋体"/>
                <w:color w:val="auto"/>
                <w:kern w:val="2"/>
                <w:sz w:val="21"/>
                <w:szCs w:val="21"/>
                <w:highlight w:val="none"/>
                <w:lang w:val="en-US" w:eastAsia="zh-CN" w:bidi="ar"/>
              </w:rPr>
              <w:t>金额办理</w:t>
            </w:r>
            <w:r>
              <w:rPr>
                <w:rFonts w:hint="eastAsia" w:ascii="宋体" w:hAnsi="宋体" w:eastAsia="宋体" w:cs="宋体"/>
                <w:color w:val="auto"/>
                <w:kern w:val="2"/>
                <w:sz w:val="21"/>
                <w:szCs w:val="21"/>
                <w:highlight w:val="none"/>
                <w:u w:val="single"/>
                <w:lang w:val="en-US" w:eastAsia="zh-CN" w:bidi="ar"/>
              </w:rPr>
              <w:t>保函</w:t>
            </w:r>
            <w:r>
              <w:rPr>
                <w:rFonts w:hint="eastAsia" w:ascii="宋体" w:hAnsi="宋体" w:eastAsia="宋体" w:cs="宋体"/>
                <w:color w:val="auto"/>
                <w:kern w:val="2"/>
                <w:sz w:val="21"/>
                <w:szCs w:val="21"/>
                <w:highlight w:val="none"/>
                <w:lang w:val="en-US" w:eastAsia="zh-CN" w:bidi="ar"/>
              </w:rPr>
              <w:t>续期手续。</w:t>
            </w:r>
          </w:p>
          <w:p w14:paraId="02DFF546">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3.若履约</w:t>
            </w:r>
            <w:r>
              <w:rPr>
                <w:rFonts w:hint="eastAsia" w:ascii="宋体" w:hAnsi="宋体" w:eastAsia="宋体" w:cs="宋体"/>
                <w:color w:val="auto"/>
                <w:kern w:val="2"/>
                <w:sz w:val="21"/>
                <w:szCs w:val="21"/>
                <w:highlight w:val="none"/>
                <w:u w:val="single"/>
                <w:lang w:val="en-US" w:eastAsia="zh-CN" w:bidi="ar"/>
              </w:rPr>
              <w:t>保函</w:t>
            </w:r>
            <w:r>
              <w:rPr>
                <w:rFonts w:hint="eastAsia" w:ascii="宋体" w:hAnsi="宋体" w:eastAsia="宋体" w:cs="宋体"/>
                <w:color w:val="auto"/>
                <w:kern w:val="2"/>
                <w:sz w:val="21"/>
                <w:szCs w:val="21"/>
                <w:highlight w:val="none"/>
                <w:lang w:val="en-US" w:eastAsia="zh-CN" w:bidi="ar"/>
              </w:rPr>
              <w:t>到期，承包人未按合同约定更新</w:t>
            </w:r>
            <w:r>
              <w:rPr>
                <w:rFonts w:hint="eastAsia" w:ascii="宋体" w:hAnsi="宋体" w:eastAsia="宋体" w:cs="宋体"/>
                <w:color w:val="auto"/>
                <w:kern w:val="2"/>
                <w:sz w:val="21"/>
                <w:szCs w:val="21"/>
                <w:highlight w:val="none"/>
                <w:u w:val="single"/>
                <w:lang w:val="en-US" w:eastAsia="zh-CN" w:bidi="ar"/>
              </w:rPr>
              <w:t>保函</w:t>
            </w:r>
            <w:r>
              <w:rPr>
                <w:rFonts w:hint="eastAsia" w:ascii="宋体" w:hAnsi="宋体" w:eastAsia="宋体" w:cs="宋体"/>
                <w:color w:val="auto"/>
                <w:kern w:val="2"/>
                <w:sz w:val="21"/>
                <w:szCs w:val="21"/>
                <w:highlight w:val="none"/>
                <w:lang w:val="en-US" w:eastAsia="zh-CN" w:bidi="ar"/>
              </w:rPr>
              <w:t>的，应按以下约定承担违约责任，且发包人有权以不超过原</w:t>
            </w:r>
            <w:r>
              <w:rPr>
                <w:rFonts w:hint="eastAsia" w:ascii="宋体" w:hAnsi="宋体" w:eastAsia="宋体" w:cs="宋体"/>
                <w:color w:val="auto"/>
                <w:kern w:val="2"/>
                <w:sz w:val="21"/>
                <w:szCs w:val="21"/>
                <w:highlight w:val="none"/>
                <w:u w:val="single"/>
                <w:lang w:val="en-US" w:eastAsia="zh-CN" w:bidi="ar"/>
              </w:rPr>
              <w:t>保函</w:t>
            </w:r>
            <w:r>
              <w:rPr>
                <w:rFonts w:hint="eastAsia" w:ascii="宋体" w:hAnsi="宋体" w:eastAsia="宋体" w:cs="宋体"/>
                <w:color w:val="auto"/>
                <w:kern w:val="2"/>
                <w:sz w:val="21"/>
                <w:szCs w:val="21"/>
                <w:highlight w:val="none"/>
                <w:lang w:val="en-US" w:eastAsia="zh-CN" w:bidi="ar"/>
              </w:rPr>
              <w:t>金额为限暂停支付余下的合同价款，直至承包人提交新</w:t>
            </w:r>
            <w:r>
              <w:rPr>
                <w:rFonts w:hint="eastAsia" w:ascii="宋体" w:hAnsi="宋体" w:eastAsia="宋体" w:cs="宋体"/>
                <w:color w:val="auto"/>
                <w:kern w:val="2"/>
                <w:sz w:val="21"/>
                <w:szCs w:val="21"/>
                <w:highlight w:val="none"/>
                <w:u w:val="single"/>
                <w:lang w:val="en-US" w:eastAsia="zh-CN" w:bidi="ar"/>
              </w:rPr>
              <w:t>保函</w:t>
            </w:r>
            <w:r>
              <w:rPr>
                <w:rFonts w:hint="eastAsia" w:ascii="宋体" w:hAnsi="宋体" w:eastAsia="宋体" w:cs="宋体"/>
                <w:color w:val="auto"/>
                <w:kern w:val="2"/>
                <w:sz w:val="21"/>
                <w:szCs w:val="21"/>
                <w:highlight w:val="none"/>
                <w:lang w:val="en-US" w:eastAsia="zh-CN" w:bidi="ar"/>
              </w:rPr>
              <w:t>或提供本项目所需全部分部（子分部）工程质量验收记录及竣工图。</w:t>
            </w:r>
          </w:p>
          <w:p w14:paraId="3B3627FC">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（1）自原</w:t>
            </w:r>
            <w:r>
              <w:rPr>
                <w:rFonts w:hint="eastAsia" w:ascii="宋体" w:hAnsi="宋体" w:eastAsia="宋体" w:cs="宋体"/>
                <w:color w:val="auto"/>
                <w:kern w:val="2"/>
                <w:sz w:val="21"/>
                <w:szCs w:val="21"/>
                <w:highlight w:val="none"/>
                <w:u w:val="single"/>
                <w:lang w:val="en-US" w:eastAsia="zh-CN" w:bidi="ar"/>
              </w:rPr>
              <w:t>保函</w:t>
            </w:r>
            <w:r>
              <w:rPr>
                <w:rFonts w:hint="eastAsia" w:ascii="宋体" w:hAnsi="宋体" w:eastAsia="宋体" w:cs="宋体"/>
                <w:color w:val="auto"/>
                <w:kern w:val="2"/>
                <w:sz w:val="21"/>
                <w:szCs w:val="21"/>
                <w:highlight w:val="none"/>
                <w:lang w:val="en-US" w:eastAsia="zh-CN" w:bidi="ar"/>
              </w:rPr>
              <w:t>期限届满之日起5日内未提交新</w:t>
            </w:r>
            <w:r>
              <w:rPr>
                <w:rFonts w:hint="eastAsia" w:ascii="宋体" w:hAnsi="宋体" w:eastAsia="宋体" w:cs="宋体"/>
                <w:color w:val="auto"/>
                <w:kern w:val="2"/>
                <w:sz w:val="21"/>
                <w:szCs w:val="21"/>
                <w:highlight w:val="none"/>
                <w:u w:val="single"/>
                <w:lang w:val="en-US" w:eastAsia="zh-CN" w:bidi="ar"/>
              </w:rPr>
              <w:t>保函</w:t>
            </w:r>
            <w:r>
              <w:rPr>
                <w:rFonts w:hint="eastAsia" w:ascii="宋体" w:hAnsi="宋体" w:eastAsia="宋体" w:cs="宋体"/>
                <w:color w:val="auto"/>
                <w:kern w:val="2"/>
                <w:sz w:val="21"/>
                <w:szCs w:val="21"/>
                <w:highlight w:val="none"/>
                <w:lang w:val="en-US" w:eastAsia="zh-CN" w:bidi="ar"/>
              </w:rPr>
              <w:t>的，给予书面警告并限期整改。</w:t>
            </w:r>
          </w:p>
          <w:p w14:paraId="2776012C">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（2）若原</w:t>
            </w:r>
            <w:r>
              <w:rPr>
                <w:rFonts w:hint="eastAsia" w:ascii="宋体" w:hAnsi="宋体" w:eastAsia="宋体" w:cs="宋体"/>
                <w:color w:val="auto"/>
                <w:kern w:val="2"/>
                <w:sz w:val="21"/>
                <w:szCs w:val="21"/>
                <w:highlight w:val="none"/>
                <w:u w:val="single"/>
                <w:lang w:val="en-US" w:eastAsia="zh-CN" w:bidi="ar"/>
              </w:rPr>
              <w:t>保函</w:t>
            </w:r>
            <w:r>
              <w:rPr>
                <w:rFonts w:hint="eastAsia" w:ascii="宋体" w:hAnsi="宋体" w:eastAsia="宋体" w:cs="宋体"/>
                <w:color w:val="auto"/>
                <w:kern w:val="2"/>
                <w:sz w:val="21"/>
                <w:szCs w:val="21"/>
                <w:highlight w:val="none"/>
                <w:lang w:val="en-US" w:eastAsia="zh-CN" w:bidi="ar"/>
              </w:rPr>
              <w:t>过期达10天（含）仍未提交新</w:t>
            </w:r>
            <w:r>
              <w:rPr>
                <w:rFonts w:hint="eastAsia" w:ascii="宋体" w:hAnsi="宋体" w:eastAsia="宋体" w:cs="宋体"/>
                <w:color w:val="auto"/>
                <w:kern w:val="2"/>
                <w:sz w:val="21"/>
                <w:szCs w:val="21"/>
                <w:highlight w:val="none"/>
                <w:u w:val="single"/>
                <w:lang w:val="en-US" w:eastAsia="zh-CN" w:bidi="ar"/>
              </w:rPr>
              <w:t>保函</w:t>
            </w:r>
            <w:r>
              <w:rPr>
                <w:rFonts w:hint="eastAsia" w:ascii="宋体" w:hAnsi="宋体" w:eastAsia="宋体" w:cs="宋体"/>
                <w:color w:val="auto"/>
                <w:kern w:val="2"/>
                <w:sz w:val="21"/>
                <w:szCs w:val="21"/>
                <w:highlight w:val="none"/>
                <w:lang w:val="en-US" w:eastAsia="zh-CN" w:bidi="ar"/>
              </w:rPr>
              <w:t>的，则承包人承担一般违约责任；若原</w:t>
            </w:r>
            <w:r>
              <w:rPr>
                <w:rFonts w:hint="eastAsia" w:ascii="宋体" w:hAnsi="宋体" w:eastAsia="宋体" w:cs="宋体"/>
                <w:color w:val="auto"/>
                <w:kern w:val="2"/>
                <w:sz w:val="21"/>
                <w:szCs w:val="21"/>
                <w:highlight w:val="none"/>
                <w:u w:val="single"/>
                <w:lang w:val="en-US" w:eastAsia="zh-CN" w:bidi="ar"/>
              </w:rPr>
              <w:t>保函</w:t>
            </w:r>
            <w:r>
              <w:rPr>
                <w:rFonts w:hint="eastAsia" w:ascii="宋体" w:hAnsi="宋体" w:eastAsia="宋体" w:cs="宋体"/>
                <w:color w:val="auto"/>
                <w:kern w:val="2"/>
                <w:sz w:val="21"/>
                <w:szCs w:val="21"/>
                <w:highlight w:val="none"/>
                <w:lang w:val="en-US" w:eastAsia="zh-CN" w:bidi="ar"/>
              </w:rPr>
              <w:t>过期达30天（含）仍未提交新</w:t>
            </w:r>
            <w:r>
              <w:rPr>
                <w:rFonts w:hint="eastAsia" w:ascii="宋体" w:hAnsi="宋体" w:eastAsia="宋体" w:cs="宋体"/>
                <w:color w:val="auto"/>
                <w:kern w:val="2"/>
                <w:sz w:val="21"/>
                <w:szCs w:val="21"/>
                <w:highlight w:val="none"/>
                <w:u w:val="single"/>
                <w:lang w:val="en-US" w:eastAsia="zh-CN" w:bidi="ar"/>
              </w:rPr>
              <w:t>保函</w:t>
            </w:r>
            <w:r>
              <w:rPr>
                <w:rFonts w:hint="eastAsia" w:ascii="宋体" w:hAnsi="宋体" w:eastAsia="宋体" w:cs="宋体"/>
                <w:color w:val="auto"/>
                <w:kern w:val="2"/>
                <w:sz w:val="21"/>
                <w:szCs w:val="21"/>
                <w:highlight w:val="none"/>
                <w:lang w:val="en-US" w:eastAsia="zh-CN" w:bidi="ar"/>
              </w:rPr>
              <w:t>的，则承包人须再承担严重违约责任。</w:t>
            </w:r>
          </w:p>
          <w:p w14:paraId="498C3CA9">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（3）若原</w:t>
            </w:r>
            <w:r>
              <w:rPr>
                <w:rFonts w:hint="eastAsia" w:ascii="宋体" w:hAnsi="宋体" w:eastAsia="宋体" w:cs="宋体"/>
                <w:color w:val="auto"/>
                <w:kern w:val="2"/>
                <w:sz w:val="21"/>
                <w:szCs w:val="21"/>
                <w:highlight w:val="none"/>
                <w:u w:val="single"/>
                <w:lang w:val="en-US" w:eastAsia="zh-CN" w:bidi="ar"/>
              </w:rPr>
              <w:t>保函</w:t>
            </w:r>
            <w:r>
              <w:rPr>
                <w:rFonts w:hint="eastAsia" w:ascii="宋体" w:hAnsi="宋体" w:eastAsia="宋体" w:cs="宋体"/>
                <w:color w:val="auto"/>
                <w:kern w:val="2"/>
                <w:sz w:val="21"/>
                <w:szCs w:val="21"/>
                <w:highlight w:val="none"/>
                <w:lang w:val="en-US" w:eastAsia="zh-CN" w:bidi="ar"/>
              </w:rPr>
              <w:t>过期达60天（含）仍未提交新</w:t>
            </w:r>
            <w:r>
              <w:rPr>
                <w:rFonts w:hint="eastAsia" w:ascii="宋体" w:hAnsi="宋体" w:eastAsia="宋体" w:cs="宋体"/>
                <w:color w:val="auto"/>
                <w:kern w:val="2"/>
                <w:sz w:val="21"/>
                <w:szCs w:val="21"/>
                <w:highlight w:val="none"/>
                <w:u w:val="single"/>
                <w:lang w:val="en-US" w:eastAsia="zh-CN" w:bidi="ar"/>
              </w:rPr>
              <w:t>保函</w:t>
            </w:r>
            <w:r>
              <w:rPr>
                <w:rFonts w:hint="eastAsia" w:ascii="宋体" w:hAnsi="宋体" w:eastAsia="宋体" w:cs="宋体"/>
                <w:color w:val="auto"/>
                <w:kern w:val="2"/>
                <w:sz w:val="21"/>
                <w:szCs w:val="21"/>
                <w:highlight w:val="none"/>
                <w:lang w:val="en-US" w:eastAsia="zh-CN" w:bidi="ar"/>
              </w:rPr>
              <w:t>的，则承包人除按上述约定承担违约责任外，自原保函届满第60天起，承包人应向发包人支付违约金</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20000元/天、</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50000元/天、</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100000元/天，直至承包人提交新</w:t>
            </w:r>
            <w:r>
              <w:rPr>
                <w:rFonts w:hint="eastAsia" w:ascii="宋体" w:hAnsi="宋体" w:eastAsia="宋体" w:cs="宋体"/>
                <w:color w:val="auto"/>
                <w:kern w:val="2"/>
                <w:sz w:val="21"/>
                <w:szCs w:val="21"/>
                <w:highlight w:val="none"/>
                <w:u w:val="single"/>
                <w:lang w:val="en-US" w:eastAsia="zh-CN" w:bidi="ar"/>
              </w:rPr>
              <w:t>保函</w:t>
            </w:r>
            <w:r>
              <w:rPr>
                <w:rFonts w:hint="eastAsia" w:ascii="宋体" w:hAnsi="宋体" w:eastAsia="宋体" w:cs="宋体"/>
                <w:color w:val="auto"/>
                <w:kern w:val="2"/>
                <w:sz w:val="21"/>
                <w:szCs w:val="21"/>
                <w:highlight w:val="none"/>
                <w:lang w:val="en-US" w:eastAsia="zh-CN" w:bidi="ar"/>
              </w:rPr>
              <w:t>或提供本项目所需全部分部（子分部）工程质量验收记录及竣工图。</w:t>
            </w: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762C005A">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44.3双方同意，承包人按如下约定向发包人提供</w:t>
            </w:r>
            <w:r>
              <w:rPr>
                <w:rFonts w:hint="eastAsia" w:ascii="宋体" w:hAnsi="宋体" w:eastAsia="宋体" w:cs="宋体"/>
                <w:color w:val="auto"/>
                <w:kern w:val="0"/>
                <w:sz w:val="21"/>
                <w:szCs w:val="21"/>
                <w:highlight w:val="none"/>
                <w:u w:val="single"/>
                <w:lang w:val="en-US" w:eastAsia="zh-CN" w:bidi="ar"/>
              </w:rPr>
              <w:t>履约担保</w:t>
            </w:r>
            <w:r>
              <w:rPr>
                <w:rFonts w:hint="eastAsia" w:ascii="宋体" w:hAnsi="宋体" w:eastAsia="宋体" w:cs="宋体"/>
                <w:color w:val="auto"/>
                <w:kern w:val="0"/>
                <w:sz w:val="21"/>
                <w:szCs w:val="21"/>
                <w:highlight w:val="none"/>
                <w:lang w:val="en-US" w:eastAsia="zh-CN" w:bidi="ar"/>
              </w:rPr>
              <w:t>：</w:t>
            </w:r>
          </w:p>
          <w:p w14:paraId="27848485">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1.本合同签订后30日内，承包人按合同附件载明的格式向发包人提交由在中华人民共和国注册且营业地点在广州市行政辖区内</w:t>
            </w:r>
            <w:r>
              <w:rPr>
                <w:rFonts w:hint="eastAsia" w:ascii="宋体" w:hAnsi="宋体" w:eastAsia="宋体" w:cs="宋体"/>
                <w:color w:val="auto"/>
                <w:kern w:val="2"/>
                <w:sz w:val="21"/>
                <w:szCs w:val="21"/>
                <w:highlight w:val="none"/>
                <w:u w:val="single"/>
                <w:lang w:val="en-US" w:eastAsia="zh-CN" w:bidi="ar"/>
              </w:rPr>
              <w:t>并经发包人认可的担保机构</w:t>
            </w:r>
            <w:r>
              <w:rPr>
                <w:rFonts w:hint="eastAsia" w:ascii="宋体" w:hAnsi="宋体" w:eastAsia="宋体" w:cs="宋体"/>
                <w:color w:val="auto"/>
                <w:kern w:val="2"/>
                <w:sz w:val="21"/>
                <w:szCs w:val="21"/>
                <w:highlight w:val="none"/>
                <w:lang w:val="en-US" w:eastAsia="zh-CN" w:bidi="ar"/>
              </w:rPr>
              <w:t>开出的</w:t>
            </w:r>
            <w:r>
              <w:rPr>
                <w:rFonts w:hint="eastAsia" w:ascii="宋体" w:hAnsi="宋体" w:eastAsia="宋体" w:cs="宋体"/>
                <w:color w:val="auto"/>
                <w:kern w:val="2"/>
                <w:sz w:val="21"/>
                <w:szCs w:val="21"/>
                <w:highlight w:val="none"/>
                <w:u w:val="single"/>
                <w:lang w:val="en-US" w:eastAsia="zh-CN" w:bidi="ar"/>
              </w:rPr>
              <w:t>担保</w:t>
            </w:r>
            <w:r>
              <w:rPr>
                <w:rFonts w:hint="eastAsia" w:ascii="宋体" w:hAnsi="宋体" w:eastAsia="宋体" w:cs="宋体"/>
                <w:color w:val="auto"/>
                <w:kern w:val="2"/>
                <w:sz w:val="21"/>
                <w:szCs w:val="21"/>
                <w:highlight w:val="none"/>
                <w:lang w:val="en-US" w:eastAsia="zh-CN" w:bidi="ar"/>
              </w:rPr>
              <w:t>金额为合同价款10%的《</w:t>
            </w:r>
            <w:r>
              <w:rPr>
                <w:rFonts w:hint="eastAsia" w:ascii="宋体" w:hAnsi="宋体" w:eastAsia="宋体" w:cs="宋体"/>
                <w:color w:val="auto"/>
                <w:kern w:val="2"/>
                <w:sz w:val="21"/>
                <w:szCs w:val="21"/>
                <w:highlight w:val="none"/>
                <w:u w:val="single"/>
                <w:lang w:val="en-US" w:eastAsia="zh-CN" w:bidi="ar"/>
              </w:rPr>
              <w:t>履约担保</w:t>
            </w:r>
            <w:r>
              <w:rPr>
                <w:rFonts w:hint="eastAsia" w:ascii="宋体" w:hAnsi="宋体" w:eastAsia="宋体" w:cs="宋体"/>
                <w:color w:val="auto"/>
                <w:kern w:val="2"/>
                <w:sz w:val="21"/>
                <w:szCs w:val="21"/>
                <w:highlight w:val="none"/>
                <w:lang w:val="en-US" w:eastAsia="zh-CN" w:bidi="ar"/>
              </w:rPr>
              <w:t>》原件。（注：</w:t>
            </w:r>
            <w:r>
              <w:rPr>
                <w:rFonts w:hint="eastAsia" w:ascii="宋体" w:hAnsi="宋体" w:eastAsia="宋体" w:cs="宋体"/>
                <w:color w:val="auto"/>
                <w:kern w:val="2"/>
                <w:sz w:val="21"/>
                <w:szCs w:val="21"/>
                <w:highlight w:val="none"/>
                <w:u w:val="single"/>
                <w:lang w:val="en-US" w:eastAsia="zh-CN" w:bidi="ar"/>
              </w:rPr>
              <w:t>如承包人为中小企业，履约保证金为</w:t>
            </w:r>
            <w:r>
              <w:rPr>
                <w:rFonts w:hint="eastAsia" w:ascii="宋体" w:hAnsi="宋体" w:eastAsia="宋体" w:cs="宋体"/>
                <w:color w:val="auto"/>
                <w:kern w:val="2"/>
                <w:sz w:val="21"/>
                <w:szCs w:val="21"/>
                <w:highlight w:val="none"/>
                <w:lang w:val="en-US" w:eastAsia="zh-CN" w:bidi="ar"/>
              </w:rPr>
              <w:t>合同价款</w:t>
            </w:r>
            <w:r>
              <w:rPr>
                <w:rFonts w:hint="eastAsia" w:ascii="宋体" w:hAnsi="宋体" w:eastAsia="宋体" w:cs="宋体"/>
                <w:color w:val="auto"/>
                <w:kern w:val="2"/>
                <w:sz w:val="21"/>
                <w:szCs w:val="21"/>
                <w:highlight w:val="none"/>
                <w:u w:val="single"/>
                <w:lang w:val="en-US" w:eastAsia="zh-CN" w:bidi="ar"/>
              </w:rPr>
              <w:t>的</w:t>
            </w:r>
            <w:r>
              <w:rPr>
                <w:rFonts w:hint="default" w:ascii="Calibri" w:hAnsi="Calibri" w:eastAsia="宋体" w:cs="Calibri"/>
                <w:color w:val="auto"/>
                <w:kern w:val="2"/>
                <w:sz w:val="21"/>
                <w:szCs w:val="21"/>
                <w:highlight w:val="none"/>
                <w:u w:val="single"/>
                <w:lang w:val="en-US" w:eastAsia="zh-CN" w:bidi="ar"/>
              </w:rPr>
              <w:t>5%</w:t>
            </w:r>
            <w:r>
              <w:rPr>
                <w:rFonts w:hint="eastAsia" w:ascii="宋体" w:hAnsi="宋体" w:eastAsia="宋体" w:cs="宋体"/>
                <w:color w:val="auto"/>
                <w:kern w:val="2"/>
                <w:sz w:val="21"/>
                <w:szCs w:val="21"/>
                <w:highlight w:val="none"/>
                <w:u w:val="single"/>
                <w:lang w:val="en-US" w:eastAsia="zh-CN" w:bidi="ar"/>
              </w:rPr>
              <w:t>。</w:t>
            </w:r>
            <w:r>
              <w:rPr>
                <w:rFonts w:hint="eastAsia" w:ascii="宋体" w:hAnsi="宋体" w:eastAsia="宋体" w:cs="宋体"/>
                <w:color w:val="auto"/>
                <w:kern w:val="2"/>
                <w:sz w:val="21"/>
                <w:szCs w:val="21"/>
                <w:highlight w:val="none"/>
                <w:lang w:val="en-US" w:eastAsia="zh-CN" w:bidi="ar"/>
              </w:rPr>
              <w:t>）</w:t>
            </w:r>
          </w:p>
          <w:p w14:paraId="3074F78C">
            <w:pPr>
              <w:keepNext w:val="0"/>
              <w:keepLines w:val="0"/>
              <w:widowControl/>
              <w:suppressLineNumbers w:val="0"/>
              <w:spacing w:before="0" w:beforeAutospacing="0" w:after="0" w:afterAutospacing="0"/>
              <w:ind w:left="0" w:right="0" w:firstLine="0" w:firstLineChars="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承包人如未能在上述约定的时间内提交</w:t>
            </w:r>
            <w:r>
              <w:rPr>
                <w:rFonts w:hint="eastAsia" w:ascii="宋体" w:hAnsi="宋体" w:eastAsia="宋体" w:cs="宋体"/>
                <w:color w:val="auto"/>
                <w:kern w:val="2"/>
                <w:sz w:val="21"/>
                <w:szCs w:val="21"/>
                <w:highlight w:val="none"/>
                <w:u w:val="single"/>
                <w:lang w:val="en-US" w:eastAsia="zh-CN" w:bidi="ar"/>
              </w:rPr>
              <w:t>履约担保</w:t>
            </w:r>
            <w:r>
              <w:rPr>
                <w:rFonts w:hint="eastAsia" w:ascii="宋体" w:hAnsi="宋体" w:eastAsia="宋体" w:cs="宋体"/>
                <w:color w:val="auto"/>
                <w:kern w:val="2"/>
                <w:sz w:val="21"/>
                <w:szCs w:val="21"/>
                <w:highlight w:val="none"/>
                <w:lang w:val="en-US" w:eastAsia="zh-CN" w:bidi="ar"/>
              </w:rPr>
              <w:t>的，发包人有权取消承包人中标资格并解除合同，</w:t>
            </w:r>
            <w:r>
              <w:rPr>
                <w:rFonts w:hint="eastAsia" w:ascii="宋体" w:hAnsi="宋体" w:eastAsia="宋体" w:cs="宋体"/>
                <w:color w:val="auto"/>
                <w:kern w:val="2"/>
                <w:sz w:val="21"/>
                <w:szCs w:val="21"/>
                <w:highlight w:val="none"/>
                <w:u w:val="single"/>
                <w:lang w:val="en-US" w:eastAsia="zh-CN" w:bidi="ar"/>
              </w:rPr>
              <w:t>给发包人造成损失的，发包人有权要求承包人承担赔偿责任</w:t>
            </w:r>
            <w:r>
              <w:rPr>
                <w:rFonts w:hint="eastAsia" w:ascii="宋体" w:hAnsi="宋体" w:eastAsia="宋体" w:cs="宋体"/>
                <w:color w:val="auto"/>
                <w:kern w:val="2"/>
                <w:sz w:val="21"/>
                <w:szCs w:val="21"/>
                <w:highlight w:val="none"/>
                <w:lang w:val="en-US" w:eastAsia="zh-CN" w:bidi="ar"/>
              </w:rPr>
              <w:t>。</w:t>
            </w:r>
          </w:p>
          <w:p w14:paraId="475BBB6A">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2.承包人需保证</w:t>
            </w:r>
            <w:r>
              <w:rPr>
                <w:rFonts w:hint="eastAsia" w:ascii="宋体" w:hAnsi="宋体" w:eastAsia="宋体" w:cs="宋体"/>
                <w:color w:val="auto"/>
                <w:kern w:val="2"/>
                <w:sz w:val="21"/>
                <w:szCs w:val="21"/>
                <w:highlight w:val="none"/>
                <w:u w:val="single"/>
                <w:lang w:val="en-US" w:eastAsia="zh-CN" w:bidi="ar"/>
              </w:rPr>
              <w:t>履约担保</w:t>
            </w:r>
            <w:r>
              <w:rPr>
                <w:rFonts w:hint="eastAsia" w:ascii="宋体" w:hAnsi="宋体" w:eastAsia="宋体" w:cs="宋体"/>
                <w:color w:val="auto"/>
                <w:kern w:val="2"/>
                <w:sz w:val="21"/>
                <w:szCs w:val="21"/>
                <w:highlight w:val="none"/>
                <w:lang w:val="en-US" w:eastAsia="zh-CN" w:bidi="ar"/>
              </w:rPr>
              <w:t>在本合同整个履行期间的有效性；若因工程延期或因其他原因导致</w:t>
            </w:r>
            <w:r>
              <w:rPr>
                <w:rFonts w:hint="eastAsia" w:ascii="宋体" w:hAnsi="宋体" w:eastAsia="宋体" w:cs="宋体"/>
                <w:color w:val="auto"/>
                <w:kern w:val="2"/>
                <w:sz w:val="21"/>
                <w:szCs w:val="21"/>
                <w:highlight w:val="none"/>
                <w:u w:val="single"/>
                <w:lang w:val="en-US" w:eastAsia="zh-CN" w:bidi="ar"/>
              </w:rPr>
              <w:t>担保</w:t>
            </w:r>
            <w:r>
              <w:rPr>
                <w:rFonts w:hint="eastAsia" w:ascii="宋体" w:hAnsi="宋体" w:eastAsia="宋体" w:cs="宋体"/>
                <w:color w:val="auto"/>
                <w:kern w:val="2"/>
                <w:sz w:val="21"/>
                <w:szCs w:val="21"/>
                <w:highlight w:val="none"/>
                <w:lang w:val="en-US" w:eastAsia="zh-CN" w:bidi="ar"/>
              </w:rPr>
              <w:t>期限未涵盖本合同整个有效期的，承包人应在</w:t>
            </w:r>
            <w:r>
              <w:rPr>
                <w:rFonts w:hint="eastAsia" w:ascii="宋体" w:hAnsi="宋体" w:eastAsia="宋体" w:cs="宋体"/>
                <w:color w:val="auto"/>
                <w:kern w:val="2"/>
                <w:sz w:val="21"/>
                <w:szCs w:val="21"/>
                <w:highlight w:val="none"/>
                <w:u w:val="single"/>
                <w:lang w:val="en-US" w:eastAsia="zh-CN" w:bidi="ar"/>
              </w:rPr>
              <w:t>担保</w:t>
            </w:r>
            <w:r>
              <w:rPr>
                <w:rFonts w:hint="eastAsia" w:ascii="宋体" w:hAnsi="宋体" w:eastAsia="宋体" w:cs="宋体"/>
                <w:color w:val="auto"/>
                <w:kern w:val="2"/>
                <w:sz w:val="21"/>
                <w:szCs w:val="21"/>
                <w:highlight w:val="none"/>
                <w:lang w:val="en-US" w:eastAsia="zh-CN" w:bidi="ar"/>
              </w:rPr>
              <w:t>有效期届满前45天办理</w:t>
            </w:r>
            <w:r>
              <w:rPr>
                <w:rFonts w:hint="eastAsia" w:ascii="宋体" w:hAnsi="宋体" w:eastAsia="宋体" w:cs="宋体"/>
                <w:color w:val="auto"/>
                <w:kern w:val="2"/>
                <w:sz w:val="21"/>
                <w:szCs w:val="21"/>
                <w:highlight w:val="none"/>
                <w:u w:val="single"/>
                <w:lang w:val="en-US" w:eastAsia="zh-CN" w:bidi="ar"/>
              </w:rPr>
              <w:t>履约担保</w:t>
            </w:r>
            <w:r>
              <w:rPr>
                <w:rFonts w:hint="eastAsia" w:ascii="宋体" w:hAnsi="宋体" w:eastAsia="宋体" w:cs="宋体"/>
                <w:color w:val="auto"/>
                <w:kern w:val="2"/>
                <w:sz w:val="21"/>
                <w:szCs w:val="21"/>
                <w:highlight w:val="none"/>
                <w:lang w:val="en-US" w:eastAsia="zh-CN" w:bidi="ar"/>
              </w:rPr>
              <w:t>续期手续，并于原</w:t>
            </w:r>
            <w:r>
              <w:rPr>
                <w:rFonts w:hint="eastAsia" w:ascii="宋体" w:hAnsi="宋体" w:eastAsia="宋体" w:cs="宋体"/>
                <w:color w:val="auto"/>
                <w:kern w:val="2"/>
                <w:sz w:val="21"/>
                <w:szCs w:val="21"/>
                <w:highlight w:val="none"/>
                <w:u w:val="single"/>
                <w:lang w:val="en-US" w:eastAsia="zh-CN" w:bidi="ar"/>
              </w:rPr>
              <w:t>担保</w:t>
            </w:r>
            <w:r>
              <w:rPr>
                <w:rFonts w:hint="eastAsia" w:ascii="宋体" w:hAnsi="宋体" w:eastAsia="宋体" w:cs="宋体"/>
                <w:color w:val="auto"/>
                <w:kern w:val="2"/>
                <w:sz w:val="21"/>
                <w:szCs w:val="21"/>
                <w:highlight w:val="none"/>
                <w:lang w:val="en-US" w:eastAsia="zh-CN" w:bidi="ar"/>
              </w:rPr>
              <w:t>有效期届满前10天向发包人提交同样格式且更新日期后的有效</w:t>
            </w:r>
            <w:r>
              <w:rPr>
                <w:rFonts w:hint="eastAsia" w:ascii="宋体" w:hAnsi="宋体" w:eastAsia="宋体" w:cs="宋体"/>
                <w:color w:val="auto"/>
                <w:kern w:val="2"/>
                <w:sz w:val="21"/>
                <w:szCs w:val="21"/>
                <w:highlight w:val="none"/>
                <w:u w:val="single"/>
                <w:lang w:val="en-US" w:eastAsia="zh-CN" w:bidi="ar"/>
              </w:rPr>
              <w:t>履约担保</w:t>
            </w:r>
            <w:r>
              <w:rPr>
                <w:rFonts w:hint="eastAsia" w:ascii="宋体" w:hAnsi="宋体" w:eastAsia="宋体" w:cs="宋体"/>
                <w:color w:val="auto"/>
                <w:kern w:val="2"/>
                <w:sz w:val="21"/>
                <w:szCs w:val="21"/>
                <w:highlight w:val="none"/>
                <w:lang w:val="en-US" w:eastAsia="zh-CN" w:bidi="ar"/>
              </w:rPr>
              <w:t>，以替代原</w:t>
            </w:r>
            <w:r>
              <w:rPr>
                <w:rFonts w:hint="eastAsia" w:ascii="宋体" w:hAnsi="宋体" w:eastAsia="宋体" w:cs="宋体"/>
                <w:color w:val="auto"/>
                <w:kern w:val="2"/>
                <w:sz w:val="21"/>
                <w:szCs w:val="21"/>
                <w:highlight w:val="none"/>
                <w:u w:val="single"/>
                <w:lang w:val="en-US" w:eastAsia="zh-CN" w:bidi="ar"/>
              </w:rPr>
              <w:t>履约担保</w:t>
            </w:r>
            <w:r>
              <w:rPr>
                <w:rFonts w:hint="eastAsia" w:ascii="宋体" w:hAnsi="宋体" w:eastAsia="宋体" w:cs="宋体"/>
                <w:color w:val="auto"/>
                <w:kern w:val="2"/>
                <w:sz w:val="21"/>
                <w:szCs w:val="21"/>
                <w:highlight w:val="none"/>
                <w:lang w:val="en-US" w:eastAsia="zh-CN" w:bidi="ar"/>
              </w:rPr>
              <w:t>。关于新</w:t>
            </w:r>
            <w:r>
              <w:rPr>
                <w:rFonts w:hint="eastAsia" w:ascii="宋体" w:hAnsi="宋体" w:eastAsia="宋体" w:cs="宋体"/>
                <w:color w:val="auto"/>
                <w:kern w:val="2"/>
                <w:sz w:val="21"/>
                <w:szCs w:val="21"/>
                <w:highlight w:val="none"/>
                <w:u w:val="single"/>
                <w:lang w:val="en-US" w:eastAsia="zh-CN" w:bidi="ar"/>
              </w:rPr>
              <w:t>履约担保担保</w:t>
            </w:r>
            <w:r>
              <w:rPr>
                <w:rFonts w:hint="eastAsia" w:ascii="宋体" w:hAnsi="宋体" w:eastAsia="宋体" w:cs="宋体"/>
                <w:color w:val="auto"/>
                <w:kern w:val="2"/>
                <w:sz w:val="21"/>
                <w:szCs w:val="21"/>
                <w:highlight w:val="none"/>
                <w:lang w:val="en-US" w:eastAsia="zh-CN" w:bidi="ar"/>
              </w:rPr>
              <w:t>金额：</w:t>
            </w:r>
          </w:p>
          <w:p w14:paraId="0A6E309A">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（1）若承包人已完成实体工程并无欠付发包人相关费用的，则无论原</w:t>
            </w:r>
            <w:r>
              <w:rPr>
                <w:rFonts w:hint="eastAsia" w:ascii="宋体" w:hAnsi="宋体" w:eastAsia="宋体" w:cs="宋体"/>
                <w:color w:val="auto"/>
                <w:kern w:val="2"/>
                <w:sz w:val="21"/>
                <w:szCs w:val="21"/>
                <w:highlight w:val="none"/>
                <w:u w:val="single"/>
                <w:lang w:val="en-US" w:eastAsia="zh-CN" w:bidi="ar"/>
              </w:rPr>
              <w:t>履约担保</w:t>
            </w:r>
            <w:r>
              <w:rPr>
                <w:rFonts w:hint="eastAsia" w:ascii="宋体" w:hAnsi="宋体" w:eastAsia="宋体" w:cs="宋体"/>
                <w:color w:val="auto"/>
                <w:kern w:val="2"/>
                <w:sz w:val="21"/>
                <w:szCs w:val="21"/>
                <w:highlight w:val="none"/>
                <w:lang w:val="en-US" w:eastAsia="zh-CN" w:bidi="ar"/>
              </w:rPr>
              <w:t>是否到期，承包人均可申请提交</w:t>
            </w:r>
            <w:r>
              <w:rPr>
                <w:rFonts w:hint="eastAsia" w:ascii="宋体" w:hAnsi="宋体" w:eastAsia="宋体" w:cs="宋体"/>
                <w:color w:val="auto"/>
                <w:kern w:val="2"/>
                <w:sz w:val="21"/>
                <w:szCs w:val="21"/>
                <w:highlight w:val="none"/>
                <w:u w:val="single"/>
                <w:lang w:val="en-US" w:eastAsia="zh-CN" w:bidi="ar"/>
              </w:rPr>
              <w:t>担保</w:t>
            </w:r>
            <w:r>
              <w:rPr>
                <w:rFonts w:hint="eastAsia" w:ascii="宋体" w:hAnsi="宋体" w:eastAsia="宋体" w:cs="宋体"/>
                <w:color w:val="auto"/>
                <w:kern w:val="2"/>
                <w:sz w:val="21"/>
                <w:szCs w:val="21"/>
                <w:highlight w:val="none"/>
                <w:lang w:val="en-US" w:eastAsia="zh-CN" w:bidi="ar"/>
              </w:rPr>
              <w:t>金额为原</w:t>
            </w:r>
            <w:r>
              <w:rPr>
                <w:rFonts w:hint="eastAsia" w:ascii="宋体" w:hAnsi="宋体" w:eastAsia="宋体" w:cs="宋体"/>
                <w:color w:val="auto"/>
                <w:kern w:val="2"/>
                <w:sz w:val="21"/>
                <w:szCs w:val="21"/>
                <w:highlight w:val="none"/>
                <w:u w:val="single"/>
                <w:lang w:val="en-US" w:eastAsia="zh-CN" w:bidi="ar"/>
              </w:rPr>
              <w:t>担保</w:t>
            </w:r>
            <w:r>
              <w:rPr>
                <w:rFonts w:hint="eastAsia" w:ascii="宋体" w:hAnsi="宋体" w:eastAsia="宋体" w:cs="宋体"/>
                <w:color w:val="auto"/>
                <w:kern w:val="2"/>
                <w:sz w:val="21"/>
                <w:szCs w:val="21"/>
                <w:highlight w:val="none"/>
                <w:lang w:val="en-US" w:eastAsia="zh-CN" w:bidi="ar"/>
              </w:rPr>
              <w:t>金额30%的新</w:t>
            </w:r>
            <w:r>
              <w:rPr>
                <w:rFonts w:hint="eastAsia" w:ascii="宋体" w:hAnsi="宋体" w:eastAsia="宋体" w:cs="宋体"/>
                <w:color w:val="auto"/>
                <w:kern w:val="2"/>
                <w:sz w:val="21"/>
                <w:szCs w:val="21"/>
                <w:highlight w:val="none"/>
                <w:u w:val="single"/>
                <w:lang w:val="en-US" w:eastAsia="zh-CN" w:bidi="ar"/>
              </w:rPr>
              <w:t>履约担保</w:t>
            </w:r>
            <w:r>
              <w:rPr>
                <w:rFonts w:hint="eastAsia" w:ascii="宋体" w:hAnsi="宋体" w:eastAsia="宋体" w:cs="宋体"/>
                <w:color w:val="auto"/>
                <w:kern w:val="2"/>
                <w:sz w:val="21"/>
                <w:szCs w:val="21"/>
                <w:highlight w:val="none"/>
                <w:lang w:val="en-US" w:eastAsia="zh-CN" w:bidi="ar"/>
              </w:rPr>
              <w:t>替换原</w:t>
            </w:r>
            <w:r>
              <w:rPr>
                <w:rFonts w:hint="eastAsia" w:ascii="宋体" w:hAnsi="宋体" w:eastAsia="宋体" w:cs="宋体"/>
                <w:color w:val="auto"/>
                <w:kern w:val="2"/>
                <w:sz w:val="21"/>
                <w:szCs w:val="21"/>
                <w:highlight w:val="none"/>
                <w:u w:val="single"/>
                <w:lang w:val="en-US" w:eastAsia="zh-CN" w:bidi="ar"/>
              </w:rPr>
              <w:t>履约担保</w:t>
            </w:r>
            <w:r>
              <w:rPr>
                <w:rFonts w:hint="eastAsia" w:ascii="宋体" w:hAnsi="宋体" w:eastAsia="宋体" w:cs="宋体"/>
                <w:color w:val="auto"/>
                <w:kern w:val="2"/>
                <w:sz w:val="21"/>
                <w:szCs w:val="21"/>
                <w:highlight w:val="none"/>
                <w:lang w:val="en-US" w:eastAsia="zh-CN" w:bidi="ar"/>
              </w:rPr>
              <w:t>。经监理单位及发包人审核同意后方可执行。</w:t>
            </w:r>
          </w:p>
          <w:p w14:paraId="16C59828">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（2）若承包人未完成实体工程的，则须按原</w:t>
            </w:r>
            <w:r>
              <w:rPr>
                <w:rFonts w:hint="eastAsia" w:ascii="宋体" w:hAnsi="宋体" w:eastAsia="宋体" w:cs="宋体"/>
                <w:color w:val="auto"/>
                <w:kern w:val="2"/>
                <w:sz w:val="21"/>
                <w:szCs w:val="21"/>
                <w:highlight w:val="none"/>
                <w:u w:val="single"/>
                <w:lang w:val="en-US" w:eastAsia="zh-CN" w:bidi="ar"/>
              </w:rPr>
              <w:t>担保</w:t>
            </w:r>
            <w:r>
              <w:rPr>
                <w:rFonts w:hint="eastAsia" w:ascii="宋体" w:hAnsi="宋体" w:eastAsia="宋体" w:cs="宋体"/>
                <w:color w:val="auto"/>
                <w:kern w:val="2"/>
                <w:sz w:val="21"/>
                <w:szCs w:val="21"/>
                <w:highlight w:val="none"/>
                <w:lang w:val="en-US" w:eastAsia="zh-CN" w:bidi="ar"/>
              </w:rPr>
              <w:t>金额办理</w:t>
            </w:r>
            <w:r>
              <w:rPr>
                <w:rFonts w:hint="eastAsia" w:ascii="宋体" w:hAnsi="宋体" w:eastAsia="宋体" w:cs="宋体"/>
                <w:color w:val="auto"/>
                <w:kern w:val="2"/>
                <w:sz w:val="21"/>
                <w:szCs w:val="21"/>
                <w:highlight w:val="none"/>
                <w:u w:val="single"/>
                <w:lang w:val="en-US" w:eastAsia="zh-CN" w:bidi="ar"/>
              </w:rPr>
              <w:t>履约担保</w:t>
            </w:r>
            <w:r>
              <w:rPr>
                <w:rFonts w:hint="eastAsia" w:ascii="宋体" w:hAnsi="宋体" w:eastAsia="宋体" w:cs="宋体"/>
                <w:color w:val="auto"/>
                <w:kern w:val="2"/>
                <w:sz w:val="21"/>
                <w:szCs w:val="21"/>
                <w:highlight w:val="none"/>
                <w:lang w:val="en-US" w:eastAsia="zh-CN" w:bidi="ar"/>
              </w:rPr>
              <w:t>续期手续。</w:t>
            </w:r>
          </w:p>
          <w:p w14:paraId="0C23C5F6">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3.若</w:t>
            </w:r>
            <w:r>
              <w:rPr>
                <w:rFonts w:hint="eastAsia" w:ascii="宋体" w:hAnsi="宋体" w:eastAsia="宋体" w:cs="宋体"/>
                <w:color w:val="auto"/>
                <w:kern w:val="2"/>
                <w:sz w:val="21"/>
                <w:szCs w:val="21"/>
                <w:highlight w:val="none"/>
                <w:u w:val="single"/>
                <w:lang w:val="en-US" w:eastAsia="zh-CN" w:bidi="ar"/>
              </w:rPr>
              <w:t>履约担保</w:t>
            </w:r>
            <w:r>
              <w:rPr>
                <w:rFonts w:hint="eastAsia" w:ascii="宋体" w:hAnsi="宋体" w:eastAsia="宋体" w:cs="宋体"/>
                <w:color w:val="auto"/>
                <w:kern w:val="2"/>
                <w:sz w:val="21"/>
                <w:szCs w:val="21"/>
                <w:highlight w:val="none"/>
                <w:lang w:val="en-US" w:eastAsia="zh-CN" w:bidi="ar"/>
              </w:rPr>
              <w:t>到期，承包人未按合同约定更新</w:t>
            </w:r>
            <w:r>
              <w:rPr>
                <w:rFonts w:hint="eastAsia" w:ascii="宋体" w:hAnsi="宋体" w:eastAsia="宋体" w:cs="宋体"/>
                <w:color w:val="auto"/>
                <w:kern w:val="2"/>
                <w:sz w:val="21"/>
                <w:szCs w:val="21"/>
                <w:highlight w:val="none"/>
                <w:u w:val="single"/>
                <w:lang w:val="en-US" w:eastAsia="zh-CN" w:bidi="ar"/>
              </w:rPr>
              <w:t>履约担保</w:t>
            </w:r>
            <w:r>
              <w:rPr>
                <w:rFonts w:hint="eastAsia" w:ascii="宋体" w:hAnsi="宋体" w:eastAsia="宋体" w:cs="宋体"/>
                <w:color w:val="auto"/>
                <w:kern w:val="2"/>
                <w:sz w:val="21"/>
                <w:szCs w:val="21"/>
                <w:highlight w:val="none"/>
                <w:lang w:val="en-US" w:eastAsia="zh-CN" w:bidi="ar"/>
              </w:rPr>
              <w:t>的，应按以下约定承担违约责任，且发包人有权以不超过原</w:t>
            </w:r>
            <w:r>
              <w:rPr>
                <w:rFonts w:hint="eastAsia" w:ascii="宋体" w:hAnsi="宋体" w:eastAsia="宋体" w:cs="宋体"/>
                <w:color w:val="auto"/>
                <w:kern w:val="2"/>
                <w:sz w:val="21"/>
                <w:szCs w:val="21"/>
                <w:highlight w:val="none"/>
                <w:u w:val="single"/>
                <w:lang w:val="en-US" w:eastAsia="zh-CN" w:bidi="ar"/>
              </w:rPr>
              <w:t>担保</w:t>
            </w:r>
            <w:r>
              <w:rPr>
                <w:rFonts w:hint="eastAsia" w:ascii="宋体" w:hAnsi="宋体" w:eastAsia="宋体" w:cs="宋体"/>
                <w:color w:val="auto"/>
                <w:kern w:val="2"/>
                <w:sz w:val="21"/>
                <w:szCs w:val="21"/>
                <w:highlight w:val="none"/>
                <w:lang w:val="en-US" w:eastAsia="zh-CN" w:bidi="ar"/>
              </w:rPr>
              <w:t>金额为限暂停支付余下的合同价款，直至承包人提交新</w:t>
            </w:r>
            <w:r>
              <w:rPr>
                <w:rFonts w:hint="eastAsia" w:ascii="宋体" w:hAnsi="宋体" w:eastAsia="宋体" w:cs="宋体"/>
                <w:color w:val="auto"/>
                <w:kern w:val="2"/>
                <w:sz w:val="21"/>
                <w:szCs w:val="21"/>
                <w:highlight w:val="none"/>
                <w:u w:val="single"/>
                <w:lang w:val="en-US" w:eastAsia="zh-CN" w:bidi="ar"/>
              </w:rPr>
              <w:t>履约担保</w:t>
            </w:r>
            <w:r>
              <w:rPr>
                <w:rFonts w:hint="eastAsia" w:ascii="宋体" w:hAnsi="宋体" w:eastAsia="宋体" w:cs="宋体"/>
                <w:color w:val="auto"/>
                <w:kern w:val="2"/>
                <w:sz w:val="21"/>
                <w:szCs w:val="21"/>
                <w:highlight w:val="none"/>
                <w:lang w:val="en-US" w:eastAsia="zh-CN" w:bidi="ar"/>
              </w:rPr>
              <w:t>或提供本项目所需全部分部（子分部）工程质量验收记录及竣工图。</w:t>
            </w:r>
          </w:p>
          <w:p w14:paraId="2F715E00">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（1）自原</w:t>
            </w:r>
            <w:r>
              <w:rPr>
                <w:rFonts w:hint="eastAsia" w:ascii="宋体" w:hAnsi="宋体" w:eastAsia="宋体" w:cs="宋体"/>
                <w:color w:val="auto"/>
                <w:kern w:val="2"/>
                <w:sz w:val="21"/>
                <w:szCs w:val="21"/>
                <w:highlight w:val="none"/>
                <w:u w:val="single"/>
                <w:lang w:val="en-US" w:eastAsia="zh-CN" w:bidi="ar"/>
              </w:rPr>
              <w:t>担保</w:t>
            </w:r>
            <w:r>
              <w:rPr>
                <w:rFonts w:hint="eastAsia" w:ascii="宋体" w:hAnsi="宋体" w:eastAsia="宋体" w:cs="宋体"/>
                <w:color w:val="auto"/>
                <w:kern w:val="2"/>
                <w:sz w:val="21"/>
                <w:szCs w:val="21"/>
                <w:highlight w:val="none"/>
                <w:lang w:val="en-US" w:eastAsia="zh-CN" w:bidi="ar"/>
              </w:rPr>
              <w:t>期限届满之日起5日内未提交新</w:t>
            </w:r>
            <w:r>
              <w:rPr>
                <w:rFonts w:hint="eastAsia" w:ascii="宋体" w:hAnsi="宋体" w:eastAsia="宋体" w:cs="宋体"/>
                <w:color w:val="auto"/>
                <w:kern w:val="2"/>
                <w:sz w:val="21"/>
                <w:szCs w:val="21"/>
                <w:highlight w:val="none"/>
                <w:u w:val="single"/>
                <w:lang w:val="en-US" w:eastAsia="zh-CN" w:bidi="ar"/>
              </w:rPr>
              <w:t>履约担保</w:t>
            </w:r>
            <w:r>
              <w:rPr>
                <w:rFonts w:hint="eastAsia" w:ascii="宋体" w:hAnsi="宋体" w:eastAsia="宋体" w:cs="宋体"/>
                <w:color w:val="auto"/>
                <w:kern w:val="2"/>
                <w:sz w:val="21"/>
                <w:szCs w:val="21"/>
                <w:highlight w:val="none"/>
                <w:lang w:val="en-US" w:eastAsia="zh-CN" w:bidi="ar"/>
              </w:rPr>
              <w:t>的，给予书面警告并限期整改。</w:t>
            </w:r>
          </w:p>
          <w:p w14:paraId="0330202E">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（2）若原</w:t>
            </w:r>
            <w:r>
              <w:rPr>
                <w:rFonts w:hint="eastAsia" w:ascii="宋体" w:hAnsi="宋体" w:eastAsia="宋体" w:cs="宋体"/>
                <w:color w:val="auto"/>
                <w:kern w:val="2"/>
                <w:sz w:val="21"/>
                <w:szCs w:val="21"/>
                <w:highlight w:val="none"/>
                <w:u w:val="single"/>
                <w:lang w:val="en-US" w:eastAsia="zh-CN" w:bidi="ar"/>
              </w:rPr>
              <w:t>担保</w:t>
            </w:r>
            <w:r>
              <w:rPr>
                <w:rFonts w:hint="eastAsia" w:ascii="宋体" w:hAnsi="宋体" w:eastAsia="宋体" w:cs="宋体"/>
                <w:color w:val="auto"/>
                <w:kern w:val="2"/>
                <w:sz w:val="21"/>
                <w:szCs w:val="21"/>
                <w:highlight w:val="none"/>
                <w:lang w:val="en-US" w:eastAsia="zh-CN" w:bidi="ar"/>
              </w:rPr>
              <w:t>过期达10天（含）仍未提交新</w:t>
            </w:r>
            <w:r>
              <w:rPr>
                <w:rFonts w:hint="eastAsia" w:ascii="宋体" w:hAnsi="宋体" w:eastAsia="宋体" w:cs="宋体"/>
                <w:color w:val="auto"/>
                <w:kern w:val="2"/>
                <w:sz w:val="21"/>
                <w:szCs w:val="21"/>
                <w:highlight w:val="none"/>
                <w:u w:val="single"/>
                <w:lang w:val="en-US" w:eastAsia="zh-CN" w:bidi="ar"/>
              </w:rPr>
              <w:t>履约担保</w:t>
            </w:r>
            <w:r>
              <w:rPr>
                <w:rFonts w:hint="eastAsia" w:ascii="宋体" w:hAnsi="宋体" w:eastAsia="宋体" w:cs="宋体"/>
                <w:color w:val="auto"/>
                <w:kern w:val="2"/>
                <w:sz w:val="21"/>
                <w:szCs w:val="21"/>
                <w:highlight w:val="none"/>
                <w:lang w:val="en-US" w:eastAsia="zh-CN" w:bidi="ar"/>
              </w:rPr>
              <w:t>的，则承包人承担一般违约责任；若原</w:t>
            </w:r>
            <w:r>
              <w:rPr>
                <w:rFonts w:hint="eastAsia" w:ascii="宋体" w:hAnsi="宋体" w:eastAsia="宋体" w:cs="宋体"/>
                <w:color w:val="auto"/>
                <w:kern w:val="2"/>
                <w:sz w:val="21"/>
                <w:szCs w:val="21"/>
                <w:highlight w:val="none"/>
                <w:u w:val="single"/>
                <w:lang w:val="en-US" w:eastAsia="zh-CN" w:bidi="ar"/>
              </w:rPr>
              <w:t>担保</w:t>
            </w:r>
            <w:r>
              <w:rPr>
                <w:rFonts w:hint="eastAsia" w:ascii="宋体" w:hAnsi="宋体" w:eastAsia="宋体" w:cs="宋体"/>
                <w:color w:val="auto"/>
                <w:kern w:val="2"/>
                <w:sz w:val="21"/>
                <w:szCs w:val="21"/>
                <w:highlight w:val="none"/>
                <w:lang w:val="en-US" w:eastAsia="zh-CN" w:bidi="ar"/>
              </w:rPr>
              <w:t>过期达30天（含）仍未提交新</w:t>
            </w:r>
            <w:r>
              <w:rPr>
                <w:rFonts w:hint="eastAsia" w:ascii="宋体" w:hAnsi="宋体" w:eastAsia="宋体" w:cs="宋体"/>
                <w:color w:val="auto"/>
                <w:kern w:val="2"/>
                <w:sz w:val="21"/>
                <w:szCs w:val="21"/>
                <w:highlight w:val="none"/>
                <w:u w:val="single"/>
                <w:lang w:val="en-US" w:eastAsia="zh-CN" w:bidi="ar"/>
              </w:rPr>
              <w:t>履约担保</w:t>
            </w:r>
            <w:r>
              <w:rPr>
                <w:rFonts w:hint="eastAsia" w:ascii="宋体" w:hAnsi="宋体" w:eastAsia="宋体" w:cs="宋体"/>
                <w:color w:val="auto"/>
                <w:kern w:val="2"/>
                <w:sz w:val="21"/>
                <w:szCs w:val="21"/>
                <w:highlight w:val="none"/>
                <w:lang w:val="en-US" w:eastAsia="zh-CN" w:bidi="ar"/>
              </w:rPr>
              <w:t>的，则承包人须再承担严重违约责任。</w:t>
            </w:r>
          </w:p>
          <w:p w14:paraId="5F206507">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（3）若原</w:t>
            </w:r>
            <w:r>
              <w:rPr>
                <w:rFonts w:hint="eastAsia" w:ascii="宋体" w:hAnsi="宋体" w:eastAsia="宋体" w:cs="宋体"/>
                <w:color w:val="auto"/>
                <w:kern w:val="2"/>
                <w:sz w:val="21"/>
                <w:szCs w:val="21"/>
                <w:highlight w:val="none"/>
                <w:u w:val="single"/>
                <w:lang w:val="en-US" w:eastAsia="zh-CN" w:bidi="ar"/>
              </w:rPr>
              <w:t>担保</w:t>
            </w:r>
            <w:r>
              <w:rPr>
                <w:rFonts w:hint="eastAsia" w:ascii="宋体" w:hAnsi="宋体" w:eastAsia="宋体" w:cs="宋体"/>
                <w:color w:val="auto"/>
                <w:kern w:val="2"/>
                <w:sz w:val="21"/>
                <w:szCs w:val="21"/>
                <w:highlight w:val="none"/>
                <w:lang w:val="en-US" w:eastAsia="zh-CN" w:bidi="ar"/>
              </w:rPr>
              <w:t>过期达60天（含）仍未提交新</w:t>
            </w:r>
            <w:r>
              <w:rPr>
                <w:rFonts w:hint="eastAsia" w:ascii="宋体" w:hAnsi="宋体" w:eastAsia="宋体" w:cs="宋体"/>
                <w:color w:val="auto"/>
                <w:kern w:val="2"/>
                <w:sz w:val="21"/>
                <w:szCs w:val="21"/>
                <w:highlight w:val="none"/>
                <w:u w:val="single"/>
                <w:lang w:val="en-US" w:eastAsia="zh-CN" w:bidi="ar"/>
              </w:rPr>
              <w:t>履约担保</w:t>
            </w:r>
            <w:r>
              <w:rPr>
                <w:rFonts w:hint="eastAsia" w:ascii="宋体" w:hAnsi="宋体" w:eastAsia="宋体" w:cs="宋体"/>
                <w:color w:val="auto"/>
                <w:kern w:val="2"/>
                <w:sz w:val="21"/>
                <w:szCs w:val="21"/>
                <w:highlight w:val="none"/>
                <w:lang w:val="en-US" w:eastAsia="zh-CN" w:bidi="ar"/>
              </w:rPr>
              <w:t>的，则承包人除按上述约定承担违约责任外，自原</w:t>
            </w:r>
            <w:r>
              <w:rPr>
                <w:rFonts w:hint="eastAsia" w:ascii="宋体" w:hAnsi="宋体" w:eastAsia="宋体" w:cs="宋体"/>
                <w:color w:val="auto"/>
                <w:kern w:val="2"/>
                <w:sz w:val="21"/>
                <w:szCs w:val="21"/>
                <w:highlight w:val="none"/>
                <w:u w:val="single"/>
                <w:lang w:val="en-US" w:eastAsia="zh-CN" w:bidi="ar"/>
              </w:rPr>
              <w:t>担保</w:t>
            </w:r>
            <w:r>
              <w:rPr>
                <w:rFonts w:hint="eastAsia" w:ascii="宋体" w:hAnsi="宋体" w:eastAsia="宋体" w:cs="宋体"/>
                <w:color w:val="auto"/>
                <w:kern w:val="2"/>
                <w:sz w:val="21"/>
                <w:szCs w:val="21"/>
                <w:highlight w:val="none"/>
                <w:lang w:val="en-US" w:eastAsia="zh-CN" w:bidi="ar"/>
              </w:rPr>
              <w:t>届满第60天起，承包人应向发包人支付违约金</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20000元/天、</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50000元/天、</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100000元/天，直至承包人提交新</w:t>
            </w:r>
            <w:r>
              <w:rPr>
                <w:rFonts w:hint="eastAsia" w:ascii="宋体" w:hAnsi="宋体" w:eastAsia="宋体" w:cs="宋体"/>
                <w:color w:val="auto"/>
                <w:kern w:val="2"/>
                <w:sz w:val="21"/>
                <w:szCs w:val="21"/>
                <w:highlight w:val="none"/>
                <w:u w:val="single"/>
                <w:lang w:val="en-US" w:eastAsia="zh-CN" w:bidi="ar"/>
              </w:rPr>
              <w:t>履约担保</w:t>
            </w:r>
            <w:r>
              <w:rPr>
                <w:rFonts w:hint="eastAsia" w:ascii="宋体" w:hAnsi="宋体" w:eastAsia="宋体" w:cs="宋体"/>
                <w:color w:val="auto"/>
                <w:kern w:val="2"/>
                <w:sz w:val="21"/>
                <w:szCs w:val="21"/>
                <w:highlight w:val="none"/>
                <w:lang w:val="en-US" w:eastAsia="zh-CN" w:bidi="ar"/>
              </w:rPr>
              <w:t>或提供本项目所需全部分部（子分部）工程质量验收记录及竣工图</w:t>
            </w:r>
            <w:r>
              <w:rPr>
                <w:rFonts w:hint="eastAsia" w:ascii="宋体" w:hAnsi="宋体" w:eastAsia="宋体" w:cs="宋体"/>
                <w:color w:val="auto"/>
                <w:kern w:val="2"/>
                <w:sz w:val="24"/>
                <w:szCs w:val="24"/>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w:t>
            </w:r>
          </w:p>
        </w:tc>
      </w:tr>
      <w:tr w14:paraId="2CDA6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4"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2CC75F">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34</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7794B8D6">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44.4</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12B69A11">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center"/>
          </w:tcPr>
          <w:p w14:paraId="43F96A5C">
            <w:pPr>
              <w:keepNext w:val="0"/>
              <w:keepLines w:val="0"/>
              <w:widowControl w:val="0"/>
              <w:suppressLineNumbers w:val="0"/>
              <w:adjustRightInd w:val="0"/>
              <w:snapToGrid w:val="0"/>
              <w:spacing w:before="0" w:beforeAutospacing="0" w:after="0" w:afterAutospacing="0" w:line="360" w:lineRule="auto"/>
              <w:ind w:left="0" w:right="11"/>
              <w:jc w:val="both"/>
              <w:outlineLvl w:val="3"/>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44.4承包人提交的履约</w:t>
            </w:r>
            <w:r>
              <w:rPr>
                <w:rFonts w:hint="eastAsia" w:ascii="宋体" w:hAnsi="宋体" w:eastAsia="宋体" w:cs="宋体"/>
                <w:color w:val="auto"/>
                <w:kern w:val="0"/>
                <w:sz w:val="21"/>
                <w:szCs w:val="21"/>
                <w:highlight w:val="none"/>
                <w:u w:val="single"/>
                <w:lang w:val="en-US" w:eastAsia="zh-CN" w:bidi="ar"/>
              </w:rPr>
              <w:t>银行保函</w:t>
            </w:r>
            <w:r>
              <w:rPr>
                <w:rFonts w:hint="eastAsia" w:ascii="宋体" w:hAnsi="宋体" w:eastAsia="宋体" w:cs="宋体"/>
                <w:color w:val="auto"/>
                <w:kern w:val="0"/>
                <w:sz w:val="21"/>
                <w:szCs w:val="21"/>
                <w:highlight w:val="none"/>
                <w:lang w:val="en-US" w:eastAsia="zh-CN" w:bidi="ar"/>
              </w:rPr>
              <w:t>是对本合同约定的承包人的全部义务（包括但不限于承包人违约后应支付的违约金和赔偿金）的</w:t>
            </w:r>
            <w:r>
              <w:rPr>
                <w:rFonts w:hint="eastAsia" w:ascii="宋体" w:hAnsi="宋体" w:eastAsia="宋体" w:cs="宋体"/>
                <w:color w:val="auto"/>
                <w:kern w:val="0"/>
                <w:sz w:val="21"/>
                <w:szCs w:val="21"/>
                <w:highlight w:val="none"/>
                <w:u w:val="single"/>
                <w:lang w:val="en-US" w:eastAsia="zh-CN" w:bidi="ar"/>
              </w:rPr>
              <w:t>担保</w:t>
            </w:r>
            <w:r>
              <w:rPr>
                <w:rFonts w:hint="eastAsia" w:ascii="宋体" w:hAnsi="宋体" w:eastAsia="宋体" w:cs="宋体"/>
                <w:color w:val="auto"/>
                <w:kern w:val="0"/>
                <w:sz w:val="21"/>
                <w:szCs w:val="21"/>
                <w:highlight w:val="none"/>
                <w:lang w:val="en-US" w:eastAsia="zh-CN" w:bidi="ar"/>
              </w:rPr>
              <w:t>，承包人的任何一次不履行或不完全履行合同义务的行为，发包人均有权向</w:t>
            </w:r>
            <w:r>
              <w:rPr>
                <w:rFonts w:hint="eastAsia" w:ascii="宋体" w:hAnsi="宋体" w:eastAsia="宋体" w:cs="宋体"/>
                <w:color w:val="auto"/>
                <w:kern w:val="0"/>
                <w:sz w:val="21"/>
                <w:szCs w:val="21"/>
                <w:highlight w:val="none"/>
                <w:u w:val="single"/>
                <w:lang w:val="en-US" w:eastAsia="zh-CN" w:bidi="ar"/>
              </w:rPr>
              <w:t>出函银行</w:t>
            </w:r>
            <w:r>
              <w:rPr>
                <w:rFonts w:hint="eastAsia" w:ascii="宋体" w:hAnsi="宋体" w:eastAsia="宋体" w:cs="宋体"/>
                <w:color w:val="auto"/>
                <w:kern w:val="0"/>
                <w:sz w:val="21"/>
                <w:szCs w:val="21"/>
                <w:highlight w:val="none"/>
                <w:lang w:val="en-US" w:eastAsia="zh-CN" w:bidi="ar"/>
              </w:rPr>
              <w:t>提出索赔。</w:t>
            </w: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1C4623BA">
            <w:pPr>
              <w:keepNext w:val="0"/>
              <w:keepLines w:val="0"/>
              <w:widowControl w:val="0"/>
              <w:suppressLineNumbers w:val="0"/>
              <w:adjustRightInd w:val="0"/>
              <w:snapToGrid w:val="0"/>
              <w:spacing w:before="0" w:beforeAutospacing="0" w:after="0" w:afterAutospacing="0" w:line="360" w:lineRule="auto"/>
              <w:ind w:left="0" w:right="11"/>
              <w:jc w:val="both"/>
              <w:outlineLvl w:val="3"/>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44.4承包人提交的</w:t>
            </w:r>
            <w:r>
              <w:rPr>
                <w:rFonts w:hint="eastAsia" w:ascii="宋体" w:hAnsi="宋体" w:eastAsia="宋体" w:cs="宋体"/>
                <w:color w:val="auto"/>
                <w:kern w:val="0"/>
                <w:sz w:val="21"/>
                <w:szCs w:val="21"/>
                <w:highlight w:val="none"/>
                <w:u w:val="single"/>
                <w:lang w:val="en-US" w:eastAsia="zh-CN" w:bidi="ar"/>
              </w:rPr>
              <w:t>履约担保</w:t>
            </w:r>
            <w:r>
              <w:rPr>
                <w:rFonts w:hint="eastAsia" w:ascii="宋体" w:hAnsi="宋体" w:eastAsia="宋体" w:cs="宋体"/>
                <w:color w:val="auto"/>
                <w:kern w:val="0"/>
                <w:sz w:val="21"/>
                <w:szCs w:val="21"/>
                <w:highlight w:val="none"/>
                <w:lang w:val="en-US" w:eastAsia="zh-CN" w:bidi="ar"/>
              </w:rPr>
              <w:t>是对本合同约定的承包人的全部义务（包括但不限于承包人违约后应支付的违约金和赔偿金）的</w:t>
            </w:r>
            <w:r>
              <w:rPr>
                <w:rFonts w:hint="eastAsia" w:ascii="宋体" w:hAnsi="宋体" w:eastAsia="宋体" w:cs="宋体"/>
                <w:color w:val="auto"/>
                <w:kern w:val="0"/>
                <w:sz w:val="21"/>
                <w:szCs w:val="21"/>
                <w:highlight w:val="none"/>
                <w:u w:val="single"/>
                <w:lang w:val="en-US" w:eastAsia="zh-CN" w:bidi="ar"/>
              </w:rPr>
              <w:t>担保</w:t>
            </w:r>
            <w:r>
              <w:rPr>
                <w:rFonts w:hint="eastAsia" w:ascii="宋体" w:hAnsi="宋体" w:eastAsia="宋体" w:cs="宋体"/>
                <w:color w:val="auto"/>
                <w:kern w:val="0"/>
                <w:sz w:val="21"/>
                <w:szCs w:val="21"/>
                <w:highlight w:val="none"/>
                <w:lang w:val="en-US" w:eastAsia="zh-CN" w:bidi="ar"/>
              </w:rPr>
              <w:t>，承包人的任何一次不履行或不完全履行合同义务的行为，发包人均有权向</w:t>
            </w:r>
            <w:r>
              <w:rPr>
                <w:rFonts w:hint="eastAsia" w:ascii="宋体" w:hAnsi="宋体" w:eastAsia="宋体" w:cs="宋体"/>
                <w:color w:val="auto"/>
                <w:kern w:val="0"/>
                <w:sz w:val="21"/>
                <w:szCs w:val="21"/>
                <w:highlight w:val="none"/>
                <w:u w:val="single"/>
                <w:lang w:val="en-US" w:eastAsia="zh-CN" w:bidi="ar"/>
              </w:rPr>
              <w:t>保证人</w:t>
            </w:r>
            <w:r>
              <w:rPr>
                <w:rFonts w:hint="eastAsia" w:ascii="宋体" w:hAnsi="宋体" w:eastAsia="宋体" w:cs="宋体"/>
                <w:color w:val="auto"/>
                <w:kern w:val="0"/>
                <w:sz w:val="21"/>
                <w:szCs w:val="21"/>
                <w:highlight w:val="none"/>
                <w:lang w:val="en-US" w:eastAsia="zh-CN" w:bidi="ar"/>
              </w:rPr>
              <w:t>提出索赔。</w:t>
            </w:r>
          </w:p>
        </w:tc>
      </w:tr>
      <w:tr w14:paraId="4D3D5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4"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5875E7">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35</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5C065F2A">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44.5</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4D1FEB65">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center"/>
          </w:tcPr>
          <w:p w14:paraId="18952DE3">
            <w:pPr>
              <w:keepNext w:val="0"/>
              <w:keepLines w:val="0"/>
              <w:widowControl w:val="0"/>
              <w:suppressLineNumbers w:val="0"/>
              <w:adjustRightInd w:val="0"/>
              <w:snapToGrid w:val="0"/>
              <w:spacing w:before="0" w:beforeAutospacing="0" w:after="0" w:afterAutospacing="0" w:line="360" w:lineRule="auto"/>
              <w:ind w:left="0" w:right="11"/>
              <w:jc w:val="both"/>
              <w:outlineLvl w:val="3"/>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44.5承包人不履行或不完全履行合同义务的行为导致发包人依据履约</w:t>
            </w:r>
            <w:r>
              <w:rPr>
                <w:rFonts w:hint="eastAsia" w:ascii="宋体" w:hAnsi="宋体" w:eastAsia="宋体" w:cs="宋体"/>
                <w:color w:val="auto"/>
                <w:kern w:val="0"/>
                <w:sz w:val="21"/>
                <w:szCs w:val="21"/>
                <w:highlight w:val="none"/>
                <w:u w:val="single"/>
                <w:lang w:val="en-US" w:eastAsia="zh-CN" w:bidi="ar"/>
              </w:rPr>
              <w:t>银行保函</w:t>
            </w:r>
            <w:r>
              <w:rPr>
                <w:rFonts w:hint="eastAsia" w:ascii="宋体" w:hAnsi="宋体" w:eastAsia="宋体" w:cs="宋体"/>
                <w:color w:val="auto"/>
                <w:kern w:val="0"/>
                <w:sz w:val="21"/>
                <w:szCs w:val="21"/>
                <w:highlight w:val="none"/>
                <w:lang w:val="en-US" w:eastAsia="zh-CN" w:bidi="ar"/>
              </w:rPr>
              <w:t>向</w:t>
            </w:r>
            <w:r>
              <w:rPr>
                <w:rFonts w:hint="eastAsia" w:ascii="宋体" w:hAnsi="宋体" w:eastAsia="宋体" w:cs="宋体"/>
                <w:color w:val="auto"/>
                <w:kern w:val="0"/>
                <w:sz w:val="21"/>
                <w:szCs w:val="21"/>
                <w:highlight w:val="none"/>
                <w:u w:val="single"/>
                <w:lang w:val="en-US" w:eastAsia="zh-CN" w:bidi="ar"/>
              </w:rPr>
              <w:t>银行</w:t>
            </w:r>
            <w:r>
              <w:rPr>
                <w:rFonts w:hint="eastAsia" w:ascii="宋体" w:hAnsi="宋体" w:eastAsia="宋体" w:cs="宋体"/>
                <w:color w:val="auto"/>
                <w:kern w:val="0"/>
                <w:sz w:val="21"/>
                <w:szCs w:val="21"/>
                <w:highlight w:val="none"/>
                <w:lang w:val="en-US" w:eastAsia="zh-CN" w:bidi="ar"/>
              </w:rPr>
              <w:t>索赔</w:t>
            </w:r>
            <w:r>
              <w:rPr>
                <w:rFonts w:hint="eastAsia" w:ascii="宋体" w:hAnsi="宋体" w:eastAsia="宋体" w:cs="宋体"/>
                <w:color w:val="auto"/>
                <w:kern w:val="0"/>
                <w:sz w:val="21"/>
                <w:szCs w:val="21"/>
                <w:highlight w:val="none"/>
                <w:u w:val="single"/>
                <w:lang w:val="en-US" w:eastAsia="zh-CN" w:bidi="ar"/>
              </w:rPr>
              <w:t>履约银行保函</w:t>
            </w:r>
            <w:r>
              <w:rPr>
                <w:rFonts w:hint="eastAsia" w:ascii="宋体" w:hAnsi="宋体" w:eastAsia="宋体" w:cs="宋体"/>
                <w:color w:val="auto"/>
                <w:kern w:val="0"/>
                <w:sz w:val="21"/>
                <w:szCs w:val="21"/>
                <w:highlight w:val="none"/>
                <w:lang w:val="en-US" w:eastAsia="zh-CN" w:bidi="ar"/>
              </w:rPr>
              <w:t>金额的一部分或者全部的，承包人必须在发包人规定的时间内补充提交履约</w:t>
            </w:r>
            <w:r>
              <w:rPr>
                <w:rFonts w:hint="eastAsia" w:ascii="宋体" w:hAnsi="宋体" w:eastAsia="宋体" w:cs="宋体"/>
                <w:color w:val="auto"/>
                <w:kern w:val="0"/>
                <w:sz w:val="21"/>
                <w:szCs w:val="21"/>
                <w:highlight w:val="none"/>
                <w:u w:val="single"/>
                <w:lang w:val="en-US" w:eastAsia="zh-CN" w:bidi="ar"/>
              </w:rPr>
              <w:t>银行保函</w:t>
            </w:r>
            <w:r>
              <w:rPr>
                <w:rFonts w:hint="eastAsia" w:ascii="宋体" w:hAnsi="宋体" w:eastAsia="宋体" w:cs="宋体"/>
                <w:color w:val="auto"/>
                <w:kern w:val="0"/>
                <w:sz w:val="21"/>
                <w:szCs w:val="21"/>
                <w:highlight w:val="none"/>
                <w:lang w:val="en-US" w:eastAsia="zh-CN" w:bidi="ar"/>
              </w:rPr>
              <w:t>，使得本合同履行期间有效的</w:t>
            </w:r>
            <w:r>
              <w:rPr>
                <w:rFonts w:hint="eastAsia" w:ascii="宋体" w:hAnsi="宋体" w:eastAsia="宋体" w:cs="宋体"/>
                <w:color w:val="auto"/>
                <w:kern w:val="0"/>
                <w:sz w:val="21"/>
                <w:szCs w:val="21"/>
                <w:highlight w:val="none"/>
                <w:u w:val="single"/>
                <w:lang w:val="en-US" w:eastAsia="zh-CN" w:bidi="ar"/>
              </w:rPr>
              <w:t>履约银行保函</w:t>
            </w:r>
            <w:r>
              <w:rPr>
                <w:rFonts w:hint="eastAsia" w:ascii="宋体" w:hAnsi="宋体" w:eastAsia="宋体" w:cs="宋体"/>
                <w:color w:val="auto"/>
                <w:kern w:val="0"/>
                <w:sz w:val="21"/>
                <w:szCs w:val="21"/>
                <w:highlight w:val="none"/>
                <w:lang w:val="en-US" w:eastAsia="zh-CN" w:bidi="ar"/>
              </w:rPr>
              <w:t>金额等于承包人第一次提交的</w:t>
            </w:r>
            <w:r>
              <w:rPr>
                <w:rFonts w:hint="eastAsia" w:ascii="宋体" w:hAnsi="宋体" w:eastAsia="宋体" w:cs="宋体"/>
                <w:color w:val="auto"/>
                <w:kern w:val="0"/>
                <w:sz w:val="21"/>
                <w:szCs w:val="21"/>
                <w:highlight w:val="none"/>
                <w:u w:val="single"/>
                <w:lang w:val="en-US" w:eastAsia="zh-CN" w:bidi="ar"/>
              </w:rPr>
              <w:t>履约银行保函</w:t>
            </w:r>
            <w:r>
              <w:rPr>
                <w:rFonts w:hint="eastAsia" w:ascii="宋体" w:hAnsi="宋体" w:eastAsia="宋体" w:cs="宋体"/>
                <w:color w:val="auto"/>
                <w:kern w:val="0"/>
                <w:sz w:val="21"/>
                <w:szCs w:val="21"/>
                <w:highlight w:val="none"/>
                <w:lang w:val="en-US" w:eastAsia="zh-CN" w:bidi="ar"/>
              </w:rPr>
              <w:t>金额。</w:t>
            </w: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09C68E4F">
            <w:pPr>
              <w:keepNext w:val="0"/>
              <w:keepLines w:val="0"/>
              <w:widowControl w:val="0"/>
              <w:suppressLineNumbers w:val="0"/>
              <w:adjustRightInd w:val="0"/>
              <w:snapToGrid w:val="0"/>
              <w:spacing w:before="0" w:beforeAutospacing="0" w:after="0" w:afterAutospacing="0" w:line="360" w:lineRule="auto"/>
              <w:ind w:left="0" w:right="11"/>
              <w:jc w:val="both"/>
              <w:outlineLvl w:val="3"/>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44.5承包人不履行或不完全履行合同义务的行为导致发包人依据</w:t>
            </w:r>
            <w:r>
              <w:rPr>
                <w:rFonts w:hint="eastAsia" w:ascii="宋体" w:hAnsi="宋体" w:eastAsia="宋体" w:cs="宋体"/>
                <w:color w:val="auto"/>
                <w:kern w:val="0"/>
                <w:sz w:val="21"/>
                <w:szCs w:val="21"/>
                <w:highlight w:val="none"/>
                <w:u w:val="single"/>
                <w:lang w:val="en-US" w:eastAsia="zh-CN" w:bidi="ar"/>
              </w:rPr>
              <w:t>履约担保</w:t>
            </w:r>
            <w:r>
              <w:rPr>
                <w:rFonts w:hint="eastAsia" w:ascii="宋体" w:hAnsi="宋体" w:eastAsia="宋体" w:cs="宋体"/>
                <w:color w:val="auto"/>
                <w:kern w:val="0"/>
                <w:sz w:val="21"/>
                <w:szCs w:val="21"/>
                <w:highlight w:val="none"/>
                <w:lang w:val="en-US" w:eastAsia="zh-CN" w:bidi="ar"/>
              </w:rPr>
              <w:t>向</w:t>
            </w:r>
            <w:r>
              <w:rPr>
                <w:rFonts w:hint="eastAsia" w:ascii="宋体" w:hAnsi="宋体" w:eastAsia="宋体" w:cs="宋体"/>
                <w:color w:val="auto"/>
                <w:kern w:val="0"/>
                <w:sz w:val="21"/>
                <w:szCs w:val="21"/>
                <w:highlight w:val="none"/>
                <w:u w:val="single"/>
                <w:lang w:val="en-US" w:eastAsia="zh-CN" w:bidi="ar"/>
              </w:rPr>
              <w:t>保证人</w:t>
            </w:r>
            <w:r>
              <w:rPr>
                <w:rFonts w:hint="eastAsia" w:ascii="宋体" w:hAnsi="宋体" w:eastAsia="宋体" w:cs="宋体"/>
                <w:color w:val="auto"/>
                <w:kern w:val="0"/>
                <w:sz w:val="21"/>
                <w:szCs w:val="21"/>
                <w:highlight w:val="none"/>
                <w:lang w:val="en-US" w:eastAsia="zh-CN" w:bidi="ar"/>
              </w:rPr>
              <w:t>索赔</w:t>
            </w:r>
            <w:r>
              <w:rPr>
                <w:rFonts w:hint="eastAsia" w:ascii="宋体" w:hAnsi="宋体" w:eastAsia="宋体" w:cs="宋体"/>
                <w:color w:val="auto"/>
                <w:kern w:val="2"/>
                <w:sz w:val="21"/>
                <w:szCs w:val="21"/>
                <w:highlight w:val="none"/>
                <w:u w:val="single"/>
                <w:lang w:val="en-US" w:eastAsia="zh-CN" w:bidi="ar"/>
              </w:rPr>
              <w:t>担保</w:t>
            </w:r>
            <w:r>
              <w:rPr>
                <w:rFonts w:hint="eastAsia" w:ascii="宋体" w:hAnsi="宋体" w:eastAsia="宋体" w:cs="宋体"/>
                <w:color w:val="auto"/>
                <w:kern w:val="0"/>
                <w:sz w:val="21"/>
                <w:szCs w:val="21"/>
                <w:highlight w:val="none"/>
                <w:lang w:val="en-US" w:eastAsia="zh-CN" w:bidi="ar"/>
              </w:rPr>
              <w:t>金额的一部分或者全部的，承包人必须在发包人规定的时间内补充提交</w:t>
            </w:r>
            <w:r>
              <w:rPr>
                <w:rFonts w:hint="eastAsia" w:ascii="宋体" w:hAnsi="宋体" w:eastAsia="宋体" w:cs="宋体"/>
                <w:color w:val="auto"/>
                <w:kern w:val="0"/>
                <w:sz w:val="21"/>
                <w:szCs w:val="21"/>
                <w:highlight w:val="none"/>
                <w:u w:val="single"/>
                <w:lang w:val="en-US" w:eastAsia="zh-CN" w:bidi="ar"/>
              </w:rPr>
              <w:t>履约担保</w:t>
            </w:r>
            <w:r>
              <w:rPr>
                <w:rFonts w:hint="eastAsia" w:ascii="宋体" w:hAnsi="宋体" w:eastAsia="宋体" w:cs="宋体"/>
                <w:color w:val="auto"/>
                <w:kern w:val="0"/>
                <w:sz w:val="21"/>
                <w:szCs w:val="21"/>
                <w:highlight w:val="none"/>
                <w:lang w:val="en-US" w:eastAsia="zh-CN" w:bidi="ar"/>
              </w:rPr>
              <w:t>，使得本合同履行期间有效的</w:t>
            </w:r>
            <w:r>
              <w:rPr>
                <w:rFonts w:hint="eastAsia" w:ascii="宋体" w:hAnsi="宋体" w:eastAsia="宋体" w:cs="宋体"/>
                <w:color w:val="auto"/>
                <w:kern w:val="2"/>
                <w:sz w:val="21"/>
                <w:szCs w:val="21"/>
                <w:highlight w:val="none"/>
                <w:u w:val="single"/>
                <w:lang w:val="en-US" w:eastAsia="zh-CN" w:bidi="ar"/>
              </w:rPr>
              <w:t>担保</w:t>
            </w:r>
            <w:r>
              <w:rPr>
                <w:rFonts w:hint="eastAsia" w:ascii="宋体" w:hAnsi="宋体" w:eastAsia="宋体" w:cs="宋体"/>
                <w:color w:val="auto"/>
                <w:kern w:val="0"/>
                <w:sz w:val="21"/>
                <w:szCs w:val="21"/>
                <w:highlight w:val="none"/>
                <w:lang w:val="en-US" w:eastAsia="zh-CN" w:bidi="ar"/>
              </w:rPr>
              <w:t>金额等于承包人第一次提交的</w:t>
            </w:r>
            <w:r>
              <w:rPr>
                <w:rFonts w:hint="eastAsia" w:ascii="宋体" w:hAnsi="宋体" w:eastAsia="宋体" w:cs="宋体"/>
                <w:color w:val="auto"/>
                <w:kern w:val="2"/>
                <w:sz w:val="21"/>
                <w:szCs w:val="21"/>
                <w:highlight w:val="none"/>
                <w:u w:val="single"/>
                <w:lang w:val="en-US" w:eastAsia="zh-CN" w:bidi="ar"/>
              </w:rPr>
              <w:t>担保</w:t>
            </w:r>
            <w:r>
              <w:rPr>
                <w:rFonts w:hint="eastAsia" w:ascii="宋体" w:hAnsi="宋体" w:eastAsia="宋体" w:cs="宋体"/>
                <w:color w:val="auto"/>
                <w:kern w:val="0"/>
                <w:sz w:val="21"/>
                <w:szCs w:val="21"/>
                <w:highlight w:val="none"/>
                <w:lang w:val="en-US" w:eastAsia="zh-CN" w:bidi="ar"/>
              </w:rPr>
              <w:t>金额。</w:t>
            </w:r>
          </w:p>
        </w:tc>
      </w:tr>
      <w:tr w14:paraId="47188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4"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EC35C7">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36</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30C5DE3B">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44.6</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4B354E16">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center"/>
          </w:tcPr>
          <w:p w14:paraId="31EDDDA4">
            <w:pPr>
              <w:keepNext w:val="0"/>
              <w:keepLines w:val="0"/>
              <w:widowControl w:val="0"/>
              <w:suppressLineNumbers w:val="0"/>
              <w:adjustRightInd w:val="0"/>
              <w:snapToGrid w:val="0"/>
              <w:spacing w:before="0" w:beforeAutospacing="0" w:after="0" w:afterAutospacing="0" w:line="360" w:lineRule="auto"/>
              <w:ind w:left="0" w:right="11"/>
              <w:jc w:val="both"/>
              <w:outlineLvl w:val="3"/>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44.6如果承包人不按发包人的要求及时补充提交履约</w:t>
            </w:r>
            <w:r>
              <w:rPr>
                <w:rFonts w:hint="eastAsia" w:ascii="宋体" w:hAnsi="宋体" w:eastAsia="宋体" w:cs="宋体"/>
                <w:color w:val="auto"/>
                <w:kern w:val="0"/>
                <w:sz w:val="21"/>
                <w:szCs w:val="21"/>
                <w:highlight w:val="none"/>
                <w:u w:val="single"/>
                <w:lang w:val="en-US" w:eastAsia="zh-CN" w:bidi="ar"/>
              </w:rPr>
              <w:t>银行保函</w:t>
            </w:r>
            <w:r>
              <w:rPr>
                <w:rFonts w:hint="eastAsia" w:ascii="宋体" w:hAnsi="宋体" w:eastAsia="宋体" w:cs="宋体"/>
                <w:color w:val="auto"/>
                <w:kern w:val="0"/>
                <w:sz w:val="21"/>
                <w:szCs w:val="21"/>
                <w:highlight w:val="none"/>
                <w:lang w:val="en-US" w:eastAsia="zh-CN" w:bidi="ar"/>
              </w:rPr>
              <w:t>，则发包人有权单方面部分解除或解除本合同，并按合同专用条款第38.4（4）、（5）及47.9、47.10、47.11款的有关约定执行。</w:t>
            </w: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33C6D617">
            <w:pPr>
              <w:keepNext w:val="0"/>
              <w:keepLines w:val="0"/>
              <w:widowControl w:val="0"/>
              <w:suppressLineNumbers w:val="0"/>
              <w:adjustRightInd w:val="0"/>
              <w:snapToGrid w:val="0"/>
              <w:spacing w:before="0" w:beforeAutospacing="0" w:after="0" w:afterAutospacing="0" w:line="360" w:lineRule="auto"/>
              <w:ind w:left="0" w:right="11"/>
              <w:jc w:val="both"/>
              <w:outlineLvl w:val="3"/>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44.6如果承包人不按发包人的要求及时补充提交</w:t>
            </w:r>
            <w:r>
              <w:rPr>
                <w:rFonts w:hint="eastAsia" w:ascii="宋体" w:hAnsi="宋体" w:eastAsia="宋体" w:cs="宋体"/>
                <w:color w:val="auto"/>
                <w:kern w:val="0"/>
                <w:sz w:val="21"/>
                <w:szCs w:val="21"/>
                <w:highlight w:val="none"/>
                <w:u w:val="single"/>
                <w:lang w:val="en-US" w:eastAsia="zh-CN" w:bidi="ar"/>
              </w:rPr>
              <w:t>履约担保</w:t>
            </w:r>
            <w:r>
              <w:rPr>
                <w:rFonts w:hint="eastAsia" w:ascii="宋体" w:hAnsi="宋体" w:eastAsia="宋体" w:cs="宋体"/>
                <w:color w:val="auto"/>
                <w:kern w:val="0"/>
                <w:sz w:val="21"/>
                <w:szCs w:val="21"/>
                <w:highlight w:val="none"/>
                <w:lang w:val="en-US" w:eastAsia="zh-CN" w:bidi="ar"/>
              </w:rPr>
              <w:t>，则发包人有权单方面部分解除或解除本合同，并按合同专用条款第38.4（4）、（5）及47.9、47.10、47.11款的有关约定执行。</w:t>
            </w:r>
          </w:p>
        </w:tc>
      </w:tr>
      <w:tr w14:paraId="0717E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4"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2C4853">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37</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5578FF2B">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44.7</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172D5699">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center"/>
          </w:tcPr>
          <w:p w14:paraId="11225CB1">
            <w:pPr>
              <w:keepNext w:val="0"/>
              <w:keepLines w:val="0"/>
              <w:widowControl w:val="0"/>
              <w:suppressLineNumbers w:val="0"/>
              <w:adjustRightInd w:val="0"/>
              <w:snapToGrid w:val="0"/>
              <w:spacing w:before="0" w:beforeAutospacing="0" w:after="0" w:afterAutospacing="0" w:line="360" w:lineRule="auto"/>
              <w:ind w:left="0" w:right="11"/>
              <w:jc w:val="both"/>
              <w:outlineLvl w:val="3"/>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44.7</w:t>
            </w:r>
            <w:r>
              <w:rPr>
                <w:rFonts w:hint="eastAsia" w:ascii="宋体" w:hAnsi="宋体" w:eastAsia="宋体" w:cs="宋体"/>
                <w:color w:val="auto"/>
                <w:kern w:val="2"/>
                <w:sz w:val="21"/>
                <w:szCs w:val="21"/>
                <w:highlight w:val="none"/>
                <w:lang w:val="en-US" w:eastAsia="zh-CN" w:bidi="ar"/>
              </w:rPr>
              <w:t>承包人提供本项目所需全部分部（子分部）工程质量验收记录（</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地基与基础，</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主体结构，</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建筑装饰装修，</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屋面工程，</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建筑给水、排水及采暖，</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通风与空调，</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建筑电气，</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建筑智能化，</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建筑节能，</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电梯，</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室外设施，</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附属建筑及室外环境，</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 xml:space="preserve">室外安装, </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其他</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）及竣工图后，可以向发包人申请退还履约</w:t>
            </w:r>
            <w:r>
              <w:rPr>
                <w:rFonts w:hint="eastAsia" w:ascii="宋体" w:hAnsi="宋体" w:eastAsia="宋体" w:cs="宋体"/>
                <w:color w:val="auto"/>
                <w:kern w:val="2"/>
                <w:sz w:val="21"/>
                <w:szCs w:val="21"/>
                <w:highlight w:val="none"/>
                <w:u w:val="single"/>
                <w:lang w:val="en-US" w:eastAsia="zh-CN" w:bidi="ar"/>
              </w:rPr>
              <w:t>银行保函</w:t>
            </w:r>
            <w:r>
              <w:rPr>
                <w:rFonts w:hint="eastAsia" w:ascii="宋体" w:hAnsi="宋体" w:eastAsia="宋体" w:cs="宋体"/>
                <w:color w:val="auto"/>
                <w:kern w:val="0"/>
                <w:sz w:val="21"/>
                <w:szCs w:val="21"/>
                <w:highlight w:val="none"/>
                <w:lang w:val="en-US" w:eastAsia="zh-CN" w:bidi="ar"/>
              </w:rPr>
              <w:t>。</w:t>
            </w: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4E65C859">
            <w:pPr>
              <w:keepNext w:val="0"/>
              <w:keepLines w:val="0"/>
              <w:widowControl w:val="0"/>
              <w:suppressLineNumbers w:val="0"/>
              <w:adjustRightInd w:val="0"/>
              <w:snapToGrid w:val="0"/>
              <w:spacing w:before="0" w:beforeAutospacing="0" w:after="0" w:afterAutospacing="0" w:line="360" w:lineRule="auto"/>
              <w:ind w:left="0" w:right="11"/>
              <w:jc w:val="both"/>
              <w:outlineLvl w:val="3"/>
              <w:rPr>
                <w:rFonts w:hint="default"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44.7</w:t>
            </w:r>
            <w:r>
              <w:rPr>
                <w:rFonts w:hint="eastAsia" w:ascii="宋体" w:hAnsi="宋体" w:eastAsia="宋体" w:cs="宋体"/>
                <w:color w:val="auto"/>
                <w:kern w:val="2"/>
                <w:sz w:val="21"/>
                <w:szCs w:val="21"/>
                <w:highlight w:val="none"/>
                <w:lang w:val="en-US" w:eastAsia="zh-CN" w:bidi="ar"/>
              </w:rPr>
              <w:t>承包人提供本项目所需全部分部（子分部）工程质量验收记录（</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地基与基础（如有），</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主体结构（如有），</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建筑装饰装修，</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屋面工程，</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建筑给水、排水及采暖（如有），</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通风与空调（如有），</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建筑电气，</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建筑智能化（如有），</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建筑节能（如有），</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电梯（如有），</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室外设施（如有），</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附属建筑及室外环境（如有），</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 xml:space="preserve">室外安装, </w:t>
            </w:r>
            <w:r>
              <w:rPr>
                <w:rFonts w:hint="eastAsia" w:ascii="宋体" w:hAnsi="宋体" w:eastAsia="宋体" w:cs="宋体"/>
                <w:b/>
                <w:bCs w:val="0"/>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其他）及竣工图后，可以向发包人申请退还</w:t>
            </w:r>
            <w:r>
              <w:rPr>
                <w:rFonts w:hint="eastAsia" w:ascii="宋体" w:hAnsi="宋体" w:eastAsia="宋体" w:cs="宋体"/>
                <w:color w:val="auto"/>
                <w:kern w:val="2"/>
                <w:sz w:val="21"/>
                <w:szCs w:val="21"/>
                <w:highlight w:val="none"/>
                <w:u w:val="single"/>
                <w:lang w:val="en-US" w:eastAsia="zh-CN" w:bidi="ar"/>
              </w:rPr>
              <w:t>履约担保</w:t>
            </w:r>
            <w:r>
              <w:rPr>
                <w:rFonts w:hint="eastAsia" w:ascii="宋体" w:hAnsi="宋体" w:eastAsia="宋体" w:cs="宋体"/>
                <w:color w:val="auto"/>
                <w:kern w:val="0"/>
                <w:sz w:val="21"/>
                <w:szCs w:val="21"/>
                <w:highlight w:val="none"/>
                <w:lang w:val="en-US" w:eastAsia="zh-CN" w:bidi="ar"/>
              </w:rPr>
              <w:t>。</w:t>
            </w:r>
          </w:p>
        </w:tc>
      </w:tr>
      <w:tr w14:paraId="22060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4"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06E9C1">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38</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76C69B82">
            <w:pPr>
              <w:keepNext w:val="0"/>
              <w:keepLines w:val="0"/>
              <w:widowControl w:val="0"/>
              <w:suppressLineNumbers w:val="0"/>
              <w:spacing w:before="0" w:beforeAutospacing="0" w:after="0" w:afterAutospacing="0"/>
              <w:ind w:left="0" w:right="0"/>
              <w:jc w:val="center"/>
              <w:rPr>
                <w:rFonts w:hint="eastAsia" w:ascii="宋体" w:hAnsi="Calibri" w:eastAsia="宋体" w:cs="Times New Roman"/>
                <w:color w:val="auto"/>
                <w:kern w:val="2"/>
                <w:sz w:val="20"/>
                <w:szCs w:val="20"/>
                <w:highlight w:val="none"/>
              </w:rPr>
            </w:pPr>
            <w:r>
              <w:rPr>
                <w:rFonts w:hint="eastAsia" w:ascii="宋体" w:hAnsi="宋体" w:eastAsia="宋体" w:cs="宋体"/>
                <w:color w:val="auto"/>
                <w:kern w:val="2"/>
                <w:sz w:val="21"/>
                <w:szCs w:val="21"/>
                <w:highlight w:val="none"/>
                <w:lang w:val="en-US" w:eastAsia="zh-CN" w:bidi="ar"/>
              </w:rPr>
              <w:t>50.2（1）</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62F23B98">
            <w:pPr>
              <w:keepNext w:val="0"/>
              <w:keepLines w:val="0"/>
              <w:widowControl w:val="0"/>
              <w:suppressLineNumbers w:val="0"/>
              <w:spacing w:before="0" w:beforeAutospacing="0" w:after="0" w:afterAutospacing="0"/>
              <w:ind w:left="0" w:right="0"/>
              <w:jc w:val="center"/>
              <w:rPr>
                <w:rFonts w:hint="eastAsia" w:ascii="宋体"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top"/>
          </w:tcPr>
          <w:p w14:paraId="73D4C00C">
            <w:pPr>
              <w:keepNext w:val="0"/>
              <w:keepLines w:val="0"/>
              <w:widowControl w:val="0"/>
              <w:suppressLineNumbers w:val="0"/>
              <w:adjustRightInd w:val="0"/>
              <w:snapToGrid w:val="0"/>
              <w:spacing w:before="0" w:beforeAutospacing="0" w:after="0" w:afterAutospacing="0" w:line="300" w:lineRule="auto"/>
              <w:ind w:left="0" w:right="11"/>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（1）严格按照合同和招投标文件规定履行义务，并同意发包人将其履行合同、招投标文件义务的履约情况和不诚信行为（包括但不限于由发包人作出的违约责任处理决定等）在发包人网站和</w:t>
            </w:r>
            <w:r>
              <w:rPr>
                <w:rFonts w:hint="eastAsia" w:ascii="宋体" w:hAnsi="宋体" w:eastAsia="宋体" w:cs="宋体"/>
                <w:strike/>
                <w:dstrike w:val="0"/>
                <w:color w:val="auto"/>
                <w:kern w:val="0"/>
                <w:sz w:val="21"/>
                <w:szCs w:val="21"/>
                <w:highlight w:val="none"/>
                <w:lang w:val="en-US" w:eastAsia="zh-CN" w:bidi="ar"/>
              </w:rPr>
              <w:t>广州市</w:t>
            </w:r>
            <w:r>
              <w:rPr>
                <w:rFonts w:hint="eastAsia" w:ascii="宋体" w:hAnsi="宋体" w:eastAsia="宋体" w:cs="宋体"/>
                <w:color w:val="auto"/>
                <w:kern w:val="0"/>
                <w:sz w:val="21"/>
                <w:szCs w:val="21"/>
                <w:highlight w:val="none"/>
                <w:lang w:val="en-US" w:eastAsia="zh-CN" w:bidi="ar"/>
              </w:rPr>
              <w:t>建设项目业主网站及其他媒体上公开披露，由此造成的一切损失和不利后果均由承包人自行承担。</w:t>
            </w: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663BFB45">
            <w:pPr>
              <w:keepNext w:val="0"/>
              <w:keepLines w:val="0"/>
              <w:widowControl w:val="0"/>
              <w:suppressLineNumbers w:val="0"/>
              <w:spacing w:before="0" w:beforeAutospacing="0" w:after="0" w:afterAutospacing="0"/>
              <w:ind w:left="0" w:right="26"/>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1）严格按照合同和招投标文件规定履行义务，并同意发包人将其履行合同、招投标文件义务的履约情况和不诚信行为（包括但不限于由发包人作出的组织的考核、考评通报、做出的违约责任处理决定等）在发包人网站和建设项目业主网站及其他媒体上公开披露，由此造成的一切损失和不利后果均由承包人自行承担。</w:t>
            </w:r>
          </w:p>
        </w:tc>
      </w:tr>
      <w:tr w14:paraId="357F4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4"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851000">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39</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3411B2A9">
            <w:pPr>
              <w:keepNext w:val="0"/>
              <w:keepLines w:val="0"/>
              <w:widowControl w:val="0"/>
              <w:suppressLineNumbers w:val="0"/>
              <w:spacing w:before="0" w:beforeAutospacing="0" w:after="0" w:afterAutospacing="0"/>
              <w:ind w:left="0" w:right="0"/>
              <w:jc w:val="center"/>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50.2（2）</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12B7E727">
            <w:pPr>
              <w:keepNext w:val="0"/>
              <w:keepLines w:val="0"/>
              <w:widowControl w:val="0"/>
              <w:suppressLineNumbers w:val="0"/>
              <w:spacing w:before="0" w:beforeAutospacing="0" w:after="0" w:afterAutospacing="0"/>
              <w:ind w:left="0" w:right="0"/>
              <w:jc w:val="center"/>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center"/>
          </w:tcPr>
          <w:p w14:paraId="6BCE2441">
            <w:pPr>
              <w:keepNext w:val="0"/>
              <w:keepLines w:val="0"/>
              <w:widowControl w:val="0"/>
              <w:suppressLineNumbers w:val="0"/>
              <w:adjustRightInd w:val="0"/>
              <w:snapToGrid w:val="0"/>
              <w:spacing w:before="0" w:beforeAutospacing="0" w:after="0" w:afterAutospacing="0" w:line="300" w:lineRule="auto"/>
              <w:ind w:left="0" w:right="11"/>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default" w:ascii="Calibri" w:hAnsi="Calibri" w:eastAsia="宋体" w:cs="Calibri"/>
                <w:color w:val="auto"/>
                <w:kern w:val="2"/>
                <w:sz w:val="21"/>
                <w:szCs w:val="21"/>
                <w:highlight w:val="none"/>
                <w:lang w:val="en-US" w:eastAsia="zh-CN" w:bidi="ar"/>
              </w:rPr>
              <w:t>2</w:t>
            </w:r>
            <w:r>
              <w:rPr>
                <w:rFonts w:hint="eastAsia" w:ascii="宋体" w:hAnsi="宋体" w:eastAsia="宋体" w:cs="宋体"/>
                <w:color w:val="auto"/>
                <w:kern w:val="2"/>
                <w:sz w:val="21"/>
                <w:szCs w:val="21"/>
                <w:highlight w:val="none"/>
                <w:lang w:val="en-US" w:eastAsia="zh-CN" w:bidi="ar"/>
              </w:rPr>
              <w:t>）因承包人原因导致发包人参与诉讼、仲裁事项的，应赔偿发包人的经济损失，以及承担由此支出的所有诉讼费、仲裁费、律师费及其他费用，并且在收到发包人赔付通知后立即支付，否则，每逾期</w:t>
            </w:r>
            <w:r>
              <w:rPr>
                <w:rFonts w:hint="default" w:ascii="Calibri" w:hAnsi="Calibri" w:eastAsia="宋体" w:cs="Calibri"/>
                <w:color w:val="auto"/>
                <w:kern w:val="2"/>
                <w:sz w:val="21"/>
                <w:szCs w:val="21"/>
                <w:highlight w:val="none"/>
                <w:lang w:val="en-US" w:eastAsia="zh-CN" w:bidi="ar"/>
              </w:rPr>
              <w:t>1</w:t>
            </w:r>
            <w:r>
              <w:rPr>
                <w:rFonts w:hint="eastAsia" w:ascii="宋体" w:hAnsi="宋体" w:eastAsia="宋体" w:cs="宋体"/>
                <w:color w:val="auto"/>
                <w:kern w:val="2"/>
                <w:sz w:val="21"/>
                <w:szCs w:val="21"/>
                <w:highlight w:val="none"/>
                <w:lang w:val="en-US" w:eastAsia="zh-CN" w:bidi="ar"/>
              </w:rPr>
              <w:t>日应按逾付款项总额的</w:t>
            </w:r>
            <w:r>
              <w:rPr>
                <w:rFonts w:hint="default" w:ascii="Calibri" w:hAnsi="Calibri" w:eastAsia="宋体" w:cs="Calibri"/>
                <w:color w:val="auto"/>
                <w:kern w:val="2"/>
                <w:sz w:val="21"/>
                <w:szCs w:val="21"/>
                <w:highlight w:val="none"/>
                <w:lang w:val="en-US" w:eastAsia="zh-CN" w:bidi="ar"/>
              </w:rPr>
              <w:t>5</w:t>
            </w:r>
            <w:r>
              <w:rPr>
                <w:rFonts w:hint="eastAsia" w:ascii="宋体" w:hAnsi="宋体" w:eastAsia="宋体" w:cs="宋体"/>
                <w:color w:val="auto"/>
                <w:kern w:val="2"/>
                <w:sz w:val="21"/>
                <w:szCs w:val="21"/>
                <w:highlight w:val="none"/>
                <w:lang w:val="en-US" w:eastAsia="zh-CN" w:bidi="ar"/>
              </w:rPr>
              <w:t>‰向发包人承担违约责任。</w:t>
            </w: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5D8AC9DC">
            <w:pPr>
              <w:keepNext w:val="0"/>
              <w:keepLines w:val="0"/>
              <w:widowControl w:val="0"/>
              <w:suppressLineNumbers w:val="0"/>
              <w:spacing w:before="0" w:beforeAutospacing="0" w:after="0" w:afterAutospacing="0"/>
              <w:ind w:left="0" w:right="26"/>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default" w:ascii="Calibri" w:hAnsi="Calibri" w:eastAsia="宋体" w:cs="Calibri"/>
                <w:color w:val="auto"/>
                <w:kern w:val="2"/>
                <w:sz w:val="21"/>
                <w:szCs w:val="21"/>
                <w:highlight w:val="none"/>
                <w:lang w:val="en-US" w:eastAsia="zh-CN" w:bidi="ar"/>
              </w:rPr>
              <w:t>2</w:t>
            </w:r>
            <w:r>
              <w:rPr>
                <w:rFonts w:hint="eastAsia" w:ascii="宋体" w:hAnsi="宋体" w:eastAsia="宋体" w:cs="宋体"/>
                <w:color w:val="auto"/>
                <w:kern w:val="2"/>
                <w:sz w:val="21"/>
                <w:szCs w:val="21"/>
                <w:highlight w:val="none"/>
                <w:lang w:val="en-US" w:eastAsia="zh-CN" w:bidi="ar"/>
              </w:rPr>
              <w:t>）在本合同承包范围内，如因第三人在本工程实施过程中产生工程款支付、工人工资支付等各类纠纷或其他承包人原因（包括但不限于分包或违法分包、转包引起的法律纠纷等），导致发包人参与诉讼、仲裁事项的，均视作承包人对其承包工程存在管理不善的问题。承包人均应赔偿发包人的经济损失，以及承担发包人由此支出的所有诉讼费、仲裁费、律师费及其他费用，并且在收到发包人赔付通知后立即支付，否则，每逾期</w:t>
            </w:r>
            <w:r>
              <w:rPr>
                <w:rFonts w:hint="default" w:ascii="Calibri" w:hAnsi="Calibri" w:eastAsia="宋体" w:cs="Calibri"/>
                <w:color w:val="auto"/>
                <w:kern w:val="2"/>
                <w:sz w:val="21"/>
                <w:szCs w:val="21"/>
                <w:highlight w:val="none"/>
                <w:lang w:val="en-US" w:eastAsia="zh-CN" w:bidi="ar"/>
              </w:rPr>
              <w:t>1</w:t>
            </w:r>
            <w:r>
              <w:rPr>
                <w:rFonts w:hint="eastAsia" w:ascii="宋体" w:hAnsi="宋体" w:eastAsia="宋体" w:cs="宋体"/>
                <w:color w:val="auto"/>
                <w:kern w:val="2"/>
                <w:sz w:val="21"/>
                <w:szCs w:val="21"/>
                <w:highlight w:val="none"/>
                <w:lang w:val="en-US" w:eastAsia="zh-CN" w:bidi="ar"/>
              </w:rPr>
              <w:t>天应按逾付款项总额的</w:t>
            </w:r>
            <w:r>
              <w:rPr>
                <w:rFonts w:hint="default" w:ascii="Calibri" w:hAnsi="Calibri" w:eastAsia="宋体" w:cs="Calibri"/>
                <w:color w:val="auto"/>
                <w:kern w:val="2"/>
                <w:sz w:val="21"/>
                <w:szCs w:val="21"/>
                <w:highlight w:val="none"/>
                <w:lang w:val="en-US" w:eastAsia="zh-CN" w:bidi="ar"/>
              </w:rPr>
              <w:t>5</w:t>
            </w:r>
            <w:r>
              <w:rPr>
                <w:rFonts w:hint="eastAsia" w:ascii="宋体" w:hAnsi="宋体" w:eastAsia="宋体" w:cs="宋体"/>
                <w:color w:val="auto"/>
                <w:kern w:val="2"/>
                <w:sz w:val="21"/>
                <w:szCs w:val="21"/>
                <w:highlight w:val="none"/>
                <w:lang w:val="en-US" w:eastAsia="zh-CN" w:bidi="ar"/>
              </w:rPr>
              <w:t>‰向发包人承担违约责任。</w:t>
            </w:r>
          </w:p>
        </w:tc>
      </w:tr>
      <w:tr w14:paraId="312BE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4"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779CFA">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40</w:t>
            </w:r>
          </w:p>
        </w:tc>
        <w:tc>
          <w:tcPr>
            <w:tcW w:w="988" w:type="dxa"/>
            <w:tcBorders>
              <w:top w:val="single" w:color="auto" w:sz="4" w:space="0"/>
              <w:left w:val="nil"/>
              <w:bottom w:val="single" w:color="auto" w:sz="4" w:space="0"/>
              <w:right w:val="single" w:color="auto" w:sz="4" w:space="0"/>
            </w:tcBorders>
            <w:shd w:val="clear" w:color="auto" w:fill="auto"/>
            <w:noWrap/>
            <w:vAlign w:val="center"/>
          </w:tcPr>
          <w:p w14:paraId="1E6E4BE3">
            <w:pPr>
              <w:keepNext w:val="0"/>
              <w:keepLines w:val="0"/>
              <w:widowControl w:val="0"/>
              <w:suppressLineNumbers w:val="0"/>
              <w:spacing w:before="0" w:beforeAutospacing="0" w:after="0" w:afterAutospacing="0"/>
              <w:ind w:left="0" w:right="0"/>
              <w:jc w:val="center"/>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50.4（2）</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51BD7F3A">
            <w:pPr>
              <w:keepNext w:val="0"/>
              <w:keepLines w:val="0"/>
              <w:widowControl w:val="0"/>
              <w:suppressLineNumbers w:val="0"/>
              <w:spacing w:before="0" w:beforeAutospacing="0" w:after="0" w:afterAutospacing="0"/>
              <w:ind w:left="0" w:right="0"/>
              <w:jc w:val="center"/>
              <w:rPr>
                <w:rFonts w:hint="eastAsia" w:ascii="宋体"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修改</w:t>
            </w:r>
          </w:p>
        </w:tc>
        <w:tc>
          <w:tcPr>
            <w:tcW w:w="3669" w:type="dxa"/>
            <w:tcBorders>
              <w:top w:val="single" w:color="auto" w:sz="4" w:space="0"/>
              <w:left w:val="nil"/>
              <w:bottom w:val="single" w:color="auto" w:sz="4" w:space="0"/>
              <w:right w:val="single" w:color="auto" w:sz="4" w:space="0"/>
            </w:tcBorders>
            <w:shd w:val="clear" w:color="auto" w:fill="auto"/>
            <w:noWrap/>
            <w:vAlign w:val="top"/>
          </w:tcPr>
          <w:p w14:paraId="08CCF471">
            <w:pPr>
              <w:keepNext w:val="0"/>
              <w:keepLines w:val="0"/>
              <w:widowControl w:val="0"/>
              <w:suppressLineNumbers w:val="0"/>
              <w:adjustRightInd w:val="0"/>
              <w:snapToGrid w:val="0"/>
              <w:spacing w:before="0" w:beforeAutospacing="0" w:after="0" w:afterAutospacing="0" w:line="300" w:lineRule="auto"/>
              <w:ind w:left="0" w:right="11"/>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（2）发包人根据合同协议书第2.3款的约定调整承包范围、或发生设计变更、工程签证等情况导致本合同承包范围内的总金额超过本合同价款；</w:t>
            </w:r>
          </w:p>
        </w:tc>
        <w:tc>
          <w:tcPr>
            <w:tcW w:w="3577" w:type="dxa"/>
            <w:tcBorders>
              <w:top w:val="single" w:color="auto" w:sz="4" w:space="0"/>
              <w:left w:val="nil"/>
              <w:bottom w:val="single" w:color="auto" w:sz="4" w:space="0"/>
              <w:right w:val="single" w:color="auto" w:sz="4" w:space="0"/>
            </w:tcBorders>
            <w:shd w:val="clear" w:color="auto" w:fill="auto"/>
            <w:noWrap/>
            <w:vAlign w:val="center"/>
          </w:tcPr>
          <w:p w14:paraId="0509381D">
            <w:pPr>
              <w:keepNext w:val="0"/>
              <w:keepLines w:val="0"/>
              <w:widowControl w:val="0"/>
              <w:suppressLineNumbers w:val="0"/>
              <w:spacing w:before="0" w:beforeAutospacing="0" w:after="0" w:afterAutospacing="0"/>
              <w:ind w:left="0" w:right="26"/>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（2）发包人根据合同协议书第2.4款的约定调整承包范围、或发生设计变更、工程签证等情况导致本合同承包范围内的总金额超过本合同价款；</w:t>
            </w:r>
          </w:p>
        </w:tc>
      </w:tr>
    </w:tbl>
    <w:p w14:paraId="1D29BF4C">
      <w:pPr>
        <w:keepNext w:val="0"/>
        <w:keepLines w:val="0"/>
        <w:widowControl w:val="0"/>
        <w:suppressLineNumbers w:val="0"/>
        <w:adjustRightInd w:val="0"/>
        <w:spacing w:before="0" w:beforeAutospacing="0" w:after="0" w:afterAutospacing="0" w:line="300" w:lineRule="auto"/>
        <w:ind w:left="0" w:right="0"/>
        <w:jc w:val="center"/>
        <w:rPr>
          <w:rFonts w:hint="eastAsia" w:ascii="宋体" w:hAnsi="Calibri" w:eastAsia="宋体" w:cs="Times New Roman"/>
          <w:b/>
          <w:bCs w:val="0"/>
          <w:color w:val="auto"/>
          <w:kern w:val="0"/>
          <w:sz w:val="24"/>
          <w:szCs w:val="24"/>
          <w:highlight w:val="none"/>
        </w:rPr>
      </w:pPr>
      <w:r>
        <w:rPr>
          <w:rFonts w:hint="default" w:ascii="Calibri" w:hAnsi="Calibri" w:eastAsia="宋体" w:cs="Times New Roman"/>
          <w:b/>
          <w:bCs w:val="0"/>
          <w:color w:val="auto"/>
          <w:kern w:val="2"/>
          <w:sz w:val="44"/>
          <w:szCs w:val="44"/>
          <w:highlight w:val="none"/>
          <w:lang w:val="en-US" w:eastAsia="zh-CN" w:bidi="ar"/>
        </w:rPr>
        <w:br w:type="page"/>
      </w:r>
      <w:r>
        <w:rPr>
          <w:rFonts w:hint="eastAsia" w:ascii="宋体" w:hAnsi="宋体" w:eastAsia="宋体" w:cs="宋体"/>
          <w:b/>
          <w:bCs w:val="0"/>
          <w:color w:val="auto"/>
          <w:kern w:val="0"/>
          <w:sz w:val="44"/>
          <w:szCs w:val="44"/>
          <w:highlight w:val="none"/>
          <w:lang w:val="en-US" w:eastAsia="zh-CN" w:bidi="ar"/>
        </w:rPr>
        <w:t>第四篇合同附件</w:t>
      </w:r>
    </w:p>
    <w:p w14:paraId="43C4B2A5">
      <w:pPr>
        <w:keepNext w:val="0"/>
        <w:keepLines w:val="0"/>
        <w:widowControl w:val="0"/>
        <w:suppressLineNumbers w:val="0"/>
        <w:adjustRightInd w:val="0"/>
        <w:spacing w:before="0" w:beforeAutospacing="0" w:after="0" w:afterAutospacing="0" w:line="300" w:lineRule="auto"/>
        <w:ind w:left="0" w:right="0"/>
        <w:jc w:val="center"/>
        <w:outlineLvl w:val="0"/>
        <w:rPr>
          <w:rFonts w:hint="eastAsia" w:ascii="宋体" w:hAnsi="Calibri" w:eastAsia="宋体" w:cs="Times New Roman"/>
          <w:b/>
          <w:bCs w:val="0"/>
          <w:color w:val="auto"/>
          <w:kern w:val="2"/>
          <w:sz w:val="32"/>
          <w:szCs w:val="32"/>
          <w:highlight w:val="none"/>
        </w:rPr>
      </w:pPr>
      <w:r>
        <w:rPr>
          <w:rFonts w:hint="eastAsia" w:ascii="宋体" w:hAnsi="宋体" w:eastAsia="宋体" w:cs="宋体"/>
          <w:b/>
          <w:bCs w:val="0"/>
          <w:color w:val="auto"/>
          <w:kern w:val="2"/>
          <w:sz w:val="32"/>
          <w:szCs w:val="32"/>
          <w:highlight w:val="none"/>
          <w:lang w:val="en-US" w:eastAsia="zh-CN" w:bidi="ar"/>
        </w:rPr>
        <w:t>(一) 合同附件填充表（填“无”的表示没有该项内容）</w:t>
      </w:r>
    </w:p>
    <w:tbl>
      <w:tblPr>
        <w:tblStyle w:val="17"/>
        <w:tblW w:w="8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50"/>
        <w:gridCol w:w="8021"/>
      </w:tblGrid>
      <w:tr w14:paraId="2E56B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E079AE">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序号</w:t>
            </w:r>
          </w:p>
        </w:tc>
        <w:tc>
          <w:tcPr>
            <w:tcW w:w="8021" w:type="dxa"/>
            <w:tcBorders>
              <w:top w:val="single" w:color="auto" w:sz="4" w:space="0"/>
              <w:left w:val="nil"/>
              <w:bottom w:val="single" w:color="auto" w:sz="4" w:space="0"/>
              <w:right w:val="single" w:color="auto" w:sz="4" w:space="0"/>
            </w:tcBorders>
            <w:shd w:val="clear" w:color="auto" w:fill="auto"/>
            <w:noWrap/>
            <w:vAlign w:val="center"/>
          </w:tcPr>
          <w:p w14:paraId="70605C7D">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需要填充的条款编号及内容</w:t>
            </w:r>
          </w:p>
        </w:tc>
      </w:tr>
      <w:tr w14:paraId="21F3C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5"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72C491">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w:t>
            </w:r>
          </w:p>
        </w:tc>
        <w:tc>
          <w:tcPr>
            <w:tcW w:w="8021" w:type="dxa"/>
            <w:tcBorders>
              <w:top w:val="single" w:color="auto" w:sz="4" w:space="0"/>
              <w:left w:val="nil"/>
              <w:bottom w:val="single" w:color="auto" w:sz="4" w:space="0"/>
              <w:right w:val="single" w:color="auto" w:sz="4" w:space="0"/>
            </w:tcBorders>
            <w:shd w:val="clear" w:color="auto" w:fill="auto"/>
            <w:noWrap/>
            <w:vAlign w:val="center"/>
          </w:tcPr>
          <w:p w14:paraId="43238F03">
            <w:pPr>
              <w:keepNext w:val="0"/>
              <w:keepLines w:val="0"/>
              <w:widowControl w:val="0"/>
              <w:suppressLineNumbers w:val="0"/>
              <w:adjustRightInd w:val="0"/>
              <w:snapToGrid w:val="0"/>
              <w:spacing w:before="0" w:beforeAutospacing="0" w:after="0" w:afterAutospacing="0" w:line="300" w:lineRule="auto"/>
              <w:ind w:left="0" w:right="11"/>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附件1：</w:t>
            </w:r>
          </w:p>
          <w:p w14:paraId="4F9983D5">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b/>
                <w:bCs w:val="0"/>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工程质量保修书</w:t>
            </w:r>
          </w:p>
          <w:p w14:paraId="7EF8063F">
            <w:pPr>
              <w:keepNext w:val="0"/>
              <w:keepLines w:val="0"/>
              <w:widowControl w:val="0"/>
              <w:suppressLineNumbers w:val="0"/>
              <w:adjustRightInd w:val="0"/>
              <w:snapToGrid w:val="0"/>
              <w:spacing w:before="0" w:beforeAutospacing="0" w:after="0" w:afterAutospacing="0" w:line="300" w:lineRule="auto"/>
              <w:ind w:left="0" w:right="11"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五、其他</w:t>
            </w:r>
          </w:p>
          <w:p w14:paraId="2CDC351A">
            <w:pPr>
              <w:keepNext w:val="0"/>
              <w:keepLines w:val="0"/>
              <w:widowControl w:val="0"/>
              <w:suppressLineNumbers w:val="0"/>
              <w:adjustRightInd w:val="0"/>
              <w:snapToGrid w:val="0"/>
              <w:spacing w:before="0" w:beforeAutospacing="0" w:after="0" w:afterAutospacing="0" w:line="300" w:lineRule="auto"/>
              <w:ind w:left="0" w:right="0"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双方约定的其他工程质量保修事项</w:t>
            </w:r>
            <w:r>
              <w:rPr>
                <w:rFonts w:hint="eastAsia" w:ascii="宋体" w:hAnsi="宋体" w:eastAsia="宋体" w:cs="宋体"/>
                <w:color w:val="auto"/>
                <w:kern w:val="0"/>
                <w:sz w:val="21"/>
                <w:szCs w:val="21"/>
                <w:highlight w:val="none"/>
                <w:u w:val="single"/>
                <w:lang w:val="en-US" w:eastAsia="zh-CN" w:bidi="ar"/>
              </w:rPr>
              <w:t>：  /  。</w:t>
            </w:r>
          </w:p>
        </w:tc>
      </w:tr>
      <w:tr w14:paraId="1D32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5"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904CF6">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w:t>
            </w:r>
          </w:p>
        </w:tc>
        <w:tc>
          <w:tcPr>
            <w:tcW w:w="8021" w:type="dxa"/>
            <w:tcBorders>
              <w:top w:val="single" w:color="auto" w:sz="4" w:space="0"/>
              <w:left w:val="nil"/>
              <w:bottom w:val="single" w:color="auto" w:sz="4" w:space="0"/>
              <w:right w:val="single" w:color="auto" w:sz="4" w:space="0"/>
            </w:tcBorders>
            <w:shd w:val="clear" w:color="auto" w:fill="auto"/>
            <w:noWrap/>
            <w:vAlign w:val="center"/>
          </w:tcPr>
          <w:p w14:paraId="7B9A13C1">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b/>
                <w:bCs w:val="0"/>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附件5：</w:t>
            </w:r>
            <w:r>
              <w:rPr>
                <w:rFonts w:hint="eastAsia" w:ascii="宋体" w:hAnsi="宋体" w:eastAsia="宋体" w:cs="宋体"/>
                <w:b/>
                <w:bCs w:val="0"/>
                <w:color w:val="auto"/>
                <w:kern w:val="0"/>
                <w:sz w:val="21"/>
                <w:szCs w:val="21"/>
                <w:highlight w:val="none"/>
                <w:u w:val="single"/>
                <w:lang w:eastAsia="zh-CN" w:bidi="ar"/>
              </w:rPr>
              <w:t>广州天河体育中心整体景观提升（开幕式）建筑工程、广州天河体育中心篮球城维修改造项目、广州市羽毛球运动管理中心训练馆改造项目、广州天河体育中心田径副场改造项目施工总承包</w:t>
            </w:r>
            <w:r>
              <w:rPr>
                <w:rFonts w:hint="eastAsia" w:ascii="宋体" w:hAnsi="宋体" w:eastAsia="宋体" w:cs="宋体"/>
                <w:b/>
                <w:bCs w:val="0"/>
                <w:color w:val="auto"/>
                <w:kern w:val="0"/>
                <w:sz w:val="21"/>
                <w:szCs w:val="21"/>
                <w:highlight w:val="none"/>
                <w:lang w:val="en-US" w:eastAsia="zh-CN" w:bidi="ar"/>
              </w:rPr>
              <w:t>工程结算工作协议书</w:t>
            </w:r>
          </w:p>
          <w:p w14:paraId="266E7C8B">
            <w:pPr>
              <w:keepNext w:val="0"/>
              <w:keepLines w:val="0"/>
              <w:widowControl w:val="0"/>
              <w:suppressLineNumbers w:val="0"/>
              <w:adjustRightInd w:val="0"/>
              <w:snapToGrid w:val="0"/>
              <w:spacing w:before="0" w:beforeAutospacing="0" w:after="0" w:afterAutospacing="0" w:line="300" w:lineRule="auto"/>
              <w:ind w:left="0" w:right="0" w:firstLine="405" w:firstLineChars="192"/>
              <w:jc w:val="both"/>
              <w:rPr>
                <w:rFonts w:hint="eastAsia" w:ascii="宋体" w:hAnsi="Calibri"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1、工程结算报告的提交及审定</w:t>
            </w:r>
          </w:p>
          <w:p w14:paraId="254AFB26">
            <w:pPr>
              <w:pStyle w:val="14"/>
              <w:keepNext w:val="0"/>
              <w:keepLines w:val="0"/>
              <w:widowControl w:val="0"/>
              <w:suppressLineNumbers w:val="0"/>
              <w:adjustRightInd w:val="0"/>
              <w:snapToGrid w:val="0"/>
              <w:spacing w:before="0" w:beforeAutospacing="1" w:after="0" w:afterAutospacing="1" w:line="300" w:lineRule="auto"/>
              <w:ind w:left="0" w:right="0" w:firstLine="420" w:firstLineChars="200"/>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（1）承包人应按发包人的要求和本项目结算工作的需要派出不少于</w:t>
            </w:r>
            <w:r>
              <w:rPr>
                <w:rFonts w:hint="eastAsia" w:ascii="宋体" w:hAnsi="宋体" w:eastAsia="宋体" w:cs="宋体"/>
                <w:color w:val="auto"/>
                <w:kern w:val="2"/>
                <w:sz w:val="21"/>
                <w:szCs w:val="21"/>
                <w:highlight w:val="none"/>
                <w:u w:val="single"/>
                <w:lang w:val="en-US" w:eastAsia="zh-CN" w:bidi="ar"/>
              </w:rPr>
              <w:t xml:space="preserve"> 2 </w:t>
            </w:r>
            <w:r>
              <w:rPr>
                <w:rFonts w:hint="eastAsia" w:ascii="宋体" w:hAnsi="宋体" w:eastAsia="宋体" w:cs="宋体"/>
                <w:color w:val="auto"/>
                <w:kern w:val="2"/>
                <w:sz w:val="21"/>
                <w:szCs w:val="21"/>
                <w:highlight w:val="none"/>
                <w:lang w:val="en-US" w:eastAsia="zh-CN" w:bidi="ar"/>
              </w:rPr>
              <w:t>名工程结算人员，在年月日至年月日必须保证在工地现场办公，专门从事竣工档案编制、工程结算工作；否则，应按《</w:t>
            </w:r>
            <w:r>
              <w:rPr>
                <w:rFonts w:hint="eastAsia" w:cs="宋体"/>
                <w:b/>
                <w:bCs w:val="0"/>
                <w:color w:val="auto"/>
                <w:kern w:val="0"/>
                <w:sz w:val="21"/>
                <w:szCs w:val="21"/>
                <w:highlight w:val="none"/>
                <w:u w:val="single"/>
                <w:lang w:eastAsia="zh-CN" w:bidi="ar"/>
              </w:rPr>
              <w:t>广州天河体育中心整体景观提升（开幕式）建筑工程、广州天河体育中心篮球城维修改造项目、广州市羽毛球运动管理中心训练馆改造项目、广州天河体育中心田径副场改造项目施工总承包</w:t>
            </w:r>
            <w:r>
              <w:rPr>
                <w:rFonts w:hint="eastAsia" w:ascii="宋体" w:hAnsi="宋体" w:eastAsia="宋体" w:cs="宋体"/>
                <w:b/>
                <w:bCs w:val="0"/>
                <w:color w:val="auto"/>
                <w:kern w:val="2"/>
                <w:sz w:val="21"/>
                <w:szCs w:val="21"/>
                <w:highlight w:val="none"/>
                <w:u w:val="single"/>
                <w:lang w:val="en-US" w:eastAsia="zh-CN" w:bidi="ar"/>
              </w:rPr>
              <w:t>合同</w:t>
            </w:r>
            <w:r>
              <w:rPr>
                <w:rFonts w:hint="eastAsia" w:ascii="宋体" w:hAnsi="宋体" w:eastAsia="宋体" w:cs="宋体"/>
                <w:color w:val="auto"/>
                <w:kern w:val="2"/>
                <w:sz w:val="21"/>
                <w:szCs w:val="21"/>
                <w:highlight w:val="none"/>
                <w:lang w:val="en-US" w:eastAsia="zh-CN" w:bidi="ar"/>
              </w:rPr>
              <w:t>》（合同编号：  ，以下简称原合同）合同专用条款第38.7（3）款的约定承担违约责任。</w:t>
            </w:r>
          </w:p>
          <w:p w14:paraId="6629B3C1">
            <w:pPr>
              <w:pStyle w:val="14"/>
              <w:keepNext w:val="0"/>
              <w:keepLines w:val="0"/>
              <w:widowControl w:val="0"/>
              <w:suppressLineNumbers w:val="0"/>
              <w:adjustRightInd w:val="0"/>
              <w:snapToGrid w:val="0"/>
              <w:spacing w:before="0" w:beforeAutospacing="1" w:after="0" w:afterAutospacing="1" w:line="300" w:lineRule="auto"/>
              <w:ind w:left="0" w:right="0" w:firstLine="420" w:firstLineChars="20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（2）承包人应按原合同专用条款第36.5款的要求编制工程结算基础资料，并在年月日前向发包人提交符合原合同专用条款第36.5款要求的全部竣工结算资料。</w:t>
            </w:r>
          </w:p>
          <w:p w14:paraId="00F288D2">
            <w:pPr>
              <w:pStyle w:val="14"/>
              <w:keepNext w:val="0"/>
              <w:keepLines w:val="0"/>
              <w:widowControl w:val="0"/>
              <w:suppressLineNumbers w:val="0"/>
              <w:adjustRightInd w:val="0"/>
              <w:snapToGrid w:val="0"/>
              <w:spacing w:before="0" w:beforeAutospacing="1" w:after="0" w:afterAutospacing="1" w:line="300" w:lineRule="auto"/>
              <w:ind w:left="0" w:right="0" w:firstLine="420" w:firstLineChars="20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（3）本项目合同正常结算工作以截止在年月日前上报的工程结算资料为基础进行，承包人应积极配合发包人，协助政府上级主管部门，完成上报结算书的审定工作。</w:t>
            </w:r>
          </w:p>
          <w:p w14:paraId="44734730">
            <w:pPr>
              <w:keepNext w:val="0"/>
              <w:keepLines w:val="0"/>
              <w:widowControl w:val="0"/>
              <w:suppressLineNumbers w:val="0"/>
              <w:adjustRightInd w:val="0"/>
              <w:snapToGrid w:val="0"/>
              <w:spacing w:before="0" w:beforeAutospacing="0" w:after="0" w:afterAutospacing="0" w:line="300" w:lineRule="auto"/>
              <w:ind w:left="0" w:right="0" w:firstLine="420" w:firstLineChars="200"/>
              <w:jc w:val="both"/>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（4）发包人在收到承包人年月日提交的手续齐备的工程结算资料后，应组织有关单位在年月日前审核完毕，及时报送上级部门审批。</w:t>
            </w:r>
          </w:p>
          <w:p w14:paraId="04C630E6">
            <w:pPr>
              <w:keepNext w:val="0"/>
              <w:keepLines w:val="0"/>
              <w:widowControl w:val="0"/>
              <w:suppressLineNumbers w:val="0"/>
              <w:adjustRightInd w:val="0"/>
              <w:snapToGrid w:val="0"/>
              <w:spacing w:before="0" w:beforeAutospacing="0" w:after="0" w:afterAutospacing="0" w:line="300" w:lineRule="auto"/>
              <w:ind w:left="0" w:right="0" w:firstLine="420" w:firstLineChars="200"/>
              <w:jc w:val="both"/>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（5）承包人虽未能在年月日前上报，但能在年月日前上报且符合原合同专用条款第36.5款要求的工程结算资料，由发包人作为本项目合同的善后处理工作组织审核审定。</w:t>
            </w:r>
          </w:p>
          <w:p w14:paraId="57405E71">
            <w:pPr>
              <w:keepNext w:val="0"/>
              <w:keepLines w:val="0"/>
              <w:widowControl w:val="0"/>
              <w:suppressLineNumbers w:val="0"/>
              <w:adjustRightInd w:val="0"/>
              <w:snapToGrid w:val="0"/>
              <w:spacing w:before="0" w:beforeAutospacing="0" w:after="0" w:afterAutospacing="0" w:line="300" w:lineRule="auto"/>
              <w:ind w:left="0" w:right="0" w:firstLine="420" w:firstLineChars="200"/>
              <w:jc w:val="both"/>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（6）本项目结算资料发包人接收的最后截止日期为年月日。至</w:t>
            </w:r>
          </w:p>
          <w:p w14:paraId="02C034F3">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年月日承包人仍未报送的本项目结算资料，视为已全部报出，发包人不再受理任何本项目结算资料。</w:t>
            </w:r>
          </w:p>
          <w:p w14:paraId="27F80E36">
            <w:pPr>
              <w:keepNext w:val="0"/>
              <w:keepLines w:val="0"/>
              <w:widowControl w:val="0"/>
              <w:suppressLineNumbers w:val="0"/>
              <w:adjustRightInd w:val="0"/>
              <w:snapToGrid w:val="0"/>
              <w:spacing w:before="0" w:beforeAutospacing="0" w:after="0" w:afterAutospacing="0" w:line="300" w:lineRule="auto"/>
              <w:ind w:left="0" w:right="0" w:firstLine="422" w:firstLineChars="200"/>
              <w:jc w:val="both"/>
              <w:rPr>
                <w:rFonts w:hint="eastAsia" w:ascii="宋体" w:hAnsi="Calibri"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3、工程结算中争议问题的处理</w:t>
            </w:r>
          </w:p>
          <w:p w14:paraId="7C5C1211">
            <w:pPr>
              <w:keepNext w:val="0"/>
              <w:keepLines w:val="0"/>
              <w:widowControl w:val="0"/>
              <w:suppressLineNumbers w:val="0"/>
              <w:adjustRightInd w:val="0"/>
              <w:snapToGrid w:val="0"/>
              <w:spacing w:before="0" w:beforeAutospacing="0" w:after="0" w:afterAutospacing="0" w:line="300" w:lineRule="auto"/>
              <w:ind w:left="0" w:right="11" w:firstLine="403" w:firstLineChars="192"/>
              <w:jc w:val="both"/>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对于工程结算中有争议的问题，依据合同的相关约定，本着“依法依规，实事求是和风险共担”的原则，按如下约定处理：</w:t>
            </w:r>
          </w:p>
          <w:p w14:paraId="78F945A8">
            <w:pPr>
              <w:keepNext w:val="0"/>
              <w:keepLines w:val="0"/>
              <w:widowControl w:val="0"/>
              <w:suppressLineNumbers w:val="0"/>
              <w:adjustRightInd w:val="0"/>
              <w:snapToGrid w:val="0"/>
              <w:spacing w:before="0" w:beforeAutospacing="0" w:after="0" w:afterAutospacing="0" w:line="300" w:lineRule="auto"/>
              <w:ind w:left="0" w:right="11" w:firstLine="403" w:firstLineChars="192"/>
              <w:jc w:val="both"/>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承包人在年月日前上报的工程结算资料经发包人审核后如发生争议，在年月日前双方能达成一致且经上级主管部门审定的部分纳入正常结算审定；未能达成一致的部分如能在年月日前取得一致的，将与承包人在年月日至年月日之间上报的工程结算资料为基础并在年月日前取得一致的部分一起，经上级主管部门审定后，由发包人作为本项目合同的善后处理工作组织审核审定。</w:t>
            </w:r>
          </w:p>
          <w:p w14:paraId="2EEADDCE">
            <w:pPr>
              <w:keepNext w:val="0"/>
              <w:keepLines w:val="0"/>
              <w:widowControl w:val="0"/>
              <w:suppressLineNumbers w:val="0"/>
              <w:adjustRightInd w:val="0"/>
              <w:snapToGrid w:val="0"/>
              <w:spacing w:before="0" w:beforeAutospacing="0" w:after="0" w:afterAutospacing="0" w:line="300" w:lineRule="auto"/>
              <w:ind w:left="0" w:right="0"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（2）双方未能在年月日前达成一致的本项目结算争议，发包人可依据已有资料单方面组织结算，承包人有异议的可按照原合同专用条款第40.1款的约定通过法律途径解决。</w:t>
            </w:r>
          </w:p>
        </w:tc>
      </w:tr>
    </w:tbl>
    <w:p w14:paraId="06EE3DE0">
      <w:pPr>
        <w:keepNext w:val="0"/>
        <w:keepLines w:val="0"/>
        <w:widowControl w:val="0"/>
        <w:suppressLineNumbers w:val="0"/>
        <w:adjustRightInd w:val="0"/>
        <w:spacing w:before="0" w:beforeAutospacing="0" w:after="0" w:afterAutospacing="0" w:line="300" w:lineRule="auto"/>
        <w:ind w:left="0" w:right="0"/>
        <w:jc w:val="center"/>
        <w:rPr>
          <w:rFonts w:hint="eastAsia" w:ascii="宋体" w:hAnsi="Calibri" w:eastAsia="宋体" w:cs="Times New Roman"/>
          <w:b/>
          <w:bCs w:val="0"/>
          <w:color w:val="auto"/>
          <w:kern w:val="2"/>
          <w:sz w:val="32"/>
          <w:szCs w:val="32"/>
          <w:highlight w:val="none"/>
        </w:rPr>
      </w:pPr>
      <w:r>
        <w:rPr>
          <w:rFonts w:hint="eastAsia" w:ascii="宋体" w:hAnsi="宋体" w:eastAsia="宋体" w:cs="Times New Roman"/>
          <w:b/>
          <w:bCs w:val="0"/>
          <w:color w:val="auto"/>
          <w:kern w:val="2"/>
          <w:sz w:val="32"/>
          <w:szCs w:val="32"/>
          <w:highlight w:val="none"/>
          <w:lang w:val="en-US" w:eastAsia="zh-CN" w:bidi="ar"/>
        </w:rPr>
        <w:t xml:space="preserve"> </w:t>
      </w:r>
    </w:p>
    <w:p w14:paraId="4EF7AE63">
      <w:pPr>
        <w:keepNext w:val="0"/>
        <w:keepLines w:val="0"/>
        <w:widowControl w:val="0"/>
        <w:suppressLineNumbers w:val="0"/>
        <w:adjustRightInd w:val="0"/>
        <w:spacing w:before="0" w:beforeAutospacing="0" w:after="0" w:afterAutospacing="0" w:line="300" w:lineRule="auto"/>
        <w:ind w:left="0" w:right="0"/>
        <w:jc w:val="center"/>
        <w:outlineLvl w:val="0"/>
        <w:rPr>
          <w:rFonts w:hint="eastAsia" w:ascii="宋体" w:hAnsi="Calibri" w:eastAsia="宋体" w:cs="Times New Roman"/>
          <w:b/>
          <w:bCs w:val="0"/>
          <w:color w:val="auto"/>
          <w:kern w:val="2"/>
          <w:sz w:val="32"/>
          <w:szCs w:val="32"/>
          <w:highlight w:val="none"/>
        </w:rPr>
      </w:pPr>
      <w:r>
        <w:rPr>
          <w:rFonts w:hint="eastAsia" w:ascii="宋体" w:hAnsi="宋体" w:eastAsia="宋体" w:cs="宋体"/>
          <w:b/>
          <w:bCs w:val="0"/>
          <w:color w:val="auto"/>
          <w:kern w:val="2"/>
          <w:sz w:val="32"/>
          <w:szCs w:val="32"/>
          <w:highlight w:val="none"/>
          <w:lang w:val="en-US" w:eastAsia="zh-CN" w:bidi="ar"/>
        </w:rPr>
        <w:t>(二) 合同附件选择表</w:t>
      </w:r>
    </w:p>
    <w:tbl>
      <w:tblPr>
        <w:tblStyle w:val="17"/>
        <w:tblW w:w="8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50"/>
        <w:gridCol w:w="7936"/>
      </w:tblGrid>
      <w:tr w14:paraId="1B66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26F900">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序号</w:t>
            </w:r>
          </w:p>
        </w:tc>
        <w:tc>
          <w:tcPr>
            <w:tcW w:w="7936" w:type="dxa"/>
            <w:tcBorders>
              <w:top w:val="single" w:color="auto" w:sz="4" w:space="0"/>
              <w:left w:val="nil"/>
              <w:bottom w:val="single" w:color="auto" w:sz="4" w:space="0"/>
              <w:right w:val="single" w:color="auto" w:sz="4" w:space="0"/>
            </w:tcBorders>
            <w:shd w:val="clear" w:color="auto" w:fill="auto"/>
            <w:noWrap/>
            <w:vAlign w:val="center"/>
          </w:tcPr>
          <w:p w14:paraId="10E48A3B">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需要选择的条款编号及内容</w:t>
            </w:r>
          </w:p>
        </w:tc>
      </w:tr>
      <w:tr w14:paraId="419DA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3EC28D">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w:t>
            </w:r>
          </w:p>
        </w:tc>
        <w:tc>
          <w:tcPr>
            <w:tcW w:w="7936" w:type="dxa"/>
            <w:tcBorders>
              <w:top w:val="single" w:color="auto" w:sz="4" w:space="0"/>
              <w:left w:val="nil"/>
              <w:bottom w:val="single" w:color="auto" w:sz="4" w:space="0"/>
              <w:right w:val="single" w:color="auto" w:sz="4" w:space="0"/>
            </w:tcBorders>
            <w:shd w:val="clear" w:color="auto" w:fill="auto"/>
            <w:noWrap/>
            <w:vAlign w:val="center"/>
          </w:tcPr>
          <w:p w14:paraId="52CF733F">
            <w:pPr>
              <w:keepNext w:val="0"/>
              <w:keepLines w:val="0"/>
              <w:widowControl w:val="0"/>
              <w:suppressLineNumbers w:val="0"/>
              <w:adjustRightInd w:val="0"/>
              <w:snapToGrid w:val="0"/>
              <w:spacing w:before="0" w:beforeAutospacing="0" w:after="0" w:afterAutospacing="0" w:line="300" w:lineRule="auto"/>
              <w:ind w:left="0" w:right="0" w:firstLine="403" w:firstLineChars="192"/>
              <w:jc w:val="both"/>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附件5：</w:t>
            </w:r>
          </w:p>
          <w:p w14:paraId="3341E3F1">
            <w:pPr>
              <w:keepNext w:val="0"/>
              <w:keepLines w:val="0"/>
              <w:widowControl w:val="0"/>
              <w:suppressLineNumbers w:val="0"/>
              <w:adjustRightInd w:val="0"/>
              <w:snapToGrid w:val="0"/>
              <w:spacing w:before="0" w:beforeAutospacing="0" w:after="0" w:afterAutospacing="0" w:line="300" w:lineRule="auto"/>
              <w:ind w:left="0" w:right="0" w:firstLine="405" w:firstLineChars="192"/>
              <w:jc w:val="both"/>
              <w:rPr>
                <w:rFonts w:hint="eastAsia" w:ascii="宋体" w:hAnsi="Calibri"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 xml:space="preserve">                 工程结算工作协议书</w:t>
            </w:r>
          </w:p>
          <w:p w14:paraId="6E82DC00">
            <w:pPr>
              <w:keepNext w:val="0"/>
              <w:keepLines w:val="0"/>
              <w:widowControl w:val="0"/>
              <w:suppressLineNumbers w:val="0"/>
              <w:adjustRightInd w:val="0"/>
              <w:snapToGrid w:val="0"/>
              <w:spacing w:before="0" w:beforeAutospacing="0" w:after="0" w:afterAutospacing="0" w:line="300" w:lineRule="auto"/>
              <w:ind w:left="0" w:right="0" w:firstLine="405" w:firstLineChars="192"/>
              <w:jc w:val="both"/>
              <w:rPr>
                <w:rFonts w:hint="eastAsia" w:ascii="宋体" w:hAnsi="Calibri"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1、工程结算报告的提交及审定</w:t>
            </w:r>
          </w:p>
          <w:p w14:paraId="1092B005">
            <w:pPr>
              <w:keepNext w:val="0"/>
              <w:keepLines w:val="0"/>
              <w:widowControl w:val="0"/>
              <w:suppressLineNumbers w:val="0"/>
              <w:adjustRightInd w:val="0"/>
              <w:snapToGrid w:val="0"/>
              <w:spacing w:before="0" w:beforeAutospacing="0" w:after="0" w:afterAutospacing="0" w:line="300" w:lineRule="auto"/>
              <w:ind w:left="0" w:right="0" w:firstLine="403" w:firstLineChars="192"/>
              <w:jc w:val="both"/>
              <w:rPr>
                <w:rFonts w:hint="eastAsia" w:ascii="宋体" w:hAnsi="Calibri" w:eastAsia="宋体" w:cs="宋体"/>
                <w:b/>
                <w:bCs w:val="0"/>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7）承包人应按发包人的要求及时派出足够的工程结算管理人员与发包人派出的工程结算管理人员一起组成工程结算管理小组，并由承包人负责其承包管理范围内工程结算的牵头工作，督促其总承包管理范围内的各专业单位按本条第（2）项的要求及时报送工程结算资料并予以落实，否则，应按原合同专用条款第38.7（5）款的约定承担违约责任。如承包人不按发包人的要求及时派出足够的工程结算管理人员，发包人有权另行聘请有关工程结算管理人员，有关费用在合同价款中扣除原合同的总承包管理费或专业工程配合服务费中支付，承包人不得有异议。</w:t>
            </w:r>
          </w:p>
          <w:p w14:paraId="4F01DFEC">
            <w:pPr>
              <w:keepNext w:val="0"/>
              <w:keepLines w:val="0"/>
              <w:widowControl w:val="0"/>
              <w:suppressLineNumbers w:val="0"/>
              <w:adjustRightInd w:val="0"/>
              <w:snapToGrid w:val="0"/>
              <w:spacing w:before="0" w:beforeAutospacing="0" w:after="0" w:afterAutospacing="0" w:line="300" w:lineRule="auto"/>
              <w:ind w:left="0" w:right="0" w:firstLine="405" w:firstLineChars="192"/>
              <w:jc w:val="both"/>
              <w:rPr>
                <w:rFonts w:hint="eastAsia" w:ascii="宋体" w:hAnsi="Calibri"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2、工程结算定审后有关款项的支付</w:t>
            </w:r>
          </w:p>
          <w:p w14:paraId="345F4CF0">
            <w:pPr>
              <w:keepNext w:val="0"/>
              <w:keepLines w:val="0"/>
              <w:widowControl w:val="0"/>
              <w:suppressLineNumbers w:val="0"/>
              <w:adjustRightInd w:val="0"/>
              <w:snapToGrid w:val="0"/>
              <w:spacing w:before="0" w:beforeAutospacing="0" w:after="0" w:afterAutospacing="0" w:line="300" w:lineRule="auto"/>
              <w:ind w:left="0" w:right="0" w:firstLine="403" w:firstLineChars="192"/>
              <w:jc w:val="both"/>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本项目结算定审、承包人按原合同专用条款第35条约定完整移交工程竣工档案且不发生原合同专用条款第38.10（3）、（4）款的违约情形的，双方同意依据原合同专用条款第28.1【×（11）、（12）  √（12）、（13）】款的约定按如下方法处理：</w:t>
            </w:r>
          </w:p>
          <w:p w14:paraId="35379F42">
            <w:pPr>
              <w:keepNext w:val="0"/>
              <w:keepLines w:val="0"/>
              <w:widowControl w:val="0"/>
              <w:suppressLineNumbers w:val="0"/>
              <w:adjustRightInd w:val="0"/>
              <w:snapToGrid w:val="0"/>
              <w:spacing w:before="0" w:beforeAutospacing="0" w:after="0" w:afterAutospacing="0" w:line="300" w:lineRule="auto"/>
              <w:ind w:left="0" w:right="0" w:firstLine="403" w:firstLineChars="192"/>
              <w:jc w:val="both"/>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（1）发包人已支付的累计金额小于工程结算定审金额的97%的，发包人继续支付至结算定审金额的97%，留下结算定审金额的3%作为工程质量保证金并按如下约定方式支付：</w:t>
            </w:r>
          </w:p>
          <w:p w14:paraId="1F1F4D5C">
            <w:pPr>
              <w:keepNext w:val="0"/>
              <w:keepLines w:val="0"/>
              <w:widowControl w:val="0"/>
              <w:suppressLineNumbers w:val="0"/>
              <w:adjustRightInd w:val="0"/>
              <w:snapToGrid w:val="0"/>
              <w:spacing w:before="0" w:beforeAutospacing="0" w:after="0" w:afterAutospacing="0" w:line="300" w:lineRule="auto"/>
              <w:ind w:left="0" w:right="0" w:firstLine="403" w:firstLineChars="192"/>
              <w:jc w:val="both"/>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缺陷责任期内，由承包人原因造成的缺陷，承包人应负责维修，并承担鉴定及维修费用；如承包人不维修也不承担费用，发包人可按原合同约定扣除工程质量保证金，并由承包人承担违约责任；承包人维修并承担相应费用后，不免除承担对工程损失的赔偿责任。</w:t>
            </w:r>
          </w:p>
          <w:p w14:paraId="02673295">
            <w:pPr>
              <w:keepNext w:val="0"/>
              <w:keepLines w:val="0"/>
              <w:widowControl w:val="0"/>
              <w:suppressLineNumbers w:val="0"/>
              <w:adjustRightInd w:val="0"/>
              <w:snapToGrid w:val="0"/>
              <w:spacing w:before="0" w:beforeAutospacing="0" w:after="0" w:afterAutospacing="0" w:line="266" w:lineRule="auto"/>
              <w:ind w:left="0" w:right="0" w:firstLine="420" w:firstLineChars="200"/>
              <w:jc w:val="both"/>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本工程若不涉及防水工程的，工程竣工验收合格后满2年，且承包人在缺陷责任期内未出现违约情形，发包人应在收到承包人的款项申请手续且扣除应扣除款项后14天内将质量保证金（原合同结算定审金额的3%）无息支付给承包人。</w:t>
            </w:r>
          </w:p>
          <w:p w14:paraId="58DD793C">
            <w:pPr>
              <w:keepNext w:val="0"/>
              <w:keepLines w:val="0"/>
              <w:widowControl w:val="0"/>
              <w:suppressLineNumbers w:val="0"/>
              <w:adjustRightInd w:val="0"/>
              <w:snapToGrid w:val="0"/>
              <w:spacing w:before="0" w:beforeAutospacing="0" w:after="0" w:afterAutospacing="0" w:line="266" w:lineRule="auto"/>
              <w:ind w:left="0" w:right="0" w:firstLine="420" w:firstLineChars="200"/>
              <w:jc w:val="both"/>
              <w:rPr>
                <w:rFonts w:hint="eastAsia" w:ascii="宋体" w:hAnsi="Calibri" w:eastAsia="宋体" w:cs="宋体"/>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本工程若涉及防水工程的，工程竣工验收合格后满2年，承包人应按要求向发包人提交</w:t>
            </w:r>
            <w:r>
              <w:rPr>
                <w:rFonts w:hint="eastAsia" w:ascii="宋体" w:hAnsi="宋体" w:eastAsia="宋体" w:cs="宋体"/>
                <w:color w:val="auto"/>
                <w:kern w:val="0"/>
                <w:sz w:val="21"/>
                <w:szCs w:val="21"/>
                <w:highlight w:val="none"/>
                <w:lang w:val="en-US" w:eastAsia="zh-CN" w:bidi="ar"/>
              </w:rPr>
              <w:t>原</w:t>
            </w:r>
            <w:r>
              <w:rPr>
                <w:rFonts w:hint="eastAsia" w:ascii="宋体" w:hAnsi="宋体" w:eastAsia="宋体" w:cs="宋体"/>
                <w:color w:val="auto"/>
                <w:kern w:val="2"/>
                <w:sz w:val="21"/>
                <w:szCs w:val="21"/>
                <w:highlight w:val="none"/>
                <w:lang w:val="en-US" w:eastAsia="zh-CN" w:bidi="ar"/>
              </w:rPr>
              <w:t>合同结算定审金额的3%的质保期银行履约保函（保函期限等同于防水工程质保期），发包人应在收到质保期银行履约保函原件以及承包人的款项申请手续，扣除应扣款项且缺陷责任期届满后14天内将工程质量保证金（</w:t>
            </w:r>
            <w:r>
              <w:rPr>
                <w:rFonts w:hint="eastAsia" w:ascii="宋体" w:hAnsi="宋体" w:eastAsia="宋体" w:cs="宋体"/>
                <w:color w:val="auto"/>
                <w:kern w:val="0"/>
                <w:sz w:val="21"/>
                <w:szCs w:val="21"/>
                <w:highlight w:val="none"/>
                <w:lang w:val="en-US" w:eastAsia="zh-CN" w:bidi="ar"/>
              </w:rPr>
              <w:t>原</w:t>
            </w:r>
            <w:r>
              <w:rPr>
                <w:rFonts w:hint="eastAsia" w:ascii="宋体" w:hAnsi="宋体" w:eastAsia="宋体" w:cs="宋体"/>
                <w:color w:val="auto"/>
                <w:kern w:val="2"/>
                <w:sz w:val="21"/>
                <w:szCs w:val="21"/>
                <w:highlight w:val="none"/>
                <w:lang w:val="en-US" w:eastAsia="zh-CN" w:bidi="ar"/>
              </w:rPr>
              <w:t>合同结算定审金额的3%）无息支付给承包人。承包人承诺按照</w:t>
            </w:r>
            <w:r>
              <w:rPr>
                <w:rFonts w:hint="eastAsia" w:ascii="宋体" w:hAnsi="宋体" w:eastAsia="宋体" w:cs="宋体"/>
                <w:color w:val="auto"/>
                <w:kern w:val="0"/>
                <w:sz w:val="21"/>
                <w:szCs w:val="21"/>
                <w:highlight w:val="none"/>
                <w:lang w:val="en-US" w:eastAsia="zh-CN" w:bidi="ar"/>
              </w:rPr>
              <w:t>原</w:t>
            </w:r>
            <w:r>
              <w:rPr>
                <w:rFonts w:hint="eastAsia" w:ascii="宋体" w:hAnsi="宋体" w:eastAsia="宋体" w:cs="宋体"/>
                <w:color w:val="auto"/>
                <w:kern w:val="2"/>
                <w:sz w:val="21"/>
                <w:szCs w:val="21"/>
                <w:highlight w:val="none"/>
                <w:lang w:val="en-US" w:eastAsia="zh-CN" w:bidi="ar"/>
              </w:rPr>
              <w:t>合同约定的质量标准和目标，确保防水工程质量。在防水工程质量保修期内，如出现因防水工程质量问题导致建筑物渗水、漏水的，经维修后同一部位再次发生渗漏的，或渗漏水严重造成业主单位（或使用单位）损失的，均视为承包人对该承诺的违反，每出现1次，承包人应按</w:t>
            </w:r>
            <w:r>
              <w:rPr>
                <w:rFonts w:hint="eastAsia" w:ascii="宋体" w:hAnsi="宋体" w:eastAsia="宋体" w:cs="宋体"/>
                <w:color w:val="auto"/>
                <w:kern w:val="0"/>
                <w:sz w:val="21"/>
                <w:szCs w:val="21"/>
                <w:highlight w:val="none"/>
                <w:lang w:val="en-US" w:eastAsia="zh-CN" w:bidi="ar"/>
              </w:rPr>
              <w:t>原</w:t>
            </w:r>
            <w:r>
              <w:rPr>
                <w:rFonts w:hint="eastAsia" w:ascii="宋体" w:hAnsi="宋体" w:eastAsia="宋体" w:cs="宋体"/>
                <w:color w:val="auto"/>
                <w:kern w:val="2"/>
                <w:sz w:val="21"/>
                <w:szCs w:val="21"/>
                <w:highlight w:val="none"/>
                <w:lang w:val="en-US" w:eastAsia="zh-CN" w:bidi="ar"/>
              </w:rPr>
              <w:t>合同约定承担1次严重违约责任，并赔偿业主单位（或使用单位）的损失。同时，在防水工程质保期（5年）届满后，承包人不存在违约行为或在向发包人缴纳上述相关违约金及赔偿损失后，可向发包人申请退还质保期银行履约保函。</w:t>
            </w:r>
          </w:p>
          <w:p w14:paraId="7B0B63FA">
            <w:pPr>
              <w:keepNext w:val="0"/>
              <w:keepLines w:val="0"/>
              <w:widowControl w:val="0"/>
              <w:suppressLineNumbers w:val="0"/>
              <w:adjustRightInd w:val="0"/>
              <w:snapToGrid w:val="0"/>
              <w:spacing w:before="0" w:beforeAutospacing="0" w:after="0" w:afterAutospacing="0" w:line="300" w:lineRule="auto"/>
              <w:ind w:left="0" w:right="0" w:firstLine="403" w:firstLineChars="192"/>
              <w:jc w:val="both"/>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结清工程尾款不豁免承包人继续按照原合同约定应承担的保修责任。</w:t>
            </w:r>
          </w:p>
          <w:p w14:paraId="7EF0982E">
            <w:pPr>
              <w:keepNext w:val="0"/>
              <w:keepLines w:val="0"/>
              <w:widowControl w:val="0"/>
              <w:suppressLineNumbers w:val="0"/>
              <w:adjustRightInd w:val="0"/>
              <w:snapToGrid w:val="0"/>
              <w:spacing w:before="0" w:beforeAutospacing="0" w:after="0" w:afterAutospacing="0" w:line="300" w:lineRule="auto"/>
              <w:ind w:left="0" w:right="0" w:firstLine="403" w:firstLineChars="192"/>
              <w:jc w:val="both"/>
              <w:rPr>
                <w:rFonts w:hint="eastAsia" w:ascii="宋体" w:hAnsi="Calibri"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发包人已支付的累计金额大于工程结算定审金额的97%的，承包人应在工程结算定审之日起15日内向发包人返还多收的款项；否则，发包人有权向承包人追索，承包人除应足额返还多收的款项外，还应每天按多收款项总金额的2‰向发包人支付违约金。工程质量保证金（结算定审金额的3%）按本条第（1）项的约定支付。</w:t>
            </w:r>
          </w:p>
          <w:p w14:paraId="520B2FF6">
            <w:pPr>
              <w:keepNext w:val="0"/>
              <w:keepLines w:val="0"/>
              <w:widowControl w:val="0"/>
              <w:suppressLineNumbers w:val="0"/>
              <w:adjustRightInd w:val="0"/>
              <w:snapToGrid w:val="0"/>
              <w:spacing w:before="0" w:beforeAutospacing="0" w:after="0" w:afterAutospacing="0" w:line="300" w:lineRule="auto"/>
              <w:ind w:left="0" w:right="0" w:firstLine="403" w:firstLineChars="192"/>
              <w:jc w:val="both"/>
              <w:rPr>
                <w:rFonts w:hint="eastAsia" w:ascii="宋体" w:hAnsi="Calibri" w:eastAsia="宋体" w:cs="宋体"/>
                <w:b/>
                <w:bCs w:val="0"/>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w:t>
            </w:r>
          </w:p>
        </w:tc>
      </w:tr>
      <w:tr w14:paraId="58346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FEEE06">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w:t>
            </w:r>
          </w:p>
        </w:tc>
        <w:tc>
          <w:tcPr>
            <w:tcW w:w="7936" w:type="dxa"/>
            <w:tcBorders>
              <w:top w:val="single" w:color="auto" w:sz="4" w:space="0"/>
              <w:left w:val="nil"/>
              <w:bottom w:val="single" w:color="auto" w:sz="4" w:space="0"/>
              <w:right w:val="single" w:color="auto" w:sz="4" w:space="0"/>
            </w:tcBorders>
            <w:shd w:val="clear" w:color="auto" w:fill="auto"/>
            <w:noWrap/>
            <w:vAlign w:val="center"/>
          </w:tcPr>
          <w:p w14:paraId="192F164F">
            <w:pPr>
              <w:pStyle w:val="14"/>
              <w:keepNext w:val="0"/>
              <w:keepLines w:val="0"/>
              <w:widowControl w:val="0"/>
              <w:suppressLineNumbers w:val="0"/>
              <w:adjustRightInd w:val="0"/>
              <w:snapToGrid w:val="0"/>
              <w:spacing w:before="0" w:beforeAutospacing="1" w:after="0" w:afterAutospacing="1" w:line="300" w:lineRule="auto"/>
              <w:ind w:left="0" w:right="0" w:firstLine="210"/>
              <w:jc w:val="both"/>
              <w:rPr>
                <w:rFonts w:hint="eastAsia" w:ascii="宋体" w:hAnsi="宋体" w:eastAsia="宋体" w:cs="Times New Roman"/>
                <w:color w:val="auto"/>
                <w:kern w:val="0"/>
                <w:sz w:val="20"/>
                <w:szCs w:val="20"/>
                <w:highlight w:val="none"/>
              </w:rPr>
            </w:pPr>
            <w:r>
              <w:rPr>
                <w:rFonts w:hint="eastAsia" w:ascii="宋体" w:hAnsi="宋体" w:eastAsia="宋体" w:cs="宋体"/>
                <w:color w:val="auto"/>
                <w:kern w:val="2"/>
                <w:sz w:val="21"/>
                <w:szCs w:val="21"/>
                <w:highlight w:val="none"/>
                <w:lang w:val="en-US" w:eastAsia="zh-CN" w:bidi="ar"/>
              </w:rPr>
              <w:t>附件11：</w:t>
            </w:r>
          </w:p>
          <w:p w14:paraId="6E498D10">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b/>
                <w:bCs w:val="0"/>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 xml:space="preserve">广州市重点公共建设项目管理中心 </w:t>
            </w:r>
          </w:p>
          <w:p w14:paraId="4A4D4311">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b/>
                <w:bCs w:val="0"/>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承包人安全生产管理目标责任书</w:t>
            </w:r>
          </w:p>
          <w:p w14:paraId="7F44A911">
            <w:pPr>
              <w:keepNext w:val="0"/>
              <w:keepLines w:val="0"/>
              <w:widowControl w:val="0"/>
              <w:suppressLineNumbers w:val="0"/>
              <w:adjustRightInd w:val="0"/>
              <w:snapToGrid w:val="0"/>
              <w:spacing w:before="0" w:beforeAutospacing="0" w:after="0" w:afterAutospacing="0" w:line="300" w:lineRule="auto"/>
              <w:ind w:left="0" w:right="0"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目标二：确保</w:t>
            </w:r>
          </w:p>
          <w:p w14:paraId="74F6549E">
            <w:pPr>
              <w:keepNext w:val="0"/>
              <w:keepLines w:val="0"/>
              <w:widowControl w:val="0"/>
              <w:suppressLineNumbers w:val="0"/>
              <w:adjustRightInd w:val="0"/>
              <w:snapToGrid w:val="0"/>
              <w:spacing w:before="0" w:beforeAutospacing="0" w:after="0" w:afterAutospacing="0" w:line="300" w:lineRule="auto"/>
              <w:ind w:left="0" w:right="0" w:firstLine="420" w:firstLineChars="20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×广州市安全文明样板工地，争创广东省安全文明样板工地。</w:t>
            </w:r>
          </w:p>
          <w:p w14:paraId="60639594">
            <w:pPr>
              <w:keepNext w:val="0"/>
              <w:keepLines w:val="0"/>
              <w:widowControl w:val="0"/>
              <w:suppressLineNumbers w:val="0"/>
              <w:adjustRightInd w:val="0"/>
              <w:snapToGrid w:val="0"/>
              <w:spacing w:before="0" w:beforeAutospacing="0" w:after="0" w:afterAutospacing="0" w:line="300" w:lineRule="auto"/>
              <w:ind w:left="0" w:right="0" w:firstLine="420" w:firstLineChars="200"/>
              <w:jc w:val="both"/>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×2、“目标二”未能实现时，参照合同约定的“严重违约”条款对单位处以违约金。</w:t>
            </w:r>
          </w:p>
        </w:tc>
      </w:tr>
      <w:tr w14:paraId="03CFB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1BF757">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w:t>
            </w:r>
          </w:p>
        </w:tc>
        <w:tc>
          <w:tcPr>
            <w:tcW w:w="7936" w:type="dxa"/>
            <w:tcBorders>
              <w:top w:val="single" w:color="auto" w:sz="4" w:space="0"/>
              <w:left w:val="nil"/>
              <w:bottom w:val="single" w:color="auto" w:sz="4" w:space="0"/>
              <w:right w:val="single" w:color="auto" w:sz="4" w:space="0"/>
            </w:tcBorders>
            <w:shd w:val="clear" w:color="auto" w:fill="auto"/>
            <w:noWrap/>
            <w:vAlign w:val="center"/>
          </w:tcPr>
          <w:p w14:paraId="7C6EE996">
            <w:pPr>
              <w:pStyle w:val="14"/>
              <w:keepNext w:val="0"/>
              <w:keepLines w:val="0"/>
              <w:widowControl w:val="0"/>
              <w:suppressLineNumbers w:val="0"/>
              <w:adjustRightInd w:val="0"/>
              <w:snapToGrid w:val="0"/>
              <w:spacing w:before="0" w:beforeAutospacing="1" w:after="0" w:afterAutospacing="1" w:line="300" w:lineRule="auto"/>
              <w:ind w:left="0" w:right="0" w:firstLine="210"/>
              <w:jc w:val="both"/>
              <w:rPr>
                <w:rFonts w:hint="eastAsia" w:ascii="宋体" w:hAnsi="宋体" w:eastAsia="宋体" w:cs="Times New Roman"/>
                <w:color w:val="auto"/>
                <w:kern w:val="0"/>
                <w:sz w:val="20"/>
                <w:szCs w:val="20"/>
                <w:highlight w:val="none"/>
              </w:rPr>
            </w:pPr>
            <w:r>
              <w:rPr>
                <w:rFonts w:hint="eastAsia" w:ascii="宋体" w:hAnsi="宋体" w:eastAsia="宋体" w:cs="宋体"/>
                <w:color w:val="auto"/>
                <w:kern w:val="2"/>
                <w:sz w:val="21"/>
                <w:szCs w:val="21"/>
                <w:highlight w:val="none"/>
                <w:lang w:val="en-US" w:eastAsia="zh-CN" w:bidi="ar"/>
              </w:rPr>
              <w:t>√ 附件12：</w:t>
            </w:r>
          </w:p>
          <w:p w14:paraId="08C45862">
            <w:pPr>
              <w:pStyle w:val="14"/>
              <w:keepNext w:val="0"/>
              <w:keepLines w:val="0"/>
              <w:widowControl w:val="0"/>
              <w:suppressLineNumbers w:val="0"/>
              <w:adjustRightInd w:val="0"/>
              <w:snapToGrid w:val="0"/>
              <w:spacing w:before="0" w:beforeAutospacing="1" w:after="0" w:afterAutospacing="1" w:line="300" w:lineRule="auto"/>
              <w:ind w:left="0" w:right="0" w:firstLine="210"/>
              <w:jc w:val="center"/>
              <w:rPr>
                <w:rFonts w:hint="eastAsia" w:ascii="宋体" w:hAnsi="宋体" w:eastAsia="宋体" w:cs="Times New Roman"/>
                <w:color w:val="auto"/>
                <w:kern w:val="2"/>
                <w:sz w:val="21"/>
                <w:szCs w:val="21"/>
                <w:highlight w:val="none"/>
              </w:rPr>
            </w:pPr>
            <w:r>
              <w:rPr>
                <w:rFonts w:hint="eastAsia" w:cs="宋体"/>
                <w:color w:val="auto"/>
                <w:kern w:val="2"/>
                <w:sz w:val="21"/>
                <w:szCs w:val="21"/>
                <w:highlight w:val="none"/>
                <w:u w:val="single"/>
                <w:lang w:eastAsia="zh-CN" w:bidi="ar"/>
              </w:rPr>
              <w:t>广州天河体育中心整体景观提升（开幕式）建筑工程、广州天河体育中心篮球城维修改造项目、广州市羽毛球运动管理中心训练馆改造项目、广州天河体育中心田径副场改造项目施工总承包</w:t>
            </w:r>
            <w:r>
              <w:rPr>
                <w:rFonts w:hint="eastAsia" w:ascii="宋体" w:hAnsi="宋体" w:eastAsia="宋体" w:cs="宋体"/>
                <w:color w:val="auto"/>
                <w:kern w:val="2"/>
                <w:sz w:val="21"/>
                <w:szCs w:val="21"/>
                <w:highlight w:val="none"/>
                <w:lang w:val="en-US" w:eastAsia="zh-CN" w:bidi="ar"/>
              </w:rPr>
              <w:t>工程工人工资支付分账管理协议书（格式）</w:t>
            </w:r>
          </w:p>
        </w:tc>
      </w:tr>
    </w:tbl>
    <w:p w14:paraId="02DAE9A1">
      <w:pPr>
        <w:pStyle w:val="14"/>
        <w:keepNext w:val="0"/>
        <w:keepLines w:val="0"/>
        <w:widowControl/>
        <w:suppressLineNumbers w:val="0"/>
        <w:adjustRightInd w:val="0"/>
        <w:snapToGrid w:val="0"/>
        <w:spacing w:before="0" w:beforeAutospacing="1" w:after="0" w:afterAutospacing="1" w:line="360" w:lineRule="auto"/>
        <w:ind w:left="0" w:right="0"/>
        <w:jc w:val="center"/>
        <w:outlineLvl w:val="0"/>
        <w:rPr>
          <w:rFonts w:hint="eastAsia" w:ascii="宋体" w:hAnsi="宋体" w:eastAsia="宋体" w:cs="Times New Roman"/>
          <w:b/>
          <w:bCs w:val="0"/>
          <w:color w:val="auto"/>
          <w:kern w:val="0"/>
          <w:sz w:val="32"/>
          <w:szCs w:val="32"/>
          <w:highlight w:val="none"/>
        </w:rPr>
      </w:pPr>
      <w:r>
        <w:rPr>
          <w:rFonts w:hint="eastAsia" w:ascii="宋体" w:hAnsi="宋体" w:eastAsia="宋体" w:cs="宋体"/>
          <w:b/>
          <w:bCs w:val="0"/>
          <w:color w:val="auto"/>
          <w:kern w:val="0"/>
          <w:sz w:val="32"/>
          <w:szCs w:val="32"/>
          <w:highlight w:val="none"/>
          <w:lang w:val="en-US" w:eastAsia="zh-CN" w:bidi="ar"/>
        </w:rPr>
        <w:t>(三) 合同附件修改表（含增加及删除）</w:t>
      </w:r>
    </w:p>
    <w:tbl>
      <w:tblPr>
        <w:tblStyle w:val="17"/>
        <w:tblW w:w="9039"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05"/>
        <w:gridCol w:w="804"/>
        <w:gridCol w:w="666"/>
        <w:gridCol w:w="3320"/>
        <w:gridCol w:w="3544"/>
      </w:tblGrid>
      <w:tr w14:paraId="1572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0" w:hRule="atLeast"/>
        </w:trPr>
        <w:tc>
          <w:tcPr>
            <w:tcW w:w="7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810230">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序号</w:t>
            </w:r>
          </w:p>
        </w:tc>
        <w:tc>
          <w:tcPr>
            <w:tcW w:w="804" w:type="dxa"/>
            <w:tcBorders>
              <w:top w:val="single" w:color="auto" w:sz="4" w:space="0"/>
              <w:left w:val="nil"/>
              <w:bottom w:val="single" w:color="auto" w:sz="4" w:space="0"/>
              <w:right w:val="single" w:color="auto" w:sz="4" w:space="0"/>
            </w:tcBorders>
            <w:shd w:val="clear" w:color="auto" w:fill="auto"/>
            <w:noWrap/>
            <w:vAlign w:val="center"/>
          </w:tcPr>
          <w:p w14:paraId="3EEAA154">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条款号</w:t>
            </w:r>
          </w:p>
        </w:tc>
        <w:tc>
          <w:tcPr>
            <w:tcW w:w="666" w:type="dxa"/>
            <w:tcBorders>
              <w:top w:val="single" w:color="auto" w:sz="4" w:space="0"/>
              <w:left w:val="nil"/>
              <w:bottom w:val="single" w:color="auto" w:sz="4" w:space="0"/>
              <w:right w:val="single" w:color="auto" w:sz="4" w:space="0"/>
            </w:tcBorders>
            <w:shd w:val="clear" w:color="auto" w:fill="auto"/>
            <w:noWrap/>
            <w:vAlign w:val="center"/>
          </w:tcPr>
          <w:p w14:paraId="1F7E556E">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修改类型</w:t>
            </w:r>
          </w:p>
        </w:tc>
        <w:tc>
          <w:tcPr>
            <w:tcW w:w="3320" w:type="dxa"/>
            <w:tcBorders>
              <w:top w:val="single" w:color="auto" w:sz="4" w:space="0"/>
              <w:left w:val="nil"/>
              <w:bottom w:val="single" w:color="auto" w:sz="4" w:space="0"/>
              <w:right w:val="single" w:color="auto" w:sz="4" w:space="0"/>
            </w:tcBorders>
            <w:shd w:val="clear" w:color="auto" w:fill="auto"/>
            <w:noWrap/>
            <w:vAlign w:val="bottom"/>
          </w:tcPr>
          <w:p w14:paraId="18B35638">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原文</w:t>
            </w:r>
          </w:p>
        </w:tc>
        <w:tc>
          <w:tcPr>
            <w:tcW w:w="3544" w:type="dxa"/>
            <w:tcBorders>
              <w:top w:val="single" w:color="auto" w:sz="4" w:space="0"/>
              <w:left w:val="nil"/>
              <w:bottom w:val="single" w:color="auto" w:sz="4" w:space="0"/>
              <w:right w:val="single" w:color="auto" w:sz="4" w:space="0"/>
            </w:tcBorders>
            <w:shd w:val="clear" w:color="auto" w:fill="auto"/>
            <w:noWrap/>
            <w:vAlign w:val="center"/>
          </w:tcPr>
          <w:p w14:paraId="20752783">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现文</w:t>
            </w:r>
          </w:p>
        </w:tc>
      </w:tr>
      <w:tr w14:paraId="585D3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6" w:hRule="atLeast"/>
        </w:trPr>
        <w:tc>
          <w:tcPr>
            <w:tcW w:w="7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6D7DEF">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w:t>
            </w:r>
          </w:p>
        </w:tc>
        <w:tc>
          <w:tcPr>
            <w:tcW w:w="804" w:type="dxa"/>
            <w:tcBorders>
              <w:top w:val="single" w:color="auto" w:sz="4" w:space="0"/>
              <w:left w:val="nil"/>
              <w:bottom w:val="single" w:color="auto" w:sz="4" w:space="0"/>
              <w:right w:val="single" w:color="auto" w:sz="4" w:space="0"/>
            </w:tcBorders>
            <w:shd w:val="clear" w:color="auto" w:fill="auto"/>
            <w:noWrap/>
            <w:vAlign w:val="center"/>
          </w:tcPr>
          <w:p w14:paraId="37C89286">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0"/>
                <w:szCs w:val="20"/>
                <w:highlight w:val="none"/>
                <w:lang w:val="en-US" w:eastAsia="zh-CN" w:bidi="ar"/>
              </w:rPr>
              <w:t>附件</w:t>
            </w:r>
            <w:r>
              <w:rPr>
                <w:rFonts w:hint="default" w:ascii="Calibri" w:hAnsi="Calibri" w:eastAsia="宋体" w:cs="Times New Roman"/>
                <w:color w:val="auto"/>
                <w:kern w:val="2"/>
                <w:sz w:val="20"/>
                <w:szCs w:val="20"/>
                <w:highlight w:val="none"/>
                <w:lang w:val="en-US" w:eastAsia="zh-CN" w:bidi="ar"/>
              </w:rPr>
              <w:t>1</w:t>
            </w:r>
          </w:p>
        </w:tc>
        <w:tc>
          <w:tcPr>
            <w:tcW w:w="666" w:type="dxa"/>
            <w:tcBorders>
              <w:top w:val="single" w:color="auto" w:sz="4" w:space="0"/>
              <w:left w:val="nil"/>
              <w:bottom w:val="single" w:color="auto" w:sz="4" w:space="0"/>
              <w:right w:val="single" w:color="auto" w:sz="4" w:space="0"/>
            </w:tcBorders>
            <w:shd w:val="clear" w:color="auto" w:fill="auto"/>
            <w:noWrap/>
            <w:vAlign w:val="center"/>
          </w:tcPr>
          <w:p w14:paraId="1A1F7F67">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0"/>
                <w:szCs w:val="20"/>
                <w:highlight w:val="none"/>
                <w:lang w:val="en-US" w:eastAsia="zh-CN" w:bidi="ar"/>
              </w:rPr>
              <w:t>修改</w:t>
            </w:r>
          </w:p>
        </w:tc>
        <w:tc>
          <w:tcPr>
            <w:tcW w:w="3320" w:type="dxa"/>
            <w:tcBorders>
              <w:top w:val="single" w:color="auto" w:sz="4" w:space="0"/>
              <w:left w:val="nil"/>
              <w:bottom w:val="single" w:color="auto" w:sz="4" w:space="0"/>
              <w:right w:val="single" w:color="auto" w:sz="4" w:space="0"/>
            </w:tcBorders>
            <w:shd w:val="clear" w:color="auto" w:fill="auto"/>
            <w:noWrap/>
            <w:vAlign w:val="center"/>
          </w:tcPr>
          <w:p w14:paraId="687EEB8D">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0"/>
                <w:szCs w:val="20"/>
                <w:highlight w:val="none"/>
                <w:lang w:val="en-US" w:eastAsia="zh-CN" w:bidi="ar"/>
              </w:rPr>
              <w:t>四、保修费用</w:t>
            </w:r>
            <w:r>
              <w:rPr>
                <w:rFonts w:hint="default" w:ascii="Calibri" w:hAnsi="Calibri" w:eastAsia="宋体" w:cs="Times New Roman"/>
                <w:color w:val="auto"/>
                <w:kern w:val="2"/>
                <w:sz w:val="20"/>
                <w:szCs w:val="20"/>
                <w:highlight w:val="none"/>
                <w:lang w:val="en-US" w:eastAsia="zh-CN" w:bidi="ar"/>
              </w:rPr>
              <w:br w:type="textWrapping"/>
            </w:r>
            <w:r>
              <w:rPr>
                <w:rFonts w:hint="eastAsia" w:ascii="宋体" w:hAnsi="宋体" w:eastAsia="宋体" w:cs="宋体"/>
                <w:color w:val="auto"/>
                <w:kern w:val="2"/>
                <w:sz w:val="20"/>
                <w:szCs w:val="20"/>
                <w:highlight w:val="none"/>
                <w:lang w:val="en-US" w:eastAsia="zh-CN" w:bidi="ar"/>
              </w:rPr>
              <w:t>保修费用由造成质量缺陷的责任方承担。</w:t>
            </w:r>
          </w:p>
        </w:tc>
        <w:tc>
          <w:tcPr>
            <w:tcW w:w="3544" w:type="dxa"/>
            <w:tcBorders>
              <w:top w:val="single" w:color="auto" w:sz="4" w:space="0"/>
              <w:left w:val="nil"/>
              <w:bottom w:val="single" w:color="auto" w:sz="4" w:space="0"/>
              <w:right w:val="single" w:color="auto" w:sz="4" w:space="0"/>
            </w:tcBorders>
            <w:shd w:val="clear" w:color="auto" w:fill="auto"/>
            <w:noWrap/>
            <w:vAlign w:val="center"/>
          </w:tcPr>
          <w:p w14:paraId="37DD42B1">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0"/>
                <w:szCs w:val="20"/>
                <w:highlight w:val="none"/>
                <w:lang w:val="en-US" w:eastAsia="zh-CN" w:bidi="ar"/>
              </w:rPr>
              <w:t>四、保修费用</w:t>
            </w:r>
            <w:r>
              <w:rPr>
                <w:rFonts w:hint="default" w:ascii="Calibri" w:hAnsi="Calibri" w:eastAsia="宋体" w:cs="Times New Roman"/>
                <w:color w:val="auto"/>
                <w:kern w:val="2"/>
                <w:sz w:val="20"/>
                <w:szCs w:val="20"/>
                <w:highlight w:val="none"/>
                <w:lang w:val="en-US" w:eastAsia="zh-CN" w:bidi="ar"/>
              </w:rPr>
              <w:br w:type="textWrapping"/>
            </w:r>
            <w:r>
              <w:rPr>
                <w:rFonts w:hint="eastAsia" w:ascii="宋体" w:hAnsi="宋体" w:eastAsia="宋体" w:cs="宋体"/>
                <w:color w:val="auto"/>
                <w:kern w:val="2"/>
                <w:sz w:val="20"/>
                <w:szCs w:val="20"/>
                <w:highlight w:val="none"/>
                <w:lang w:val="en-US" w:eastAsia="zh-CN" w:bidi="ar"/>
              </w:rPr>
              <w:t>保修费用由造成质量缺陷的责任方承担。</w:t>
            </w:r>
            <w:r>
              <w:rPr>
                <w:rFonts w:hint="eastAsia" w:ascii="宋体" w:hAnsi="宋体" w:eastAsia="宋体" w:cs="宋体"/>
                <w:color w:val="auto"/>
                <w:kern w:val="2"/>
                <w:sz w:val="20"/>
                <w:szCs w:val="20"/>
                <w:highlight w:val="none"/>
                <w:u w:val="single"/>
                <w:lang w:val="en-US" w:eastAsia="zh-CN" w:bidi="ar"/>
              </w:rPr>
              <w:t>具体按照以下约定处理：</w:t>
            </w:r>
            <w:r>
              <w:rPr>
                <w:rFonts w:hint="default" w:ascii="Calibri" w:hAnsi="Calibri" w:eastAsia="宋体" w:cs="Times New Roman"/>
                <w:color w:val="auto"/>
                <w:kern w:val="2"/>
                <w:sz w:val="20"/>
                <w:szCs w:val="20"/>
                <w:highlight w:val="none"/>
                <w:u w:val="single"/>
                <w:lang w:val="en-US" w:eastAsia="zh-CN" w:bidi="ar"/>
              </w:rPr>
              <w:br w:type="textWrapping"/>
            </w:r>
            <w:r>
              <w:rPr>
                <w:rFonts w:hint="default" w:ascii="Calibri" w:hAnsi="Calibri" w:eastAsia="宋体" w:cs="Times New Roman"/>
                <w:color w:val="auto"/>
                <w:kern w:val="2"/>
                <w:sz w:val="20"/>
                <w:szCs w:val="20"/>
                <w:highlight w:val="none"/>
                <w:u w:val="single"/>
                <w:lang w:val="en-US" w:eastAsia="zh-CN" w:bidi="ar"/>
              </w:rPr>
              <w:t>1.</w:t>
            </w:r>
            <w:r>
              <w:rPr>
                <w:rFonts w:hint="eastAsia" w:ascii="宋体" w:hAnsi="宋体" w:eastAsia="宋体" w:cs="宋体"/>
                <w:color w:val="auto"/>
                <w:kern w:val="2"/>
                <w:sz w:val="20"/>
                <w:szCs w:val="20"/>
                <w:highlight w:val="none"/>
                <w:u w:val="single"/>
                <w:lang w:val="en-US" w:eastAsia="zh-CN" w:bidi="ar"/>
              </w:rPr>
              <w:t>保修期内，因承包人原因造成工程的缺陷、损坏，承包人应负责修复，并承担修复的费用以及因工程的缺陷、损坏造成的人身伤害和财产损失；承包人拒绝维修或未能在合理期限内修复缺陷或损坏，且经发包人书面催告后仍未修复的，发包人有权自行修复或委托第三方修复，所需费用由承包人承担。</w:t>
            </w:r>
            <w:r>
              <w:rPr>
                <w:rFonts w:hint="default" w:ascii="Calibri" w:hAnsi="Calibri" w:eastAsia="宋体" w:cs="Times New Roman"/>
                <w:color w:val="auto"/>
                <w:kern w:val="2"/>
                <w:sz w:val="20"/>
                <w:szCs w:val="20"/>
                <w:highlight w:val="none"/>
                <w:u w:val="single"/>
                <w:lang w:val="en-US" w:eastAsia="zh-CN" w:bidi="ar"/>
              </w:rPr>
              <w:br w:type="textWrapping"/>
            </w:r>
            <w:r>
              <w:rPr>
                <w:rFonts w:hint="default" w:ascii="Calibri" w:hAnsi="Calibri" w:eastAsia="宋体" w:cs="Times New Roman"/>
                <w:color w:val="auto"/>
                <w:kern w:val="2"/>
                <w:sz w:val="20"/>
                <w:szCs w:val="20"/>
                <w:highlight w:val="none"/>
                <w:u w:val="single"/>
                <w:lang w:val="en-US" w:eastAsia="zh-CN" w:bidi="ar"/>
              </w:rPr>
              <w:t>2.</w:t>
            </w:r>
            <w:r>
              <w:rPr>
                <w:rFonts w:hint="eastAsia" w:ascii="宋体" w:hAnsi="宋体" w:eastAsia="宋体" w:cs="宋体"/>
                <w:color w:val="auto"/>
                <w:kern w:val="2"/>
                <w:sz w:val="20"/>
                <w:szCs w:val="20"/>
                <w:highlight w:val="none"/>
                <w:u w:val="single"/>
                <w:lang w:val="en-US" w:eastAsia="zh-CN" w:bidi="ar"/>
              </w:rPr>
              <w:t>保修期内，因发包人使用不当造成工程的缺陷、损坏，可以委托承包人修复，但发包人应承担修复的费用。</w:t>
            </w:r>
            <w:r>
              <w:rPr>
                <w:rFonts w:hint="default" w:ascii="Calibri" w:hAnsi="Calibri" w:eastAsia="宋体" w:cs="Times New Roman"/>
                <w:color w:val="auto"/>
                <w:kern w:val="2"/>
                <w:sz w:val="20"/>
                <w:szCs w:val="20"/>
                <w:highlight w:val="none"/>
                <w:u w:val="single"/>
                <w:lang w:val="en-US" w:eastAsia="zh-CN" w:bidi="ar"/>
              </w:rPr>
              <w:br w:type="textWrapping"/>
            </w:r>
            <w:r>
              <w:rPr>
                <w:rFonts w:hint="default" w:ascii="Calibri" w:hAnsi="Calibri" w:eastAsia="宋体" w:cs="Times New Roman"/>
                <w:color w:val="auto"/>
                <w:kern w:val="2"/>
                <w:sz w:val="20"/>
                <w:szCs w:val="20"/>
                <w:highlight w:val="none"/>
                <w:u w:val="single"/>
                <w:lang w:val="en-US" w:eastAsia="zh-CN" w:bidi="ar"/>
              </w:rPr>
              <w:t>3.</w:t>
            </w:r>
            <w:r>
              <w:rPr>
                <w:rFonts w:hint="eastAsia" w:ascii="宋体" w:hAnsi="宋体" w:eastAsia="宋体" w:cs="宋体"/>
                <w:color w:val="auto"/>
                <w:kern w:val="2"/>
                <w:sz w:val="20"/>
                <w:szCs w:val="20"/>
                <w:highlight w:val="none"/>
                <w:u w:val="single"/>
                <w:lang w:val="en-US" w:eastAsia="zh-CN" w:bidi="ar"/>
              </w:rPr>
              <w:t>因其他原因造成工程的缺陷、损坏，可以委托承包人修复，发包人应承担修复的费用，因工程的缺陷、损坏造成的人身伤害和财产损失由责任方承担。</w:t>
            </w:r>
          </w:p>
        </w:tc>
      </w:tr>
      <w:tr w14:paraId="7AE2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6" w:hRule="atLeast"/>
        </w:trPr>
        <w:tc>
          <w:tcPr>
            <w:tcW w:w="7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B391C8">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w:t>
            </w:r>
          </w:p>
        </w:tc>
        <w:tc>
          <w:tcPr>
            <w:tcW w:w="804" w:type="dxa"/>
            <w:tcBorders>
              <w:top w:val="single" w:color="auto" w:sz="4" w:space="0"/>
              <w:left w:val="nil"/>
              <w:bottom w:val="single" w:color="auto" w:sz="4" w:space="0"/>
              <w:right w:val="single" w:color="auto" w:sz="4" w:space="0"/>
            </w:tcBorders>
            <w:shd w:val="clear" w:color="auto" w:fill="auto"/>
            <w:noWrap/>
            <w:vAlign w:val="center"/>
          </w:tcPr>
          <w:p w14:paraId="3F503F1A">
            <w:pPr>
              <w:keepNext w:val="0"/>
              <w:keepLines w:val="0"/>
              <w:widowControl w:val="0"/>
              <w:suppressLineNumbers w:val="0"/>
              <w:adjustRightInd w:val="0"/>
              <w:snapToGrid w:val="0"/>
              <w:spacing w:before="0" w:beforeAutospacing="0" w:after="0" w:afterAutospacing="0"/>
              <w:ind w:left="0" w:right="0"/>
              <w:jc w:val="center"/>
              <w:rPr>
                <w:rFonts w:hint="eastAsia" w:ascii="Calibri"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附件</w:t>
            </w:r>
            <w:r>
              <w:rPr>
                <w:rFonts w:hint="default" w:ascii="Calibri" w:hAnsi="Calibri" w:eastAsia="宋体" w:cs="Calibri"/>
                <w:color w:val="auto"/>
                <w:kern w:val="2"/>
                <w:sz w:val="20"/>
                <w:szCs w:val="20"/>
                <w:highlight w:val="none"/>
                <w:lang w:val="en-US" w:eastAsia="zh-CN" w:bidi="ar"/>
              </w:rPr>
              <w:t>4</w:t>
            </w:r>
          </w:p>
        </w:tc>
        <w:tc>
          <w:tcPr>
            <w:tcW w:w="666" w:type="dxa"/>
            <w:tcBorders>
              <w:top w:val="single" w:color="auto" w:sz="4" w:space="0"/>
              <w:left w:val="nil"/>
              <w:bottom w:val="single" w:color="auto" w:sz="4" w:space="0"/>
              <w:right w:val="single" w:color="auto" w:sz="4" w:space="0"/>
            </w:tcBorders>
            <w:shd w:val="clear" w:color="auto" w:fill="auto"/>
            <w:noWrap/>
            <w:vAlign w:val="center"/>
          </w:tcPr>
          <w:p w14:paraId="11611A5E">
            <w:pPr>
              <w:keepNext w:val="0"/>
              <w:keepLines w:val="0"/>
              <w:widowControl w:val="0"/>
              <w:suppressLineNumbers w:val="0"/>
              <w:adjustRightInd w:val="0"/>
              <w:snapToGrid w:val="0"/>
              <w:spacing w:before="0" w:beforeAutospacing="0" w:after="0" w:afterAutospacing="0"/>
              <w:ind w:left="0" w:right="0"/>
              <w:jc w:val="center"/>
              <w:rPr>
                <w:rFonts w:hint="eastAsia" w:ascii="Calibri"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修改</w:t>
            </w:r>
          </w:p>
        </w:tc>
        <w:tc>
          <w:tcPr>
            <w:tcW w:w="3320" w:type="dxa"/>
            <w:tcBorders>
              <w:top w:val="single" w:color="auto" w:sz="4" w:space="0"/>
              <w:left w:val="nil"/>
              <w:bottom w:val="single" w:color="auto" w:sz="4" w:space="0"/>
              <w:right w:val="single" w:color="auto" w:sz="4" w:space="0"/>
            </w:tcBorders>
            <w:shd w:val="clear" w:color="auto" w:fill="auto"/>
            <w:noWrap/>
            <w:vAlign w:val="center"/>
          </w:tcPr>
          <w:p w14:paraId="78856BE1">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广州市重点公共建设项目管理办公</w:t>
            </w:r>
          </w:p>
          <w:p w14:paraId="50ACE08A">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室工程建设资金拨付管理办法及实施细则</w:t>
            </w:r>
          </w:p>
          <w:p w14:paraId="48368C25">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第一章</w:t>
            </w:r>
            <w:r>
              <w:rPr>
                <w:rFonts w:hint="eastAsia" w:ascii="宋体" w:hAnsi="Calibri" w:eastAsia="宋体" w:cs="宋体"/>
                <w:color w:val="auto"/>
                <w:kern w:val="2"/>
                <w:sz w:val="20"/>
                <w:szCs w:val="20"/>
                <w:highlight w:val="none"/>
                <w:lang w:val="en-US" w:eastAsia="zh-CN" w:bidi="ar"/>
              </w:rPr>
              <w:t> </w:t>
            </w:r>
            <w:r>
              <w:rPr>
                <w:rFonts w:hint="eastAsia" w:ascii="宋体" w:hAnsi="宋体" w:eastAsia="宋体" w:cs="宋体"/>
                <w:color w:val="auto"/>
                <w:kern w:val="2"/>
                <w:sz w:val="20"/>
                <w:szCs w:val="20"/>
                <w:highlight w:val="none"/>
                <w:lang w:val="en-US" w:eastAsia="zh-CN" w:bidi="ar"/>
              </w:rPr>
              <w:t>总则</w:t>
            </w:r>
          </w:p>
          <w:p w14:paraId="56EEE2FD">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第一条为了加强本工程以及各重点</w:t>
            </w:r>
          </w:p>
          <w:p w14:paraId="671AC3FB">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公共建设工程项目建设资金的使用</w:t>
            </w:r>
          </w:p>
          <w:p w14:paraId="47CDBB67">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管理，提高建设资金使用效益，确保</w:t>
            </w:r>
          </w:p>
          <w:p w14:paraId="27812FE6">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建设资金用于专项工程项目，并且保</w:t>
            </w:r>
          </w:p>
          <w:p w14:paraId="1F414FC5">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证其安全、高效的使用，根据国家有</w:t>
            </w:r>
          </w:p>
          <w:p w14:paraId="3763024F">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关规定特制定本办法。</w:t>
            </w:r>
          </w:p>
          <w:p w14:paraId="1634F827">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第二条本办法适用于与本工程建设的工程施工承包商、监理单位、主要</w:t>
            </w:r>
          </w:p>
          <w:p w14:paraId="249C7FEC">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材料供应商及监管开户银行。</w:t>
            </w:r>
          </w:p>
          <w:p w14:paraId="08CD374A">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第二章</w:t>
            </w:r>
            <w:r>
              <w:rPr>
                <w:rFonts w:hint="eastAsia" w:ascii="宋体" w:hAnsi="Calibri" w:eastAsia="宋体" w:cs="宋体"/>
                <w:color w:val="auto"/>
                <w:kern w:val="2"/>
                <w:sz w:val="20"/>
                <w:szCs w:val="20"/>
                <w:highlight w:val="none"/>
                <w:lang w:val="en-US" w:eastAsia="zh-CN" w:bidi="ar"/>
              </w:rPr>
              <w:t> </w:t>
            </w:r>
            <w:r>
              <w:rPr>
                <w:rFonts w:hint="eastAsia" w:ascii="宋体" w:hAnsi="宋体" w:eastAsia="宋体" w:cs="宋体"/>
                <w:color w:val="auto"/>
                <w:kern w:val="2"/>
                <w:sz w:val="20"/>
                <w:szCs w:val="20"/>
                <w:highlight w:val="none"/>
                <w:lang w:val="en-US" w:eastAsia="zh-CN" w:bidi="ar"/>
              </w:rPr>
              <w:t>资金账户的管理</w:t>
            </w:r>
          </w:p>
          <w:p w14:paraId="5FCB6749">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第一条工程承包商、监理单位、主要</w:t>
            </w:r>
          </w:p>
          <w:p w14:paraId="54B88FC4">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材料供应商（以下简称“工程承包商”）必须在广州市重点公共建设项</w:t>
            </w:r>
          </w:p>
          <w:p w14:paraId="6767CC29">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目管理办公室（以下简称“重点办”）</w:t>
            </w:r>
          </w:p>
          <w:p w14:paraId="0AAC9EC8">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指定的监管银行开设一般结算账户、</w:t>
            </w:r>
          </w:p>
          <w:p w14:paraId="3C4AC906">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临时账户或专用账户，未经核准的账</w:t>
            </w:r>
          </w:p>
          <w:p w14:paraId="67F945EE">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户，重点办不予以拨付资金。</w:t>
            </w:r>
          </w:p>
          <w:p w14:paraId="70CFEFB5">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第二条重点办指定的监管开户银行</w:t>
            </w:r>
          </w:p>
          <w:p w14:paraId="6F629E91">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应依法为开户单位保密，除国家法</w:t>
            </w:r>
          </w:p>
          <w:p w14:paraId="711EB8BB">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律、法规规定的有权部门和重点办管</w:t>
            </w:r>
          </w:p>
          <w:p w14:paraId="72FC273C">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理规定需要外，不准代任何单位和个</w:t>
            </w:r>
          </w:p>
          <w:p w14:paraId="0515B439">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人查询、冻结、扣划开户单位的存款。</w:t>
            </w:r>
          </w:p>
          <w:p w14:paraId="13936D10">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第三条开户单位申请开设银行账户</w:t>
            </w:r>
          </w:p>
          <w:p w14:paraId="25689127">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时，应按规定向监管开户银行出具有</w:t>
            </w:r>
          </w:p>
          <w:p w14:paraId="358B3C58">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关证明材料，在条件满足的情况下，</w:t>
            </w:r>
          </w:p>
          <w:p w14:paraId="3A2212DD">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监管开户银行应在二天内办妥开户</w:t>
            </w:r>
          </w:p>
          <w:p w14:paraId="08EB6A3B">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手续。</w:t>
            </w:r>
          </w:p>
          <w:p w14:paraId="4821BE98">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第四条开户单位申请撤销指定的账</w:t>
            </w:r>
          </w:p>
          <w:p w14:paraId="25BB312B">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户，需向重点办提出书面申请并经同</w:t>
            </w:r>
          </w:p>
          <w:p w14:paraId="13F9DB9B">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意。同时根据监管开户银行的有关撤</w:t>
            </w:r>
          </w:p>
          <w:p w14:paraId="0D19360B">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销账户要求，办理并完善相关的手</w:t>
            </w:r>
          </w:p>
          <w:p w14:paraId="227884F0">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续。</w:t>
            </w:r>
          </w:p>
          <w:p w14:paraId="3BEE1FA0">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第五条开户单位的账户只能办理自</w:t>
            </w:r>
          </w:p>
          <w:p w14:paraId="48243151">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身的业务，不得出租或转让。工程承</w:t>
            </w:r>
          </w:p>
          <w:p w14:paraId="30A8FFB5">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包商违反上述规定或套取建设资金</w:t>
            </w:r>
          </w:p>
          <w:p w14:paraId="36D8BD96">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另作他用，监管开户银行有权制止，</w:t>
            </w:r>
          </w:p>
          <w:p w14:paraId="3FD43612">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并报重点办。</w:t>
            </w:r>
          </w:p>
          <w:p w14:paraId="19D85EEF">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第三章</w:t>
            </w:r>
            <w:r>
              <w:rPr>
                <w:rFonts w:hint="eastAsia" w:ascii="宋体" w:hAnsi="Calibri" w:eastAsia="宋体" w:cs="宋体"/>
                <w:color w:val="auto"/>
                <w:kern w:val="2"/>
                <w:sz w:val="20"/>
                <w:szCs w:val="20"/>
                <w:highlight w:val="none"/>
                <w:lang w:val="en-US" w:eastAsia="zh-CN" w:bidi="ar"/>
              </w:rPr>
              <w:t> </w:t>
            </w:r>
            <w:r>
              <w:rPr>
                <w:rFonts w:hint="eastAsia" w:ascii="宋体" w:hAnsi="宋体" w:eastAsia="宋体" w:cs="宋体"/>
                <w:color w:val="auto"/>
                <w:kern w:val="2"/>
                <w:sz w:val="20"/>
                <w:szCs w:val="20"/>
                <w:highlight w:val="none"/>
                <w:lang w:val="en-US" w:eastAsia="zh-CN" w:bidi="ar"/>
              </w:rPr>
              <w:t>项目资金管理</w:t>
            </w:r>
          </w:p>
          <w:p w14:paraId="20026937">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第一条为了确保本工程以及各重点公共建设工程项目建设资金正常运行和安全、有效使用，对各项目建设</w:t>
            </w:r>
          </w:p>
          <w:p w14:paraId="22612874">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资金采取集中监控的管理模式。重点</w:t>
            </w:r>
          </w:p>
          <w:p w14:paraId="0DCC9DD1">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办对参与各项目工程施工的承包商、</w:t>
            </w:r>
          </w:p>
          <w:p w14:paraId="4955D07A">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监理单位及主要材料供应商等单位</w:t>
            </w:r>
          </w:p>
          <w:p w14:paraId="2F4FDD26">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集中在指定的银行开设专用账户，对</w:t>
            </w:r>
          </w:p>
          <w:p w14:paraId="59E7149A">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其项目资金的流向实施监控，以达到</w:t>
            </w:r>
          </w:p>
          <w:p w14:paraId="53304156">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建设资金专款专用的目的。</w:t>
            </w:r>
          </w:p>
          <w:p w14:paraId="6639AA65">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第二条工程承包商与重点办签署合</w:t>
            </w:r>
          </w:p>
          <w:p w14:paraId="4C16B406">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同后在规定的限期内，应向重点办提</w:t>
            </w:r>
          </w:p>
          <w:p w14:paraId="26FB6E2C">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交地（市）级以上银行出具的合同履约保函。按合同规定向重点办申请动</w:t>
            </w:r>
          </w:p>
          <w:p w14:paraId="23A272ED">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员预付款时，必须提交地（市）级以</w:t>
            </w:r>
          </w:p>
          <w:p w14:paraId="59E26633">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上银行预付款保函。监管开户银行应</w:t>
            </w:r>
          </w:p>
          <w:p w14:paraId="136C73BA">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按有关规定和程序积极协助重点办</w:t>
            </w:r>
          </w:p>
          <w:p w14:paraId="4F6781C3">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审查工程承包商出具的合同履约和</w:t>
            </w:r>
          </w:p>
          <w:p w14:paraId="73486C79">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预付款保函，确保保函真实有效。</w:t>
            </w:r>
          </w:p>
          <w:p w14:paraId="6F69D351">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第三条重点办、工程承包商及指定监</w:t>
            </w:r>
          </w:p>
          <w:p w14:paraId="68AF9485">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管开户银行三方共同签订《广州市重</w:t>
            </w:r>
          </w:p>
          <w:p w14:paraId="1BADCF3C">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点公共建设项目建设资金管理协</w:t>
            </w:r>
          </w:p>
          <w:p w14:paraId="7ED8F76A">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议》，监管开户单位授权同意该监管</w:t>
            </w:r>
          </w:p>
          <w:p w14:paraId="78718FE4">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开户银行把工程专项资金的往来结</w:t>
            </w:r>
          </w:p>
          <w:p w14:paraId="2A7BD247">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算记录及对账资料提供给重点办查</w:t>
            </w:r>
          </w:p>
          <w:p w14:paraId="11ED8DC8">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阅，以此规范建设资金的使用行为。</w:t>
            </w:r>
          </w:p>
          <w:p w14:paraId="00EC78DA">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第四条工程承包单位、监理及主要材</w:t>
            </w:r>
          </w:p>
          <w:p w14:paraId="6A28919E">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料供应商必须按合同及相关管理规</w:t>
            </w:r>
          </w:p>
          <w:p w14:paraId="54C0A168">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定，及时申报计量支付，经重点办审</w:t>
            </w:r>
          </w:p>
          <w:p w14:paraId="17CD39A6">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查核批后，据以拨付工程进度款、监</w:t>
            </w:r>
          </w:p>
          <w:p w14:paraId="3431E1F9">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理酬金及货款。工程承包商不得高估</w:t>
            </w:r>
          </w:p>
          <w:p w14:paraId="64F7B489">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冒算、虚报工程进度款项。</w:t>
            </w:r>
          </w:p>
          <w:p w14:paraId="6F0820A7">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第五条工程承包商、监理单位及主要</w:t>
            </w:r>
          </w:p>
          <w:p w14:paraId="212A0ABD">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材料供应商依据项目办每次核批工</w:t>
            </w:r>
          </w:p>
          <w:p w14:paraId="635212DB">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程等各类款项的编制详细用款计划</w:t>
            </w:r>
          </w:p>
          <w:p w14:paraId="1A7DC002">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（含本期所属月工资发放明细表）一</w:t>
            </w:r>
          </w:p>
          <w:p w14:paraId="17EC27F2">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式两份，报送重点办和监管开户银</w:t>
            </w:r>
          </w:p>
          <w:p w14:paraId="13875A82">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行，重点办作为拨付工程款的依据，</w:t>
            </w:r>
          </w:p>
          <w:p w14:paraId="0565528C">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监管开户银行则据此监控其建设资</w:t>
            </w:r>
          </w:p>
          <w:p w14:paraId="432FE923">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金的具体流向。</w:t>
            </w:r>
          </w:p>
          <w:p w14:paraId="251FF944">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第六条工程承包商将工程进度款用</w:t>
            </w:r>
          </w:p>
          <w:p w14:paraId="373226CA">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于购买大型机械设备、仪器的，必须</w:t>
            </w:r>
          </w:p>
          <w:p w14:paraId="0032FF52">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报经重点办核准；用于购买大宗材料</w:t>
            </w:r>
          </w:p>
          <w:p w14:paraId="07F0887A">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的，收款人必须是重点办认可的材料</w:t>
            </w:r>
          </w:p>
          <w:p w14:paraId="6171F9BC">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供应商；重点办向各监管开户银行提</w:t>
            </w:r>
          </w:p>
          <w:p w14:paraId="3939413B">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供经报核准的设备和材料供应商清</w:t>
            </w:r>
          </w:p>
          <w:p w14:paraId="67393666">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单，未经重点办核准或对不是重点办</w:t>
            </w:r>
          </w:p>
          <w:p w14:paraId="6C900D11">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认可的材料供应商、设备供应商的大</w:t>
            </w:r>
          </w:p>
          <w:p w14:paraId="48200A91">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额资金的支付，监管开户银行有权不</w:t>
            </w:r>
          </w:p>
          <w:p w14:paraId="543B4EE7">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予办理。监管开户银行应分别建立每</w:t>
            </w:r>
          </w:p>
          <w:p w14:paraId="087F66CD">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个工程承包商序时资金支付备查台</w:t>
            </w:r>
          </w:p>
          <w:p w14:paraId="7909C141">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账，并由专人负责与经由重点办审核</w:t>
            </w:r>
          </w:p>
          <w:p w14:paraId="3075BE8F">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的用款计划核对；每月两期将相关收</w:t>
            </w:r>
          </w:p>
          <w:p w14:paraId="63BE1357">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支情况明细表提交给重点办备查，提</w:t>
            </w:r>
          </w:p>
          <w:p w14:paraId="4932621E">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交时间为当月 20 日和次月的 5 日；</w:t>
            </w:r>
          </w:p>
          <w:p w14:paraId="7352659B">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对异常支付应即时通知重点办。</w:t>
            </w:r>
          </w:p>
          <w:p w14:paraId="315431C9">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第七条经重点办审核拨付的工程进</w:t>
            </w:r>
          </w:p>
          <w:p w14:paraId="55DAEF21">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度款，工程承包商应专款专用，严禁</w:t>
            </w:r>
          </w:p>
          <w:p w14:paraId="4789C31A">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挪作他用；工程承包商违反规定用途</w:t>
            </w:r>
          </w:p>
          <w:p w14:paraId="084743C9">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转款或用款的，监管开户银行有权拒</w:t>
            </w:r>
          </w:p>
          <w:p w14:paraId="5291E2F5">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绝付款，并及时把信息反馈到重点</w:t>
            </w:r>
          </w:p>
          <w:p w14:paraId="5F8DBC1A">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办，重点办将酌情进行处理。</w:t>
            </w:r>
          </w:p>
          <w:p w14:paraId="41FAF441">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第八条工程承包商应严格遵守《现金</w:t>
            </w:r>
          </w:p>
          <w:p w14:paraId="5936A03A">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管理暂行条例》，不得以任何名义套</w:t>
            </w:r>
          </w:p>
          <w:p w14:paraId="0A199ABC">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取现金。工程承包商必须严格遵守中国人民银行制定的现金管理规定。</w:t>
            </w:r>
          </w:p>
          <w:p w14:paraId="62EE9905">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第九条工程承包商应及时支付合作</w:t>
            </w:r>
          </w:p>
          <w:p w14:paraId="16FF026E">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单位、分包单位的工程款项，及时支</w:t>
            </w:r>
          </w:p>
          <w:p w14:paraId="29432431">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付材料、设备等款项，及时支付施工</w:t>
            </w:r>
          </w:p>
          <w:p w14:paraId="63589792">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人员工资，确保工程建设顺利进行。</w:t>
            </w:r>
          </w:p>
          <w:p w14:paraId="2129EAF6">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第十条保证建设资金的安全和工程</w:t>
            </w:r>
          </w:p>
          <w:p w14:paraId="203C62A2">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建设的顺利进行，工程承包商在承建</w:t>
            </w:r>
          </w:p>
          <w:p w14:paraId="417B31B8">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的工程正式交验之前，未经重点办同</w:t>
            </w:r>
          </w:p>
          <w:p w14:paraId="7B99506F">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意不得以任何名义转移资金。</w:t>
            </w:r>
          </w:p>
          <w:p w14:paraId="131A3EFF">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第十一条监管开户银行应为工程承</w:t>
            </w:r>
          </w:p>
          <w:p w14:paraId="41C938FD">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包商提供全方位的优质服务，不得无</w:t>
            </w:r>
          </w:p>
          <w:p w14:paraId="22530A17">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理压票压汇；同时应密切跟进开户单</w:t>
            </w:r>
          </w:p>
          <w:p w14:paraId="516349DB">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位在实际资金运作中提出服务要求，</w:t>
            </w:r>
          </w:p>
          <w:p w14:paraId="3B7D167A">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为其解决在工程建设中的实际问题</w:t>
            </w:r>
          </w:p>
          <w:p w14:paraId="213F6DF1">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（如施工人员工资的提现等）。</w:t>
            </w:r>
          </w:p>
          <w:p w14:paraId="4715AEBA">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第四章</w:t>
            </w:r>
            <w:r>
              <w:rPr>
                <w:rFonts w:hint="eastAsia" w:ascii="宋体" w:hAnsi="Calibri" w:eastAsia="宋体" w:cs="宋体"/>
                <w:color w:val="auto"/>
                <w:kern w:val="2"/>
                <w:sz w:val="20"/>
                <w:szCs w:val="20"/>
                <w:highlight w:val="none"/>
                <w:lang w:val="en-US" w:eastAsia="zh-CN" w:bidi="ar"/>
              </w:rPr>
              <w:t> </w:t>
            </w:r>
            <w:r>
              <w:rPr>
                <w:rFonts w:hint="eastAsia" w:ascii="宋体" w:hAnsi="宋体" w:eastAsia="宋体" w:cs="宋体"/>
                <w:color w:val="auto"/>
                <w:kern w:val="2"/>
                <w:sz w:val="20"/>
                <w:szCs w:val="20"/>
                <w:highlight w:val="none"/>
                <w:lang w:val="en-US" w:eastAsia="zh-CN" w:bidi="ar"/>
              </w:rPr>
              <w:t>附则</w:t>
            </w:r>
          </w:p>
          <w:p w14:paraId="308EB336">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第一条本办法执行过程中如有问题</w:t>
            </w:r>
          </w:p>
          <w:p w14:paraId="69B972A6">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请及时向重点办反映。</w:t>
            </w:r>
          </w:p>
          <w:p w14:paraId="54E3D9A8">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第二条本办法自项目竣工结算完成，</w:t>
            </w:r>
          </w:p>
          <w:p w14:paraId="6BE8BBD0">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办理清算后 6 个月自行废止。</w:t>
            </w:r>
          </w:p>
          <w:p w14:paraId="55DCAC40">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附件：1、建设资金使用监控流程图</w:t>
            </w:r>
          </w:p>
          <w:p w14:paraId="57A1BB6B">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2、广州市重点公共建设项目工</w:t>
            </w:r>
          </w:p>
          <w:p w14:paraId="5335EAAD">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程建设资金使用计划（1）（格式）</w:t>
            </w:r>
          </w:p>
          <w:p w14:paraId="47429619">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3、广州市重点公共建设项目工</w:t>
            </w:r>
          </w:p>
          <w:p w14:paraId="534B2B50">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程建设资金使用计划（2）（格式）</w:t>
            </w:r>
          </w:p>
          <w:p w14:paraId="3C7507AC">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4、工程承包商计划发放工资表</w:t>
            </w:r>
          </w:p>
          <w:p w14:paraId="64DCE7AA">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（1）（格式）</w:t>
            </w:r>
          </w:p>
          <w:p w14:paraId="50BFF163">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5、工程承包商实际发放工资表</w:t>
            </w:r>
          </w:p>
          <w:p w14:paraId="123B7E2E">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（2）（格式）</w:t>
            </w:r>
          </w:p>
        </w:tc>
        <w:tc>
          <w:tcPr>
            <w:tcW w:w="3544" w:type="dxa"/>
            <w:tcBorders>
              <w:top w:val="single" w:color="auto" w:sz="4" w:space="0"/>
              <w:left w:val="nil"/>
              <w:bottom w:val="single" w:color="auto" w:sz="4" w:space="0"/>
              <w:right w:val="single" w:color="auto" w:sz="4" w:space="0"/>
            </w:tcBorders>
            <w:shd w:val="clear" w:color="auto" w:fill="auto"/>
            <w:noWrap/>
            <w:vAlign w:val="center"/>
          </w:tcPr>
          <w:p w14:paraId="6A7A4E75">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广州市重点公共建设项目管理中心</w:t>
            </w:r>
          </w:p>
          <w:p w14:paraId="3520075E">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建设资金拨付监督管理办法（修订）</w:t>
            </w:r>
          </w:p>
          <w:p w14:paraId="75CCE806">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第一章</w:t>
            </w:r>
            <w:r>
              <w:rPr>
                <w:rFonts w:hint="default" w:ascii="Calibri" w:hAnsi="Calibri" w:eastAsia="宋体" w:cs="Calibri"/>
                <w:color w:val="auto"/>
                <w:kern w:val="2"/>
                <w:sz w:val="20"/>
                <w:szCs w:val="20"/>
                <w:highlight w:val="none"/>
                <w:lang w:val="en-US" w:eastAsia="zh-CN" w:bidi="ar"/>
              </w:rPr>
              <w:t xml:space="preserve"> </w:t>
            </w:r>
            <w:r>
              <w:rPr>
                <w:rFonts w:hint="eastAsia" w:ascii="宋体" w:hAnsi="宋体" w:eastAsia="宋体" w:cs="宋体"/>
                <w:color w:val="auto"/>
                <w:kern w:val="2"/>
                <w:sz w:val="20"/>
                <w:szCs w:val="20"/>
                <w:highlight w:val="none"/>
                <w:lang w:val="en-US" w:eastAsia="zh-CN" w:bidi="ar"/>
              </w:rPr>
              <w:t>总则</w:t>
            </w:r>
          </w:p>
          <w:p w14:paraId="71871207">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第一条</w:t>
            </w:r>
            <w:r>
              <w:rPr>
                <w:rFonts w:hint="default" w:ascii="Calibri" w:hAnsi="Calibri" w:eastAsia="宋体" w:cs="Calibri"/>
                <w:color w:val="auto"/>
                <w:kern w:val="2"/>
                <w:sz w:val="20"/>
                <w:szCs w:val="20"/>
                <w:highlight w:val="none"/>
                <w:lang w:val="en-US" w:eastAsia="zh-CN" w:bidi="ar"/>
              </w:rPr>
              <w:t xml:space="preserve"> </w:t>
            </w:r>
            <w:r>
              <w:rPr>
                <w:rFonts w:hint="eastAsia" w:ascii="宋体" w:hAnsi="宋体" w:eastAsia="宋体" w:cs="宋体"/>
                <w:color w:val="auto"/>
                <w:kern w:val="2"/>
                <w:sz w:val="20"/>
                <w:szCs w:val="20"/>
                <w:highlight w:val="none"/>
                <w:lang w:val="en-US" w:eastAsia="zh-CN" w:bidi="ar"/>
              </w:rPr>
              <w:t>为加强对广州市重点公共建设项目管理中心（以下简称“市重点项目管理中心”）建设管理项目的建设资金管理，确保建设资金专款专用，提高建设资金使用效益，根据国家有关规定，特制定本办法。</w:t>
            </w:r>
          </w:p>
          <w:p w14:paraId="50374470">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第二条</w:t>
            </w:r>
            <w:r>
              <w:rPr>
                <w:rFonts w:hint="default" w:ascii="Calibri" w:hAnsi="Calibri" w:eastAsia="宋体" w:cs="Calibri"/>
                <w:color w:val="auto"/>
                <w:kern w:val="2"/>
                <w:sz w:val="20"/>
                <w:szCs w:val="20"/>
                <w:highlight w:val="none"/>
                <w:lang w:val="en-US" w:eastAsia="zh-CN" w:bidi="ar"/>
              </w:rPr>
              <w:t xml:space="preserve"> </w:t>
            </w:r>
            <w:r>
              <w:rPr>
                <w:rFonts w:hint="eastAsia" w:ascii="宋体" w:hAnsi="宋体" w:eastAsia="宋体" w:cs="宋体"/>
                <w:color w:val="auto"/>
                <w:kern w:val="2"/>
                <w:sz w:val="20"/>
                <w:szCs w:val="20"/>
                <w:highlight w:val="none"/>
                <w:lang w:val="en-US" w:eastAsia="zh-CN" w:bidi="ar"/>
              </w:rPr>
              <w:t>本办法适用于市重点项目管理中心建设管理项目的工程承包人及资金监管银行。</w:t>
            </w:r>
          </w:p>
          <w:p w14:paraId="61F8D0A2">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本办法所称项目，是指房屋建筑、市政基础设施、机电安装、智能化、园林绿化等建设工程项目。</w:t>
            </w:r>
          </w:p>
          <w:p w14:paraId="270B4EC0">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本办法所称工程承包人，是依法取得市重点项目管理中心建设管理项目的承包资格，与市重点项目管理中心签订施工承包合同（合同签约价不低于</w:t>
            </w:r>
            <w:r>
              <w:rPr>
                <w:rFonts w:hint="default" w:ascii="Calibri" w:hAnsi="Calibri" w:eastAsia="宋体" w:cs="Calibri"/>
                <w:color w:val="auto"/>
                <w:kern w:val="2"/>
                <w:sz w:val="20"/>
                <w:szCs w:val="20"/>
                <w:highlight w:val="none"/>
                <w:lang w:val="en-US" w:eastAsia="zh-CN" w:bidi="ar"/>
              </w:rPr>
              <w:t xml:space="preserve"> 1,000 </w:t>
            </w:r>
            <w:r>
              <w:rPr>
                <w:rFonts w:hint="eastAsia" w:ascii="宋体" w:hAnsi="宋体" w:eastAsia="宋体" w:cs="宋体"/>
                <w:color w:val="auto"/>
                <w:kern w:val="2"/>
                <w:sz w:val="20"/>
                <w:szCs w:val="20"/>
                <w:highlight w:val="none"/>
                <w:lang w:val="en-US" w:eastAsia="zh-CN" w:bidi="ar"/>
              </w:rPr>
              <w:t>万元）的总承包、专业承包单位。</w:t>
            </w:r>
          </w:p>
          <w:p w14:paraId="234AC510">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本办法所称资金监管银行，是由市重点项目管理中心指定，办理项目资金监督管理业务的商业银行。</w:t>
            </w:r>
          </w:p>
          <w:p w14:paraId="4FD96C97">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本办法所称资金，是经市重点项目管理中心审批专项使用的建设资金，不含按国家法律法规实行分账管理（如建设领域工人工资）等专项资金。</w:t>
            </w:r>
          </w:p>
          <w:p w14:paraId="4844E286">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第三条</w:t>
            </w:r>
            <w:r>
              <w:rPr>
                <w:rFonts w:hint="default" w:ascii="Calibri" w:hAnsi="Calibri" w:eastAsia="宋体" w:cs="Calibri"/>
                <w:color w:val="auto"/>
                <w:kern w:val="2"/>
                <w:sz w:val="20"/>
                <w:szCs w:val="20"/>
                <w:highlight w:val="none"/>
                <w:lang w:val="en-US" w:eastAsia="zh-CN" w:bidi="ar"/>
              </w:rPr>
              <w:t xml:space="preserve"> </w:t>
            </w:r>
            <w:r>
              <w:rPr>
                <w:rFonts w:hint="eastAsia" w:ascii="宋体" w:hAnsi="宋体" w:eastAsia="宋体" w:cs="宋体"/>
                <w:color w:val="auto"/>
                <w:kern w:val="2"/>
                <w:sz w:val="20"/>
                <w:szCs w:val="20"/>
                <w:highlight w:val="none"/>
                <w:lang w:val="en-US" w:eastAsia="zh-CN" w:bidi="ar"/>
              </w:rPr>
              <w:t>工程承包人对所承包项目的资金负责。工程承包人依法将部分工程分包的，对分包单位资金负监管责任。</w:t>
            </w:r>
          </w:p>
          <w:p w14:paraId="70CEF9F3">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第四条</w:t>
            </w:r>
            <w:r>
              <w:rPr>
                <w:rFonts w:hint="default" w:ascii="Calibri" w:hAnsi="Calibri" w:eastAsia="宋体" w:cs="Calibri"/>
                <w:color w:val="auto"/>
                <w:kern w:val="2"/>
                <w:sz w:val="20"/>
                <w:szCs w:val="20"/>
                <w:highlight w:val="none"/>
                <w:lang w:val="en-US" w:eastAsia="zh-CN" w:bidi="ar"/>
              </w:rPr>
              <w:t xml:space="preserve"> </w:t>
            </w:r>
            <w:r>
              <w:rPr>
                <w:rFonts w:hint="eastAsia" w:ascii="宋体" w:hAnsi="宋体" w:eastAsia="宋体" w:cs="宋体"/>
                <w:color w:val="auto"/>
                <w:kern w:val="2"/>
                <w:sz w:val="20"/>
                <w:szCs w:val="20"/>
                <w:highlight w:val="none"/>
                <w:lang w:val="en-US" w:eastAsia="zh-CN" w:bidi="ar"/>
              </w:rPr>
              <w:t>资金监管银行应当具备专业、优质、高效、创新的金融服务能力，在广州市具有电子支付端和线下服务网点，能为市重点项目管理中心及工程承包人提供快速响应的金融服务。</w:t>
            </w:r>
          </w:p>
          <w:p w14:paraId="4D64DBCA">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第二章</w:t>
            </w:r>
            <w:r>
              <w:rPr>
                <w:rFonts w:hint="default" w:ascii="Calibri" w:hAnsi="Calibri" w:eastAsia="宋体" w:cs="Calibri"/>
                <w:color w:val="auto"/>
                <w:kern w:val="2"/>
                <w:sz w:val="20"/>
                <w:szCs w:val="20"/>
                <w:highlight w:val="none"/>
                <w:lang w:val="en-US" w:eastAsia="zh-CN" w:bidi="ar"/>
              </w:rPr>
              <w:t xml:space="preserve"> </w:t>
            </w:r>
            <w:r>
              <w:rPr>
                <w:rFonts w:hint="eastAsia" w:ascii="宋体" w:hAnsi="宋体" w:eastAsia="宋体" w:cs="宋体"/>
                <w:color w:val="auto"/>
                <w:kern w:val="2"/>
                <w:sz w:val="20"/>
                <w:szCs w:val="20"/>
                <w:highlight w:val="none"/>
                <w:lang w:val="en-US" w:eastAsia="zh-CN" w:bidi="ar"/>
              </w:rPr>
              <w:t>资金监管账户的管理</w:t>
            </w:r>
          </w:p>
          <w:p w14:paraId="4BDD09EE">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第五条</w:t>
            </w:r>
            <w:r>
              <w:rPr>
                <w:rFonts w:hint="default" w:ascii="Calibri" w:hAnsi="Calibri" w:eastAsia="宋体" w:cs="Calibri"/>
                <w:color w:val="auto"/>
                <w:kern w:val="2"/>
                <w:sz w:val="20"/>
                <w:szCs w:val="20"/>
                <w:highlight w:val="none"/>
                <w:lang w:val="en-US" w:eastAsia="zh-CN" w:bidi="ar"/>
              </w:rPr>
              <w:t xml:space="preserve"> </w:t>
            </w:r>
            <w:r>
              <w:rPr>
                <w:rFonts w:hint="eastAsia" w:ascii="宋体" w:hAnsi="宋体" w:eastAsia="宋体" w:cs="宋体"/>
                <w:color w:val="auto"/>
                <w:kern w:val="2"/>
                <w:sz w:val="20"/>
                <w:szCs w:val="20"/>
                <w:highlight w:val="none"/>
                <w:lang w:val="en-US" w:eastAsia="zh-CN" w:bidi="ar"/>
              </w:rPr>
              <w:t>工程承包人应选择市重点项目管理中心指定的资金监管银行开设资金监管账户，并报市重点项目管理中心备案。工程承包人开设的资金监管账户可用于市重点项目管理中心建设管理的所有项目。</w:t>
            </w:r>
          </w:p>
          <w:p w14:paraId="5830A82E">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第六条</w:t>
            </w:r>
            <w:r>
              <w:rPr>
                <w:rFonts w:hint="default" w:ascii="Calibri" w:hAnsi="Calibri" w:eastAsia="宋体" w:cs="Calibri"/>
                <w:color w:val="auto"/>
                <w:kern w:val="2"/>
                <w:sz w:val="20"/>
                <w:szCs w:val="20"/>
                <w:highlight w:val="none"/>
                <w:lang w:val="en-US" w:eastAsia="zh-CN" w:bidi="ar"/>
              </w:rPr>
              <w:t xml:space="preserve"> </w:t>
            </w:r>
            <w:r>
              <w:rPr>
                <w:rFonts w:hint="eastAsia" w:ascii="宋体" w:hAnsi="宋体" w:eastAsia="宋体" w:cs="宋体"/>
                <w:color w:val="auto"/>
                <w:kern w:val="2"/>
                <w:sz w:val="20"/>
                <w:szCs w:val="20"/>
                <w:highlight w:val="none"/>
                <w:lang w:val="en-US" w:eastAsia="zh-CN" w:bidi="ar"/>
              </w:rPr>
              <w:t>工程承包人提出书面申请，要求采用指定资金监管银行以外账户收款的，申请收款的银行须在市财政局上年度市本级财政国库业务代理银行范围内，且年度综合考评结果为“良好”以上，接受本管理办法规定及签订《广州市重点公共建设项目管理中心项目建设资金监督管理协议》的，可作为资金监管银行。否则，市重点项目管理中心有权暂停拨付项目建设资金。</w:t>
            </w:r>
          </w:p>
          <w:p w14:paraId="342CF9CD">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第七条</w:t>
            </w:r>
            <w:r>
              <w:rPr>
                <w:rFonts w:hint="default" w:ascii="Calibri" w:hAnsi="Calibri" w:eastAsia="宋体" w:cs="Calibri"/>
                <w:color w:val="auto"/>
                <w:kern w:val="2"/>
                <w:sz w:val="20"/>
                <w:szCs w:val="20"/>
                <w:highlight w:val="none"/>
                <w:lang w:val="en-US" w:eastAsia="zh-CN" w:bidi="ar"/>
              </w:rPr>
              <w:t xml:space="preserve"> </w:t>
            </w:r>
            <w:r>
              <w:rPr>
                <w:rFonts w:hint="eastAsia" w:ascii="宋体" w:hAnsi="宋体" w:eastAsia="宋体" w:cs="宋体"/>
                <w:color w:val="auto"/>
                <w:kern w:val="2"/>
                <w:sz w:val="20"/>
                <w:szCs w:val="20"/>
                <w:highlight w:val="none"/>
                <w:lang w:val="en-US" w:eastAsia="zh-CN" w:bidi="ar"/>
              </w:rPr>
              <w:t>工程承包人需撤销资金监管账户的，应当向市重点项目管理中心提出书面申请，经同意后按资金监管银行的有关规定办理手续。</w:t>
            </w:r>
          </w:p>
          <w:p w14:paraId="6CFA80E2">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第八条</w:t>
            </w:r>
            <w:r>
              <w:rPr>
                <w:rFonts w:hint="default" w:ascii="Calibri" w:hAnsi="Calibri" w:eastAsia="宋体" w:cs="Calibri"/>
                <w:color w:val="auto"/>
                <w:kern w:val="2"/>
                <w:sz w:val="20"/>
                <w:szCs w:val="20"/>
                <w:highlight w:val="none"/>
                <w:lang w:val="en-US" w:eastAsia="zh-CN" w:bidi="ar"/>
              </w:rPr>
              <w:t xml:space="preserve"> </w:t>
            </w:r>
            <w:r>
              <w:rPr>
                <w:rFonts w:hint="eastAsia" w:ascii="宋体" w:hAnsi="宋体" w:eastAsia="宋体" w:cs="宋体"/>
                <w:color w:val="auto"/>
                <w:kern w:val="2"/>
                <w:sz w:val="20"/>
                <w:szCs w:val="20"/>
                <w:highlight w:val="none"/>
                <w:lang w:val="en-US" w:eastAsia="zh-CN" w:bidi="ar"/>
              </w:rPr>
              <w:t>工程承包人的资金监管账户应当用于市重点项目管理中心建设管理项目的业务，不得出租、出借或转让。工程承包人违反上述规定将资金监管账户另作他用，资金监管银行有权制止并及时报市重点项目管理中心。</w:t>
            </w:r>
          </w:p>
          <w:p w14:paraId="5061CC40">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第三章</w:t>
            </w:r>
            <w:r>
              <w:rPr>
                <w:rFonts w:hint="default" w:ascii="Calibri" w:hAnsi="Calibri" w:eastAsia="宋体" w:cs="Calibri"/>
                <w:color w:val="auto"/>
                <w:kern w:val="2"/>
                <w:sz w:val="20"/>
                <w:szCs w:val="20"/>
                <w:highlight w:val="none"/>
                <w:lang w:val="en-US" w:eastAsia="zh-CN" w:bidi="ar"/>
              </w:rPr>
              <w:t xml:space="preserve"> </w:t>
            </w:r>
            <w:r>
              <w:rPr>
                <w:rFonts w:hint="eastAsia" w:ascii="宋体" w:hAnsi="宋体" w:eastAsia="宋体" w:cs="宋体"/>
                <w:color w:val="auto"/>
                <w:kern w:val="2"/>
                <w:sz w:val="20"/>
                <w:szCs w:val="20"/>
                <w:highlight w:val="none"/>
                <w:lang w:val="en-US" w:eastAsia="zh-CN" w:bidi="ar"/>
              </w:rPr>
              <w:t>项目资金管理</w:t>
            </w:r>
          </w:p>
          <w:p w14:paraId="6F0AB159">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第九条</w:t>
            </w:r>
            <w:r>
              <w:rPr>
                <w:rFonts w:hint="default" w:ascii="Calibri" w:hAnsi="Calibri" w:eastAsia="宋体" w:cs="Calibri"/>
                <w:color w:val="auto"/>
                <w:kern w:val="2"/>
                <w:sz w:val="20"/>
                <w:szCs w:val="20"/>
                <w:highlight w:val="none"/>
                <w:lang w:val="en-US" w:eastAsia="zh-CN" w:bidi="ar"/>
              </w:rPr>
              <w:t xml:space="preserve"> </w:t>
            </w:r>
            <w:r>
              <w:rPr>
                <w:rFonts w:hint="eastAsia" w:ascii="宋体" w:hAnsi="宋体" w:eastAsia="宋体" w:cs="宋体"/>
                <w:color w:val="auto"/>
                <w:kern w:val="2"/>
                <w:sz w:val="20"/>
                <w:szCs w:val="20"/>
                <w:highlight w:val="none"/>
                <w:lang w:val="en-US" w:eastAsia="zh-CN" w:bidi="ar"/>
              </w:rPr>
              <w:t>市重点项目管理中心、工程承包人、资金监管银行三方共同签订《广州市重点公共建设项目管理中心项目建设资金监督管理协议》。授权资金监管银行代表市重点项目管理中心对资金监管账户进行监管，同时向市重点项目管理中心提供资金监管账户信息。</w:t>
            </w:r>
          </w:p>
          <w:p w14:paraId="7A04F7D3">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第十条</w:t>
            </w:r>
            <w:r>
              <w:rPr>
                <w:rFonts w:hint="default" w:ascii="Calibri" w:hAnsi="Calibri" w:eastAsia="宋体" w:cs="Calibri"/>
                <w:color w:val="auto"/>
                <w:kern w:val="2"/>
                <w:sz w:val="20"/>
                <w:szCs w:val="20"/>
                <w:highlight w:val="none"/>
                <w:lang w:val="en-US" w:eastAsia="zh-CN" w:bidi="ar"/>
              </w:rPr>
              <w:t xml:space="preserve"> </w:t>
            </w:r>
            <w:r>
              <w:rPr>
                <w:rFonts w:hint="eastAsia" w:ascii="宋体" w:hAnsi="宋体" w:eastAsia="宋体" w:cs="宋体"/>
                <w:color w:val="auto"/>
                <w:kern w:val="2"/>
                <w:sz w:val="20"/>
                <w:szCs w:val="20"/>
                <w:highlight w:val="none"/>
                <w:lang w:val="en-US" w:eastAsia="zh-CN" w:bidi="ar"/>
              </w:rPr>
              <w:t>工程承包人必须按国家法律法规、市重点项目管理中心相关制度和承包合同约定申报计量支付，对建设资金专款专用，在资金监管账户进行支付结算，严禁挪作他用。工程承包人应当严格遵守中国人民银行制定的现金管理相关规定，不得以任何名义套取现金。承包合同约定项目工程竣工结算完成前，工程承包人不得将资金监管账户内的建设资金转入其他银行账户。</w:t>
            </w:r>
          </w:p>
          <w:p w14:paraId="7C0A699D">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第十一条</w:t>
            </w:r>
            <w:r>
              <w:rPr>
                <w:rFonts w:hint="default" w:ascii="Calibri" w:hAnsi="Calibri" w:eastAsia="宋体" w:cs="Calibri"/>
                <w:color w:val="auto"/>
                <w:kern w:val="2"/>
                <w:sz w:val="20"/>
                <w:szCs w:val="20"/>
                <w:highlight w:val="none"/>
                <w:lang w:val="en-US" w:eastAsia="zh-CN" w:bidi="ar"/>
              </w:rPr>
              <w:t xml:space="preserve"> </w:t>
            </w:r>
            <w:r>
              <w:rPr>
                <w:rFonts w:hint="eastAsia" w:ascii="宋体" w:hAnsi="宋体" w:eastAsia="宋体" w:cs="宋体"/>
                <w:color w:val="auto"/>
                <w:kern w:val="2"/>
                <w:sz w:val="20"/>
                <w:szCs w:val="20"/>
                <w:highlight w:val="none"/>
                <w:lang w:val="en-US" w:eastAsia="zh-CN" w:bidi="ar"/>
              </w:rPr>
              <w:t>工程承包人应当依据市重点项目管理中心当期审批建设资金的支出情况，编制《工程建设资金使用计划确认表》一式两份，分别报送市重点项目管理中心和资金监管银行，作为市重点项目管理中心审批后续工程款项和资金监管银行监控建设资金流向的依据。</w:t>
            </w:r>
          </w:p>
          <w:p w14:paraId="5CFA69A4">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第十二条</w:t>
            </w:r>
            <w:r>
              <w:rPr>
                <w:rFonts w:hint="default" w:ascii="Calibri" w:hAnsi="Calibri" w:eastAsia="宋体" w:cs="Calibri"/>
                <w:color w:val="auto"/>
                <w:kern w:val="2"/>
                <w:sz w:val="20"/>
                <w:szCs w:val="20"/>
                <w:highlight w:val="none"/>
                <w:lang w:val="en-US" w:eastAsia="zh-CN" w:bidi="ar"/>
              </w:rPr>
              <w:t xml:space="preserve"> </w:t>
            </w:r>
            <w:r>
              <w:rPr>
                <w:rFonts w:hint="eastAsia" w:ascii="宋体" w:hAnsi="宋体" w:eastAsia="宋体" w:cs="宋体"/>
                <w:color w:val="auto"/>
                <w:kern w:val="2"/>
                <w:sz w:val="20"/>
                <w:szCs w:val="20"/>
                <w:highlight w:val="none"/>
                <w:lang w:val="en-US" w:eastAsia="zh-CN" w:bidi="ar"/>
              </w:rPr>
              <w:t>资金监管银行应当对每个工程承包人分别建立资金收支序时台账，并安排专人负责《工程建设资金使用计划确认表》的核对。资金监管银行应当在每季度结束后的</w:t>
            </w:r>
            <w:r>
              <w:rPr>
                <w:rFonts w:hint="default" w:ascii="Calibri" w:hAnsi="Calibri" w:eastAsia="宋体" w:cs="Calibri"/>
                <w:color w:val="auto"/>
                <w:kern w:val="2"/>
                <w:sz w:val="20"/>
                <w:szCs w:val="20"/>
                <w:highlight w:val="none"/>
                <w:lang w:val="en-US" w:eastAsia="zh-CN" w:bidi="ar"/>
              </w:rPr>
              <w:t>5</w:t>
            </w:r>
            <w:r>
              <w:rPr>
                <w:rFonts w:hint="eastAsia" w:ascii="宋体" w:hAnsi="宋体" w:eastAsia="宋体" w:cs="宋体"/>
                <w:color w:val="auto"/>
                <w:kern w:val="2"/>
                <w:sz w:val="20"/>
                <w:szCs w:val="20"/>
                <w:highlight w:val="none"/>
                <w:lang w:val="en-US" w:eastAsia="zh-CN" w:bidi="ar"/>
              </w:rPr>
              <w:t>个工作日内，把每个资金监管账户上季度的收支情况报送市重点项目管理中心备案。</w:t>
            </w:r>
          </w:p>
          <w:p w14:paraId="0CCA87D9">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第十三条</w:t>
            </w:r>
            <w:r>
              <w:rPr>
                <w:rFonts w:hint="default" w:ascii="Calibri" w:hAnsi="Calibri" w:eastAsia="宋体" w:cs="Calibri"/>
                <w:color w:val="auto"/>
                <w:kern w:val="2"/>
                <w:sz w:val="20"/>
                <w:szCs w:val="20"/>
                <w:highlight w:val="none"/>
                <w:lang w:val="en-US" w:eastAsia="zh-CN" w:bidi="ar"/>
              </w:rPr>
              <w:t xml:space="preserve"> </w:t>
            </w:r>
            <w:r>
              <w:rPr>
                <w:rFonts w:hint="eastAsia" w:ascii="宋体" w:hAnsi="宋体" w:eastAsia="宋体" w:cs="宋体"/>
                <w:color w:val="auto"/>
                <w:kern w:val="2"/>
                <w:sz w:val="20"/>
                <w:szCs w:val="20"/>
                <w:highlight w:val="none"/>
                <w:lang w:val="en-US" w:eastAsia="zh-CN" w:bidi="ar"/>
              </w:rPr>
              <w:t>对于资金监管账户的异常收支现象，资金监管银行应及时将相关信息报送市重点项目管理中心，由其按有关法律法规和承包合同约定进行处理。</w:t>
            </w:r>
          </w:p>
          <w:p w14:paraId="7ACE1E78">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第十四条</w:t>
            </w:r>
            <w:r>
              <w:rPr>
                <w:rFonts w:hint="default" w:ascii="Calibri" w:hAnsi="Calibri" w:eastAsia="宋体" w:cs="Calibri"/>
                <w:color w:val="auto"/>
                <w:kern w:val="2"/>
                <w:sz w:val="20"/>
                <w:szCs w:val="20"/>
                <w:highlight w:val="none"/>
                <w:lang w:val="en-US" w:eastAsia="zh-CN" w:bidi="ar"/>
              </w:rPr>
              <w:t xml:space="preserve"> </w:t>
            </w:r>
            <w:r>
              <w:rPr>
                <w:rFonts w:hint="eastAsia" w:ascii="宋体" w:hAnsi="宋体" w:eastAsia="宋体" w:cs="宋体"/>
                <w:color w:val="auto"/>
                <w:kern w:val="2"/>
                <w:sz w:val="20"/>
                <w:szCs w:val="20"/>
                <w:highlight w:val="none"/>
                <w:lang w:val="en-US" w:eastAsia="zh-CN" w:bidi="ar"/>
              </w:rPr>
              <w:t>资金监管银行应为工程承包人提供全方位的优质服务，不得无理压票压汇；同时密切跟进工程承包人在建设资金运作中提出的服务要求，帮助解决建设过程中资金存在的实际问题。</w:t>
            </w:r>
          </w:p>
          <w:p w14:paraId="6D963F2F">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第十五条</w:t>
            </w:r>
            <w:r>
              <w:rPr>
                <w:rFonts w:hint="default" w:ascii="Calibri" w:hAnsi="Calibri" w:eastAsia="宋体" w:cs="Calibri"/>
                <w:color w:val="auto"/>
                <w:kern w:val="2"/>
                <w:sz w:val="20"/>
                <w:szCs w:val="20"/>
                <w:highlight w:val="none"/>
                <w:lang w:val="en-US" w:eastAsia="zh-CN" w:bidi="ar"/>
              </w:rPr>
              <w:t xml:space="preserve"> </w:t>
            </w:r>
            <w:r>
              <w:rPr>
                <w:rFonts w:hint="eastAsia" w:ascii="宋体" w:hAnsi="宋体" w:eastAsia="宋体" w:cs="宋体"/>
                <w:color w:val="auto"/>
                <w:kern w:val="2"/>
                <w:sz w:val="20"/>
                <w:szCs w:val="20"/>
                <w:highlight w:val="none"/>
                <w:lang w:val="en-US" w:eastAsia="zh-CN" w:bidi="ar"/>
              </w:rPr>
              <w:t>市重点项目管理中心根据管理需要，必要时授权资金监管银行对资金监管账户进行专项检查。</w:t>
            </w:r>
          </w:p>
          <w:p w14:paraId="09D484B3">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第十六条</w:t>
            </w:r>
            <w:r>
              <w:rPr>
                <w:rFonts w:hint="default" w:ascii="Calibri" w:hAnsi="Calibri" w:eastAsia="宋体" w:cs="Calibri"/>
                <w:color w:val="auto"/>
                <w:kern w:val="2"/>
                <w:sz w:val="20"/>
                <w:szCs w:val="20"/>
                <w:highlight w:val="none"/>
                <w:lang w:val="en-US" w:eastAsia="zh-CN" w:bidi="ar"/>
              </w:rPr>
              <w:t xml:space="preserve"> </w:t>
            </w:r>
            <w:r>
              <w:rPr>
                <w:rFonts w:hint="eastAsia" w:ascii="宋体" w:hAnsi="宋体" w:eastAsia="宋体" w:cs="宋体"/>
                <w:color w:val="auto"/>
                <w:kern w:val="2"/>
                <w:sz w:val="20"/>
                <w:szCs w:val="20"/>
                <w:highlight w:val="none"/>
                <w:lang w:val="en-US" w:eastAsia="zh-CN" w:bidi="ar"/>
              </w:rPr>
              <w:t>工程承包人未按合同约定用途使用资金或拖欠材料供应商和分包单位款项的，市重点项目管理中心有权要求工程承包人按有关规定进行调整及清偿。</w:t>
            </w:r>
          </w:p>
          <w:p w14:paraId="279B7311">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第十七条</w:t>
            </w:r>
            <w:r>
              <w:rPr>
                <w:rFonts w:hint="default" w:ascii="Calibri" w:hAnsi="Calibri" w:eastAsia="宋体" w:cs="Calibri"/>
                <w:color w:val="auto"/>
                <w:kern w:val="2"/>
                <w:sz w:val="20"/>
                <w:szCs w:val="20"/>
                <w:highlight w:val="none"/>
                <w:lang w:val="en-US" w:eastAsia="zh-CN" w:bidi="ar"/>
              </w:rPr>
              <w:t xml:space="preserve"> </w:t>
            </w:r>
            <w:r>
              <w:rPr>
                <w:rFonts w:hint="eastAsia" w:ascii="宋体" w:hAnsi="宋体" w:eastAsia="宋体" w:cs="宋体"/>
                <w:color w:val="auto"/>
                <w:kern w:val="2"/>
                <w:sz w:val="20"/>
                <w:szCs w:val="20"/>
                <w:highlight w:val="none"/>
                <w:lang w:val="en-US" w:eastAsia="zh-CN" w:bidi="ar"/>
              </w:rPr>
              <w:t>若资金监管银行存在违反本办法规定的情形，或因不能兑现服务承诺引起工程承包人投诉的，市重点项目管理中心有权要求限期整改；逾期仍不能整改到位的，市重点项目管理中心有权将其从资金监管银行名单中撤除。</w:t>
            </w:r>
          </w:p>
          <w:p w14:paraId="605B54B8">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第四章</w:t>
            </w:r>
            <w:r>
              <w:rPr>
                <w:rFonts w:hint="default" w:ascii="Calibri" w:hAnsi="Calibri" w:eastAsia="宋体" w:cs="Calibri"/>
                <w:color w:val="auto"/>
                <w:kern w:val="2"/>
                <w:sz w:val="20"/>
                <w:szCs w:val="20"/>
                <w:highlight w:val="none"/>
                <w:lang w:val="en-US" w:eastAsia="zh-CN" w:bidi="ar"/>
              </w:rPr>
              <w:t xml:space="preserve"> </w:t>
            </w:r>
            <w:r>
              <w:rPr>
                <w:rFonts w:hint="eastAsia" w:ascii="宋体" w:hAnsi="宋体" w:eastAsia="宋体" w:cs="宋体"/>
                <w:color w:val="auto"/>
                <w:kern w:val="2"/>
                <w:sz w:val="20"/>
                <w:szCs w:val="20"/>
                <w:highlight w:val="none"/>
                <w:lang w:val="en-US" w:eastAsia="zh-CN" w:bidi="ar"/>
              </w:rPr>
              <w:t>附则</w:t>
            </w:r>
          </w:p>
          <w:p w14:paraId="0F627AFC">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第十八条</w:t>
            </w:r>
            <w:r>
              <w:rPr>
                <w:rFonts w:hint="default" w:ascii="Calibri" w:hAnsi="Calibri" w:eastAsia="宋体" w:cs="Calibri"/>
                <w:color w:val="auto"/>
                <w:kern w:val="2"/>
                <w:sz w:val="20"/>
                <w:szCs w:val="20"/>
                <w:highlight w:val="none"/>
                <w:lang w:val="en-US" w:eastAsia="zh-CN" w:bidi="ar"/>
              </w:rPr>
              <w:t xml:space="preserve"> </w:t>
            </w:r>
            <w:r>
              <w:rPr>
                <w:rFonts w:hint="eastAsia" w:ascii="宋体" w:hAnsi="宋体" w:eastAsia="宋体" w:cs="宋体"/>
                <w:color w:val="auto"/>
                <w:kern w:val="2"/>
                <w:sz w:val="20"/>
                <w:szCs w:val="20"/>
                <w:highlight w:val="none"/>
                <w:lang w:val="en-US" w:eastAsia="zh-CN" w:bidi="ar"/>
              </w:rPr>
              <w:t>本办法自印发之日起执行，有效期三年。如遇国家、省和市相关政策调整，则按相关政策执行。</w:t>
            </w:r>
          </w:p>
          <w:p w14:paraId="71E48DF5">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附件：</w:t>
            </w:r>
            <w:r>
              <w:rPr>
                <w:rFonts w:hint="default" w:ascii="Calibri" w:hAnsi="Calibri" w:eastAsia="宋体" w:cs="Calibri"/>
                <w:color w:val="auto"/>
                <w:kern w:val="2"/>
                <w:sz w:val="20"/>
                <w:szCs w:val="20"/>
                <w:highlight w:val="none"/>
                <w:lang w:val="en-US" w:eastAsia="zh-CN" w:bidi="ar"/>
              </w:rPr>
              <w:t>1.</w:t>
            </w:r>
            <w:r>
              <w:rPr>
                <w:rFonts w:hint="eastAsia" w:ascii="宋体" w:hAnsi="宋体" w:eastAsia="宋体" w:cs="宋体"/>
                <w:color w:val="auto"/>
                <w:kern w:val="2"/>
                <w:sz w:val="20"/>
                <w:szCs w:val="20"/>
                <w:highlight w:val="none"/>
                <w:lang w:val="en-US" w:eastAsia="zh-CN" w:bidi="ar"/>
              </w:rPr>
              <w:t xml:space="preserve">项目建设资金监督管理协议（详见合同附件 </w:t>
            </w:r>
            <w:r>
              <w:rPr>
                <w:rFonts w:hint="default" w:ascii="Calibri" w:hAnsi="Calibri" w:eastAsia="宋体" w:cs="Calibri"/>
                <w:color w:val="auto"/>
                <w:kern w:val="2"/>
                <w:sz w:val="20"/>
                <w:szCs w:val="20"/>
                <w:highlight w:val="none"/>
                <w:lang w:val="en-US" w:eastAsia="zh-CN" w:bidi="ar"/>
              </w:rPr>
              <w:t>8</w:t>
            </w:r>
            <w:r>
              <w:rPr>
                <w:rFonts w:hint="eastAsia" w:ascii="宋体" w:hAnsi="宋体" w:eastAsia="宋体" w:cs="宋体"/>
                <w:color w:val="auto"/>
                <w:kern w:val="2"/>
                <w:sz w:val="20"/>
                <w:szCs w:val="20"/>
                <w:highlight w:val="none"/>
                <w:lang w:val="en-US" w:eastAsia="zh-CN" w:bidi="ar"/>
              </w:rPr>
              <w:t>）</w:t>
            </w:r>
          </w:p>
          <w:p w14:paraId="729FFCF7">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0"/>
                <w:szCs w:val="20"/>
                <w:highlight w:val="none"/>
              </w:rPr>
            </w:pPr>
            <w:r>
              <w:rPr>
                <w:rFonts w:hint="default" w:ascii="Calibri" w:hAnsi="Calibri" w:eastAsia="宋体" w:cs="Calibri"/>
                <w:color w:val="auto"/>
                <w:kern w:val="2"/>
                <w:sz w:val="20"/>
                <w:szCs w:val="20"/>
                <w:highlight w:val="none"/>
                <w:lang w:val="en-US" w:eastAsia="zh-CN" w:bidi="ar"/>
              </w:rPr>
              <w:t>2.</w:t>
            </w:r>
            <w:r>
              <w:rPr>
                <w:rFonts w:hint="eastAsia" w:ascii="宋体" w:hAnsi="宋体" w:eastAsia="宋体" w:cs="宋体"/>
                <w:color w:val="auto"/>
                <w:kern w:val="2"/>
                <w:sz w:val="20"/>
                <w:szCs w:val="20"/>
                <w:highlight w:val="none"/>
                <w:lang w:val="en-US" w:eastAsia="zh-CN" w:bidi="ar"/>
              </w:rPr>
              <w:t xml:space="preserve">工程建设资金使用计划确认表（表格详见后附文 </w:t>
            </w:r>
            <w:r>
              <w:rPr>
                <w:rFonts w:hint="default" w:ascii="Calibri" w:hAnsi="Calibri" w:eastAsia="宋体" w:cs="Calibri"/>
                <w:color w:val="auto"/>
                <w:kern w:val="2"/>
                <w:sz w:val="20"/>
                <w:szCs w:val="20"/>
                <w:highlight w:val="none"/>
                <w:lang w:val="en-US" w:eastAsia="zh-CN" w:bidi="ar"/>
              </w:rPr>
              <w:t>2</w:t>
            </w:r>
            <w:r>
              <w:rPr>
                <w:rFonts w:hint="eastAsia" w:ascii="宋体" w:hAnsi="宋体" w:eastAsia="宋体" w:cs="宋体"/>
                <w:color w:val="auto"/>
                <w:kern w:val="2"/>
                <w:sz w:val="20"/>
                <w:szCs w:val="20"/>
                <w:highlight w:val="none"/>
                <w:lang w:val="en-US" w:eastAsia="zh-CN" w:bidi="ar"/>
              </w:rPr>
              <w:t>）</w:t>
            </w:r>
          </w:p>
        </w:tc>
      </w:tr>
      <w:tr w14:paraId="3B9EB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0" w:hRule="atLeast"/>
        </w:trPr>
        <w:tc>
          <w:tcPr>
            <w:tcW w:w="7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4B49A2">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default" w:ascii="宋体" w:hAnsi="宋体" w:eastAsia="宋体" w:cs="宋体"/>
                <w:color w:val="auto"/>
                <w:kern w:val="0"/>
                <w:sz w:val="21"/>
                <w:szCs w:val="21"/>
                <w:highlight w:val="none"/>
                <w:lang w:eastAsia="zh-CN" w:bidi="ar"/>
              </w:rPr>
              <w:t>3</w:t>
            </w:r>
          </w:p>
        </w:tc>
        <w:tc>
          <w:tcPr>
            <w:tcW w:w="804" w:type="dxa"/>
            <w:tcBorders>
              <w:top w:val="single" w:color="auto" w:sz="4" w:space="0"/>
              <w:left w:val="nil"/>
              <w:bottom w:val="single" w:color="auto" w:sz="4" w:space="0"/>
              <w:right w:val="single" w:color="auto" w:sz="4" w:space="0"/>
            </w:tcBorders>
            <w:shd w:val="clear" w:color="auto" w:fill="auto"/>
            <w:noWrap/>
            <w:vAlign w:val="center"/>
          </w:tcPr>
          <w:p w14:paraId="00758792">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附件7《履约银行保函》（格式）</w:t>
            </w:r>
          </w:p>
        </w:tc>
        <w:tc>
          <w:tcPr>
            <w:tcW w:w="666" w:type="dxa"/>
            <w:tcBorders>
              <w:top w:val="single" w:color="auto" w:sz="4" w:space="0"/>
              <w:left w:val="nil"/>
              <w:bottom w:val="single" w:color="auto" w:sz="4" w:space="0"/>
              <w:right w:val="single" w:color="auto" w:sz="4" w:space="0"/>
            </w:tcBorders>
            <w:shd w:val="clear" w:color="auto" w:fill="auto"/>
            <w:noWrap/>
            <w:vAlign w:val="center"/>
          </w:tcPr>
          <w:p w14:paraId="21B8AC1A">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修改</w:t>
            </w:r>
          </w:p>
        </w:tc>
        <w:tc>
          <w:tcPr>
            <w:tcW w:w="3320" w:type="dxa"/>
            <w:tcBorders>
              <w:top w:val="single" w:color="auto" w:sz="4" w:space="0"/>
              <w:left w:val="nil"/>
              <w:bottom w:val="single" w:color="auto" w:sz="4" w:space="0"/>
              <w:right w:val="single" w:color="auto" w:sz="4" w:space="0"/>
            </w:tcBorders>
            <w:shd w:val="clear" w:color="auto" w:fill="auto"/>
            <w:noWrap/>
            <w:vAlign w:val="bottom"/>
          </w:tcPr>
          <w:p w14:paraId="518E15C6">
            <w:pPr>
              <w:keepNext w:val="0"/>
              <w:keepLines w:val="0"/>
              <w:widowControl w:val="0"/>
              <w:suppressLineNumbers w:val="0"/>
              <w:adjustRightInd w:val="0"/>
              <w:snapToGrid w:val="0"/>
              <w:spacing w:before="0" w:beforeAutospacing="0" w:after="0" w:afterAutospacing="0"/>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附件7《履约银行保函》（格式）、承诺书</w:t>
            </w:r>
          </w:p>
        </w:tc>
        <w:tc>
          <w:tcPr>
            <w:tcW w:w="3544" w:type="dxa"/>
            <w:tcBorders>
              <w:top w:val="single" w:color="auto" w:sz="4" w:space="0"/>
              <w:left w:val="nil"/>
              <w:bottom w:val="single" w:color="auto" w:sz="4" w:space="0"/>
              <w:right w:val="single" w:color="auto" w:sz="4" w:space="0"/>
            </w:tcBorders>
            <w:shd w:val="clear" w:color="auto" w:fill="auto"/>
            <w:noWrap/>
            <w:vAlign w:val="center"/>
          </w:tcPr>
          <w:p w14:paraId="6215BB7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strike w:val="0"/>
                <w:dstrike/>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附件7《履约担保》（格式）、承诺书</w:t>
            </w:r>
          </w:p>
          <w:p w14:paraId="329CF5DA">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见后附文3</w:t>
            </w:r>
            <w:r>
              <w:rPr>
                <w:rFonts w:hint="eastAsia" w:ascii="宋体" w:hAnsi="宋体" w:eastAsia="宋体" w:cs="宋体"/>
                <w:color w:val="auto"/>
                <w:kern w:val="0"/>
                <w:sz w:val="21"/>
                <w:szCs w:val="21"/>
                <w:highlight w:val="none"/>
                <w:lang w:val="en-US" w:eastAsia="zh-CN" w:bidi="ar"/>
              </w:rPr>
              <w:t>）</w:t>
            </w:r>
          </w:p>
        </w:tc>
      </w:tr>
      <w:tr w14:paraId="62F16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7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C808A9">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default" w:ascii="宋体" w:hAnsi="宋体" w:eastAsia="宋体" w:cs="宋体"/>
                <w:color w:val="auto"/>
                <w:kern w:val="0"/>
                <w:sz w:val="21"/>
                <w:szCs w:val="21"/>
                <w:highlight w:val="none"/>
                <w:lang w:eastAsia="zh-CN" w:bidi="ar"/>
              </w:rPr>
              <w:t>4</w:t>
            </w:r>
          </w:p>
        </w:tc>
        <w:tc>
          <w:tcPr>
            <w:tcW w:w="804" w:type="dxa"/>
            <w:tcBorders>
              <w:top w:val="single" w:color="auto" w:sz="4" w:space="0"/>
              <w:left w:val="nil"/>
              <w:bottom w:val="single" w:color="auto" w:sz="4" w:space="0"/>
              <w:right w:val="single" w:color="auto" w:sz="4" w:space="0"/>
            </w:tcBorders>
            <w:shd w:val="clear" w:color="auto" w:fill="auto"/>
            <w:noWrap/>
            <w:vAlign w:val="center"/>
          </w:tcPr>
          <w:p w14:paraId="044B5F63">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附件</w:t>
            </w:r>
            <w:r>
              <w:rPr>
                <w:rFonts w:hint="default" w:ascii="Calibri" w:hAnsi="Calibri" w:eastAsia="宋体" w:cs="Calibri"/>
                <w:color w:val="auto"/>
                <w:kern w:val="2"/>
                <w:sz w:val="21"/>
                <w:szCs w:val="21"/>
                <w:highlight w:val="none"/>
                <w:lang w:val="en-US" w:eastAsia="zh-CN" w:bidi="ar"/>
              </w:rPr>
              <w:t>8</w:t>
            </w:r>
          </w:p>
        </w:tc>
        <w:tc>
          <w:tcPr>
            <w:tcW w:w="666" w:type="dxa"/>
            <w:tcBorders>
              <w:top w:val="single" w:color="auto" w:sz="4" w:space="0"/>
              <w:left w:val="nil"/>
              <w:bottom w:val="single" w:color="auto" w:sz="4" w:space="0"/>
              <w:right w:val="single" w:color="auto" w:sz="4" w:space="0"/>
            </w:tcBorders>
            <w:shd w:val="clear" w:color="auto" w:fill="auto"/>
            <w:noWrap/>
            <w:vAlign w:val="center"/>
          </w:tcPr>
          <w:p w14:paraId="1C9E20B9">
            <w:pPr>
              <w:keepNext w:val="0"/>
              <w:keepLines w:val="0"/>
              <w:widowControl w:val="0"/>
              <w:suppressLineNumbers w:val="0"/>
              <w:adjustRightInd w:val="0"/>
              <w:snapToGrid w:val="0"/>
              <w:spacing w:before="0" w:beforeAutospacing="0" w:after="0" w:afterAutospacing="0"/>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修改</w:t>
            </w:r>
          </w:p>
        </w:tc>
        <w:tc>
          <w:tcPr>
            <w:tcW w:w="3320" w:type="dxa"/>
            <w:tcBorders>
              <w:top w:val="single" w:color="auto" w:sz="4" w:space="0"/>
              <w:left w:val="nil"/>
              <w:bottom w:val="single" w:color="auto" w:sz="4" w:space="0"/>
              <w:right w:val="single" w:color="auto" w:sz="4" w:space="0"/>
            </w:tcBorders>
            <w:shd w:val="clear" w:color="auto" w:fill="auto"/>
            <w:noWrap/>
            <w:vAlign w:val="top"/>
          </w:tcPr>
          <w:p w14:paraId="5106A352">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广州市重点公共建设项目管理中心项目结算资金监督管理协议（格式）</w:t>
            </w:r>
          </w:p>
          <w:p w14:paraId="5B59AD4B">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p>
          <w:p w14:paraId="762F589E">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甲</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方：广州市重点公共建设项目</w:t>
            </w:r>
          </w:p>
          <w:p w14:paraId="17D8D86F">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管理中心</w:t>
            </w:r>
          </w:p>
          <w:p w14:paraId="71204D05">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乙</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方：工程或监理单位</w:t>
            </w:r>
          </w:p>
          <w:p w14:paraId="060BA70E">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丙</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方：监管银行</w:t>
            </w:r>
          </w:p>
          <w:p w14:paraId="39A0F461">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甲</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方：广州市重点公共建设</w:t>
            </w:r>
          </w:p>
          <w:p w14:paraId="1EEB433F">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项目管理中心</w:t>
            </w:r>
          </w:p>
          <w:p w14:paraId="1301FD04">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法定代表人：</w:t>
            </w:r>
          </w:p>
          <w:p w14:paraId="05FF34A7">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委托代理人：</w:t>
            </w:r>
          </w:p>
          <w:p w14:paraId="08AFE464">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地</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址：</w:t>
            </w:r>
          </w:p>
          <w:p w14:paraId="449D772B">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电</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话：</w:t>
            </w:r>
          </w:p>
          <w:p w14:paraId="2A9D72B0">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乙</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方：</w:t>
            </w:r>
          </w:p>
          <w:p w14:paraId="21F5FC1A">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法定代表人：</w:t>
            </w:r>
          </w:p>
          <w:p w14:paraId="5F67FA58">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委托代理人：</w:t>
            </w:r>
          </w:p>
          <w:p w14:paraId="3ABE4AC5">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地</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址：</w:t>
            </w:r>
          </w:p>
          <w:p w14:paraId="7972D544">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电</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话：</w:t>
            </w:r>
          </w:p>
          <w:p w14:paraId="013E3C2F">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丙</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方：监管银行</w:t>
            </w:r>
          </w:p>
          <w:p w14:paraId="5171836E">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法定代表人：</w:t>
            </w:r>
          </w:p>
          <w:p w14:paraId="463B30B7">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委托代理人：</w:t>
            </w:r>
          </w:p>
          <w:p w14:paraId="79B0219A">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地</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址：</w:t>
            </w:r>
          </w:p>
          <w:p w14:paraId="22E14F02">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电</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话：</w:t>
            </w:r>
          </w:p>
          <w:p w14:paraId="6609A7C1">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p>
          <w:p w14:paraId="59108325">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第一章</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总</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则</w:t>
            </w:r>
          </w:p>
          <w:p w14:paraId="1A582317">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乙方因参与广州市重点公共建设</w:t>
            </w:r>
          </w:p>
          <w:p w14:paraId="51B447FB">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项目管理中心的工程项目建设需</w:t>
            </w:r>
          </w:p>
          <w:p w14:paraId="3790723C">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要</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与</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甲</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方</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签</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订</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了合同（以下简称合同），并在丙方开立银行结算账户。</w:t>
            </w:r>
          </w:p>
          <w:p w14:paraId="54E969C8">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本协议订立的宗旨为保障合同项目下工程建设资金安全、专款专用、高效的融通并保障施工人员工</w:t>
            </w:r>
          </w:p>
          <w:p w14:paraId="11BC9E8A">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资及时支付，支持乙方单位财务结</w:t>
            </w:r>
          </w:p>
          <w:p w14:paraId="0BF305FB">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算工作，确保合同的顺利履行。为</w:t>
            </w:r>
          </w:p>
          <w:p w14:paraId="6BABC911">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明确甲、乙、丙三方的权利、义务，</w:t>
            </w:r>
          </w:p>
          <w:p w14:paraId="566F42A2">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根据中华人民共和国相关法律、法</w:t>
            </w:r>
          </w:p>
          <w:p w14:paraId="21A1AE36">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规和合同的规定，经甲、乙、丙三</w:t>
            </w:r>
          </w:p>
          <w:p w14:paraId="52AD51DD">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方在平等、自愿基础上协商一致，</w:t>
            </w:r>
          </w:p>
          <w:p w14:paraId="7D7CA735">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特定立本协议。</w:t>
            </w:r>
          </w:p>
          <w:p w14:paraId="0CB1446E">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第二章</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权利与义务</w:t>
            </w:r>
          </w:p>
          <w:p w14:paraId="2D04F2F9">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第一条</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甲方的权利与义务</w:t>
            </w:r>
          </w:p>
          <w:p w14:paraId="07E3FEFC">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default" w:ascii="Calibri" w:hAnsi="Calibri" w:eastAsia="宋体" w:cs="Calibri"/>
                <w:color w:val="auto"/>
                <w:kern w:val="2"/>
                <w:sz w:val="21"/>
                <w:szCs w:val="21"/>
                <w:highlight w:val="none"/>
                <w:lang w:val="en-US" w:eastAsia="zh-CN" w:bidi="ar"/>
              </w:rPr>
              <w:t>1</w:t>
            </w:r>
            <w:r>
              <w:rPr>
                <w:rFonts w:hint="eastAsia" w:ascii="宋体" w:hAnsi="宋体" w:eastAsia="宋体" w:cs="宋体"/>
                <w:color w:val="auto"/>
                <w:kern w:val="2"/>
                <w:sz w:val="21"/>
                <w:szCs w:val="21"/>
                <w:highlight w:val="none"/>
                <w:lang w:val="en-US" w:eastAsia="zh-CN" w:bidi="ar"/>
              </w:rPr>
              <w:t>、甲方对于合同项目下应拨付给</w:t>
            </w:r>
          </w:p>
          <w:p w14:paraId="10BDEEF5">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乙方的资金，将划拨乙方在丙方所</w:t>
            </w:r>
          </w:p>
          <w:p w14:paraId="2E993822">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开</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立</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的</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账</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户</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内</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账</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号</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为</w:t>
            </w:r>
          </w:p>
          <w:p w14:paraId="0A3DC3C1">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（以下简称指定账号）；</w:t>
            </w:r>
          </w:p>
          <w:p w14:paraId="3598395F">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default" w:ascii="Calibri" w:hAnsi="Calibri" w:eastAsia="宋体" w:cs="Calibri"/>
                <w:color w:val="auto"/>
                <w:kern w:val="2"/>
                <w:sz w:val="21"/>
                <w:szCs w:val="21"/>
                <w:highlight w:val="none"/>
                <w:lang w:val="en-US" w:eastAsia="zh-CN" w:bidi="ar"/>
              </w:rPr>
              <w:t>2</w:t>
            </w:r>
            <w:r>
              <w:rPr>
                <w:rFonts w:hint="eastAsia" w:ascii="宋体" w:hAnsi="宋体" w:eastAsia="宋体" w:cs="宋体"/>
                <w:color w:val="auto"/>
                <w:kern w:val="2"/>
                <w:sz w:val="21"/>
                <w:szCs w:val="21"/>
                <w:highlight w:val="none"/>
                <w:lang w:val="en-US" w:eastAsia="zh-CN" w:bidi="ar"/>
              </w:rPr>
              <w:t>、甲方有权按本协议约定查阅该</w:t>
            </w:r>
          </w:p>
          <w:p w14:paraId="3A48C27E">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指定账号内合同项目下工程建设资金的每时段的收支情况；</w:t>
            </w:r>
          </w:p>
          <w:p w14:paraId="464C24DD">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default" w:ascii="Calibri" w:hAnsi="Calibri" w:eastAsia="宋体" w:cs="Calibri"/>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val="en-US" w:eastAsia="zh-CN" w:bidi="ar"/>
              </w:rPr>
              <w:t>、甲方有权依本协议要求丙方所提供的该指定账号内的数据等信息；</w:t>
            </w:r>
          </w:p>
          <w:p w14:paraId="51B74B48">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default" w:ascii="Calibri" w:hAnsi="Calibri" w:eastAsia="宋体" w:cs="Calibri"/>
                <w:color w:val="auto"/>
                <w:kern w:val="2"/>
                <w:sz w:val="21"/>
                <w:szCs w:val="21"/>
                <w:highlight w:val="none"/>
                <w:lang w:val="en-US" w:eastAsia="zh-CN" w:bidi="ar"/>
              </w:rPr>
              <w:t>4</w:t>
            </w:r>
            <w:r>
              <w:rPr>
                <w:rFonts w:hint="eastAsia" w:ascii="宋体" w:hAnsi="宋体" w:eastAsia="宋体" w:cs="宋体"/>
                <w:color w:val="auto"/>
                <w:kern w:val="2"/>
                <w:sz w:val="21"/>
                <w:szCs w:val="21"/>
                <w:highlight w:val="none"/>
                <w:lang w:val="en-US" w:eastAsia="zh-CN" w:bidi="ar"/>
              </w:rPr>
              <w:t>、甲方对于乙、丙双方各自正常</w:t>
            </w:r>
          </w:p>
          <w:p w14:paraId="2E1D424F">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的业务操作不予干涉；并有义务对</w:t>
            </w:r>
          </w:p>
          <w:p w14:paraId="701DC4B3">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乙方指定账户信息和丙方业务操作内容保密。</w:t>
            </w:r>
          </w:p>
          <w:p w14:paraId="6578D51E">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第二条</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乙方的权利与义务</w:t>
            </w:r>
          </w:p>
          <w:p w14:paraId="1256A97D">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default" w:ascii="Calibri" w:hAnsi="Calibri" w:eastAsia="宋体" w:cs="Calibri"/>
                <w:color w:val="auto"/>
                <w:kern w:val="2"/>
                <w:sz w:val="21"/>
                <w:szCs w:val="21"/>
                <w:highlight w:val="none"/>
                <w:lang w:val="en-US" w:eastAsia="zh-CN" w:bidi="ar"/>
              </w:rPr>
              <w:t>1</w:t>
            </w:r>
            <w:r>
              <w:rPr>
                <w:rFonts w:hint="eastAsia" w:ascii="宋体" w:hAnsi="宋体" w:eastAsia="宋体" w:cs="宋体"/>
                <w:color w:val="auto"/>
                <w:kern w:val="2"/>
                <w:sz w:val="21"/>
                <w:szCs w:val="21"/>
                <w:highlight w:val="none"/>
                <w:lang w:val="en-US" w:eastAsia="zh-CN" w:bidi="ar"/>
              </w:rPr>
              <w:t>、乙方在丙方开立银行结算账户，</w:t>
            </w:r>
          </w:p>
          <w:p w14:paraId="5EFFA045">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享受丙方所提供的优质银行服务；</w:t>
            </w:r>
          </w:p>
          <w:p w14:paraId="228668D9">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default" w:ascii="Calibri" w:hAnsi="Calibri" w:eastAsia="宋体" w:cs="Calibri"/>
                <w:color w:val="auto"/>
                <w:kern w:val="2"/>
                <w:sz w:val="21"/>
                <w:szCs w:val="21"/>
                <w:highlight w:val="none"/>
                <w:lang w:val="en-US" w:eastAsia="zh-CN" w:bidi="ar"/>
              </w:rPr>
              <w:t>2</w:t>
            </w:r>
            <w:r>
              <w:rPr>
                <w:rFonts w:hint="eastAsia" w:ascii="宋体" w:hAnsi="宋体" w:eastAsia="宋体" w:cs="宋体"/>
                <w:color w:val="auto"/>
                <w:kern w:val="2"/>
                <w:sz w:val="21"/>
                <w:szCs w:val="21"/>
                <w:highlight w:val="none"/>
                <w:lang w:val="en-US" w:eastAsia="zh-CN" w:bidi="ar"/>
              </w:rPr>
              <w:t>、乙方有权要求甲、丙双方对其</w:t>
            </w:r>
          </w:p>
          <w:p w14:paraId="695E0450">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指定账户信息除监控需要外严格保密；</w:t>
            </w:r>
          </w:p>
          <w:p w14:paraId="3B9F0E71">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default" w:ascii="Calibri" w:hAnsi="Calibri" w:eastAsia="宋体" w:cs="Calibri"/>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val="en-US" w:eastAsia="zh-CN" w:bidi="ar"/>
              </w:rPr>
              <w:t>、乙方授权丙方对指定账户代表甲方行使监控权，乙方应依据甲方</w:t>
            </w:r>
          </w:p>
          <w:p w14:paraId="2EE50C54">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每次核批工程、监理、设计及各类</w:t>
            </w:r>
          </w:p>
          <w:p w14:paraId="6A70B77D">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款项编制详细用款计划表报送甲方和丙方；</w:t>
            </w:r>
          </w:p>
          <w:p w14:paraId="04DD6C40">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default" w:ascii="Calibri" w:hAnsi="Calibri" w:eastAsia="宋体" w:cs="Calibri"/>
                <w:color w:val="auto"/>
                <w:kern w:val="2"/>
                <w:sz w:val="21"/>
                <w:szCs w:val="21"/>
                <w:highlight w:val="none"/>
                <w:lang w:val="en-US" w:eastAsia="zh-CN" w:bidi="ar"/>
              </w:rPr>
              <w:t>4</w:t>
            </w:r>
            <w:r>
              <w:rPr>
                <w:rFonts w:hint="eastAsia" w:ascii="宋体" w:hAnsi="宋体" w:eastAsia="宋体" w:cs="宋体"/>
                <w:color w:val="auto"/>
                <w:kern w:val="2"/>
                <w:sz w:val="21"/>
                <w:szCs w:val="21"/>
                <w:highlight w:val="none"/>
                <w:lang w:val="en-US" w:eastAsia="zh-CN" w:bidi="ar"/>
              </w:rPr>
              <w:t>、乙方有义务对于甲方所划拨的合同项下资金严格按合同规定用途使用，并在指定账户进行支付结</w:t>
            </w:r>
          </w:p>
          <w:p w14:paraId="1FB71D17">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算，不得转入乙方其他银行账户。</w:t>
            </w:r>
          </w:p>
          <w:p w14:paraId="526E0FF8">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第三条</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丙方的权利与义务</w:t>
            </w:r>
          </w:p>
          <w:p w14:paraId="5709E14A">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default" w:ascii="Calibri" w:hAnsi="Calibri" w:eastAsia="宋体" w:cs="Calibri"/>
                <w:color w:val="auto"/>
                <w:kern w:val="2"/>
                <w:sz w:val="21"/>
                <w:szCs w:val="21"/>
                <w:highlight w:val="none"/>
                <w:lang w:val="en-US" w:eastAsia="zh-CN" w:bidi="ar"/>
              </w:rPr>
              <w:t>1</w:t>
            </w:r>
            <w:r>
              <w:rPr>
                <w:rFonts w:hint="eastAsia" w:ascii="宋体" w:hAnsi="宋体" w:eastAsia="宋体" w:cs="宋体"/>
                <w:color w:val="auto"/>
                <w:kern w:val="2"/>
                <w:sz w:val="21"/>
                <w:szCs w:val="21"/>
                <w:highlight w:val="none"/>
                <w:lang w:val="en-US" w:eastAsia="zh-CN" w:bidi="ar"/>
              </w:rPr>
              <w:t>、丙方有权依本协议规定对指定账户代表甲方实施监控；</w:t>
            </w:r>
          </w:p>
          <w:p w14:paraId="09175B9B">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default" w:ascii="Calibri" w:hAnsi="Calibri" w:eastAsia="宋体" w:cs="Calibri"/>
                <w:color w:val="auto"/>
                <w:kern w:val="2"/>
                <w:sz w:val="21"/>
                <w:szCs w:val="21"/>
                <w:highlight w:val="none"/>
                <w:lang w:val="en-US" w:eastAsia="zh-CN" w:bidi="ar"/>
              </w:rPr>
              <w:t>2</w:t>
            </w:r>
            <w:r>
              <w:rPr>
                <w:rFonts w:hint="eastAsia" w:ascii="宋体" w:hAnsi="宋体" w:eastAsia="宋体" w:cs="宋体"/>
                <w:color w:val="auto"/>
                <w:kern w:val="2"/>
                <w:sz w:val="21"/>
                <w:szCs w:val="21"/>
                <w:highlight w:val="none"/>
                <w:lang w:val="en-US" w:eastAsia="zh-CN" w:bidi="ar"/>
              </w:rPr>
              <w:t>、丙方有权针对具体业务根据丙方业务规定进行审核，并保持与甲、乙双方的密切沟通；</w:t>
            </w:r>
          </w:p>
          <w:p w14:paraId="73B019E8">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default" w:ascii="Calibri" w:hAnsi="Calibri" w:eastAsia="宋体" w:cs="Calibri"/>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val="en-US" w:eastAsia="zh-CN" w:bidi="ar"/>
              </w:rPr>
              <w:t>、丙方有义务为甲、乙双方提供高质量的银行服务，具体服务内容由甲丙、乙丙双方商定；丙方不能以各种理由压单，造成甲方和乙方不必要的损失。若发生此类现象，乙方即可向甲方投诉，经查实，立即取消结算经办行资格；</w:t>
            </w:r>
          </w:p>
          <w:p w14:paraId="7579B01D">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default" w:ascii="Calibri" w:hAnsi="Calibri" w:eastAsia="宋体" w:cs="Calibri"/>
                <w:color w:val="auto"/>
                <w:kern w:val="2"/>
                <w:sz w:val="21"/>
                <w:szCs w:val="21"/>
                <w:highlight w:val="none"/>
                <w:lang w:val="en-US" w:eastAsia="zh-CN" w:bidi="ar"/>
              </w:rPr>
              <w:t>4</w:t>
            </w:r>
            <w:r>
              <w:rPr>
                <w:rFonts w:hint="eastAsia" w:ascii="宋体" w:hAnsi="宋体" w:eastAsia="宋体" w:cs="宋体"/>
                <w:color w:val="auto"/>
                <w:kern w:val="2"/>
                <w:sz w:val="21"/>
                <w:szCs w:val="21"/>
                <w:highlight w:val="none"/>
                <w:lang w:val="en-US" w:eastAsia="zh-CN" w:bidi="ar"/>
              </w:rPr>
              <w:t>、丙方有义务对指定账户信息除甲方监控需要外严格对外保密；</w:t>
            </w:r>
          </w:p>
          <w:p w14:paraId="4F50FB09">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default" w:ascii="Calibri" w:hAnsi="Calibri" w:eastAsia="宋体" w:cs="Calibri"/>
                <w:color w:val="auto"/>
                <w:kern w:val="2"/>
                <w:sz w:val="21"/>
                <w:szCs w:val="21"/>
                <w:highlight w:val="none"/>
                <w:lang w:val="en-US" w:eastAsia="zh-CN" w:bidi="ar"/>
              </w:rPr>
              <w:t>5</w:t>
            </w:r>
            <w:r>
              <w:rPr>
                <w:rFonts w:hint="eastAsia" w:ascii="宋体" w:hAnsi="宋体" w:eastAsia="宋体" w:cs="宋体"/>
                <w:color w:val="auto"/>
                <w:kern w:val="2"/>
                <w:sz w:val="21"/>
                <w:szCs w:val="21"/>
                <w:highlight w:val="none"/>
                <w:lang w:val="en-US" w:eastAsia="zh-CN" w:bidi="ar"/>
              </w:rPr>
              <w:t xml:space="preserve">、丙方应建立乙方序时资金支付备查台账，并由专人负责与经由甲方审核的用款计划核对；每月两期将相关收支情况明细表提交给甲方备查，提交时间为当月 </w:t>
            </w:r>
            <w:r>
              <w:rPr>
                <w:rFonts w:hint="default" w:ascii="Calibri" w:hAnsi="Calibri" w:eastAsia="宋体" w:cs="Calibri"/>
                <w:color w:val="auto"/>
                <w:kern w:val="2"/>
                <w:sz w:val="21"/>
                <w:szCs w:val="21"/>
                <w:highlight w:val="none"/>
                <w:lang w:val="en-US" w:eastAsia="zh-CN" w:bidi="ar"/>
              </w:rPr>
              <w:t xml:space="preserve">20 </w:t>
            </w:r>
            <w:r>
              <w:rPr>
                <w:rFonts w:hint="eastAsia" w:ascii="宋体" w:hAnsi="宋体" w:eastAsia="宋体" w:cs="宋体"/>
                <w:color w:val="auto"/>
                <w:kern w:val="2"/>
                <w:sz w:val="21"/>
                <w:szCs w:val="21"/>
                <w:highlight w:val="none"/>
                <w:lang w:val="en-US" w:eastAsia="zh-CN" w:bidi="ar"/>
              </w:rPr>
              <w:t xml:space="preserve">日和次月的 </w:t>
            </w:r>
            <w:r>
              <w:rPr>
                <w:rFonts w:hint="default" w:ascii="Calibri" w:hAnsi="Calibri" w:eastAsia="宋体" w:cs="Calibri"/>
                <w:color w:val="auto"/>
                <w:kern w:val="2"/>
                <w:sz w:val="21"/>
                <w:szCs w:val="21"/>
                <w:highlight w:val="none"/>
                <w:lang w:val="en-US" w:eastAsia="zh-CN" w:bidi="ar"/>
              </w:rPr>
              <w:t xml:space="preserve">5 </w:t>
            </w:r>
            <w:r>
              <w:rPr>
                <w:rFonts w:hint="eastAsia" w:ascii="宋体" w:hAnsi="宋体" w:eastAsia="宋体" w:cs="宋体"/>
                <w:color w:val="auto"/>
                <w:kern w:val="2"/>
                <w:sz w:val="21"/>
                <w:szCs w:val="21"/>
                <w:highlight w:val="none"/>
                <w:lang w:val="en-US" w:eastAsia="zh-CN" w:bidi="ar"/>
              </w:rPr>
              <w:t>日；对异常支付应即时通知甲方；</w:t>
            </w:r>
          </w:p>
          <w:p w14:paraId="5FBAE055">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第三章</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争议的解决</w:t>
            </w:r>
          </w:p>
          <w:p w14:paraId="504B8759">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第四条</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甲、乙、丙三方在履行本协议过程中所发生的争议，三方首先应友好协商解决；确因协商不成的，以法院诉讼方式解决。</w:t>
            </w:r>
          </w:p>
          <w:p w14:paraId="5978DB44">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第四章</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协议的生效、变更和解除</w:t>
            </w:r>
          </w:p>
          <w:p w14:paraId="01EBC8DB">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第五条</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本协议在有效期内的履行应以不违反中华人民共和国法律和国家有关主管部门的政策、法规为基本前提；本协议与《广州市重点公共建设项目管理办公室工程建设资金拨付管理办法及实施细则》的规定不一致时，应以《广州市重点公共建设项目管理办公室工程建设资金拨付管理办法及实施细则》中规定为准。</w:t>
            </w:r>
          </w:p>
          <w:p w14:paraId="204F44BF">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第六条</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本协议在履行过程中需对协议进行修订、或需解除本协议时，甲、乙、丙任何一方不得单方面执行，均须甲、乙、丙三方协商一致，并达成书面协议。书面协议达成之前，不影响本协议条款效力。</w:t>
            </w:r>
          </w:p>
          <w:p w14:paraId="5859F887">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第七条</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本协议自甲、乙、丙三方法定代表人（或委托代理人）签章并加盖公章后生效。</w:t>
            </w:r>
          </w:p>
          <w:p w14:paraId="6E0706C5">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第八条</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本协议正本一式叁份，三方各执壹份，遵照履行。</w:t>
            </w:r>
          </w:p>
          <w:p w14:paraId="20AD9BDB">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甲方：广州市重点公共建设项目管理中心</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（公章）</w:t>
            </w:r>
          </w:p>
          <w:p w14:paraId="49E487A3">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委</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托</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代</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理</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人</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：（签字）</w:t>
            </w:r>
          </w:p>
          <w:p w14:paraId="12B15341">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乙</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方</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：（公章）</w:t>
            </w:r>
          </w:p>
          <w:p w14:paraId="6BED5ADA">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委</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托</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代</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理</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人</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：（签字）</w:t>
            </w:r>
          </w:p>
          <w:p w14:paraId="457525A5">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丙方：</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监管银行（公章）</w:t>
            </w:r>
          </w:p>
          <w:p w14:paraId="50D590A6">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委</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托</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代</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理</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人</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：（签字）</w:t>
            </w:r>
          </w:p>
          <w:p w14:paraId="6327F897">
            <w:pPr>
              <w:keepNext w:val="0"/>
              <w:keepLines w:val="0"/>
              <w:widowControl w:val="0"/>
              <w:suppressLineNumbers w:val="0"/>
              <w:autoSpaceDE w:val="0"/>
              <w:autoSpaceDN w:val="0"/>
              <w:adjustRightInd w:val="0"/>
              <w:snapToGrid w:val="0"/>
              <w:spacing w:before="0" w:beforeAutospacing="0" w:after="0" w:afterAutospacing="0" w:line="380" w:lineRule="exact"/>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签约时间和地点：</w:t>
            </w:r>
            <w:r>
              <w:rPr>
                <w:rFonts w:hint="default" w:ascii="Calibri" w:hAnsi="Calibri" w:eastAsia="宋体" w:cs="Calibri"/>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年</w:t>
            </w:r>
            <w:r>
              <w:rPr>
                <w:rFonts w:hint="default" w:ascii="Calibri" w:hAnsi="Calibri" w:eastAsia="宋体" w:cs="Calibri"/>
                <w:color w:val="auto"/>
                <w:kern w:val="2"/>
                <w:sz w:val="21"/>
                <w:szCs w:val="21"/>
                <w:highlight w:val="none"/>
                <w:lang w:val="en-US" w:eastAsia="zh-CN" w:bidi="ar"/>
              </w:rPr>
              <w:t> </w:t>
            </w:r>
            <w:r>
              <w:rPr>
                <w:rFonts w:hint="eastAsia" w:ascii="宋体" w:hAnsi="宋体" w:eastAsia="宋体" w:cs="宋体"/>
                <w:color w:val="auto"/>
                <w:kern w:val="2"/>
                <w:sz w:val="21"/>
                <w:szCs w:val="21"/>
                <w:highlight w:val="none"/>
                <w:lang w:val="en-US" w:eastAsia="zh-CN" w:bidi="ar"/>
              </w:rPr>
              <w:t>月 日于广东省广州市</w:t>
            </w:r>
          </w:p>
        </w:tc>
        <w:tc>
          <w:tcPr>
            <w:tcW w:w="3544" w:type="dxa"/>
            <w:tcBorders>
              <w:top w:val="single" w:color="auto" w:sz="4" w:space="0"/>
              <w:left w:val="nil"/>
              <w:bottom w:val="single" w:color="auto" w:sz="4" w:space="0"/>
              <w:right w:val="single" w:color="auto" w:sz="4" w:space="0"/>
            </w:tcBorders>
            <w:shd w:val="clear" w:color="auto" w:fill="auto"/>
            <w:noWrap/>
            <w:vAlign w:val="top"/>
          </w:tcPr>
          <w:p w14:paraId="03180597">
            <w:pPr>
              <w:keepNext w:val="0"/>
              <w:keepLines w:val="0"/>
              <w:widowControl/>
              <w:suppressLineNumbers w:val="0"/>
              <w:spacing w:before="0" w:beforeAutospacing="0" w:after="0" w:afterAutospacing="0" w:line="320" w:lineRule="exact"/>
              <w:ind w:left="0" w:right="0"/>
              <w:jc w:val="center"/>
              <w:outlineLvl w:val="1"/>
              <w:rPr>
                <w:rFonts w:hint="eastAsia" w:ascii="宋体" w:hAnsi="Calibri" w:eastAsia="宋体" w:cs="Times New Roman"/>
                <w:b/>
                <w:bCs w:val="0"/>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广州市重点公共建设项目管理中心</w:t>
            </w:r>
          </w:p>
          <w:p w14:paraId="3F192F85">
            <w:pPr>
              <w:keepNext w:val="0"/>
              <w:keepLines w:val="0"/>
              <w:widowControl/>
              <w:suppressLineNumbers w:val="0"/>
              <w:spacing w:before="0" w:beforeAutospacing="0" w:after="0" w:afterAutospacing="0" w:line="320" w:lineRule="exact"/>
              <w:ind w:left="0" w:right="0"/>
              <w:jc w:val="center"/>
              <w:outlineLvl w:val="1"/>
              <w:rPr>
                <w:rFonts w:hint="default" w:ascii="Calibri" w:hAnsi="Calibri" w:eastAsia="华文新魏" w:cs="Times New Roman"/>
                <w:b/>
                <w:bCs w:val="0"/>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项目建设资金监督管理协议（格式）</w:t>
            </w:r>
          </w:p>
          <w:p w14:paraId="68AE5F5A">
            <w:pPr>
              <w:keepNext w:val="0"/>
              <w:keepLines w:val="0"/>
              <w:widowControl/>
              <w:suppressLineNumbers w:val="0"/>
              <w:spacing w:before="0" w:beforeAutospacing="0" w:after="0" w:afterAutospacing="0" w:line="320" w:lineRule="exact"/>
              <w:ind w:left="0" w:right="0"/>
              <w:jc w:val="center"/>
              <w:rPr>
                <w:rFonts w:hint="default" w:ascii="Calibri" w:hAnsi="Calibri" w:eastAsia="华文新魏" w:cs="Times New Roman"/>
                <w:color w:val="auto"/>
                <w:kern w:val="0"/>
                <w:sz w:val="21"/>
                <w:szCs w:val="21"/>
                <w:highlight w:val="none"/>
              </w:rPr>
            </w:pPr>
          </w:p>
          <w:p w14:paraId="635D720B">
            <w:pPr>
              <w:keepNext w:val="0"/>
              <w:keepLines w:val="0"/>
              <w:widowControl/>
              <w:suppressLineNumbers w:val="0"/>
              <w:spacing w:before="0" w:beforeAutospacing="0" w:after="0" w:afterAutospacing="0" w:line="320" w:lineRule="exact"/>
              <w:ind w:left="1399" w:leftChars="666" w:right="0"/>
              <w:jc w:val="left"/>
              <w:rPr>
                <w:rFonts w:hint="eastAsia" w:ascii="宋体" w:hAnsi="Calibri" w:eastAsia="宋体" w:cs="Times New Roman"/>
                <w:b/>
                <w:bCs w:val="0"/>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甲</w:t>
            </w:r>
            <w:r>
              <w:rPr>
                <w:rFonts w:hint="eastAsia" w:ascii="宋体" w:hAnsi="宋体" w:eastAsia="宋体" w:cs="Times New Roman"/>
                <w:b/>
                <w:bCs w:val="0"/>
                <w:color w:val="auto"/>
                <w:kern w:val="0"/>
                <w:sz w:val="21"/>
                <w:szCs w:val="21"/>
                <w:highlight w:val="none"/>
                <w:lang w:val="en-US" w:eastAsia="zh-CN" w:bidi="ar"/>
              </w:rPr>
              <w:t xml:space="preserve"> </w:t>
            </w:r>
            <w:r>
              <w:rPr>
                <w:rFonts w:hint="eastAsia" w:ascii="宋体" w:hAnsi="宋体" w:eastAsia="宋体" w:cs="宋体"/>
                <w:b/>
                <w:bCs w:val="0"/>
                <w:color w:val="auto"/>
                <w:kern w:val="0"/>
                <w:sz w:val="21"/>
                <w:szCs w:val="21"/>
                <w:highlight w:val="none"/>
                <w:lang w:val="en-US" w:eastAsia="zh-CN" w:bidi="ar"/>
              </w:rPr>
              <w:t>方：广州市重点公共建设项目管理中心</w:t>
            </w:r>
            <w:r>
              <w:rPr>
                <w:rFonts w:hint="eastAsia" w:ascii="宋体" w:hAnsi="Calibri" w:eastAsia="宋体" w:cs="Times New Roman"/>
                <w:b/>
                <w:bCs w:val="0"/>
                <w:color w:val="auto"/>
                <w:kern w:val="0"/>
                <w:sz w:val="21"/>
                <w:szCs w:val="21"/>
                <w:highlight w:val="none"/>
                <w:lang w:val="en-US" w:eastAsia="zh-CN" w:bidi="ar"/>
              </w:rPr>
              <w:br w:type="textWrapping"/>
            </w:r>
            <w:r>
              <w:rPr>
                <w:rFonts w:hint="eastAsia" w:ascii="宋体" w:hAnsi="宋体" w:eastAsia="宋体" w:cs="宋体"/>
                <w:b/>
                <w:bCs w:val="0"/>
                <w:color w:val="auto"/>
                <w:kern w:val="0"/>
                <w:sz w:val="21"/>
                <w:szCs w:val="21"/>
                <w:highlight w:val="none"/>
                <w:lang w:val="en-US" w:eastAsia="zh-CN" w:bidi="ar"/>
              </w:rPr>
              <w:t>乙</w:t>
            </w:r>
            <w:r>
              <w:rPr>
                <w:rFonts w:hint="eastAsia" w:ascii="宋体" w:hAnsi="宋体" w:eastAsia="宋体" w:cs="Times New Roman"/>
                <w:b/>
                <w:bCs w:val="0"/>
                <w:color w:val="auto"/>
                <w:kern w:val="0"/>
                <w:sz w:val="21"/>
                <w:szCs w:val="21"/>
                <w:highlight w:val="none"/>
                <w:lang w:val="en-US" w:eastAsia="zh-CN" w:bidi="ar"/>
              </w:rPr>
              <w:t xml:space="preserve"> </w:t>
            </w:r>
            <w:r>
              <w:rPr>
                <w:rFonts w:hint="eastAsia" w:ascii="宋体" w:hAnsi="宋体" w:eastAsia="宋体" w:cs="宋体"/>
                <w:b/>
                <w:bCs w:val="0"/>
                <w:color w:val="auto"/>
                <w:kern w:val="0"/>
                <w:sz w:val="21"/>
                <w:szCs w:val="21"/>
                <w:highlight w:val="none"/>
                <w:lang w:val="en-US" w:eastAsia="zh-CN" w:bidi="ar"/>
              </w:rPr>
              <w:t>方：</w:t>
            </w:r>
          </w:p>
          <w:p w14:paraId="42435BFC">
            <w:pPr>
              <w:keepNext w:val="0"/>
              <w:keepLines w:val="0"/>
              <w:widowControl/>
              <w:suppressLineNumbers w:val="0"/>
              <w:spacing w:before="0" w:beforeAutospacing="0" w:after="0" w:afterAutospacing="0" w:line="320" w:lineRule="exact"/>
              <w:ind w:left="1399" w:leftChars="666" w:right="0"/>
              <w:jc w:val="left"/>
              <w:rPr>
                <w:rFonts w:hint="eastAsia" w:ascii="宋体" w:hAnsi="宋体" w:eastAsia="华文新魏" w:cs="Times New Roman"/>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丙</w:t>
            </w:r>
            <w:r>
              <w:rPr>
                <w:rFonts w:hint="eastAsia" w:ascii="宋体" w:hAnsi="宋体" w:eastAsia="宋体" w:cs="Times New Roman"/>
                <w:b/>
                <w:bCs w:val="0"/>
                <w:color w:val="auto"/>
                <w:kern w:val="0"/>
                <w:sz w:val="21"/>
                <w:szCs w:val="21"/>
                <w:highlight w:val="none"/>
                <w:lang w:val="en-US" w:eastAsia="zh-CN" w:bidi="ar"/>
              </w:rPr>
              <w:t xml:space="preserve"> </w:t>
            </w:r>
            <w:r>
              <w:rPr>
                <w:rFonts w:hint="eastAsia" w:ascii="宋体" w:hAnsi="宋体" w:eastAsia="宋体" w:cs="宋体"/>
                <w:b/>
                <w:bCs w:val="0"/>
                <w:color w:val="auto"/>
                <w:kern w:val="0"/>
                <w:sz w:val="21"/>
                <w:szCs w:val="21"/>
                <w:highlight w:val="none"/>
                <w:lang w:val="en-US" w:eastAsia="zh-CN" w:bidi="ar"/>
              </w:rPr>
              <w:t>方：监管银行</w:t>
            </w:r>
          </w:p>
          <w:p w14:paraId="7AE0757B">
            <w:pPr>
              <w:keepNext w:val="0"/>
              <w:keepLines w:val="0"/>
              <w:widowControl/>
              <w:suppressLineNumbers w:val="0"/>
              <w:spacing w:before="0" w:beforeAutospacing="0" w:after="0" w:afterAutospacing="0" w:line="320" w:lineRule="exact"/>
              <w:ind w:left="0" w:right="0" w:firstLine="1050" w:firstLineChars="500"/>
              <w:jc w:val="both"/>
              <w:rPr>
                <w:rFonts w:hint="eastAsia" w:ascii="宋体" w:hAnsi="宋体" w:eastAsia="华文新魏" w:cs="Times New Roman"/>
                <w:color w:val="auto"/>
                <w:kern w:val="0"/>
                <w:sz w:val="21"/>
                <w:szCs w:val="21"/>
                <w:highlight w:val="none"/>
              </w:rPr>
            </w:pPr>
          </w:p>
          <w:p w14:paraId="7933B8AF">
            <w:pPr>
              <w:keepNext w:val="0"/>
              <w:keepLines w:val="0"/>
              <w:widowControl w:val="0"/>
              <w:suppressLineNumbers w:val="0"/>
              <w:spacing w:before="0" w:beforeAutospacing="0" w:after="0" w:afterAutospacing="0" w:line="320" w:lineRule="exact"/>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甲</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方：广州市重点公共建设项目管理中心</w:t>
            </w:r>
          </w:p>
          <w:p w14:paraId="1CE41F1C">
            <w:pPr>
              <w:keepNext w:val="0"/>
              <w:keepLines w:val="0"/>
              <w:widowControl w:val="0"/>
              <w:suppressLineNumbers w:val="0"/>
              <w:spacing w:before="0" w:beforeAutospacing="0" w:after="0" w:afterAutospacing="0" w:line="320" w:lineRule="exact"/>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法定代表人：</w:t>
            </w:r>
          </w:p>
          <w:p w14:paraId="1C9B93A8">
            <w:pPr>
              <w:keepNext w:val="0"/>
              <w:keepLines w:val="0"/>
              <w:widowControl w:val="0"/>
              <w:suppressLineNumbers w:val="0"/>
              <w:spacing w:before="0" w:beforeAutospacing="0" w:after="0" w:afterAutospacing="0" w:line="320" w:lineRule="exact"/>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授权代理人：</w:t>
            </w:r>
          </w:p>
          <w:p w14:paraId="1293AE14">
            <w:pPr>
              <w:keepNext w:val="0"/>
              <w:keepLines w:val="0"/>
              <w:widowControl w:val="0"/>
              <w:suppressLineNumbers w:val="0"/>
              <w:spacing w:before="0" w:beforeAutospacing="0" w:after="0" w:afterAutospacing="0" w:line="320" w:lineRule="exact"/>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地</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址：</w:t>
            </w:r>
          </w:p>
          <w:p w14:paraId="05D1218A">
            <w:pPr>
              <w:keepNext w:val="0"/>
              <w:keepLines w:val="0"/>
              <w:widowControl w:val="0"/>
              <w:suppressLineNumbers w:val="0"/>
              <w:spacing w:before="0" w:beforeAutospacing="0" w:after="0" w:afterAutospacing="0" w:line="320" w:lineRule="exact"/>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电</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话：</w:t>
            </w:r>
          </w:p>
          <w:p w14:paraId="344118EF">
            <w:pPr>
              <w:keepNext w:val="0"/>
              <w:keepLines w:val="0"/>
              <w:widowControl w:val="0"/>
              <w:suppressLineNumbers w:val="0"/>
              <w:spacing w:before="0" w:beforeAutospacing="0" w:after="0" w:afterAutospacing="0" w:line="320" w:lineRule="exact"/>
              <w:ind w:left="0" w:right="0"/>
              <w:jc w:val="both"/>
              <w:rPr>
                <w:rFonts w:hint="eastAsia" w:ascii="宋体" w:hAnsi="Calibri" w:eastAsia="宋体" w:cs="Times New Roman"/>
                <w:color w:val="auto"/>
                <w:kern w:val="2"/>
                <w:sz w:val="21"/>
                <w:szCs w:val="21"/>
                <w:highlight w:val="none"/>
              </w:rPr>
            </w:pPr>
          </w:p>
          <w:p w14:paraId="413E2F52">
            <w:pPr>
              <w:keepNext w:val="0"/>
              <w:keepLines w:val="0"/>
              <w:widowControl w:val="0"/>
              <w:suppressLineNumbers w:val="0"/>
              <w:spacing w:before="0" w:beforeAutospacing="0" w:after="0" w:afterAutospacing="0" w:line="320" w:lineRule="exact"/>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乙</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方：</w:t>
            </w:r>
          </w:p>
          <w:p w14:paraId="24EFF956">
            <w:pPr>
              <w:keepNext w:val="0"/>
              <w:keepLines w:val="0"/>
              <w:widowControl w:val="0"/>
              <w:suppressLineNumbers w:val="0"/>
              <w:spacing w:before="0" w:beforeAutospacing="0" w:after="0" w:afterAutospacing="0" w:line="320" w:lineRule="exact"/>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法定代表人：</w:t>
            </w:r>
          </w:p>
          <w:p w14:paraId="35A4A05A">
            <w:pPr>
              <w:keepNext w:val="0"/>
              <w:keepLines w:val="0"/>
              <w:widowControl w:val="0"/>
              <w:suppressLineNumbers w:val="0"/>
              <w:spacing w:before="0" w:beforeAutospacing="0" w:after="0" w:afterAutospacing="0" w:line="320" w:lineRule="exact"/>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授权代理人：</w:t>
            </w:r>
          </w:p>
          <w:p w14:paraId="302E18F1">
            <w:pPr>
              <w:keepNext w:val="0"/>
              <w:keepLines w:val="0"/>
              <w:widowControl w:val="0"/>
              <w:suppressLineNumbers w:val="0"/>
              <w:spacing w:before="0" w:beforeAutospacing="0" w:after="0" w:afterAutospacing="0" w:line="320" w:lineRule="exact"/>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地</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址：</w:t>
            </w:r>
          </w:p>
          <w:p w14:paraId="5776AECA">
            <w:pPr>
              <w:keepNext w:val="0"/>
              <w:keepLines w:val="0"/>
              <w:widowControl w:val="0"/>
              <w:suppressLineNumbers w:val="0"/>
              <w:spacing w:before="0" w:beforeAutospacing="0" w:after="0" w:afterAutospacing="0" w:line="320" w:lineRule="exact"/>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电</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话：</w:t>
            </w:r>
          </w:p>
          <w:p w14:paraId="69028A31">
            <w:pPr>
              <w:keepNext w:val="0"/>
              <w:keepLines w:val="0"/>
              <w:widowControl w:val="0"/>
              <w:suppressLineNumbers w:val="0"/>
              <w:spacing w:before="0" w:beforeAutospacing="0" w:after="0" w:afterAutospacing="0" w:line="320" w:lineRule="exact"/>
              <w:ind w:left="0" w:right="0"/>
              <w:jc w:val="both"/>
              <w:rPr>
                <w:rFonts w:hint="eastAsia" w:ascii="宋体" w:hAnsi="Calibri" w:eastAsia="宋体" w:cs="Times New Roman"/>
                <w:color w:val="auto"/>
                <w:kern w:val="2"/>
                <w:sz w:val="21"/>
                <w:szCs w:val="21"/>
                <w:highlight w:val="none"/>
              </w:rPr>
            </w:pPr>
          </w:p>
          <w:p w14:paraId="24B5737E">
            <w:pPr>
              <w:keepNext w:val="0"/>
              <w:keepLines w:val="0"/>
              <w:widowControl w:val="0"/>
              <w:suppressLineNumbers w:val="0"/>
              <w:spacing w:before="0" w:beforeAutospacing="0" w:after="0" w:afterAutospacing="0" w:line="320" w:lineRule="exact"/>
              <w:ind w:left="0" w:right="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丙</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方（监管银行）：</w:t>
            </w:r>
            <w:r>
              <w:rPr>
                <w:rFonts w:hint="eastAsia" w:ascii="宋体" w:hAnsi="宋体" w:eastAsia="宋体" w:cs="Times New Roman"/>
                <w:color w:val="auto"/>
                <w:kern w:val="2"/>
                <w:sz w:val="21"/>
                <w:szCs w:val="21"/>
                <w:highlight w:val="none"/>
                <w:lang w:val="en-US" w:eastAsia="zh-CN" w:bidi="ar"/>
              </w:rPr>
              <w:t xml:space="preserve"> </w:t>
            </w:r>
          </w:p>
          <w:p w14:paraId="523BCED3">
            <w:pPr>
              <w:keepNext w:val="0"/>
              <w:keepLines w:val="0"/>
              <w:widowControl w:val="0"/>
              <w:suppressLineNumbers w:val="0"/>
              <w:spacing w:before="0" w:beforeAutospacing="0" w:after="0" w:afterAutospacing="0" w:line="320" w:lineRule="exact"/>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法定代表人：</w:t>
            </w:r>
          </w:p>
          <w:p w14:paraId="500F57D8">
            <w:pPr>
              <w:keepNext w:val="0"/>
              <w:keepLines w:val="0"/>
              <w:widowControl w:val="0"/>
              <w:suppressLineNumbers w:val="0"/>
              <w:spacing w:before="0" w:beforeAutospacing="0" w:after="0" w:afterAutospacing="0" w:line="320" w:lineRule="exact"/>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授权代理人：</w:t>
            </w:r>
          </w:p>
          <w:p w14:paraId="559BA626">
            <w:pPr>
              <w:keepNext w:val="0"/>
              <w:keepLines w:val="0"/>
              <w:widowControl w:val="0"/>
              <w:suppressLineNumbers w:val="0"/>
              <w:spacing w:before="0" w:beforeAutospacing="0" w:after="0" w:afterAutospacing="0" w:line="320" w:lineRule="exact"/>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地</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址：</w:t>
            </w:r>
          </w:p>
          <w:p w14:paraId="7AE91E13">
            <w:pPr>
              <w:keepNext w:val="0"/>
              <w:keepLines w:val="0"/>
              <w:widowControl w:val="0"/>
              <w:suppressLineNumbers w:val="0"/>
              <w:spacing w:before="0" w:beforeAutospacing="0" w:after="0" w:afterAutospacing="0" w:line="320" w:lineRule="exact"/>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电</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话：</w:t>
            </w:r>
          </w:p>
          <w:p w14:paraId="6492ADE4">
            <w:pPr>
              <w:keepNext w:val="0"/>
              <w:keepLines w:val="0"/>
              <w:widowControl w:val="0"/>
              <w:suppressLineNumbers w:val="0"/>
              <w:spacing w:before="0" w:beforeAutospacing="0" w:after="0" w:afterAutospacing="0" w:line="320" w:lineRule="exact"/>
              <w:ind w:left="0" w:right="0"/>
              <w:jc w:val="center"/>
              <w:rPr>
                <w:rFonts w:hint="eastAsia" w:ascii="宋体" w:hAnsi="Calibri" w:eastAsia="宋体" w:cs="Times New Roman"/>
                <w:b/>
                <w:color w:val="auto"/>
                <w:kern w:val="2"/>
                <w:sz w:val="21"/>
                <w:szCs w:val="21"/>
                <w:highlight w:val="none"/>
              </w:rPr>
            </w:pPr>
            <w:r>
              <w:rPr>
                <w:rFonts w:hint="eastAsia" w:ascii="宋体" w:hAnsi="宋体" w:eastAsia="宋体" w:cs="宋体"/>
                <w:b/>
                <w:color w:val="auto"/>
                <w:kern w:val="2"/>
                <w:sz w:val="21"/>
                <w:szCs w:val="21"/>
                <w:highlight w:val="none"/>
                <w:lang w:val="en-US" w:eastAsia="zh-CN" w:bidi="ar"/>
              </w:rPr>
              <w:t>第一章</w:t>
            </w:r>
            <w:r>
              <w:rPr>
                <w:rFonts w:hint="eastAsia" w:ascii="宋体" w:hAnsi="宋体" w:eastAsia="宋体" w:cs="Times New Roman"/>
                <w:b/>
                <w:color w:val="auto"/>
                <w:kern w:val="2"/>
                <w:sz w:val="21"/>
                <w:szCs w:val="21"/>
                <w:highlight w:val="none"/>
                <w:lang w:val="en-US" w:eastAsia="zh-CN" w:bidi="ar"/>
              </w:rPr>
              <w:t xml:space="preserve">  </w:t>
            </w:r>
            <w:r>
              <w:rPr>
                <w:rFonts w:hint="eastAsia" w:ascii="宋体" w:hAnsi="宋体" w:eastAsia="宋体" w:cs="宋体"/>
                <w:b/>
                <w:color w:val="auto"/>
                <w:kern w:val="2"/>
                <w:sz w:val="21"/>
                <w:szCs w:val="21"/>
                <w:highlight w:val="none"/>
                <w:lang w:val="en-US" w:eastAsia="zh-CN" w:bidi="ar"/>
              </w:rPr>
              <w:t>总</w:t>
            </w:r>
            <w:r>
              <w:rPr>
                <w:rFonts w:hint="eastAsia" w:ascii="宋体" w:hAnsi="宋体" w:eastAsia="宋体" w:cs="Times New Roman"/>
                <w:b/>
                <w:color w:val="auto"/>
                <w:kern w:val="2"/>
                <w:sz w:val="21"/>
                <w:szCs w:val="21"/>
                <w:highlight w:val="none"/>
                <w:lang w:val="en-US" w:eastAsia="zh-CN" w:bidi="ar"/>
              </w:rPr>
              <w:t xml:space="preserve">    </w:t>
            </w:r>
            <w:r>
              <w:rPr>
                <w:rFonts w:hint="eastAsia" w:ascii="宋体" w:hAnsi="宋体" w:eastAsia="宋体" w:cs="宋体"/>
                <w:b/>
                <w:color w:val="auto"/>
                <w:kern w:val="2"/>
                <w:sz w:val="21"/>
                <w:szCs w:val="21"/>
                <w:highlight w:val="none"/>
                <w:lang w:val="en-US" w:eastAsia="zh-CN" w:bidi="ar"/>
              </w:rPr>
              <w:t>则</w:t>
            </w:r>
          </w:p>
          <w:p w14:paraId="1E0AEA2F">
            <w:pPr>
              <w:keepNext w:val="0"/>
              <w:keepLines w:val="0"/>
              <w:widowControl w:val="0"/>
              <w:suppressLineNumbers w:val="0"/>
              <w:spacing w:before="0" w:beforeAutospacing="0" w:after="0" w:afterAutospacing="0" w:line="320" w:lineRule="exact"/>
              <w:ind w:left="0" w:right="0" w:firstLine="420" w:firstLineChars="20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乙方因参与广州市重点公共建设项目管理中心的工程项目建设需要，与甲方签订了</w:t>
            </w:r>
            <w:r>
              <w:rPr>
                <w:rFonts w:hint="eastAsia" w:ascii="宋体" w:hAnsi="宋体" w:eastAsia="宋体" w:cs="Times New Roman"/>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合同（以下简称合同），并在丙方开立银行结算账户。</w:t>
            </w:r>
          </w:p>
          <w:p w14:paraId="5D0DA8A4">
            <w:pPr>
              <w:keepNext w:val="0"/>
              <w:keepLines w:val="0"/>
              <w:widowControl w:val="0"/>
              <w:suppressLineNumbers w:val="0"/>
              <w:spacing w:before="0" w:beforeAutospacing="0" w:after="0" w:afterAutospacing="0" w:line="320" w:lineRule="exact"/>
              <w:ind w:left="0" w:right="0" w:firstLine="420" w:firstLineChars="20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本协议订立的宗旨为保障合同项目下工程建设资金安全、专款专用、高效使用，确保合同的顺利履行。为明确甲、乙、丙三方的权利、义务，根据中华人民共和国相关法律、法规和合同的规定，经甲、乙、丙三方在平等、自愿基础上协商一致，特定立本协议。</w:t>
            </w:r>
          </w:p>
          <w:p w14:paraId="08377CF2">
            <w:pPr>
              <w:keepNext w:val="0"/>
              <w:keepLines w:val="0"/>
              <w:widowControl w:val="0"/>
              <w:suppressLineNumbers w:val="0"/>
              <w:spacing w:before="0" w:beforeAutospacing="0" w:after="0" w:afterAutospacing="0" w:line="320" w:lineRule="exact"/>
              <w:ind w:left="0" w:right="0"/>
              <w:jc w:val="center"/>
              <w:rPr>
                <w:rFonts w:hint="eastAsia" w:ascii="宋体" w:hAnsi="Calibri" w:eastAsia="宋体" w:cs="Times New Roman"/>
                <w:b/>
                <w:color w:val="auto"/>
                <w:kern w:val="2"/>
                <w:sz w:val="21"/>
                <w:szCs w:val="21"/>
                <w:highlight w:val="none"/>
              </w:rPr>
            </w:pPr>
            <w:r>
              <w:rPr>
                <w:rFonts w:hint="eastAsia" w:ascii="宋体" w:hAnsi="宋体" w:eastAsia="宋体" w:cs="宋体"/>
                <w:b/>
                <w:color w:val="auto"/>
                <w:kern w:val="2"/>
                <w:sz w:val="21"/>
                <w:szCs w:val="21"/>
                <w:highlight w:val="none"/>
                <w:lang w:val="en-US" w:eastAsia="zh-CN" w:bidi="ar"/>
              </w:rPr>
              <w:t>第二章</w:t>
            </w:r>
            <w:r>
              <w:rPr>
                <w:rFonts w:hint="eastAsia" w:ascii="宋体" w:hAnsi="宋体" w:eastAsia="宋体" w:cs="Times New Roman"/>
                <w:b/>
                <w:color w:val="auto"/>
                <w:kern w:val="2"/>
                <w:sz w:val="21"/>
                <w:szCs w:val="21"/>
                <w:highlight w:val="none"/>
                <w:lang w:val="en-US" w:eastAsia="zh-CN" w:bidi="ar"/>
              </w:rPr>
              <w:t xml:space="preserve">  </w:t>
            </w:r>
            <w:r>
              <w:rPr>
                <w:rFonts w:hint="eastAsia" w:ascii="宋体" w:hAnsi="宋体" w:eastAsia="宋体" w:cs="宋体"/>
                <w:b/>
                <w:color w:val="auto"/>
                <w:kern w:val="2"/>
                <w:sz w:val="21"/>
                <w:szCs w:val="21"/>
                <w:highlight w:val="none"/>
                <w:lang w:val="en-US" w:eastAsia="zh-CN" w:bidi="ar"/>
              </w:rPr>
              <w:t>权利与义务</w:t>
            </w:r>
          </w:p>
          <w:p w14:paraId="3C7630B9">
            <w:pPr>
              <w:keepNext w:val="0"/>
              <w:keepLines w:val="0"/>
              <w:widowControl w:val="0"/>
              <w:suppressLineNumbers w:val="0"/>
              <w:spacing w:before="0" w:beforeAutospacing="0" w:after="0" w:afterAutospacing="0" w:line="320" w:lineRule="exact"/>
              <w:ind w:left="0" w:right="0" w:firstLine="420" w:firstLineChars="20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第一条</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甲方的权利与义务</w:t>
            </w:r>
          </w:p>
          <w:p w14:paraId="2D636F15">
            <w:pPr>
              <w:keepNext w:val="0"/>
              <w:keepLines w:val="0"/>
              <w:widowControl w:val="0"/>
              <w:suppressLineNumbers w:val="0"/>
              <w:spacing w:before="0" w:beforeAutospacing="0" w:after="0" w:afterAutospacing="0" w:line="320" w:lineRule="exact"/>
              <w:ind w:left="0" w:right="0" w:firstLine="420" w:firstLineChars="200"/>
              <w:jc w:val="both"/>
              <w:rPr>
                <w:rFonts w:hint="eastAsia" w:ascii="宋体" w:hAnsi="Calibri"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1</w:t>
            </w:r>
            <w:r>
              <w:rPr>
                <w:rFonts w:hint="eastAsia" w:ascii="宋体" w:hAnsi="宋体" w:eastAsia="宋体" w:cs="宋体"/>
                <w:color w:val="auto"/>
                <w:kern w:val="2"/>
                <w:sz w:val="21"/>
                <w:szCs w:val="21"/>
                <w:highlight w:val="none"/>
                <w:lang w:val="en-US" w:eastAsia="zh-CN" w:bidi="ar"/>
              </w:rPr>
              <w:t>、甲方对于合同项目下应拨付给乙方的资金，将划拨至乙方在丙方所开立的账户内，账号为</w:t>
            </w:r>
            <w:r>
              <w:rPr>
                <w:rFonts w:hint="eastAsia" w:ascii="宋体" w:hAnsi="宋体" w:eastAsia="宋体" w:cs="Times New Roman"/>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（以下简称指定账号）；</w:t>
            </w:r>
          </w:p>
          <w:p w14:paraId="330A0ABD">
            <w:pPr>
              <w:keepNext w:val="0"/>
              <w:keepLines w:val="0"/>
              <w:widowControl w:val="0"/>
              <w:suppressLineNumbers w:val="0"/>
              <w:spacing w:before="0" w:beforeAutospacing="0" w:after="0" w:afterAutospacing="0" w:line="320" w:lineRule="exact"/>
              <w:ind w:left="0" w:right="0" w:firstLine="420" w:firstLineChars="200"/>
              <w:jc w:val="both"/>
              <w:rPr>
                <w:rFonts w:hint="eastAsia" w:ascii="宋体" w:hAnsi="Calibri"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2</w:t>
            </w:r>
            <w:r>
              <w:rPr>
                <w:rFonts w:hint="eastAsia" w:ascii="宋体" w:hAnsi="宋体" w:eastAsia="宋体" w:cs="宋体"/>
                <w:color w:val="auto"/>
                <w:kern w:val="2"/>
                <w:sz w:val="21"/>
                <w:szCs w:val="21"/>
                <w:highlight w:val="none"/>
                <w:lang w:val="en-US" w:eastAsia="zh-CN" w:bidi="ar"/>
              </w:rPr>
              <w:t>、甲方有权按本协议约定查阅该指定账号内合同项目下工程建设资金的每时段的收支情况；</w:t>
            </w:r>
          </w:p>
          <w:p w14:paraId="4FDA604C">
            <w:pPr>
              <w:keepNext w:val="0"/>
              <w:keepLines w:val="0"/>
              <w:widowControl w:val="0"/>
              <w:suppressLineNumbers w:val="0"/>
              <w:spacing w:before="0" w:beforeAutospacing="0" w:after="0" w:afterAutospacing="0" w:line="320" w:lineRule="exact"/>
              <w:ind w:left="0" w:right="0" w:firstLine="420" w:firstLineChars="200"/>
              <w:jc w:val="both"/>
              <w:rPr>
                <w:rFonts w:hint="eastAsia" w:ascii="宋体" w:hAnsi="Calibri"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val="en-US" w:eastAsia="zh-CN" w:bidi="ar"/>
              </w:rPr>
              <w:t>、甲方有权依本协议要求丙方提供该指定账号内的数据等信息；</w:t>
            </w:r>
          </w:p>
          <w:p w14:paraId="71329B9B">
            <w:pPr>
              <w:keepNext w:val="0"/>
              <w:keepLines w:val="0"/>
              <w:widowControl w:val="0"/>
              <w:suppressLineNumbers w:val="0"/>
              <w:spacing w:before="0" w:beforeAutospacing="0" w:after="0" w:afterAutospacing="0" w:line="320" w:lineRule="exact"/>
              <w:ind w:left="0" w:right="0" w:firstLine="420" w:firstLineChars="200"/>
              <w:jc w:val="both"/>
              <w:rPr>
                <w:rFonts w:hint="eastAsia" w:ascii="宋体" w:hAnsi="Calibri"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4</w:t>
            </w:r>
            <w:r>
              <w:rPr>
                <w:rFonts w:hint="eastAsia" w:ascii="宋体" w:hAnsi="宋体" w:eastAsia="宋体" w:cs="宋体"/>
                <w:color w:val="auto"/>
                <w:kern w:val="2"/>
                <w:sz w:val="21"/>
                <w:szCs w:val="21"/>
                <w:highlight w:val="none"/>
                <w:lang w:val="en-US" w:eastAsia="zh-CN" w:bidi="ar"/>
              </w:rPr>
              <w:t>、甲方对于乙、丙双方各自正常的业务操作不予干涉；并有义务对乙方指定账户信息和丙方业务操作内容保密。</w:t>
            </w:r>
          </w:p>
          <w:p w14:paraId="75C2B1BA">
            <w:pPr>
              <w:keepNext w:val="0"/>
              <w:keepLines w:val="0"/>
              <w:widowControl w:val="0"/>
              <w:suppressLineNumbers w:val="0"/>
              <w:spacing w:before="0" w:beforeAutospacing="0" w:after="0" w:afterAutospacing="0" w:line="320" w:lineRule="exact"/>
              <w:ind w:left="0" w:right="0" w:firstLine="420" w:firstLineChars="200"/>
              <w:jc w:val="both"/>
              <w:rPr>
                <w:rFonts w:hint="eastAsia" w:ascii="宋体" w:hAnsi="Calibri"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5</w:t>
            </w:r>
            <w:r>
              <w:rPr>
                <w:rFonts w:hint="eastAsia" w:ascii="宋体" w:hAnsi="宋体" w:eastAsia="宋体" w:cs="宋体"/>
                <w:color w:val="auto"/>
                <w:kern w:val="2"/>
                <w:sz w:val="21"/>
                <w:szCs w:val="21"/>
                <w:highlight w:val="none"/>
                <w:lang w:val="en-US" w:eastAsia="zh-CN" w:bidi="ar"/>
              </w:rPr>
              <w:t>、甲方应按照《广州市重点公共建设项目管理中心建设资金拨付监督管理办法（修订）》规定及时审核乙方提交的详细用款计划，出具盖章确认的《工程建设资金使用计划确认表》作为丙方审核指定账号资金支出的依据。</w:t>
            </w:r>
          </w:p>
          <w:p w14:paraId="7DDBE443">
            <w:pPr>
              <w:keepNext w:val="0"/>
              <w:keepLines w:val="0"/>
              <w:widowControl w:val="0"/>
              <w:suppressLineNumbers w:val="0"/>
              <w:spacing w:before="0" w:beforeAutospacing="0" w:after="0" w:afterAutospacing="0" w:line="320" w:lineRule="exact"/>
              <w:ind w:left="0" w:right="0" w:firstLine="420" w:firstLineChars="200"/>
              <w:jc w:val="both"/>
              <w:rPr>
                <w:rFonts w:hint="eastAsia" w:ascii="宋体" w:hAnsi="Calibri"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6</w:t>
            </w:r>
            <w:r>
              <w:rPr>
                <w:rFonts w:hint="eastAsia" w:ascii="宋体" w:hAnsi="宋体" w:eastAsia="宋体" w:cs="宋体"/>
                <w:color w:val="auto"/>
                <w:kern w:val="2"/>
                <w:sz w:val="21"/>
                <w:szCs w:val="21"/>
                <w:highlight w:val="none"/>
                <w:lang w:val="en-US" w:eastAsia="zh-CN" w:bidi="ar"/>
              </w:rPr>
              <w:t>、甲方如发现乙方涉及重大诉讼、存在失信、违反规定用途转款、用款或其他可能危害指定账号资金安全的行为时，甲方有权通知丙方合法依规进行处理，确保资金安全。由此造成的乙方的损失，甲、丙方不承担任何责任。</w:t>
            </w:r>
          </w:p>
          <w:p w14:paraId="2AAE20A1">
            <w:pPr>
              <w:keepNext w:val="0"/>
              <w:keepLines w:val="0"/>
              <w:widowControl w:val="0"/>
              <w:suppressLineNumbers w:val="0"/>
              <w:spacing w:before="0" w:beforeAutospacing="0" w:after="0" w:afterAutospacing="0" w:line="320" w:lineRule="exact"/>
              <w:ind w:left="0" w:right="0" w:firstLine="420" w:firstLineChars="20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第二条</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乙方的权利与义务</w:t>
            </w:r>
          </w:p>
          <w:p w14:paraId="6EA74C10">
            <w:pPr>
              <w:keepNext w:val="0"/>
              <w:keepLines w:val="0"/>
              <w:widowControl w:val="0"/>
              <w:suppressLineNumbers w:val="0"/>
              <w:spacing w:before="0" w:beforeAutospacing="0" w:after="0" w:afterAutospacing="0" w:line="320" w:lineRule="exact"/>
              <w:ind w:left="0" w:right="0" w:firstLine="420" w:firstLineChars="200"/>
              <w:jc w:val="both"/>
              <w:rPr>
                <w:rFonts w:hint="eastAsia" w:ascii="宋体" w:hAnsi="Calibri"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1</w:t>
            </w:r>
            <w:r>
              <w:rPr>
                <w:rFonts w:hint="eastAsia" w:ascii="宋体" w:hAnsi="宋体" w:eastAsia="宋体" w:cs="宋体"/>
                <w:color w:val="auto"/>
                <w:kern w:val="2"/>
                <w:sz w:val="21"/>
                <w:szCs w:val="21"/>
                <w:highlight w:val="none"/>
                <w:lang w:val="en-US" w:eastAsia="zh-CN" w:bidi="ar"/>
              </w:rPr>
              <w:t>、乙方在丙方开立银行结算账户，享受丙方所提供的优质银行服务；</w:t>
            </w:r>
          </w:p>
          <w:p w14:paraId="3CEE791E">
            <w:pPr>
              <w:keepNext w:val="0"/>
              <w:keepLines w:val="0"/>
              <w:widowControl w:val="0"/>
              <w:suppressLineNumbers w:val="0"/>
              <w:spacing w:before="0" w:beforeAutospacing="0" w:after="0" w:afterAutospacing="0" w:line="320" w:lineRule="exact"/>
              <w:ind w:left="0" w:right="0" w:firstLine="420" w:firstLineChars="200"/>
              <w:jc w:val="both"/>
              <w:rPr>
                <w:rFonts w:hint="eastAsia" w:ascii="宋体" w:hAnsi="Calibri"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2</w:t>
            </w:r>
            <w:r>
              <w:rPr>
                <w:rFonts w:hint="eastAsia" w:ascii="宋体" w:hAnsi="宋体" w:eastAsia="宋体" w:cs="宋体"/>
                <w:color w:val="auto"/>
                <w:kern w:val="2"/>
                <w:sz w:val="21"/>
                <w:szCs w:val="21"/>
                <w:highlight w:val="none"/>
                <w:lang w:val="en-US" w:eastAsia="zh-CN" w:bidi="ar"/>
              </w:rPr>
              <w:t>、乙方有权要求甲、丙双方对其指定账户信息除监控需要外保密；</w:t>
            </w:r>
          </w:p>
          <w:p w14:paraId="1FCC2A96">
            <w:pPr>
              <w:keepNext w:val="0"/>
              <w:keepLines w:val="0"/>
              <w:widowControl w:val="0"/>
              <w:suppressLineNumbers w:val="0"/>
              <w:spacing w:before="0" w:beforeAutospacing="0" w:after="0" w:afterAutospacing="0" w:line="320" w:lineRule="exact"/>
              <w:ind w:left="0" w:right="0" w:firstLine="420" w:firstLineChars="20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val="en-US" w:eastAsia="zh-CN" w:bidi="ar"/>
              </w:rPr>
              <w:t>、乙方授权丙方对指定账户代表甲方行使监控权，乙方应依据甲方每次核批工程等各类款项编制详细用款计划表报送甲方和丙方；</w:t>
            </w:r>
            <w:r>
              <w:rPr>
                <w:rFonts w:hint="eastAsia" w:ascii="宋体" w:hAnsi="宋体" w:eastAsia="宋体" w:cs="Times New Roman"/>
                <w:color w:val="auto"/>
                <w:kern w:val="2"/>
                <w:sz w:val="21"/>
                <w:szCs w:val="21"/>
                <w:highlight w:val="none"/>
                <w:lang w:val="en-US" w:eastAsia="zh-CN" w:bidi="ar"/>
              </w:rPr>
              <w:t xml:space="preserve"> </w:t>
            </w:r>
          </w:p>
          <w:p w14:paraId="525F4296">
            <w:pPr>
              <w:keepNext w:val="0"/>
              <w:keepLines w:val="0"/>
              <w:widowControl w:val="0"/>
              <w:suppressLineNumbers w:val="0"/>
              <w:spacing w:before="0" w:beforeAutospacing="0" w:after="0" w:afterAutospacing="0" w:line="320" w:lineRule="exact"/>
              <w:ind w:left="0" w:right="0" w:firstLine="420" w:firstLineChars="200"/>
              <w:jc w:val="both"/>
              <w:rPr>
                <w:rFonts w:hint="eastAsia" w:ascii="宋体" w:hAnsi="Calibri"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4</w:t>
            </w:r>
            <w:r>
              <w:rPr>
                <w:rFonts w:hint="eastAsia" w:ascii="宋体" w:hAnsi="宋体" w:eastAsia="宋体" w:cs="宋体"/>
                <w:color w:val="auto"/>
                <w:kern w:val="2"/>
                <w:sz w:val="21"/>
                <w:szCs w:val="21"/>
                <w:highlight w:val="none"/>
                <w:lang w:val="en-US" w:eastAsia="zh-CN" w:bidi="ar"/>
              </w:rPr>
              <w:t>、乙方应严格按照甲方盖章确认的《工程建设资金使用计划确认表》使用指定账号内资金，并有义务对于甲方所划拨的合同项下资金按合同规定用途使用，并在指定账户进行支付结算，在工程合同结算完成前，不得转入乙方其他银行账户。</w:t>
            </w:r>
          </w:p>
          <w:p w14:paraId="011EC5AB">
            <w:pPr>
              <w:keepNext w:val="0"/>
              <w:keepLines w:val="0"/>
              <w:widowControl w:val="0"/>
              <w:suppressLineNumbers w:val="0"/>
              <w:spacing w:before="0" w:beforeAutospacing="0" w:after="0" w:afterAutospacing="0" w:line="320" w:lineRule="exact"/>
              <w:ind w:left="0" w:right="0" w:firstLine="420" w:firstLineChars="20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第三条</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丙方的权利与义务</w:t>
            </w:r>
          </w:p>
          <w:p w14:paraId="1C969610">
            <w:pPr>
              <w:keepNext w:val="0"/>
              <w:keepLines w:val="0"/>
              <w:widowControl w:val="0"/>
              <w:suppressLineNumbers w:val="0"/>
              <w:spacing w:before="0" w:beforeAutospacing="0" w:after="0" w:afterAutospacing="0" w:line="320" w:lineRule="exact"/>
              <w:ind w:left="0" w:right="0" w:firstLine="420" w:firstLineChars="200"/>
              <w:jc w:val="both"/>
              <w:rPr>
                <w:rFonts w:hint="eastAsia" w:ascii="宋体" w:hAnsi="Calibri"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1</w:t>
            </w:r>
            <w:r>
              <w:rPr>
                <w:rFonts w:hint="eastAsia" w:ascii="宋体" w:hAnsi="宋体" w:eastAsia="宋体" w:cs="宋体"/>
                <w:color w:val="auto"/>
                <w:kern w:val="2"/>
                <w:sz w:val="21"/>
                <w:szCs w:val="21"/>
                <w:highlight w:val="none"/>
                <w:lang w:val="en-US" w:eastAsia="zh-CN" w:bidi="ar"/>
              </w:rPr>
              <w:t>、丙方有权依本协议规定对指定账户代表甲方实施监控；</w:t>
            </w:r>
          </w:p>
          <w:p w14:paraId="1394D6FE">
            <w:pPr>
              <w:keepNext w:val="0"/>
              <w:keepLines w:val="0"/>
              <w:widowControl w:val="0"/>
              <w:suppressLineNumbers w:val="0"/>
              <w:spacing w:before="0" w:beforeAutospacing="0" w:after="0" w:afterAutospacing="0" w:line="320" w:lineRule="exact"/>
              <w:ind w:left="0" w:right="0" w:firstLine="420" w:firstLineChars="200"/>
              <w:jc w:val="both"/>
              <w:rPr>
                <w:rFonts w:hint="eastAsia" w:ascii="宋体" w:hAnsi="Calibri"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2</w:t>
            </w:r>
            <w:r>
              <w:rPr>
                <w:rFonts w:hint="eastAsia" w:ascii="宋体" w:hAnsi="宋体" w:eastAsia="宋体" w:cs="宋体"/>
                <w:color w:val="auto"/>
                <w:kern w:val="2"/>
                <w:sz w:val="21"/>
                <w:szCs w:val="21"/>
                <w:highlight w:val="none"/>
                <w:lang w:val="en-US" w:eastAsia="zh-CN" w:bidi="ar"/>
              </w:rPr>
              <w:t>、丙方有权针对具体业务根据丙方业务规定进行审核，并保持与甲、乙双方的密切沟通；</w:t>
            </w:r>
          </w:p>
          <w:p w14:paraId="11A8B123">
            <w:pPr>
              <w:keepNext w:val="0"/>
              <w:keepLines w:val="0"/>
              <w:widowControl w:val="0"/>
              <w:suppressLineNumbers w:val="0"/>
              <w:spacing w:before="0" w:beforeAutospacing="0" w:after="0" w:afterAutospacing="0" w:line="320" w:lineRule="exact"/>
              <w:ind w:left="0" w:right="0" w:firstLine="420" w:firstLineChars="200"/>
              <w:jc w:val="both"/>
              <w:rPr>
                <w:rFonts w:hint="eastAsia" w:ascii="宋体" w:hAnsi="Calibri"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val="en-US" w:eastAsia="zh-CN" w:bidi="ar"/>
              </w:rPr>
              <w:t>、丙方有义务为甲、乙双方提供高质量的银行服务，具体服务内容由甲丙、乙丙双方商定；丙方不能以各种理由压单，造成甲方和乙方不必要的损失。若发生此类现象，乙方即可向甲方投诉。丙方应限期改进服务，逾期仍不能满足服务要求的，甲方有权将丙方从资金监管服务的商业银行名单中清除。</w:t>
            </w:r>
          </w:p>
          <w:p w14:paraId="3B3ECBCD">
            <w:pPr>
              <w:keepNext w:val="0"/>
              <w:keepLines w:val="0"/>
              <w:widowControl w:val="0"/>
              <w:suppressLineNumbers w:val="0"/>
              <w:spacing w:before="0" w:beforeAutospacing="0" w:after="0" w:afterAutospacing="0" w:line="320" w:lineRule="exact"/>
              <w:ind w:left="0" w:right="0" w:firstLine="420" w:firstLineChars="200"/>
              <w:jc w:val="both"/>
              <w:rPr>
                <w:rFonts w:hint="eastAsia" w:ascii="宋体" w:hAnsi="Calibri"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4</w:t>
            </w:r>
            <w:r>
              <w:rPr>
                <w:rFonts w:hint="eastAsia" w:ascii="宋体" w:hAnsi="宋体" w:eastAsia="宋体" w:cs="宋体"/>
                <w:color w:val="auto"/>
                <w:kern w:val="2"/>
                <w:sz w:val="21"/>
                <w:szCs w:val="21"/>
                <w:highlight w:val="none"/>
                <w:lang w:val="en-US" w:eastAsia="zh-CN" w:bidi="ar"/>
              </w:rPr>
              <w:t>、丙方有义务对指定账户信息除甲方监控需要外对外保密；</w:t>
            </w:r>
          </w:p>
          <w:p w14:paraId="62463D66">
            <w:pPr>
              <w:keepNext w:val="0"/>
              <w:keepLines w:val="0"/>
              <w:widowControl w:val="0"/>
              <w:suppressLineNumbers w:val="0"/>
              <w:spacing w:before="0" w:beforeAutospacing="0" w:after="0" w:afterAutospacing="0" w:line="320" w:lineRule="exact"/>
              <w:ind w:left="0" w:right="0" w:firstLine="420" w:firstLineChars="200"/>
              <w:jc w:val="both"/>
              <w:rPr>
                <w:rFonts w:hint="eastAsia" w:ascii="宋体" w:hAnsi="Calibri"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5</w:t>
            </w:r>
            <w:r>
              <w:rPr>
                <w:rFonts w:hint="eastAsia" w:ascii="宋体" w:hAnsi="宋体" w:eastAsia="宋体" w:cs="宋体"/>
                <w:color w:val="auto"/>
                <w:kern w:val="2"/>
                <w:sz w:val="21"/>
                <w:szCs w:val="21"/>
                <w:highlight w:val="none"/>
                <w:lang w:val="en-US" w:eastAsia="zh-CN" w:bidi="ar"/>
              </w:rPr>
              <w:t>、丙方应严格按照甲方盖章确认的《工程建设资金使用计划确认表》支付工程款项，确保指定账号的每笔资金支出均与甲方确认的资金使用计划相符。</w:t>
            </w:r>
          </w:p>
          <w:p w14:paraId="0227C9A1">
            <w:pPr>
              <w:keepNext w:val="0"/>
              <w:keepLines w:val="0"/>
              <w:widowControl w:val="0"/>
              <w:suppressLineNumbers w:val="0"/>
              <w:spacing w:before="0" w:beforeAutospacing="0" w:after="0" w:afterAutospacing="0" w:line="320" w:lineRule="exact"/>
              <w:ind w:left="0" w:right="0" w:firstLine="420" w:firstLineChars="200"/>
              <w:jc w:val="both"/>
              <w:rPr>
                <w:rFonts w:hint="eastAsia" w:ascii="宋体" w:hAnsi="Calibri"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6</w:t>
            </w:r>
            <w:r>
              <w:rPr>
                <w:rFonts w:hint="eastAsia" w:ascii="宋体" w:hAnsi="宋体" w:eastAsia="宋体" w:cs="宋体"/>
                <w:color w:val="auto"/>
                <w:kern w:val="2"/>
                <w:sz w:val="21"/>
                <w:szCs w:val="21"/>
                <w:highlight w:val="none"/>
                <w:lang w:val="en-US" w:eastAsia="zh-CN" w:bidi="ar"/>
              </w:rPr>
              <w:t>、丙方应建立乙方序时资金支付备查台账，并由专人负责与经由甲方确认的资金使用计划核对；按季度将相关收支情况及明细表提交给甲方备查，提交时间为每季度终了后</w:t>
            </w:r>
            <w:r>
              <w:rPr>
                <w:rFonts w:hint="eastAsia" w:ascii="宋体" w:hAnsi="宋体" w:eastAsia="宋体" w:cs="Times New Roman"/>
                <w:color w:val="auto"/>
                <w:kern w:val="2"/>
                <w:sz w:val="21"/>
                <w:szCs w:val="21"/>
                <w:highlight w:val="none"/>
                <w:lang w:val="en-US" w:eastAsia="zh-CN" w:bidi="ar"/>
              </w:rPr>
              <w:t>5</w:t>
            </w:r>
            <w:r>
              <w:rPr>
                <w:rFonts w:hint="eastAsia" w:ascii="宋体" w:hAnsi="宋体" w:eastAsia="宋体" w:cs="宋体"/>
                <w:color w:val="auto"/>
                <w:kern w:val="2"/>
                <w:sz w:val="21"/>
                <w:szCs w:val="21"/>
                <w:highlight w:val="none"/>
                <w:lang w:val="en-US" w:eastAsia="zh-CN" w:bidi="ar"/>
              </w:rPr>
              <w:t>个工作日内；对异常支付（如与合同项目明显无关的支出等）应即时通知甲方；</w:t>
            </w:r>
          </w:p>
          <w:p w14:paraId="29DEF3AE">
            <w:pPr>
              <w:keepNext w:val="0"/>
              <w:keepLines w:val="0"/>
              <w:widowControl w:val="0"/>
              <w:suppressLineNumbers w:val="0"/>
              <w:spacing w:before="0" w:beforeAutospacing="0" w:after="0" w:afterAutospacing="0" w:line="320" w:lineRule="exact"/>
              <w:ind w:left="0" w:right="0" w:firstLine="420" w:firstLineChars="200"/>
              <w:jc w:val="both"/>
              <w:rPr>
                <w:rFonts w:hint="eastAsia" w:ascii="宋体" w:hAnsi="Calibri"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7</w:t>
            </w:r>
            <w:r>
              <w:rPr>
                <w:rFonts w:hint="eastAsia" w:ascii="宋体" w:hAnsi="宋体" w:eastAsia="宋体" w:cs="宋体"/>
                <w:color w:val="auto"/>
                <w:kern w:val="2"/>
                <w:sz w:val="21"/>
                <w:szCs w:val="21"/>
                <w:highlight w:val="none"/>
                <w:lang w:val="en-US" w:eastAsia="zh-CN" w:bidi="ar"/>
              </w:rPr>
              <w:t>、丙方有义务对乙方合同项目下工程建设资金的使用是否专款专用进行审核。对于乙方提出的不属于甲方盖章确认的《工程建设资金使用计划确认表》范围内的支付申请，丙方应拒绝支付，并及时通知甲方。</w:t>
            </w:r>
          </w:p>
          <w:p w14:paraId="683B7655">
            <w:pPr>
              <w:keepNext w:val="0"/>
              <w:keepLines w:val="0"/>
              <w:widowControl w:val="0"/>
              <w:suppressLineNumbers w:val="0"/>
              <w:spacing w:before="0" w:beforeAutospacing="0" w:after="0" w:afterAutospacing="0" w:line="320" w:lineRule="exact"/>
              <w:ind w:left="0" w:right="0" w:firstLine="570"/>
              <w:jc w:val="both"/>
              <w:rPr>
                <w:rFonts w:hint="eastAsia" w:ascii="宋体" w:hAnsi="Calibri"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8</w:t>
            </w:r>
            <w:r>
              <w:rPr>
                <w:rFonts w:hint="eastAsia" w:ascii="宋体" w:hAnsi="宋体" w:eastAsia="宋体" w:cs="宋体"/>
                <w:color w:val="auto"/>
                <w:kern w:val="2"/>
                <w:sz w:val="21"/>
                <w:szCs w:val="21"/>
                <w:highlight w:val="none"/>
                <w:lang w:val="en-US" w:eastAsia="zh-CN" w:bidi="ar"/>
              </w:rPr>
              <w:t>、丙方应承担起对指定账号资金安全的监管责任，如因丙方未能审慎核对甲方盖章确认的《工程建设资金使用计划确认表》造成指定账号内资金提前支付、错付、多付或被挪作他用的，丙方需承担由此给甲方造成的损失。</w:t>
            </w:r>
          </w:p>
          <w:p w14:paraId="18B228EE">
            <w:pPr>
              <w:keepNext w:val="0"/>
              <w:keepLines w:val="0"/>
              <w:widowControl w:val="0"/>
              <w:suppressLineNumbers w:val="0"/>
              <w:spacing w:before="0" w:beforeAutospacing="0" w:after="0" w:afterAutospacing="0" w:line="320" w:lineRule="exact"/>
              <w:ind w:left="0" w:right="0" w:firstLine="570"/>
              <w:jc w:val="both"/>
              <w:rPr>
                <w:rFonts w:hint="eastAsia" w:ascii="宋体" w:hAnsi="Calibri"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9</w:t>
            </w:r>
            <w:r>
              <w:rPr>
                <w:rFonts w:hint="eastAsia" w:ascii="宋体" w:hAnsi="宋体" w:eastAsia="宋体" w:cs="宋体"/>
                <w:color w:val="auto"/>
                <w:kern w:val="2"/>
                <w:sz w:val="21"/>
                <w:szCs w:val="21"/>
                <w:highlight w:val="none"/>
                <w:lang w:val="en-US" w:eastAsia="zh-CN" w:bidi="ar"/>
              </w:rPr>
              <w:t>、丙方如发现乙方存在失信行为、涉及重大诉讼、存在违反规定用途转款、用款或其他可能危害指定账号资金安全的行为时，丙方有权拒绝支付并及时通知甲方。由此造成的乙方的损失，甲、丙方不承担任何责任。</w:t>
            </w:r>
          </w:p>
          <w:p w14:paraId="2B95E170">
            <w:pPr>
              <w:keepNext w:val="0"/>
              <w:keepLines w:val="0"/>
              <w:widowControl w:val="0"/>
              <w:suppressLineNumbers w:val="0"/>
              <w:spacing w:before="0" w:beforeAutospacing="0" w:after="0" w:afterAutospacing="0" w:line="320" w:lineRule="exact"/>
              <w:ind w:left="0" w:right="0"/>
              <w:jc w:val="center"/>
              <w:rPr>
                <w:rFonts w:hint="eastAsia" w:ascii="宋体" w:hAnsi="Calibri" w:eastAsia="宋体" w:cs="Times New Roman"/>
                <w:color w:val="auto"/>
                <w:kern w:val="2"/>
                <w:sz w:val="21"/>
                <w:szCs w:val="21"/>
                <w:highlight w:val="none"/>
              </w:rPr>
            </w:pPr>
            <w:r>
              <w:rPr>
                <w:rFonts w:hint="eastAsia" w:ascii="宋体" w:hAnsi="宋体" w:eastAsia="宋体" w:cs="宋体"/>
                <w:b/>
                <w:color w:val="auto"/>
                <w:kern w:val="2"/>
                <w:sz w:val="21"/>
                <w:szCs w:val="21"/>
                <w:highlight w:val="none"/>
                <w:lang w:val="en-US" w:eastAsia="zh-CN" w:bidi="ar"/>
              </w:rPr>
              <w:t>第三章</w:t>
            </w:r>
            <w:r>
              <w:rPr>
                <w:rFonts w:hint="eastAsia" w:ascii="宋体" w:hAnsi="宋体" w:eastAsia="宋体" w:cs="Times New Roman"/>
                <w:b/>
                <w:color w:val="auto"/>
                <w:kern w:val="2"/>
                <w:sz w:val="21"/>
                <w:szCs w:val="21"/>
                <w:highlight w:val="none"/>
                <w:lang w:val="en-US" w:eastAsia="zh-CN" w:bidi="ar"/>
              </w:rPr>
              <w:t xml:space="preserve">  </w:t>
            </w:r>
            <w:r>
              <w:rPr>
                <w:rFonts w:hint="eastAsia" w:ascii="宋体" w:hAnsi="宋体" w:eastAsia="宋体" w:cs="宋体"/>
                <w:b/>
                <w:color w:val="auto"/>
                <w:kern w:val="2"/>
                <w:sz w:val="21"/>
                <w:szCs w:val="21"/>
                <w:highlight w:val="none"/>
                <w:lang w:val="en-US" w:eastAsia="zh-CN" w:bidi="ar"/>
              </w:rPr>
              <w:t>争议的解决</w:t>
            </w:r>
          </w:p>
          <w:p w14:paraId="7C5D5EFC">
            <w:pPr>
              <w:keepNext w:val="0"/>
              <w:keepLines w:val="0"/>
              <w:widowControl w:val="0"/>
              <w:suppressLineNumbers w:val="0"/>
              <w:spacing w:before="0" w:beforeAutospacing="0" w:after="0" w:afterAutospacing="0" w:line="320" w:lineRule="exact"/>
              <w:ind w:left="0" w:right="0" w:firstLine="420" w:firstLineChars="200"/>
              <w:jc w:val="left"/>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第四条</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甲、乙、丙三方在履行本协议过程中所发生的争议，三方首先应友好协商解决；确因协商不成的，任何一方有权向甲方住所地人民法院提起诉讼。</w:t>
            </w:r>
          </w:p>
          <w:p w14:paraId="28B75123">
            <w:pPr>
              <w:keepNext w:val="0"/>
              <w:keepLines w:val="0"/>
              <w:widowControl w:val="0"/>
              <w:suppressLineNumbers w:val="0"/>
              <w:spacing w:before="0" w:beforeAutospacing="0" w:after="0" w:afterAutospacing="0" w:line="320" w:lineRule="exact"/>
              <w:ind w:left="0" w:right="0"/>
              <w:jc w:val="center"/>
              <w:rPr>
                <w:rFonts w:hint="eastAsia" w:ascii="宋体" w:hAnsi="Calibri" w:eastAsia="宋体" w:cs="Times New Roman"/>
                <w:b/>
                <w:color w:val="auto"/>
                <w:kern w:val="2"/>
                <w:sz w:val="21"/>
                <w:szCs w:val="21"/>
                <w:highlight w:val="none"/>
              </w:rPr>
            </w:pPr>
            <w:r>
              <w:rPr>
                <w:rFonts w:hint="eastAsia" w:ascii="宋体" w:hAnsi="宋体" w:eastAsia="宋体" w:cs="宋体"/>
                <w:b/>
                <w:color w:val="auto"/>
                <w:kern w:val="2"/>
                <w:sz w:val="21"/>
                <w:szCs w:val="21"/>
                <w:highlight w:val="none"/>
                <w:lang w:val="en-US" w:eastAsia="zh-CN" w:bidi="ar"/>
              </w:rPr>
              <w:t>第四章</w:t>
            </w:r>
            <w:r>
              <w:rPr>
                <w:rFonts w:hint="eastAsia" w:ascii="宋体" w:hAnsi="宋体" w:eastAsia="宋体" w:cs="Times New Roman"/>
                <w:b/>
                <w:color w:val="auto"/>
                <w:kern w:val="2"/>
                <w:sz w:val="21"/>
                <w:szCs w:val="21"/>
                <w:highlight w:val="none"/>
                <w:lang w:val="en-US" w:eastAsia="zh-CN" w:bidi="ar"/>
              </w:rPr>
              <w:t xml:space="preserve">  </w:t>
            </w:r>
            <w:r>
              <w:rPr>
                <w:rFonts w:hint="eastAsia" w:ascii="宋体" w:hAnsi="宋体" w:eastAsia="宋体" w:cs="宋体"/>
                <w:b/>
                <w:color w:val="auto"/>
                <w:kern w:val="2"/>
                <w:sz w:val="21"/>
                <w:szCs w:val="21"/>
                <w:highlight w:val="none"/>
                <w:lang w:val="en-US" w:eastAsia="zh-CN" w:bidi="ar"/>
              </w:rPr>
              <w:t>协议的生效、变更和解除</w:t>
            </w:r>
          </w:p>
          <w:p w14:paraId="1F3F014B">
            <w:pPr>
              <w:keepNext w:val="0"/>
              <w:keepLines w:val="0"/>
              <w:widowControl w:val="0"/>
              <w:suppressLineNumbers w:val="0"/>
              <w:spacing w:before="0" w:beforeAutospacing="0" w:after="0" w:afterAutospacing="0" w:line="320" w:lineRule="exact"/>
              <w:ind w:left="0" w:right="0" w:firstLine="420" w:firstLineChars="200"/>
              <w:jc w:val="left"/>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第五条</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本协议在有效期内的履行应以不违反中华人民共和国法律和国家有关主管部门的政策、法规为基本前提；本协议未约定或与《广州市重点公共建设项目管理中心建设资金拨付监督管理办法（修订）》的规定不一致时，应以《广州市重点公共建设项目管理中心建设资金拨付监督管理办法（修订）》中规定为准。</w:t>
            </w:r>
          </w:p>
          <w:p w14:paraId="719A77BC">
            <w:pPr>
              <w:keepNext w:val="0"/>
              <w:keepLines w:val="0"/>
              <w:widowControl w:val="0"/>
              <w:suppressLineNumbers w:val="0"/>
              <w:spacing w:before="0" w:beforeAutospacing="0" w:after="0" w:afterAutospacing="0" w:line="320" w:lineRule="exact"/>
              <w:ind w:left="0" w:right="0"/>
              <w:jc w:val="left"/>
              <w:rPr>
                <w:rFonts w:hint="eastAsia" w:ascii="宋体" w:hAnsi="Calibri"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第六条</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本协议在履行过程中需对协议进行修订、或需解除本协议时，甲、乙、丙任何一方不得单方面执行，均须甲、乙、丙三方协商一致，并达成书面协议。书面协议达成之前，不影响本协议条款效力。</w:t>
            </w:r>
          </w:p>
          <w:p w14:paraId="10772CD7">
            <w:pPr>
              <w:keepNext w:val="0"/>
              <w:keepLines w:val="0"/>
              <w:widowControl w:val="0"/>
              <w:suppressLineNumbers w:val="0"/>
              <w:spacing w:before="0" w:beforeAutospacing="0" w:after="0" w:afterAutospacing="0" w:line="320" w:lineRule="exact"/>
              <w:ind w:left="0" w:right="0"/>
              <w:jc w:val="left"/>
              <w:rPr>
                <w:rFonts w:hint="eastAsia" w:ascii="宋体" w:hAnsi="Calibri"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第七条</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本协议自甲、乙、丙三方法定代表人（或授权代理人）签章并加盖公章后生效，有效期至该合同结算完成，办理清算后自行终止。</w:t>
            </w:r>
          </w:p>
          <w:p w14:paraId="1B920A9E">
            <w:pPr>
              <w:keepNext w:val="0"/>
              <w:keepLines w:val="0"/>
              <w:widowControl w:val="0"/>
              <w:suppressLineNumbers w:val="0"/>
              <w:spacing w:before="0" w:beforeAutospacing="0" w:after="0" w:afterAutospacing="0" w:line="320" w:lineRule="exact"/>
              <w:ind w:left="0" w:right="0" w:firstLine="420" w:firstLineChars="20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本协议正本一式叁份，三方各执壹份，遵照履行。</w:t>
            </w:r>
          </w:p>
          <w:p w14:paraId="0DBDA710">
            <w:pPr>
              <w:keepNext w:val="0"/>
              <w:keepLines w:val="0"/>
              <w:widowControl w:val="0"/>
              <w:suppressLineNumbers w:val="0"/>
              <w:spacing w:before="0" w:beforeAutospacing="0" w:after="0" w:afterAutospacing="0" w:line="320" w:lineRule="exact"/>
              <w:ind w:left="0" w:right="0"/>
              <w:jc w:val="both"/>
              <w:rPr>
                <w:rFonts w:hint="eastAsia" w:ascii="宋体" w:hAnsi="Calibri" w:eastAsia="宋体" w:cs="Times New Roman"/>
                <w:color w:val="auto"/>
                <w:kern w:val="2"/>
                <w:sz w:val="21"/>
                <w:szCs w:val="21"/>
                <w:highlight w:val="none"/>
              </w:rPr>
            </w:pPr>
          </w:p>
          <w:p w14:paraId="1EC8A6AA">
            <w:pPr>
              <w:keepNext w:val="0"/>
              <w:keepLines w:val="0"/>
              <w:widowControl w:val="0"/>
              <w:suppressLineNumbers w:val="0"/>
              <w:spacing w:before="0" w:beforeAutospacing="0" w:after="0" w:afterAutospacing="0" w:line="320" w:lineRule="exact"/>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（本页以下无正文）</w:t>
            </w:r>
          </w:p>
          <w:p w14:paraId="774753B7">
            <w:pPr>
              <w:keepNext w:val="0"/>
              <w:keepLines w:val="0"/>
              <w:widowControl/>
              <w:suppressLineNumbers w:val="0"/>
              <w:spacing w:before="0" w:beforeAutospacing="0" w:after="0" w:afterAutospacing="0" w:line="320" w:lineRule="exact"/>
              <w:ind w:left="0" w:right="0"/>
              <w:jc w:val="left"/>
              <w:rPr>
                <w:rFonts w:hint="eastAsia" w:ascii="宋体" w:hAnsi="Calibri" w:eastAsia="宋体" w:cs="Times New Roman"/>
                <w:color w:val="auto"/>
                <w:kern w:val="2"/>
                <w:sz w:val="21"/>
                <w:szCs w:val="21"/>
                <w:highlight w:val="none"/>
              </w:rPr>
            </w:pPr>
          </w:p>
          <w:p w14:paraId="27374FF4">
            <w:pPr>
              <w:keepNext w:val="0"/>
              <w:keepLines w:val="0"/>
              <w:widowControl w:val="0"/>
              <w:suppressLineNumbers w:val="0"/>
              <w:spacing w:before="0" w:beforeAutospacing="0" w:after="0" w:afterAutospacing="0" w:line="320" w:lineRule="exact"/>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（本页无正文，为签署页）</w:t>
            </w:r>
          </w:p>
          <w:p w14:paraId="23F33D35">
            <w:pPr>
              <w:keepNext w:val="0"/>
              <w:keepLines w:val="0"/>
              <w:widowControl w:val="0"/>
              <w:suppressLineNumbers w:val="0"/>
              <w:spacing w:before="0" w:beforeAutospacing="0" w:after="0" w:afterAutospacing="0" w:line="320" w:lineRule="exact"/>
              <w:ind w:left="0" w:right="0"/>
              <w:jc w:val="both"/>
              <w:rPr>
                <w:rFonts w:hint="eastAsia" w:ascii="宋体" w:hAnsi="Calibri" w:eastAsia="宋体" w:cs="Times New Roman"/>
                <w:color w:val="auto"/>
                <w:kern w:val="2"/>
                <w:sz w:val="21"/>
                <w:szCs w:val="21"/>
                <w:highlight w:val="none"/>
              </w:rPr>
            </w:pPr>
          </w:p>
          <w:p w14:paraId="7B799DD8">
            <w:pPr>
              <w:keepNext w:val="0"/>
              <w:keepLines w:val="0"/>
              <w:widowControl w:val="0"/>
              <w:suppressLineNumbers w:val="0"/>
              <w:spacing w:before="0" w:beforeAutospacing="0" w:after="0" w:afterAutospacing="0" w:line="320" w:lineRule="exact"/>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甲方：广州市重点公共建设项目管理中心</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（公章）</w:t>
            </w:r>
          </w:p>
          <w:p w14:paraId="02309146">
            <w:pPr>
              <w:keepNext w:val="0"/>
              <w:keepLines w:val="0"/>
              <w:widowControl w:val="0"/>
              <w:suppressLineNumbers w:val="0"/>
              <w:spacing w:before="0" w:beforeAutospacing="0" w:after="0" w:afterAutospacing="0" w:line="320" w:lineRule="exact"/>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授权代理人：</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（签字）</w:t>
            </w:r>
          </w:p>
          <w:p w14:paraId="3AD93DA3">
            <w:pPr>
              <w:keepNext w:val="0"/>
              <w:keepLines w:val="0"/>
              <w:widowControl w:val="0"/>
              <w:suppressLineNumbers w:val="0"/>
              <w:spacing w:before="0" w:beforeAutospacing="0" w:after="0" w:afterAutospacing="0" w:line="320" w:lineRule="exact"/>
              <w:ind w:left="0" w:right="0"/>
              <w:jc w:val="both"/>
              <w:rPr>
                <w:rFonts w:hint="eastAsia" w:ascii="宋体" w:hAnsi="Calibri" w:eastAsia="宋体" w:cs="Times New Roman"/>
                <w:color w:val="auto"/>
                <w:kern w:val="2"/>
                <w:sz w:val="21"/>
                <w:szCs w:val="21"/>
                <w:highlight w:val="none"/>
              </w:rPr>
            </w:pPr>
            <w:r>
              <w:rPr>
                <w:rFonts w:hint="eastAsia" w:ascii="宋体" w:hAnsi="Calibri" w:eastAsia="宋体" w:cs="Times New Roman"/>
                <w:color w:val="auto"/>
                <w:kern w:val="2"/>
                <w:sz w:val="21"/>
                <w:szCs w:val="21"/>
                <w:highlight w:val="none"/>
                <w:lang w:val="en-US" w:eastAsia="zh-CN" w:bidi="ar"/>
              </w:rPr>
              <w:br w:type="textWrapping"/>
            </w:r>
            <w:r>
              <w:rPr>
                <w:rFonts w:hint="eastAsia" w:ascii="宋体" w:hAnsi="宋体" w:eastAsia="宋体" w:cs="宋体"/>
                <w:color w:val="auto"/>
                <w:kern w:val="2"/>
                <w:sz w:val="21"/>
                <w:szCs w:val="21"/>
                <w:highlight w:val="none"/>
                <w:lang w:val="en-US" w:eastAsia="zh-CN" w:bidi="ar"/>
              </w:rPr>
              <w:t>乙方：</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（公章）</w:t>
            </w:r>
          </w:p>
          <w:p w14:paraId="132E5546">
            <w:pPr>
              <w:keepNext w:val="0"/>
              <w:keepLines w:val="0"/>
              <w:widowControl w:val="0"/>
              <w:suppressLineNumbers w:val="0"/>
              <w:spacing w:before="0" w:beforeAutospacing="0" w:after="0" w:afterAutospacing="0" w:line="320" w:lineRule="exact"/>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授权代理人：</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（签字）</w:t>
            </w:r>
          </w:p>
          <w:p w14:paraId="7B8FD0C2">
            <w:pPr>
              <w:keepNext w:val="0"/>
              <w:keepLines w:val="0"/>
              <w:widowControl w:val="0"/>
              <w:suppressLineNumbers w:val="0"/>
              <w:spacing w:before="0" w:beforeAutospacing="0" w:after="0" w:afterAutospacing="0" w:line="320" w:lineRule="exact"/>
              <w:ind w:left="0" w:right="0"/>
              <w:jc w:val="both"/>
              <w:rPr>
                <w:rFonts w:hint="eastAsia" w:ascii="宋体" w:hAnsi="Calibri" w:eastAsia="宋体" w:cs="Times New Roman"/>
                <w:color w:val="auto"/>
                <w:kern w:val="2"/>
                <w:sz w:val="21"/>
                <w:szCs w:val="21"/>
                <w:highlight w:val="none"/>
              </w:rPr>
            </w:pPr>
            <w:r>
              <w:rPr>
                <w:rFonts w:hint="eastAsia" w:ascii="宋体" w:hAnsi="Calibri" w:eastAsia="宋体" w:cs="Times New Roman"/>
                <w:color w:val="auto"/>
                <w:kern w:val="2"/>
                <w:sz w:val="21"/>
                <w:szCs w:val="21"/>
                <w:highlight w:val="none"/>
                <w:lang w:val="en-US" w:eastAsia="zh-CN" w:bidi="ar"/>
              </w:rPr>
              <w:br w:type="textWrapping"/>
            </w:r>
            <w:r>
              <w:rPr>
                <w:rFonts w:hint="eastAsia" w:ascii="宋体" w:hAnsi="宋体" w:eastAsia="宋体" w:cs="宋体"/>
                <w:color w:val="auto"/>
                <w:kern w:val="2"/>
                <w:sz w:val="21"/>
                <w:szCs w:val="21"/>
                <w:highlight w:val="none"/>
                <w:lang w:val="en-US" w:eastAsia="zh-CN" w:bidi="ar"/>
              </w:rPr>
              <w:t>丙方（监管银行）：</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（公章）</w:t>
            </w:r>
          </w:p>
          <w:p w14:paraId="4189A9A8">
            <w:pPr>
              <w:keepNext w:val="0"/>
              <w:keepLines w:val="0"/>
              <w:widowControl w:val="0"/>
              <w:suppressLineNumbers w:val="0"/>
              <w:spacing w:before="0" w:beforeAutospacing="0" w:after="0" w:afterAutospacing="0" w:line="320" w:lineRule="exact"/>
              <w:ind w:left="0" w:right="0"/>
              <w:jc w:val="both"/>
              <w:rPr>
                <w:rFonts w:hint="eastAsia" w:ascii="宋体"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授权代理人：</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（签字）</w:t>
            </w:r>
          </w:p>
          <w:p w14:paraId="0405073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签约时间和地点：</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年</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月</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日于广东省广州市</w:t>
            </w:r>
          </w:p>
        </w:tc>
      </w:tr>
      <w:tr w14:paraId="37C8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7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DC11E4">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default" w:ascii="宋体" w:hAnsi="宋体" w:eastAsia="宋体" w:cs="宋体"/>
                <w:color w:val="auto"/>
                <w:kern w:val="0"/>
                <w:sz w:val="21"/>
                <w:szCs w:val="21"/>
                <w:highlight w:val="none"/>
                <w:lang w:eastAsia="zh-CN" w:bidi="ar"/>
              </w:rPr>
              <w:t>5</w:t>
            </w:r>
          </w:p>
        </w:tc>
        <w:tc>
          <w:tcPr>
            <w:tcW w:w="804" w:type="dxa"/>
            <w:tcBorders>
              <w:top w:val="single" w:color="auto" w:sz="4" w:space="0"/>
              <w:left w:val="nil"/>
              <w:bottom w:val="single" w:color="auto" w:sz="4" w:space="0"/>
              <w:right w:val="single" w:color="auto" w:sz="4" w:space="0"/>
            </w:tcBorders>
            <w:shd w:val="clear" w:color="auto" w:fill="auto"/>
            <w:noWrap/>
            <w:vAlign w:val="center"/>
          </w:tcPr>
          <w:p w14:paraId="15EA1C40">
            <w:pPr>
              <w:keepNext w:val="0"/>
              <w:keepLines w:val="0"/>
              <w:widowControl w:val="0"/>
              <w:suppressLineNumbers w:val="0"/>
              <w:adjustRightInd w:val="0"/>
              <w:snapToGrid w:val="0"/>
              <w:spacing w:before="0" w:beforeAutospacing="0" w:after="0" w:afterAutospacing="0"/>
              <w:ind w:left="0" w:right="0"/>
              <w:jc w:val="center"/>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附件</w:t>
            </w:r>
            <w:r>
              <w:rPr>
                <w:rFonts w:hint="default" w:ascii="Calibri" w:hAnsi="Calibri" w:eastAsia="宋体" w:cs="Calibri"/>
                <w:color w:val="auto"/>
                <w:kern w:val="2"/>
                <w:sz w:val="21"/>
                <w:szCs w:val="21"/>
                <w:highlight w:val="none"/>
                <w:lang w:val="en-US" w:eastAsia="zh-CN" w:bidi="ar"/>
              </w:rPr>
              <w:t>18</w:t>
            </w:r>
          </w:p>
        </w:tc>
        <w:tc>
          <w:tcPr>
            <w:tcW w:w="666" w:type="dxa"/>
            <w:tcBorders>
              <w:top w:val="single" w:color="auto" w:sz="4" w:space="0"/>
              <w:left w:val="nil"/>
              <w:bottom w:val="single" w:color="auto" w:sz="4" w:space="0"/>
              <w:right w:val="single" w:color="auto" w:sz="4" w:space="0"/>
            </w:tcBorders>
            <w:shd w:val="clear" w:color="auto" w:fill="auto"/>
            <w:noWrap/>
            <w:vAlign w:val="center"/>
          </w:tcPr>
          <w:p w14:paraId="79D8B138">
            <w:pPr>
              <w:keepNext w:val="0"/>
              <w:keepLines w:val="0"/>
              <w:widowControl w:val="0"/>
              <w:suppressLineNumbers w:val="0"/>
              <w:adjustRightInd w:val="0"/>
              <w:snapToGrid w:val="0"/>
              <w:spacing w:before="0" w:beforeAutospacing="0" w:after="0" w:afterAutospacing="0"/>
              <w:ind w:left="0" w:right="0"/>
              <w:jc w:val="center"/>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修改</w:t>
            </w:r>
          </w:p>
        </w:tc>
        <w:tc>
          <w:tcPr>
            <w:tcW w:w="3320" w:type="dxa"/>
            <w:tcBorders>
              <w:top w:val="single" w:color="auto" w:sz="4" w:space="0"/>
              <w:left w:val="nil"/>
              <w:bottom w:val="single" w:color="auto" w:sz="4" w:space="0"/>
              <w:right w:val="single" w:color="auto" w:sz="4" w:space="0"/>
            </w:tcBorders>
            <w:shd w:val="clear" w:color="auto" w:fill="auto"/>
            <w:noWrap/>
            <w:vAlign w:val="top"/>
          </w:tcPr>
          <w:p w14:paraId="77BC815D">
            <w:pPr>
              <w:keepNext w:val="0"/>
              <w:keepLines w:val="0"/>
              <w:widowControl w:val="0"/>
              <w:suppressLineNumbers w:val="0"/>
              <w:autoSpaceDE w:val="0"/>
              <w:autoSpaceDN w:val="0"/>
              <w:adjustRightInd w:val="0"/>
              <w:snapToGrid w:val="0"/>
              <w:spacing w:before="0" w:beforeAutospacing="0" w:after="0" w:afterAutospacing="0" w:line="380" w:lineRule="exact"/>
              <w:ind w:left="0" w:right="0" w:firstLine="48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现根据《广州市城乡建设委员会关于规范建筑工程施工承包管理的通知》（穗建筑[2013]580号）等相关规定，甲、乙、丙三方经协商一致，就本项目</w:t>
            </w:r>
            <w:r>
              <w:rPr>
                <w:rFonts w:hint="default" w:ascii="Calibri" w:hAnsi="Calibri" w:eastAsia="宋体" w:cs="Calibri"/>
                <w:color w:val="auto"/>
                <w:kern w:val="2"/>
                <w:sz w:val="21"/>
                <w:szCs w:val="21"/>
                <w:highlight w:val="none"/>
                <w:lang w:val="en-US" w:eastAsia="zh-CN" w:bidi="ar"/>
              </w:rPr>
              <w:t>XX</w:t>
            </w:r>
            <w:r>
              <w:rPr>
                <w:rFonts w:hint="eastAsia" w:ascii="宋体" w:hAnsi="宋体" w:eastAsia="宋体" w:cs="宋体"/>
                <w:color w:val="auto"/>
                <w:kern w:val="2"/>
                <w:sz w:val="21"/>
                <w:szCs w:val="21"/>
                <w:highlight w:val="none"/>
                <w:lang w:val="en-US" w:eastAsia="zh-CN" w:bidi="ar"/>
              </w:rPr>
              <w:t>工程施工总承包管理事宜达成以下约定，以资共同遵守。</w:t>
            </w:r>
          </w:p>
        </w:tc>
        <w:tc>
          <w:tcPr>
            <w:tcW w:w="3544" w:type="dxa"/>
            <w:tcBorders>
              <w:top w:val="single" w:color="auto" w:sz="4" w:space="0"/>
              <w:left w:val="nil"/>
              <w:bottom w:val="single" w:color="auto" w:sz="4" w:space="0"/>
              <w:right w:val="single" w:color="auto" w:sz="4" w:space="0"/>
            </w:tcBorders>
            <w:shd w:val="clear" w:color="auto" w:fill="auto"/>
            <w:noWrap/>
            <w:vAlign w:val="top"/>
          </w:tcPr>
          <w:p w14:paraId="234B8D3D">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现根据</w:t>
            </w:r>
            <w:r>
              <w:rPr>
                <w:rFonts w:hint="eastAsia" w:ascii="宋体" w:hAnsi="宋体" w:eastAsia="宋体" w:cs="宋体"/>
                <w:color w:val="auto"/>
                <w:kern w:val="2"/>
                <w:sz w:val="21"/>
                <w:szCs w:val="21"/>
                <w:highlight w:val="none"/>
                <w:u w:val="single"/>
                <w:lang w:val="en-US" w:eastAsia="zh-CN" w:bidi="ar"/>
              </w:rPr>
              <w:t>《广州市住房和城乡建设局关于规范房屋建筑工程施工承发包管理的通知》（穗建规[2019]10号）</w:t>
            </w:r>
            <w:r>
              <w:rPr>
                <w:rFonts w:hint="eastAsia" w:ascii="宋体" w:hAnsi="宋体" w:eastAsia="宋体" w:cs="宋体"/>
                <w:color w:val="auto"/>
                <w:kern w:val="2"/>
                <w:sz w:val="21"/>
                <w:szCs w:val="21"/>
                <w:highlight w:val="none"/>
                <w:lang w:val="en-US" w:eastAsia="zh-CN" w:bidi="ar"/>
              </w:rPr>
              <w:t>等相关规定，甲、乙、丙三方经协商一致，就本项目</w:t>
            </w:r>
            <w:r>
              <w:rPr>
                <w:rFonts w:hint="default" w:ascii="Calibri" w:hAnsi="Calibri" w:eastAsia="宋体" w:cs="Calibri"/>
                <w:color w:val="auto"/>
                <w:kern w:val="2"/>
                <w:sz w:val="21"/>
                <w:szCs w:val="21"/>
                <w:highlight w:val="none"/>
                <w:lang w:val="en-US" w:eastAsia="zh-CN" w:bidi="ar"/>
              </w:rPr>
              <w:t>XX</w:t>
            </w:r>
            <w:r>
              <w:rPr>
                <w:rFonts w:hint="eastAsia" w:ascii="宋体" w:hAnsi="宋体" w:eastAsia="宋体" w:cs="宋体"/>
                <w:color w:val="auto"/>
                <w:kern w:val="2"/>
                <w:sz w:val="21"/>
                <w:szCs w:val="21"/>
                <w:highlight w:val="none"/>
                <w:lang w:val="en-US" w:eastAsia="zh-CN" w:bidi="ar"/>
              </w:rPr>
              <w:t>工程施工总承包管理事宜达成以下约定，以资共同遵守。</w:t>
            </w:r>
          </w:p>
        </w:tc>
      </w:tr>
      <w:tr w14:paraId="38C5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0" w:hRule="atLeast"/>
        </w:trPr>
        <w:tc>
          <w:tcPr>
            <w:tcW w:w="7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0A1B4D">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Times New Roman"/>
                <w:color w:val="auto"/>
                <w:kern w:val="0"/>
                <w:sz w:val="21"/>
                <w:szCs w:val="21"/>
                <w:highlight w:val="none"/>
              </w:rPr>
            </w:pPr>
            <w:r>
              <w:rPr>
                <w:rFonts w:hint="default" w:ascii="宋体" w:hAnsi="宋体" w:eastAsia="宋体" w:cs="宋体"/>
                <w:color w:val="auto"/>
                <w:kern w:val="0"/>
                <w:sz w:val="21"/>
                <w:szCs w:val="21"/>
                <w:highlight w:val="none"/>
                <w:lang w:eastAsia="zh-CN" w:bidi="ar"/>
              </w:rPr>
              <w:t>6</w:t>
            </w:r>
          </w:p>
        </w:tc>
        <w:tc>
          <w:tcPr>
            <w:tcW w:w="804" w:type="dxa"/>
            <w:tcBorders>
              <w:top w:val="single" w:color="auto" w:sz="4" w:space="0"/>
              <w:left w:val="nil"/>
              <w:bottom w:val="single" w:color="auto" w:sz="4" w:space="0"/>
              <w:right w:val="single" w:color="auto" w:sz="4" w:space="0"/>
            </w:tcBorders>
            <w:shd w:val="clear" w:color="auto" w:fill="auto"/>
            <w:noWrap/>
            <w:vAlign w:val="center"/>
          </w:tcPr>
          <w:p w14:paraId="03D8486E">
            <w:pPr>
              <w:keepNext w:val="0"/>
              <w:keepLines w:val="0"/>
              <w:widowControl w:val="0"/>
              <w:suppressLineNumbers w:val="0"/>
              <w:adjustRightInd w:val="0"/>
              <w:snapToGrid w:val="0"/>
              <w:spacing w:before="0" w:beforeAutospacing="0" w:after="0" w:afterAutospacing="0"/>
              <w:ind w:left="0" w:right="0"/>
              <w:jc w:val="center"/>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附件</w:t>
            </w:r>
            <w:r>
              <w:rPr>
                <w:rFonts w:hint="default" w:ascii="Calibri" w:hAnsi="Calibri" w:eastAsia="宋体" w:cs="Calibri"/>
                <w:color w:val="auto"/>
                <w:kern w:val="2"/>
                <w:sz w:val="21"/>
                <w:szCs w:val="21"/>
                <w:highlight w:val="none"/>
                <w:lang w:val="en-US" w:eastAsia="zh-CN" w:bidi="ar"/>
              </w:rPr>
              <w:t>18</w:t>
            </w:r>
            <w:r>
              <w:rPr>
                <w:rFonts w:hint="eastAsia" w:ascii="宋体" w:hAnsi="宋体" w:eastAsia="宋体" w:cs="宋体"/>
                <w:color w:val="auto"/>
                <w:kern w:val="2"/>
                <w:sz w:val="21"/>
                <w:szCs w:val="21"/>
                <w:highlight w:val="none"/>
                <w:lang w:val="en-US" w:eastAsia="zh-CN" w:bidi="ar"/>
              </w:rPr>
              <w:t>第二条</w:t>
            </w:r>
          </w:p>
        </w:tc>
        <w:tc>
          <w:tcPr>
            <w:tcW w:w="666" w:type="dxa"/>
            <w:tcBorders>
              <w:top w:val="single" w:color="auto" w:sz="4" w:space="0"/>
              <w:left w:val="nil"/>
              <w:bottom w:val="single" w:color="auto" w:sz="4" w:space="0"/>
              <w:right w:val="single" w:color="auto" w:sz="4" w:space="0"/>
            </w:tcBorders>
            <w:shd w:val="clear" w:color="auto" w:fill="auto"/>
            <w:noWrap/>
            <w:vAlign w:val="center"/>
          </w:tcPr>
          <w:p w14:paraId="716720F7">
            <w:pPr>
              <w:keepNext w:val="0"/>
              <w:keepLines w:val="0"/>
              <w:widowControl w:val="0"/>
              <w:suppressLineNumbers w:val="0"/>
              <w:adjustRightInd w:val="0"/>
              <w:snapToGrid w:val="0"/>
              <w:spacing w:before="0" w:beforeAutospacing="0" w:after="0" w:afterAutospacing="0"/>
              <w:ind w:left="0" w:right="0"/>
              <w:jc w:val="center"/>
              <w:rPr>
                <w:rFonts w:hint="eastAsia" w:ascii="Calibri" w:hAnsi="Calibri"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修改</w:t>
            </w:r>
          </w:p>
        </w:tc>
        <w:tc>
          <w:tcPr>
            <w:tcW w:w="3320" w:type="dxa"/>
            <w:tcBorders>
              <w:top w:val="single" w:color="auto" w:sz="4" w:space="0"/>
              <w:left w:val="nil"/>
              <w:bottom w:val="single" w:color="auto" w:sz="4" w:space="0"/>
              <w:right w:val="single" w:color="auto" w:sz="4" w:space="0"/>
            </w:tcBorders>
            <w:shd w:val="clear" w:color="auto" w:fill="auto"/>
            <w:noWrap/>
            <w:vAlign w:val="top"/>
          </w:tcPr>
          <w:p w14:paraId="75F2AFAF">
            <w:pPr>
              <w:keepNext w:val="0"/>
              <w:keepLines w:val="0"/>
              <w:widowControl w:val="0"/>
              <w:suppressLineNumbers w:val="0"/>
              <w:autoSpaceDE w:val="0"/>
              <w:autoSpaceDN w:val="0"/>
              <w:adjustRightInd w:val="0"/>
              <w:snapToGrid w:val="0"/>
              <w:spacing w:before="0" w:beforeAutospacing="0" w:after="0" w:afterAutospacing="0" w:line="380" w:lineRule="exact"/>
              <w:ind w:left="0" w:right="0" w:firstLine="480"/>
              <w:jc w:val="both"/>
              <w:rPr>
                <w:rFonts w:hint="eastAsia" w:ascii="宋体" w:hAnsi="Calibri" w:eastAsia="宋体" w:cs="Times New Roman"/>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第二条</w:t>
            </w:r>
            <w:r>
              <w:rPr>
                <w:rFonts w:hint="eastAsia" w:ascii="宋体" w:hAnsi="宋体" w:eastAsia="宋体" w:cs="宋体"/>
                <w:color w:val="auto"/>
                <w:kern w:val="2"/>
                <w:sz w:val="21"/>
                <w:szCs w:val="21"/>
                <w:highlight w:val="none"/>
                <w:lang w:val="en-US" w:eastAsia="zh-CN" w:bidi="ar"/>
              </w:rPr>
              <w:t xml:space="preserve">  三方一致同意，乙方保证按照《XX承包合同》进行施工，按该合同约定承担相应责任，并向甲方承担XX工程的质量、安全、工期、文明施工等责任，甲方对此向丙方承担责任。</w:t>
            </w:r>
          </w:p>
        </w:tc>
        <w:tc>
          <w:tcPr>
            <w:tcW w:w="3544" w:type="dxa"/>
            <w:tcBorders>
              <w:top w:val="single" w:color="auto" w:sz="4" w:space="0"/>
              <w:left w:val="nil"/>
              <w:bottom w:val="single" w:color="auto" w:sz="4" w:space="0"/>
              <w:right w:val="single" w:color="auto" w:sz="4" w:space="0"/>
            </w:tcBorders>
            <w:shd w:val="clear" w:color="auto" w:fill="auto"/>
            <w:noWrap/>
            <w:vAlign w:val="top"/>
          </w:tcPr>
          <w:p w14:paraId="0265B2E3">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Calibri" w:hAnsi="Calibri" w:eastAsia="宋体" w:cs="Times New Roman"/>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第二条</w:t>
            </w:r>
            <w:r>
              <w:rPr>
                <w:rFonts w:hint="eastAsia" w:ascii="宋体" w:hAnsi="宋体" w:eastAsia="宋体" w:cs="宋体"/>
                <w:color w:val="auto"/>
                <w:kern w:val="2"/>
                <w:sz w:val="21"/>
                <w:szCs w:val="21"/>
                <w:highlight w:val="none"/>
                <w:lang w:val="en-US" w:eastAsia="zh-CN" w:bidi="ar"/>
              </w:rPr>
              <w:t xml:space="preserve">  三方一致同意，乙方保证按照《XX承包合同》进行施工，按该合同约定承担相应责任，并向甲方承担XX工程的质量、安全、工期、文明施工</w:t>
            </w:r>
            <w:r>
              <w:rPr>
                <w:rFonts w:hint="eastAsia" w:ascii="宋体" w:hAnsi="宋体" w:eastAsia="宋体" w:cs="宋体"/>
                <w:color w:val="auto"/>
                <w:kern w:val="2"/>
                <w:sz w:val="21"/>
                <w:szCs w:val="21"/>
                <w:highlight w:val="none"/>
                <w:u w:val="single"/>
                <w:lang w:val="en-US" w:eastAsia="zh-CN" w:bidi="ar"/>
              </w:rPr>
              <w:t>、实名管理</w:t>
            </w:r>
            <w:r>
              <w:rPr>
                <w:rFonts w:hint="eastAsia" w:ascii="宋体" w:hAnsi="宋体" w:eastAsia="宋体" w:cs="宋体"/>
                <w:color w:val="auto"/>
                <w:kern w:val="2"/>
                <w:sz w:val="21"/>
                <w:szCs w:val="21"/>
                <w:highlight w:val="none"/>
                <w:lang w:val="en-US" w:eastAsia="zh-CN" w:bidi="ar"/>
              </w:rPr>
              <w:t>等责任，甲方对此向丙方承担责任。</w:t>
            </w:r>
          </w:p>
        </w:tc>
      </w:tr>
      <w:tr w14:paraId="11336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7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ABCF1C">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default" w:ascii="宋体" w:hAnsi="宋体" w:eastAsia="宋体" w:cs="宋体"/>
                <w:color w:val="auto"/>
                <w:kern w:val="0"/>
                <w:sz w:val="21"/>
                <w:szCs w:val="21"/>
                <w:highlight w:val="none"/>
                <w:lang w:eastAsia="zh-CN" w:bidi="ar"/>
              </w:rPr>
              <w:t>7</w:t>
            </w:r>
          </w:p>
        </w:tc>
        <w:tc>
          <w:tcPr>
            <w:tcW w:w="804" w:type="dxa"/>
            <w:tcBorders>
              <w:top w:val="single" w:color="auto" w:sz="4" w:space="0"/>
              <w:left w:val="nil"/>
              <w:bottom w:val="single" w:color="auto" w:sz="4" w:space="0"/>
              <w:right w:val="single" w:color="auto" w:sz="4" w:space="0"/>
            </w:tcBorders>
            <w:shd w:val="clear" w:color="auto" w:fill="auto"/>
            <w:noWrap/>
            <w:vAlign w:val="center"/>
          </w:tcPr>
          <w:p w14:paraId="6914500A">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附件19</w:t>
            </w:r>
          </w:p>
        </w:tc>
        <w:tc>
          <w:tcPr>
            <w:tcW w:w="666" w:type="dxa"/>
            <w:tcBorders>
              <w:top w:val="single" w:color="auto" w:sz="4" w:space="0"/>
              <w:left w:val="nil"/>
              <w:bottom w:val="single" w:color="auto" w:sz="4" w:space="0"/>
              <w:right w:val="single" w:color="auto" w:sz="4" w:space="0"/>
            </w:tcBorders>
            <w:shd w:val="clear" w:color="auto" w:fill="auto"/>
            <w:noWrap/>
            <w:vAlign w:val="center"/>
          </w:tcPr>
          <w:p w14:paraId="58AF51A0">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新增</w:t>
            </w:r>
          </w:p>
        </w:tc>
        <w:tc>
          <w:tcPr>
            <w:tcW w:w="3320" w:type="dxa"/>
            <w:tcBorders>
              <w:top w:val="single" w:color="auto" w:sz="4" w:space="0"/>
              <w:left w:val="nil"/>
              <w:bottom w:val="single" w:color="auto" w:sz="4" w:space="0"/>
              <w:right w:val="single" w:color="auto" w:sz="4" w:space="0"/>
            </w:tcBorders>
            <w:shd w:val="clear" w:color="auto" w:fill="auto"/>
            <w:noWrap/>
            <w:vAlign w:val="top"/>
          </w:tcPr>
          <w:p w14:paraId="5023A9BA">
            <w:pPr>
              <w:keepNext w:val="0"/>
              <w:keepLines w:val="0"/>
              <w:widowControl w:val="0"/>
              <w:suppressLineNumbers w:val="0"/>
              <w:autoSpaceDE w:val="0"/>
              <w:autoSpaceDN w:val="0"/>
              <w:adjustRightInd w:val="0"/>
              <w:snapToGrid w:val="0"/>
              <w:spacing w:before="0" w:beforeAutospacing="0" w:after="0" w:afterAutospacing="0" w:line="380" w:lineRule="exact"/>
              <w:ind w:left="0" w:right="0" w:firstLine="480"/>
              <w:jc w:val="both"/>
              <w:rPr>
                <w:rFonts w:hint="eastAsia" w:ascii="宋体" w:hAnsi="Calibri" w:eastAsia="宋体" w:cs="宋体"/>
                <w:b/>
                <w:bCs w:val="0"/>
                <w:color w:val="auto"/>
                <w:kern w:val="2"/>
                <w:sz w:val="21"/>
                <w:szCs w:val="21"/>
                <w:highlight w:val="none"/>
              </w:rPr>
            </w:pPr>
          </w:p>
        </w:tc>
        <w:tc>
          <w:tcPr>
            <w:tcW w:w="3544" w:type="dxa"/>
            <w:tcBorders>
              <w:top w:val="single" w:color="auto" w:sz="4" w:space="0"/>
              <w:left w:val="nil"/>
              <w:bottom w:val="single" w:color="auto" w:sz="4" w:space="0"/>
              <w:right w:val="single" w:color="auto" w:sz="4" w:space="0"/>
            </w:tcBorders>
            <w:shd w:val="clear" w:color="auto" w:fill="auto"/>
            <w:noWrap/>
            <w:vAlign w:val="top"/>
          </w:tcPr>
          <w:p w14:paraId="2E0AD16B">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《工程工人工资委托代发协议书（格式）》见后附文4</w:t>
            </w:r>
          </w:p>
        </w:tc>
      </w:tr>
      <w:tr w14:paraId="005BE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7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2662B5">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宋体"/>
                <w:color w:val="auto"/>
                <w:kern w:val="0"/>
                <w:sz w:val="21"/>
                <w:szCs w:val="21"/>
                <w:highlight w:val="none"/>
              </w:rPr>
            </w:pPr>
            <w:r>
              <w:rPr>
                <w:rFonts w:hint="default" w:ascii="宋体" w:hAnsi="宋体" w:eastAsia="宋体" w:cs="宋体"/>
                <w:color w:val="auto"/>
                <w:kern w:val="0"/>
                <w:sz w:val="21"/>
                <w:szCs w:val="21"/>
                <w:highlight w:val="none"/>
                <w:lang w:eastAsia="zh-CN" w:bidi="ar"/>
              </w:rPr>
              <w:t>8</w:t>
            </w:r>
          </w:p>
        </w:tc>
        <w:tc>
          <w:tcPr>
            <w:tcW w:w="804" w:type="dxa"/>
            <w:tcBorders>
              <w:top w:val="single" w:color="auto" w:sz="4" w:space="0"/>
              <w:left w:val="nil"/>
              <w:bottom w:val="single" w:color="auto" w:sz="4" w:space="0"/>
              <w:right w:val="single" w:color="auto" w:sz="4" w:space="0"/>
            </w:tcBorders>
            <w:shd w:val="clear" w:color="auto" w:fill="auto"/>
            <w:noWrap/>
            <w:vAlign w:val="center"/>
          </w:tcPr>
          <w:p w14:paraId="224453C3">
            <w:pPr>
              <w:keepNext w:val="0"/>
              <w:keepLines w:val="0"/>
              <w:widowControl w:val="0"/>
              <w:suppressLineNumbers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附件20</w:t>
            </w:r>
          </w:p>
        </w:tc>
        <w:tc>
          <w:tcPr>
            <w:tcW w:w="666" w:type="dxa"/>
            <w:tcBorders>
              <w:top w:val="single" w:color="auto" w:sz="4" w:space="0"/>
              <w:left w:val="nil"/>
              <w:bottom w:val="single" w:color="auto" w:sz="4" w:space="0"/>
              <w:right w:val="single" w:color="auto" w:sz="4" w:space="0"/>
            </w:tcBorders>
            <w:shd w:val="clear" w:color="auto" w:fill="auto"/>
            <w:noWrap/>
            <w:vAlign w:val="center"/>
          </w:tcPr>
          <w:p w14:paraId="3106585C">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新增</w:t>
            </w:r>
          </w:p>
        </w:tc>
        <w:tc>
          <w:tcPr>
            <w:tcW w:w="3320" w:type="dxa"/>
            <w:tcBorders>
              <w:top w:val="single" w:color="auto" w:sz="4" w:space="0"/>
              <w:left w:val="nil"/>
              <w:bottom w:val="single" w:color="auto" w:sz="4" w:space="0"/>
              <w:right w:val="single" w:color="auto" w:sz="4" w:space="0"/>
            </w:tcBorders>
            <w:shd w:val="clear" w:color="auto" w:fill="auto"/>
            <w:noWrap/>
            <w:vAlign w:val="top"/>
          </w:tcPr>
          <w:p w14:paraId="2144486A">
            <w:pPr>
              <w:keepNext w:val="0"/>
              <w:keepLines w:val="0"/>
              <w:widowControl w:val="0"/>
              <w:suppressLineNumbers w:val="0"/>
              <w:autoSpaceDE w:val="0"/>
              <w:autoSpaceDN w:val="0"/>
              <w:adjustRightInd w:val="0"/>
              <w:snapToGrid w:val="0"/>
              <w:spacing w:before="0" w:beforeAutospacing="0" w:after="0" w:afterAutospacing="0" w:line="380" w:lineRule="exact"/>
              <w:ind w:left="0" w:right="0" w:firstLine="480"/>
              <w:jc w:val="both"/>
              <w:rPr>
                <w:rFonts w:hint="eastAsia" w:ascii="宋体" w:hAnsi="Calibri" w:eastAsia="宋体" w:cs="宋体"/>
                <w:b/>
                <w:bCs w:val="0"/>
                <w:color w:val="auto"/>
                <w:kern w:val="2"/>
                <w:sz w:val="21"/>
                <w:szCs w:val="21"/>
                <w:highlight w:val="none"/>
              </w:rPr>
            </w:pPr>
          </w:p>
        </w:tc>
        <w:tc>
          <w:tcPr>
            <w:tcW w:w="3544" w:type="dxa"/>
            <w:tcBorders>
              <w:top w:val="single" w:color="auto" w:sz="4" w:space="0"/>
              <w:left w:val="nil"/>
              <w:bottom w:val="single" w:color="auto" w:sz="4" w:space="0"/>
              <w:right w:val="single" w:color="auto" w:sz="4" w:space="0"/>
            </w:tcBorders>
            <w:shd w:val="clear" w:color="auto" w:fill="auto"/>
            <w:noWrap/>
            <w:vAlign w:val="top"/>
          </w:tcPr>
          <w:p w14:paraId="52A34425">
            <w:pPr>
              <w:keepNext w:val="0"/>
              <w:keepLines w:val="0"/>
              <w:widowControl w:val="0"/>
              <w:suppressLineNumbers w:val="0"/>
              <w:adjustRightInd w:val="0"/>
              <w:snapToGrid w:val="0"/>
              <w:spacing w:before="0" w:beforeAutospacing="0" w:after="0" w:afterAutospacing="0"/>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《建设资金支付协议（格式）》见后附文5</w:t>
            </w:r>
          </w:p>
        </w:tc>
      </w:tr>
      <w:tr w14:paraId="2E2A4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0" w:hRule="atLeast"/>
        </w:trPr>
        <w:tc>
          <w:tcPr>
            <w:tcW w:w="7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62272E">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highlight w:val="none"/>
              </w:rPr>
            </w:pPr>
            <w:r>
              <w:rPr>
                <w:rFonts w:hint="default" w:ascii="宋体" w:hAnsi="宋体" w:eastAsia="宋体" w:cs="宋体"/>
                <w:color w:val="auto"/>
                <w:kern w:val="0"/>
                <w:sz w:val="21"/>
                <w:szCs w:val="21"/>
                <w:highlight w:val="none"/>
                <w:lang w:eastAsia="zh-CN" w:bidi="ar"/>
              </w:rPr>
              <w:t>9</w:t>
            </w:r>
          </w:p>
        </w:tc>
        <w:tc>
          <w:tcPr>
            <w:tcW w:w="804" w:type="dxa"/>
            <w:tcBorders>
              <w:top w:val="single" w:color="auto" w:sz="4" w:space="0"/>
              <w:left w:val="nil"/>
              <w:bottom w:val="single" w:color="auto" w:sz="4" w:space="0"/>
              <w:right w:val="single" w:color="auto" w:sz="4" w:space="0"/>
            </w:tcBorders>
            <w:shd w:val="clear" w:color="auto" w:fill="auto"/>
            <w:noWrap/>
            <w:vAlign w:val="center"/>
          </w:tcPr>
          <w:p w14:paraId="394CA6CB">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附件21</w:t>
            </w:r>
          </w:p>
        </w:tc>
        <w:tc>
          <w:tcPr>
            <w:tcW w:w="666" w:type="dxa"/>
            <w:tcBorders>
              <w:top w:val="single" w:color="auto" w:sz="4" w:space="0"/>
              <w:left w:val="nil"/>
              <w:bottom w:val="single" w:color="auto" w:sz="4" w:space="0"/>
              <w:right w:val="single" w:color="auto" w:sz="4" w:space="0"/>
            </w:tcBorders>
            <w:shd w:val="clear" w:color="auto" w:fill="auto"/>
            <w:noWrap/>
            <w:vAlign w:val="center"/>
          </w:tcPr>
          <w:p w14:paraId="09ED8BA4">
            <w:pPr>
              <w:keepNext w:val="0"/>
              <w:keepLines w:val="0"/>
              <w:widowControl w:val="0"/>
              <w:suppressLineNumbers w:val="0"/>
              <w:adjustRightInd w:val="0"/>
              <w:snapToGrid w:val="0"/>
              <w:spacing w:before="0" w:beforeAutospacing="0" w:after="0" w:afterAutospacing="0"/>
              <w:ind w:left="0" w:right="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新增</w:t>
            </w:r>
          </w:p>
        </w:tc>
        <w:tc>
          <w:tcPr>
            <w:tcW w:w="3320" w:type="dxa"/>
            <w:tcBorders>
              <w:top w:val="single" w:color="auto" w:sz="4" w:space="0"/>
              <w:left w:val="nil"/>
              <w:bottom w:val="single" w:color="auto" w:sz="4" w:space="0"/>
              <w:right w:val="single" w:color="auto" w:sz="4" w:space="0"/>
            </w:tcBorders>
            <w:shd w:val="clear" w:color="auto" w:fill="auto"/>
            <w:noWrap/>
            <w:vAlign w:val="top"/>
          </w:tcPr>
          <w:p w14:paraId="37376FDF">
            <w:pPr>
              <w:keepNext w:val="0"/>
              <w:keepLines w:val="0"/>
              <w:widowControl w:val="0"/>
              <w:suppressLineNumbers w:val="0"/>
              <w:autoSpaceDE w:val="0"/>
              <w:autoSpaceDN w:val="0"/>
              <w:adjustRightInd w:val="0"/>
              <w:snapToGrid w:val="0"/>
              <w:spacing w:before="0" w:beforeAutospacing="0" w:after="0" w:afterAutospacing="0" w:line="380" w:lineRule="exact"/>
              <w:ind w:left="0" w:right="0" w:firstLine="480"/>
              <w:jc w:val="both"/>
              <w:rPr>
                <w:rFonts w:hint="eastAsia" w:ascii="宋体" w:hAnsi="Calibri" w:eastAsia="宋体" w:cs="宋体"/>
                <w:b/>
                <w:bCs w:val="0"/>
                <w:color w:val="auto"/>
                <w:kern w:val="2"/>
                <w:sz w:val="21"/>
                <w:szCs w:val="21"/>
                <w:highlight w:val="none"/>
              </w:rPr>
            </w:pPr>
          </w:p>
        </w:tc>
        <w:tc>
          <w:tcPr>
            <w:tcW w:w="3544" w:type="dxa"/>
            <w:tcBorders>
              <w:top w:val="single" w:color="auto" w:sz="4" w:space="0"/>
              <w:left w:val="nil"/>
              <w:bottom w:val="single" w:color="auto" w:sz="4" w:space="0"/>
              <w:right w:val="single" w:color="auto" w:sz="4" w:space="0"/>
            </w:tcBorders>
            <w:shd w:val="clear" w:color="auto" w:fill="auto"/>
            <w:noWrap/>
            <w:vAlign w:val="top"/>
          </w:tcPr>
          <w:p w14:paraId="09722E0B">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《质保期银行履约保函（格式）》见后附文6</w:t>
            </w:r>
          </w:p>
        </w:tc>
      </w:tr>
      <w:tr w14:paraId="2A66B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7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ABC492">
            <w:pPr>
              <w:keepNext w:val="0"/>
              <w:keepLines w:val="0"/>
              <w:widowControl w:val="0"/>
              <w:suppressLineNumbers w:val="0"/>
              <w:adjustRightInd w:val="0"/>
              <w:snapToGrid w:val="0"/>
              <w:spacing w:before="0" w:beforeAutospacing="0" w:after="0" w:afterAutospacing="0"/>
              <w:ind w:left="0" w:right="0"/>
              <w:jc w:val="center"/>
              <w:rPr>
                <w:rFonts w:hint="default" w:ascii="宋体" w:hAnsi="宋体" w:eastAsia="宋体" w:cs="宋体"/>
                <w:color w:val="auto"/>
                <w:kern w:val="0"/>
                <w:sz w:val="21"/>
                <w:szCs w:val="21"/>
                <w:highlight w:val="none"/>
                <w:lang w:eastAsia="zh-CN" w:bidi="ar"/>
              </w:rPr>
            </w:pPr>
            <w:r>
              <w:rPr>
                <w:rFonts w:hint="default" w:ascii="宋体" w:hAnsi="宋体" w:eastAsia="宋体" w:cs="宋体"/>
                <w:color w:val="auto"/>
                <w:kern w:val="0"/>
                <w:sz w:val="21"/>
                <w:szCs w:val="21"/>
                <w:highlight w:val="none"/>
                <w:lang w:eastAsia="zh-CN" w:bidi="ar"/>
              </w:rPr>
              <w:t>10</w:t>
            </w:r>
          </w:p>
        </w:tc>
        <w:tc>
          <w:tcPr>
            <w:tcW w:w="804" w:type="dxa"/>
            <w:tcBorders>
              <w:top w:val="single" w:color="auto" w:sz="4" w:space="0"/>
              <w:left w:val="nil"/>
              <w:bottom w:val="single" w:color="auto" w:sz="4" w:space="0"/>
              <w:right w:val="single" w:color="auto" w:sz="4" w:space="0"/>
            </w:tcBorders>
            <w:shd w:val="clear" w:color="auto" w:fill="auto"/>
            <w:noWrap/>
            <w:vAlign w:val="center"/>
          </w:tcPr>
          <w:p w14:paraId="01B72CB3">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附件22</w:t>
            </w:r>
          </w:p>
        </w:tc>
        <w:tc>
          <w:tcPr>
            <w:tcW w:w="666" w:type="dxa"/>
            <w:tcBorders>
              <w:top w:val="single" w:color="auto" w:sz="4" w:space="0"/>
              <w:left w:val="nil"/>
              <w:bottom w:val="single" w:color="auto" w:sz="4" w:space="0"/>
              <w:right w:val="single" w:color="auto" w:sz="4" w:space="0"/>
            </w:tcBorders>
            <w:shd w:val="clear" w:color="auto" w:fill="auto"/>
            <w:noWrap/>
            <w:vAlign w:val="center"/>
          </w:tcPr>
          <w:p w14:paraId="02B65E0D">
            <w:pPr>
              <w:keepNext w:val="0"/>
              <w:keepLines w:val="0"/>
              <w:widowControl w:val="0"/>
              <w:suppressLineNumbers w:val="0"/>
              <w:adjustRightInd w:val="0"/>
              <w:snapToGrid w:val="0"/>
              <w:spacing w:before="0" w:beforeAutospacing="0" w:after="0" w:afterAutospacing="0"/>
              <w:ind w:left="0" w:right="0"/>
              <w:jc w:val="lef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新增</w:t>
            </w:r>
          </w:p>
        </w:tc>
        <w:tc>
          <w:tcPr>
            <w:tcW w:w="3320" w:type="dxa"/>
            <w:tcBorders>
              <w:top w:val="single" w:color="auto" w:sz="4" w:space="0"/>
              <w:left w:val="nil"/>
              <w:bottom w:val="single" w:color="auto" w:sz="4" w:space="0"/>
              <w:right w:val="single" w:color="auto" w:sz="4" w:space="0"/>
            </w:tcBorders>
            <w:shd w:val="clear" w:color="auto" w:fill="auto"/>
            <w:noWrap/>
            <w:vAlign w:val="top"/>
          </w:tcPr>
          <w:p w14:paraId="5D71E546">
            <w:pPr>
              <w:keepNext w:val="0"/>
              <w:keepLines w:val="0"/>
              <w:widowControl w:val="0"/>
              <w:suppressLineNumbers w:val="0"/>
              <w:autoSpaceDE w:val="0"/>
              <w:autoSpaceDN w:val="0"/>
              <w:adjustRightInd w:val="0"/>
              <w:snapToGrid w:val="0"/>
              <w:spacing w:before="0" w:beforeAutospacing="0" w:after="0" w:afterAutospacing="0" w:line="380" w:lineRule="exact"/>
              <w:ind w:left="0" w:right="0" w:firstLine="480"/>
              <w:jc w:val="both"/>
              <w:rPr>
                <w:rFonts w:hint="eastAsia" w:ascii="宋体" w:hAnsi="Calibri" w:eastAsia="宋体" w:cs="宋体"/>
                <w:b/>
                <w:bCs w:val="0"/>
                <w:color w:val="auto"/>
                <w:kern w:val="2"/>
                <w:sz w:val="21"/>
                <w:szCs w:val="21"/>
                <w:highlight w:val="none"/>
              </w:rPr>
            </w:pPr>
          </w:p>
        </w:tc>
        <w:tc>
          <w:tcPr>
            <w:tcW w:w="3544" w:type="dxa"/>
            <w:tcBorders>
              <w:top w:val="single" w:color="auto" w:sz="4" w:space="0"/>
              <w:left w:val="nil"/>
              <w:bottom w:val="single" w:color="auto" w:sz="4" w:space="0"/>
              <w:right w:val="single" w:color="auto" w:sz="4" w:space="0"/>
            </w:tcBorders>
            <w:shd w:val="clear" w:color="auto" w:fill="auto"/>
            <w:noWrap/>
            <w:vAlign w:val="top"/>
          </w:tcPr>
          <w:p w14:paraId="52287AA1">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《承诺函》见后文附文7</w:t>
            </w:r>
          </w:p>
        </w:tc>
      </w:tr>
    </w:tbl>
    <w:p w14:paraId="385B6B43">
      <w:pPr>
        <w:keepNext w:val="0"/>
        <w:keepLines w:val="0"/>
        <w:widowControl w:val="0"/>
        <w:suppressLineNumbers w:val="0"/>
        <w:spacing w:before="0" w:beforeAutospacing="0" w:after="0" w:afterAutospacing="0" w:line="360" w:lineRule="auto"/>
        <w:ind w:left="0" w:right="0"/>
        <w:jc w:val="both"/>
        <w:rPr>
          <w:rFonts w:hint="eastAsia" w:ascii="宋体" w:hAnsi="Calibri" w:eastAsia="宋体" w:cs="Times New Roman"/>
          <w:color w:val="auto"/>
          <w:kern w:val="2"/>
          <w:sz w:val="24"/>
          <w:szCs w:val="24"/>
          <w:highlight w:val="none"/>
        </w:rPr>
      </w:pPr>
      <w:r>
        <w:rPr>
          <w:rFonts w:hint="eastAsia" w:ascii="宋体" w:hAnsi="Calibri" w:eastAsia="宋体" w:cs="Times New Roman"/>
          <w:color w:val="auto"/>
          <w:kern w:val="2"/>
          <w:sz w:val="24"/>
          <w:szCs w:val="24"/>
          <w:highlight w:val="none"/>
          <w:lang w:val="en-US" w:eastAsia="zh-CN" w:bidi="ar"/>
        </w:rPr>
        <w:br w:type="page"/>
      </w:r>
      <w:r>
        <w:rPr>
          <w:rFonts w:hint="eastAsia" w:ascii="宋体" w:hAnsi="宋体" w:eastAsia="宋体" w:cs="宋体"/>
          <w:b/>
          <w:bCs w:val="0"/>
          <w:color w:val="auto"/>
          <w:kern w:val="2"/>
          <w:sz w:val="24"/>
          <w:szCs w:val="24"/>
          <w:highlight w:val="none"/>
          <w:lang w:val="en-US" w:eastAsia="zh-CN" w:bidi="ar"/>
        </w:rPr>
        <w:t>附文1：</w:t>
      </w:r>
      <w:r>
        <w:rPr>
          <w:rFonts w:hint="eastAsia" w:ascii="宋体" w:hAnsi="宋体" w:eastAsia="宋体" w:cs="宋体"/>
          <w:color w:val="auto"/>
          <w:kern w:val="2"/>
          <w:sz w:val="24"/>
          <w:szCs w:val="24"/>
          <w:highlight w:val="none"/>
          <w:lang w:val="en-US" w:eastAsia="zh-CN" w:bidi="ar"/>
        </w:rPr>
        <w:t>合同专用条款33.2现文</w:t>
      </w:r>
    </w:p>
    <w:p w14:paraId="461A7ABC">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outlineLvl w:val="3"/>
        <w:rPr>
          <w:rFonts w:hint="eastAsia" w:ascii="宋体" w:hAnsi="Calibri"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33.2</w:t>
      </w:r>
      <w:r>
        <w:rPr>
          <w:rFonts w:hint="eastAsia" w:ascii="宋体" w:hAnsi="宋体" w:eastAsia="宋体" w:cs="宋体"/>
          <w:color w:val="auto"/>
          <w:kern w:val="2"/>
          <w:sz w:val="24"/>
          <w:szCs w:val="24"/>
          <w:highlight w:val="none"/>
          <w:lang w:val="en-US" w:eastAsia="zh-CN" w:bidi="ar"/>
        </w:rPr>
        <w:t>对于合同承包范围及内容发生变化的设计变更、工程签证、新增工程等，包括合同专用条款第31条所定义的工程设计变更和第32条所定义的其他变更，由于设计需要或项目建设实际需要，这些变化会导致合同承包范围内的工程量发生变化、或工程量清单内项目的局部内容发生变化、或新增了工程量清单内没有的项目、或招标工程量偏差。出现上述变化需计算工程价款时，承包人按如下方法提出变更价格，报监理单位和发包人批准：</w:t>
      </w:r>
    </w:p>
    <w:p w14:paraId="04E709D5">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outlineLvl w:val="4"/>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33.2.1工程量确定方式（按以下先后顺序执行）</w:t>
      </w:r>
    </w:p>
    <w:p w14:paraId="4D00FE85">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（1）按本工程招标文件中的“工程量清单计价说明和补充规定”的相关规定执行；</w:t>
      </w:r>
    </w:p>
    <w:p w14:paraId="62B81189">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outlineLvl w:val="4"/>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（2）按《建设工程工程量清单计价规范（GB50500-2013）》的相关规定执行；</w:t>
      </w:r>
    </w:p>
    <w:p w14:paraId="03819CA2">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outlineLvl w:val="4"/>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按《广东省房屋建筑与装饰工程综合定额（2018）》、《广东省市政工程综合定额（2018）》、《广东省通用安装工程综合定额（2018）》、《广东省园林绿化工程综合定额（2018）》、2012年《广东省修缮工程综合定额》的相关规定执行；</w:t>
      </w:r>
    </w:p>
    <w:p w14:paraId="57B282D9">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strike/>
          <w:dstrike w:val="0"/>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（4）按发包人与承包人协商确定的计算办法执行。</w:t>
      </w:r>
    </w:p>
    <w:p w14:paraId="71727327">
      <w:pPr>
        <w:pStyle w:val="14"/>
        <w:keepNext w:val="0"/>
        <w:keepLines w:val="0"/>
        <w:widowControl/>
        <w:suppressLineNumbers w:val="0"/>
        <w:adjustRightInd w:val="0"/>
        <w:snapToGrid w:val="0"/>
        <w:spacing w:before="0" w:beforeAutospacing="1" w:after="0" w:afterAutospacing="1" w:line="360" w:lineRule="auto"/>
        <w:ind w:left="-8" w:leftChars="-4" w:right="0" w:firstLine="477" w:firstLineChars="199"/>
        <w:jc w:val="left"/>
        <w:outlineLvl w:val="4"/>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33.2.2合同换算综合单价及合同外新增项目综合单价的主材价格确定方式</w:t>
      </w:r>
    </w:p>
    <w:p w14:paraId="6CA85304">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outlineLvl w:val="5"/>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（1）除机电安装、绿化工程以外的其他工程：</w:t>
      </w:r>
    </w:p>
    <w:p w14:paraId="2FD34AC4">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outlineLvl w:val="5"/>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除机电安装、绿化工程以外的其他工程的合同换算综合单价及合同外新增项目综合单价的主材价格确定方式按照如下约定执行：</w:t>
      </w:r>
    </w:p>
    <w:p w14:paraId="25424980">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outlineLvl w:val="5"/>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工程量报价清单中已有适用且合理的材料单价，则按已有的材料单价执行；若工程量报价清单中已有的材料单价高出招标当期广州市建设工程造价管理站发布的相应月份建设工程价格信息及有关计价办法所附《广州地区建设工程常用材料税前综合价格》（以下简称“《综合价格》”）中相应材料综合价格的30%时，则按《综合价格》中相应材料综合价格执行；若工程量报价清单中已有的材料单价在招标当期《综合价格》中没有但又严重偏离市场价格时，则由发包人与承包人结合招标当期广州市工程造价行业协会发布的《广州地区建设工程材料（设备）厂商价格信息》的税前材料价格（以下简称“《厂商价格信息》”）及合理的市场价格协商确定；若工程量报价清单中已有的材料单价在招标当期《综合价格》和《厂商价格信息》中均没有但又严重偏离市场价格时，则按合理的市场价格执行。工程量报价清单中已有的材料单价是否严重偏离市场价格由监理单位提供相应支持材料加以界定，合理的市场价格由发包人与承包人协商确定。</w:t>
      </w:r>
    </w:p>
    <w:p w14:paraId="053EC068">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outlineLvl w:val="5"/>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2）工程量报价清单中没有适用的但属于招标当期《综合价格》范围的，则直接采用相应材料综合价格。</w:t>
      </w:r>
    </w:p>
    <w:p w14:paraId="4A69ECF8">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outlineLvl w:val="5"/>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若工程量报价清单中没有适用的材料单价，且《综合价格》中也没有，但《厂商价格信息》中有类似（当双方对类似一词的理解不同时，由发包人按有关规定和本工程实际情况确定，下同）材料价格的，则结合工程量清单计价补充规定按工程量报价清单中的类似材料单价相对于招标当期《厂商价格信息》中相应材料价格的下浮率（此处下浮率=（1－工程量报价清单中的类似材料单价/招标当期《厂商价格信息》中相应材料价格）×100％。当下浮率≤0，则按0计取，下同）计算，即新增材料价格=（1-下浮率）×招标当期《厂商价格信息》中相应材料（即新增主材）的价格。</w:t>
      </w:r>
    </w:p>
    <w:p w14:paraId="3FDBD3C4">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outlineLvl w:val="5"/>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u w:val="single"/>
          <w:lang w:val="en-US" w:eastAsia="zh-CN" w:bidi="ar"/>
        </w:rPr>
        <w:t>①类似材料价格按以下顺序确定，且若《厂商价格信息》中的材料价有区间值的，取平均值计算：</w:t>
      </w:r>
    </w:p>
    <w:p w14:paraId="44E5FAA8">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outlineLvl w:val="5"/>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u w:val="single"/>
          <w:lang w:val="en-US" w:eastAsia="zh-CN" w:bidi="ar"/>
        </w:rPr>
        <w:t>a.有招标推荐品牌的，按对应推荐品牌表由下往上选5家以内（含5家）对应厂商价格的平均值计算类似材料价格；</w:t>
      </w:r>
    </w:p>
    <w:p w14:paraId="59B61779">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outlineLvl w:val="5"/>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u w:val="single"/>
          <w:lang w:val="en-US" w:eastAsia="zh-CN" w:bidi="ar"/>
        </w:rPr>
        <w:t>b.没有招标推荐品牌，但看样定板有选定品牌且有对应厂商价格的，按照选定品牌对应的厂商价格计算类似材料价格；</w:t>
      </w:r>
    </w:p>
    <w:p w14:paraId="2B06FCBE">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outlineLvl w:val="5"/>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u w:val="single"/>
          <w:lang w:val="en-US" w:eastAsia="zh-CN" w:bidi="ar"/>
        </w:rPr>
        <w:t>②若招标当期《厂商价格信息》中相应材料（即新增主材）价有区间值的，取低值计算；选用品牌与使用品牌不一致时，按低值取定。</w:t>
      </w:r>
    </w:p>
    <w:p w14:paraId="4AAC77DE">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outlineLvl w:val="5"/>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若工程量报价清单中没有适用的材料单价且无类似材料单价的，招标当期《综合价格》中也没有相应的材料综合价格，则按招标当期《厂商价格信息》中所有品牌中相应材料的最低价下浮5%以上并结合合理的市场价格取定。若《厂商价格信息》中的材料价有区间值的，取低值。</w:t>
      </w:r>
    </w:p>
    <w:p w14:paraId="0E66D07E">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outlineLvl w:val="5"/>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5）招标当期《综合价格》和《厂商价格信息》中均没有相应的价格的，由发包人与承包人根据合理的市场价格水平协商确定。</w:t>
      </w:r>
    </w:p>
    <w:p w14:paraId="20EAD914">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outlineLvl w:val="5"/>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无论是工程量报价清单中已有适用的材料单价，或按招标当期《综合价格》或《厂商价格信息》确定的材料单价，或由发包人与承包人协商确定的材料单价，均须按由发包人对材料看样定板（特别是主材设备可能影响装饰、装修或景观效果的）后才能确定材料单价。如需定价的则看样定板、材料设备定价与相应的设计变更确立应同时进行。</w:t>
      </w:r>
    </w:p>
    <w:p w14:paraId="1D42D6D0">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outlineLvl w:val="5"/>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7）《综合价格》按上、下半月或区间价发布的，取当期上、下半月或区间值的平均值计算。</w:t>
      </w:r>
    </w:p>
    <w:p w14:paraId="082328AB">
      <w:pPr>
        <w:keepNext w:val="0"/>
        <w:keepLines w:val="0"/>
        <w:widowControl w:val="0"/>
        <w:suppressLineNumbers w:val="0"/>
        <w:adjustRightInd w:val="0"/>
        <w:snapToGrid w:val="0"/>
        <w:spacing w:before="0" w:beforeAutospacing="0" w:after="0" w:afterAutospacing="0" w:line="360" w:lineRule="auto"/>
        <w:ind w:left="0" w:right="11" w:firstLine="403" w:firstLineChars="192"/>
        <w:jc w:val="both"/>
        <w:outlineLvl w:val="5"/>
        <w:rPr>
          <w:rFonts w:hint="eastAsia" w:ascii="宋体" w:hAnsi="Calibri" w:eastAsia="宋体" w:cs="宋体"/>
          <w:color w:val="auto"/>
          <w:kern w:val="2"/>
          <w:sz w:val="24"/>
          <w:szCs w:val="24"/>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4"/>
          <w:szCs w:val="24"/>
          <w:highlight w:val="none"/>
          <w:lang w:val="en-US" w:eastAsia="zh-CN" w:bidi="ar"/>
        </w:rPr>
        <w:t xml:space="preserve">7）对于甲管乙供材料，发包人已在招标文件中设定了暂定价（详见暂定主材价表），承包人在报价时按暂定价计入报价中，待承包人与发包人共同招标或择优竞价确定价格并选定确认的材料后，含有该材料的工程量清单的综合单价调整公式如下： </w:t>
      </w:r>
    </w:p>
    <w:p w14:paraId="3D203C0D">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outlineLvl w:val="5"/>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调整的综合单价＝工程量清单中综合单价＋材料价差。</w:t>
      </w:r>
    </w:p>
    <w:p w14:paraId="5330E883">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outlineLvl w:val="5"/>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材料价差＝发包人及监理单位共同确认的最终材料单价－招标文件中的暂定材料单价。</w:t>
      </w:r>
    </w:p>
    <w:p w14:paraId="64B9218B">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outlineLvl w:val="5"/>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（2）机电安装工程：</w:t>
      </w:r>
    </w:p>
    <w:p w14:paraId="32620D9A">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机电安装工程的合同换算综合单价及合同外新增项目综合单价的主材价格确定方式按照如下约定执行：</w:t>
      </w:r>
    </w:p>
    <w:p w14:paraId="73ECB2BA">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1）工程量清单中已有适用且合理的主材单价的，则按已有的主材单价执行。</w:t>
      </w:r>
    </w:p>
    <w:p w14:paraId="171B8D25">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2）工程量报价清单中没有适用的材料单价，但招标当期《综合价格》中有的，则按招标当期《综合价格》中相应材料价格取定执行。</w:t>
      </w:r>
    </w:p>
    <w:p w14:paraId="47122E12">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3）工程量清单中没有适用的主材单价、且招标当期《综合价格》没有相应材料价格的，则按下列约定执行：</w:t>
      </w:r>
    </w:p>
    <w:p w14:paraId="4C457CB8">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① 有招标推荐品牌，且对应推荐品牌表由下往上选取5家以内（含5家）的主材设备品牌（厂家）在招标当期《厂商价格信息》中有价格的，确定主材价格时，按如下约定执行：</w:t>
      </w:r>
    </w:p>
    <w:p w14:paraId="68A81589">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a.求出该类材料设备的“投标报价调整系数”：</w:t>
      </w:r>
    </w:p>
    <w:p w14:paraId="09FE43BE">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投标报价调整系数=∑【分部分项工程量清单计价汇总表中此类主材设备（组成中标总价的）各主材费单价÷招标当期《厂商价格信息》中对应推荐品牌表由下往上选取5家以内（含5家）品牌（厂家）此类主材设备各相应规格厂商价格平均值】÷【此类主材设备清单项目总数】；如对应推存品牌表由下往上选取5家以内（含5家）的此类材料设备的品牌（厂家）有2个或以上在招标当期《厂商价格信息》中有价格的，按其中价格水平最高的品牌（厂家）取定上述公式中的厂商价格。</w:t>
      </w:r>
    </w:p>
    <w:p w14:paraId="7EBFE304">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当对应推存品牌表由下往上选取5家以内（含5家）的某个材料设备品牌（厂家）的系数按【分部分项工程量清单计价汇总表中此类主材设备（组成中标总价的）各主材费单价÷招标当期《厂商价格信息》中对应推存品牌表由下往上选取5家以内（含5家）品牌（厂家）此类主材设备各相应规格厂商价格平均值】大于或等于0.95时，按0.95计算。</w:t>
      </w:r>
    </w:p>
    <w:p w14:paraId="481D7418">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b.直接套用招标当期《厂商价格信息》内对应推存品牌表由下往上选取5家以内（含5家）品牌（厂家）中相应主材的最低价，并乘以“投标报价调整系数”计算，不能直接套用的则根据招标当期《厂商价格信息》内对应推存品牌表由下往上选取5家以内（含5家）的品牌中相应主材规格的最低价用插值法或倍数法换算（优先采用插值法计算），并乘以“投标报价调整系数”计算。</w:t>
      </w:r>
    </w:p>
    <w:p w14:paraId="15846CA1">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②无招标推荐品牌，但看样定板确定的主材设备品牌（厂家）在招标当期《厂商价格信息》中有价格的，确定主材价格时，按如下约定执行：</w:t>
      </w:r>
    </w:p>
    <w:p w14:paraId="3D120D83">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a.求出该类材料设备的“投标报价调整系数”：</w:t>
      </w:r>
    </w:p>
    <w:p w14:paraId="08923A9B">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投标报价调整系数=∑【分部分项工程量清单计价汇总表中此类主材设备（组成中标总价的）各主材费单价÷招标当期《厂商价格信息》中看样定板确定品牌（厂家）此类主材设备各相应规格厂商价格】÷【此类主材设备清单项目总数】；如看样定板确定的此类材料设备的品牌（厂家）有2个或以上在招标当期《厂商价格信息》中有价格的，按其中价格水平最高的品牌（厂家）取定上述公式中的厂商价格。</w:t>
      </w:r>
    </w:p>
    <w:p w14:paraId="68623E85">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当看样定板确定的某个材料设备品牌（厂家）的系数按【分部分项工程量清单计价汇总表中此类主材设备（组成中标总价的）各主材费单价÷招标当期《厂商价格信息》中看样定板确定品牌（厂家）此类主材设备各相应规格厂商价格】大于或等于0.95时，按0.95计算。</w:t>
      </w:r>
    </w:p>
    <w:p w14:paraId="3037B0A6">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b.直接套用招标当期《厂商价格信息》内看样定板确定品牌（厂家）中相应主材的最低价，并乘以“投标报价调整系数”计算，不能直接套用的则根据招标当期《厂商价格信息》内看样定板确定的品牌中相应主材规格的最低价用插值法或倍数法换算（优先采用插值法计算），并乘以“投标报价调整系数”计算。</w:t>
      </w:r>
    </w:p>
    <w:p w14:paraId="4F2C5121">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10F1F9BF">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③招标推荐品牌（厂家）、看样定板确定的主材设备品牌（厂家）在招标当期《厂商价格信息》中均未有价格，但其他品牌（厂家）在招标当期《厂商价格信息》中有价格，则按招标当期《厂商价格信息》中所有品牌相应规格型号材料单价的最低价下浮5％以上并结合合理的市场价格取定执行。</w:t>
      </w:r>
    </w:p>
    <w:p w14:paraId="1F1923B9">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4）工程量清单中没有适用的主材单价，同时招标当期《综合价格》和《厂商价格信息》中均没有相应材料价格的，由发包人与承包人根据合理的市场价格水平协商确定主材单价。</w:t>
      </w:r>
    </w:p>
    <w:p w14:paraId="491BC896">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5）《综合价格》按上、下半月或区间价发布的，取当期上、下半月或区间值的平均值计算。</w:t>
      </w:r>
    </w:p>
    <w:p w14:paraId="68997D92">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2"/>
          <w:sz w:val="24"/>
          <w:szCs w:val="24"/>
          <w:highlight w:val="none"/>
          <w:lang w:val="en-US" w:eastAsia="zh-CN" w:bidi="ar"/>
        </w:rPr>
        <w:t>6）配电箱项目的主材费报价、及配电箱变更（新增）项目的计价按如下规定执行。</w:t>
      </w:r>
    </w:p>
    <w:p w14:paraId="4A3E7A58">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① 配电箱主材费报价说明：</w:t>
      </w:r>
    </w:p>
    <w:p w14:paraId="58D8C5F3">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strike/>
          <w:dstrike w:val="0"/>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a.承包人申报配电箱主元器件品牌（厂家）须满足招标文件及设计文件要求。</w:t>
      </w:r>
    </w:p>
    <w:p w14:paraId="7EF271E8">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b.每一台配电箱主材费由主元器件、箱体、综合费三部分费用组成，其中：</w:t>
      </w:r>
    </w:p>
    <w:p w14:paraId="7A0C0D09">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Ⅰ.配电箱箱内主元器件：指断路器、漏电开关、自动转换开关、接触器、隔离开关、继电器、浪涌保护产品、计量表（电度表）、互感器、避雷器。</w:t>
      </w:r>
    </w:p>
    <w:p w14:paraId="58FC64E8">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Ⅱ.配电箱箱体报价中应包含箱内所有必须的隔板、挂板的费用。承包人填报《配电箱价格分析表》时须填写各配电箱的箱体规格（长×宽×高），并在“备注”栏中填写用箱体报价除以外箱体六个箱面的展开总面积（m</w:t>
      </w:r>
      <w:r>
        <w:rPr>
          <w:rFonts w:hint="eastAsia" w:ascii="宋体" w:hAnsi="宋体" w:eastAsia="宋体" w:cs="宋体"/>
          <w:color w:val="auto"/>
          <w:kern w:val="0"/>
          <w:sz w:val="24"/>
          <w:szCs w:val="24"/>
          <w:highlight w:val="none"/>
          <w:vertAlign w:val="superscript"/>
          <w:lang w:val="en-US" w:eastAsia="zh-CN" w:bidi="ar"/>
        </w:rPr>
        <w:t>2</w:t>
      </w:r>
      <w:r>
        <w:rPr>
          <w:rFonts w:hint="eastAsia" w:ascii="宋体" w:hAnsi="宋体" w:eastAsia="宋体" w:cs="宋体"/>
          <w:color w:val="auto"/>
          <w:kern w:val="0"/>
          <w:sz w:val="24"/>
          <w:szCs w:val="24"/>
          <w:highlight w:val="none"/>
          <w:lang w:val="en-US" w:eastAsia="zh-CN" w:bidi="ar"/>
        </w:rPr>
        <w:t>）得出的每m</w:t>
      </w:r>
      <w:r>
        <w:rPr>
          <w:rFonts w:hint="eastAsia" w:ascii="宋体" w:hAnsi="宋体" w:eastAsia="宋体" w:cs="宋体"/>
          <w:color w:val="auto"/>
          <w:kern w:val="0"/>
          <w:sz w:val="24"/>
          <w:szCs w:val="24"/>
          <w:highlight w:val="none"/>
          <w:vertAlign w:val="superscript"/>
          <w:lang w:val="en-US" w:eastAsia="zh-CN" w:bidi="ar"/>
        </w:rPr>
        <w:t>2</w:t>
      </w:r>
      <w:r>
        <w:rPr>
          <w:rFonts w:hint="eastAsia" w:ascii="宋体" w:hAnsi="宋体" w:eastAsia="宋体" w:cs="宋体"/>
          <w:color w:val="auto"/>
          <w:kern w:val="0"/>
          <w:sz w:val="24"/>
          <w:szCs w:val="24"/>
          <w:highlight w:val="none"/>
          <w:lang w:val="en-US" w:eastAsia="zh-CN" w:bidi="ar"/>
        </w:rPr>
        <w:t>价格[不得超过发包人给出的配电箱箱体单位面积限价（250元/m</w:t>
      </w:r>
      <w:r>
        <w:rPr>
          <w:rFonts w:hint="eastAsia" w:ascii="宋体" w:hAnsi="宋体" w:eastAsia="宋体" w:cs="宋体"/>
          <w:color w:val="auto"/>
          <w:kern w:val="0"/>
          <w:sz w:val="24"/>
          <w:szCs w:val="24"/>
          <w:highlight w:val="none"/>
          <w:vertAlign w:val="superscript"/>
          <w:lang w:val="en-US" w:eastAsia="zh-CN" w:bidi="ar"/>
        </w:rPr>
        <w:t>2</w:t>
      </w:r>
      <w:r>
        <w:rPr>
          <w:rFonts w:hint="eastAsia" w:ascii="宋体" w:hAnsi="宋体" w:eastAsia="宋体" w:cs="宋体"/>
          <w:color w:val="auto"/>
          <w:kern w:val="0"/>
          <w:sz w:val="24"/>
          <w:szCs w:val="24"/>
          <w:highlight w:val="none"/>
          <w:lang w:val="en-US" w:eastAsia="zh-CN" w:bidi="ar"/>
        </w:rPr>
        <w:t>），如承包人申报新增（变更）价格超出限价，则按配电箱箱体单位面积（250元/m</w:t>
      </w:r>
      <w:r>
        <w:rPr>
          <w:rFonts w:hint="eastAsia" w:ascii="宋体" w:hAnsi="宋体" w:eastAsia="宋体" w:cs="宋体"/>
          <w:color w:val="auto"/>
          <w:kern w:val="0"/>
          <w:sz w:val="24"/>
          <w:szCs w:val="24"/>
          <w:highlight w:val="none"/>
          <w:vertAlign w:val="superscript"/>
          <w:lang w:val="en-US" w:eastAsia="zh-CN" w:bidi="ar"/>
        </w:rPr>
        <w:t>2</w:t>
      </w:r>
      <w:r>
        <w:rPr>
          <w:rFonts w:hint="eastAsia" w:ascii="宋体" w:hAnsi="宋体" w:eastAsia="宋体" w:cs="宋体"/>
          <w:color w:val="auto"/>
          <w:kern w:val="0"/>
          <w:sz w:val="24"/>
          <w:szCs w:val="24"/>
          <w:highlight w:val="none"/>
          <w:lang w:val="en-US" w:eastAsia="zh-CN" w:bidi="ar"/>
        </w:rPr>
        <w:t>）执行]。</w:t>
      </w:r>
    </w:p>
    <w:p w14:paraId="4489EB90">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Ⅲ.综合费包括除箱体、主元器件外的其他一切耗材及辅材费、组装费等一切相关费用。综合费费率统一取定为25%。</w:t>
      </w:r>
    </w:p>
    <w:p w14:paraId="7635C980">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Ⅳ.单个配电箱主材费＝∑【主元器件单价×数量】+箱体+(∑【主元器件单价×数量】+箱体)×综合费费率。</w:t>
      </w:r>
    </w:p>
    <w:p w14:paraId="240C786F">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Ⅴ.承包人对招标图纸中的配电箱的报价将作为固定单价，并且在图纸不变的情况下单价包干；除非发包人对招标图纸有明确的设计变更通知单，即原设计图纸的配电箱有设计变更，方能按配电箱变更及新增配电箱的计价说明中的相关规定调整。</w:t>
      </w:r>
    </w:p>
    <w:p w14:paraId="3798A8A6">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② 配电箱变更及新增配电箱的主材费计价说明：</w:t>
      </w:r>
    </w:p>
    <w:p w14:paraId="6A48B7DA">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a.承包人申报配电箱主元器件品牌（厂家）须满足招标文件及设计文件要求。</w:t>
      </w:r>
    </w:p>
    <w:p w14:paraId="1007D36B">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b.《配电箱价格分析表》中主元器件单价定价原则：若合同内有类似单价且合理的，则参考合同单价，其他按看样定板确定品牌对应《电气元件价格表》相应主元器件的最低价为基准下浮30%并结合市场价格执行。</w:t>
      </w:r>
    </w:p>
    <w:p w14:paraId="2A173B45">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c.配电箱变更的主材费计价具体按如下约定执行：</w:t>
      </w:r>
    </w:p>
    <w:p w14:paraId="2F401715">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Ⅰ.配电箱变更引起的主元器件主材费变化仅计算相关的主元器件的价差；</w:t>
      </w:r>
    </w:p>
    <w:p w14:paraId="0345800C">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Ⅱ.配电箱变更引起箱体的任何变化（包括但不限于箱体内回路的增减、隔板或挂板的增减、箱体材料厚度改变等变化），箱体价格均不再调整；</w:t>
      </w:r>
    </w:p>
    <w:tbl>
      <w:tblPr>
        <w:tblStyle w:val="17"/>
        <w:tblW w:w="8385" w:type="dxa"/>
        <w:tblInd w:w="-10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85"/>
      </w:tblGrid>
      <w:tr w14:paraId="0030C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8385" w:type="dxa"/>
            <w:tcBorders>
              <w:top w:val="nil"/>
              <w:left w:val="nil"/>
              <w:bottom w:val="nil"/>
              <w:right w:val="nil"/>
            </w:tcBorders>
            <w:shd w:val="clear" w:color="auto" w:fill="auto"/>
            <w:noWrap/>
            <w:vAlign w:val="center"/>
          </w:tcPr>
          <w:p w14:paraId="251BA56B">
            <w:pPr>
              <w:keepNext w:val="0"/>
              <w:keepLines w:val="0"/>
              <w:widowControl/>
              <w:suppressLineNumbers w:val="0"/>
              <w:spacing w:before="0" w:beforeAutospacing="0" w:after="0" w:afterAutospacing="0" w:line="360" w:lineRule="auto"/>
              <w:ind w:left="0" w:right="0" w:firstLine="480" w:firstLineChars="200"/>
              <w:jc w:val="both"/>
              <w:rPr>
                <w:rFonts w:hint="eastAsia" w:ascii="宋体" w:hAnsi="Calibri" w:eastAsia="宋体" w:cs="宋体"/>
                <w:b/>
                <w:bCs w:val="0"/>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Ⅲ.变更后的单个配电箱主材费＝(∑【变更后主元器件单价×数量】-∑【变更前主元器件单价×数量】）×（1+综合费费率）+变更前配电箱价格。综合费费率统一取定为25%。</w:t>
            </w:r>
          </w:p>
        </w:tc>
      </w:tr>
    </w:tbl>
    <w:p w14:paraId="0847E261">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d.新增配电箱主材费计价具体按如下约定执行：</w:t>
      </w:r>
    </w:p>
    <w:p w14:paraId="29DA7CAB">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Ⅰ.工程量清单内已含的配电箱仅是数量发生变化的，增加的配电箱不作为新增配电箱计价；</w:t>
      </w:r>
    </w:p>
    <w:p w14:paraId="6DA3ED17">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Ⅱ.新增配电箱箱体根据配电箱所含出线回路的总位数计价：承包人投标文件《配电箱价格分析表》中有相同出线回路位数的配电箱的箱体单价，且低于或等于限价（250元/m²）的，直接套用；若超出限价（250元/m²）的，则按250元/m²执行。《配电箱价格分析表》中具有相同出线回路位数的配电箱的箱体单价不一致的，若相应箱体单价的平均价低于或等于限价（250元/m²），则按平均价计价；若超出限价（250元/m²）的，则按250元/m²计算。如承包人未填报工程量清单所包含的配电箱的《配电箱价格分析表》，则进行新增配电箱箱体价格计算时，工程量清单所包含的相应配电箱箱体价格以出线回路位数统一按下表计取：</w:t>
      </w:r>
    </w:p>
    <w:p w14:paraId="30A7AAC9">
      <w:pPr>
        <w:keepNext w:val="0"/>
        <w:keepLines w:val="0"/>
        <w:widowControl w:val="0"/>
        <w:suppressLineNumbers w:val="0"/>
        <w:adjustRightInd w:val="0"/>
        <w:snapToGrid w:val="0"/>
        <w:spacing w:before="0" w:beforeAutospacing="0" w:after="0" w:afterAutospacing="0" w:line="360" w:lineRule="auto"/>
        <w:ind w:left="0" w:right="11"/>
        <w:jc w:val="center"/>
        <w:rPr>
          <w:rFonts w:hint="eastAsia" w:ascii="宋体" w:hAnsi="Calibri" w:eastAsia="宋体" w:cs="宋体"/>
          <w:b/>
          <w:bCs w:val="0"/>
          <w:color w:val="auto"/>
          <w:kern w:val="0"/>
          <w:sz w:val="24"/>
          <w:szCs w:val="24"/>
          <w:highlight w:val="none"/>
        </w:rPr>
      </w:pPr>
      <w:r>
        <w:rPr>
          <w:rFonts w:hint="eastAsia" w:ascii="宋体" w:hAnsi="宋体" w:eastAsia="宋体" w:cs="宋体"/>
          <w:b/>
          <w:bCs w:val="0"/>
          <w:color w:val="auto"/>
          <w:kern w:val="2"/>
          <w:sz w:val="24"/>
          <w:szCs w:val="24"/>
          <w:highlight w:val="none"/>
          <w:lang w:val="en-US" w:eastAsia="zh-CN" w:bidi="ar"/>
        </w:rPr>
        <w:t>新增配电箱箱体税前价格计算表</w:t>
      </w:r>
    </w:p>
    <w:tbl>
      <w:tblPr>
        <w:tblStyle w:val="17"/>
        <w:tblW w:w="964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1"/>
        <w:gridCol w:w="2312"/>
        <w:gridCol w:w="3349"/>
        <w:gridCol w:w="3261"/>
      </w:tblGrid>
      <w:tr w14:paraId="44857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69DEB0F">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序号</w:t>
            </w:r>
          </w:p>
        </w:tc>
        <w:tc>
          <w:tcPr>
            <w:tcW w:w="2312" w:type="dxa"/>
            <w:tcBorders>
              <w:top w:val="single" w:color="auto" w:sz="4" w:space="0"/>
              <w:left w:val="nil"/>
              <w:bottom w:val="single" w:color="auto" w:sz="4" w:space="0"/>
              <w:right w:val="single" w:color="000000" w:sz="4" w:space="0"/>
            </w:tcBorders>
            <w:shd w:val="clear" w:color="auto" w:fill="auto"/>
            <w:noWrap/>
            <w:vAlign w:val="bottom"/>
          </w:tcPr>
          <w:p w14:paraId="232EC392">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配电箱出线回路位数</w:t>
            </w:r>
          </w:p>
        </w:tc>
        <w:tc>
          <w:tcPr>
            <w:tcW w:w="3349" w:type="dxa"/>
            <w:tcBorders>
              <w:top w:val="single" w:color="auto" w:sz="4" w:space="0"/>
              <w:left w:val="nil"/>
              <w:bottom w:val="single" w:color="auto" w:sz="4" w:space="0"/>
              <w:right w:val="single" w:color="000000" w:sz="4" w:space="0"/>
            </w:tcBorders>
            <w:shd w:val="clear" w:color="auto" w:fill="auto"/>
            <w:noWrap/>
            <w:vAlign w:val="bottom"/>
          </w:tcPr>
          <w:p w14:paraId="43763937">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照明配电箱箱体税前价格（元）</w:t>
            </w:r>
          </w:p>
        </w:tc>
        <w:tc>
          <w:tcPr>
            <w:tcW w:w="3261" w:type="dxa"/>
            <w:tcBorders>
              <w:top w:val="single" w:color="auto" w:sz="4" w:space="0"/>
              <w:left w:val="nil"/>
              <w:bottom w:val="single" w:color="auto" w:sz="4" w:space="0"/>
              <w:right w:val="single" w:color="000000" w:sz="4" w:space="0"/>
            </w:tcBorders>
            <w:shd w:val="clear" w:color="auto" w:fill="auto"/>
            <w:noWrap/>
            <w:vAlign w:val="bottom"/>
          </w:tcPr>
          <w:p w14:paraId="3060A1E1">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动力配电箱箱体税前价格（元）</w:t>
            </w:r>
          </w:p>
        </w:tc>
      </w:tr>
      <w:tr w14:paraId="5CFA7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0EE9317D">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6121BA80">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p>
        </w:tc>
        <w:tc>
          <w:tcPr>
            <w:tcW w:w="3349" w:type="dxa"/>
            <w:vMerge w:val="restart"/>
            <w:tcBorders>
              <w:top w:val="nil"/>
              <w:left w:val="nil"/>
              <w:bottom w:val="single" w:color="000000" w:sz="4" w:space="0"/>
              <w:right w:val="single" w:color="000000" w:sz="4" w:space="0"/>
            </w:tcBorders>
            <w:shd w:val="clear" w:color="auto" w:fill="auto"/>
            <w:noWrap/>
            <w:vAlign w:val="center"/>
          </w:tcPr>
          <w:p w14:paraId="1B363774">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16</w:t>
            </w:r>
          </w:p>
        </w:tc>
        <w:tc>
          <w:tcPr>
            <w:tcW w:w="3261" w:type="dxa"/>
            <w:tcBorders>
              <w:top w:val="single" w:color="auto" w:sz="4" w:space="0"/>
              <w:left w:val="nil"/>
              <w:bottom w:val="single" w:color="auto" w:sz="4" w:space="0"/>
              <w:right w:val="single" w:color="000000" w:sz="4" w:space="0"/>
            </w:tcBorders>
            <w:shd w:val="clear" w:color="auto" w:fill="auto"/>
            <w:noWrap/>
            <w:vAlign w:val="center"/>
          </w:tcPr>
          <w:p w14:paraId="58F79877">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50</w:t>
            </w:r>
          </w:p>
        </w:tc>
      </w:tr>
      <w:tr w14:paraId="5C4A1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732606C3">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73A1BF63">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2D681FAB">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tcBorders>
              <w:top w:val="single" w:color="auto" w:sz="4" w:space="0"/>
              <w:left w:val="nil"/>
              <w:bottom w:val="single" w:color="auto" w:sz="4" w:space="0"/>
              <w:right w:val="single" w:color="000000" w:sz="4" w:space="0"/>
            </w:tcBorders>
            <w:shd w:val="clear" w:color="auto" w:fill="auto"/>
            <w:noWrap/>
            <w:vAlign w:val="center"/>
          </w:tcPr>
          <w:p w14:paraId="6EF0D220">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60</w:t>
            </w:r>
          </w:p>
        </w:tc>
      </w:tr>
      <w:tr w14:paraId="350A5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5C00E827">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304A8C93">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5A5E24B6">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tcBorders>
              <w:top w:val="single" w:color="auto" w:sz="4" w:space="0"/>
              <w:left w:val="nil"/>
              <w:bottom w:val="single" w:color="auto" w:sz="4" w:space="0"/>
              <w:right w:val="single" w:color="000000" w:sz="4" w:space="0"/>
            </w:tcBorders>
            <w:shd w:val="clear" w:color="auto" w:fill="auto"/>
            <w:noWrap/>
            <w:vAlign w:val="center"/>
          </w:tcPr>
          <w:p w14:paraId="60B3EB95">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90</w:t>
            </w:r>
          </w:p>
        </w:tc>
      </w:tr>
      <w:tr w14:paraId="6A94E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03BD4425">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77EF7D75">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010A5E03">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restart"/>
            <w:tcBorders>
              <w:top w:val="nil"/>
              <w:left w:val="nil"/>
              <w:bottom w:val="single" w:color="000000" w:sz="4" w:space="0"/>
              <w:right w:val="single" w:color="000000" w:sz="4" w:space="0"/>
            </w:tcBorders>
            <w:shd w:val="clear" w:color="auto" w:fill="auto"/>
            <w:noWrap/>
            <w:vAlign w:val="center"/>
          </w:tcPr>
          <w:p w14:paraId="14A044CA">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105</w:t>
            </w:r>
          </w:p>
        </w:tc>
      </w:tr>
      <w:tr w14:paraId="102C2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60D2F580">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1C9F87DC">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w:t>
            </w:r>
          </w:p>
        </w:tc>
        <w:tc>
          <w:tcPr>
            <w:tcW w:w="3349" w:type="dxa"/>
            <w:vMerge w:val="restart"/>
            <w:tcBorders>
              <w:top w:val="nil"/>
              <w:left w:val="nil"/>
              <w:bottom w:val="single" w:color="000000" w:sz="4" w:space="0"/>
              <w:right w:val="single" w:color="000000" w:sz="4" w:space="0"/>
            </w:tcBorders>
            <w:shd w:val="clear" w:color="auto" w:fill="auto"/>
            <w:noWrap/>
            <w:vAlign w:val="center"/>
          </w:tcPr>
          <w:p w14:paraId="3B2B67C8">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35</w:t>
            </w:r>
          </w:p>
        </w:tc>
        <w:tc>
          <w:tcPr>
            <w:tcW w:w="3261" w:type="dxa"/>
            <w:vMerge w:val="continue"/>
            <w:tcBorders>
              <w:top w:val="nil"/>
              <w:left w:val="nil"/>
              <w:bottom w:val="single" w:color="000000" w:sz="4" w:space="0"/>
              <w:right w:val="single" w:color="000000" w:sz="4" w:space="0"/>
            </w:tcBorders>
            <w:shd w:val="clear" w:color="auto" w:fill="auto"/>
            <w:noWrap/>
            <w:vAlign w:val="center"/>
          </w:tcPr>
          <w:p w14:paraId="2617950E">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r>
      <w:tr w14:paraId="798EA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3039C6D5">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574298B6">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110DE386">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restart"/>
            <w:tcBorders>
              <w:top w:val="nil"/>
              <w:left w:val="nil"/>
              <w:bottom w:val="single" w:color="000000" w:sz="4" w:space="0"/>
              <w:right w:val="single" w:color="000000" w:sz="4" w:space="0"/>
            </w:tcBorders>
            <w:shd w:val="clear" w:color="auto" w:fill="auto"/>
            <w:noWrap/>
            <w:vAlign w:val="center"/>
          </w:tcPr>
          <w:p w14:paraId="1A2A10D1">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185</w:t>
            </w:r>
          </w:p>
        </w:tc>
      </w:tr>
      <w:tr w14:paraId="19CFD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462CEC81">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7</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3BFCD5FC">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7</w:t>
            </w:r>
          </w:p>
        </w:tc>
        <w:tc>
          <w:tcPr>
            <w:tcW w:w="3349" w:type="dxa"/>
            <w:vMerge w:val="restart"/>
            <w:tcBorders>
              <w:top w:val="nil"/>
              <w:left w:val="nil"/>
              <w:bottom w:val="single" w:color="000000" w:sz="4" w:space="0"/>
              <w:right w:val="single" w:color="000000" w:sz="4" w:space="0"/>
            </w:tcBorders>
            <w:shd w:val="clear" w:color="auto" w:fill="auto"/>
            <w:noWrap/>
            <w:vAlign w:val="center"/>
          </w:tcPr>
          <w:p w14:paraId="60CE4EDE">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40</w:t>
            </w:r>
          </w:p>
        </w:tc>
        <w:tc>
          <w:tcPr>
            <w:tcW w:w="3261" w:type="dxa"/>
            <w:vMerge w:val="continue"/>
            <w:tcBorders>
              <w:top w:val="nil"/>
              <w:left w:val="nil"/>
              <w:bottom w:val="single" w:color="000000" w:sz="4" w:space="0"/>
              <w:right w:val="single" w:color="000000" w:sz="4" w:space="0"/>
            </w:tcBorders>
            <w:shd w:val="clear" w:color="auto" w:fill="auto"/>
            <w:noWrap/>
            <w:vAlign w:val="center"/>
          </w:tcPr>
          <w:p w14:paraId="7B753913">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r>
      <w:tr w14:paraId="3D8F3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3CAE41DC">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8</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5B008DA5">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8</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05102F71">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restart"/>
            <w:tcBorders>
              <w:top w:val="nil"/>
              <w:left w:val="nil"/>
              <w:bottom w:val="single" w:color="000000" w:sz="4" w:space="0"/>
              <w:right w:val="single" w:color="000000" w:sz="4" w:space="0"/>
            </w:tcBorders>
            <w:shd w:val="clear" w:color="auto" w:fill="auto"/>
            <w:noWrap/>
            <w:vAlign w:val="center"/>
          </w:tcPr>
          <w:p w14:paraId="3647CED4">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220</w:t>
            </w:r>
          </w:p>
        </w:tc>
      </w:tr>
      <w:tr w14:paraId="60C46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507713DF">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9</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5DDC2758">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9</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7A2B5D5D">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continue"/>
            <w:tcBorders>
              <w:top w:val="nil"/>
              <w:left w:val="nil"/>
              <w:bottom w:val="single" w:color="000000" w:sz="4" w:space="0"/>
              <w:right w:val="single" w:color="000000" w:sz="4" w:space="0"/>
            </w:tcBorders>
            <w:shd w:val="clear" w:color="auto" w:fill="auto"/>
            <w:noWrap/>
            <w:vAlign w:val="center"/>
          </w:tcPr>
          <w:p w14:paraId="799A1378">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r>
      <w:tr w14:paraId="57EC2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38C4664A">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10</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726EF410">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10</w:t>
            </w:r>
          </w:p>
        </w:tc>
        <w:tc>
          <w:tcPr>
            <w:tcW w:w="3349" w:type="dxa"/>
            <w:vMerge w:val="restart"/>
            <w:tcBorders>
              <w:top w:val="nil"/>
              <w:left w:val="nil"/>
              <w:bottom w:val="single" w:color="000000" w:sz="4" w:space="0"/>
              <w:right w:val="single" w:color="000000" w:sz="4" w:space="0"/>
            </w:tcBorders>
            <w:shd w:val="clear" w:color="auto" w:fill="auto"/>
            <w:noWrap/>
            <w:vAlign w:val="center"/>
          </w:tcPr>
          <w:p w14:paraId="2E1E853C">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50</w:t>
            </w:r>
          </w:p>
        </w:tc>
        <w:tc>
          <w:tcPr>
            <w:tcW w:w="3261" w:type="dxa"/>
            <w:vMerge w:val="restart"/>
            <w:tcBorders>
              <w:top w:val="nil"/>
              <w:left w:val="nil"/>
              <w:bottom w:val="single" w:color="000000" w:sz="4" w:space="0"/>
              <w:right w:val="single" w:color="000000" w:sz="4" w:space="0"/>
            </w:tcBorders>
            <w:shd w:val="clear" w:color="auto" w:fill="auto"/>
            <w:noWrap/>
            <w:vAlign w:val="center"/>
          </w:tcPr>
          <w:p w14:paraId="2B1DBDD1">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255</w:t>
            </w:r>
          </w:p>
        </w:tc>
      </w:tr>
      <w:tr w14:paraId="3EB4B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3938102C">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11</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4BE1E0D7">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11</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68E6FC44">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continue"/>
            <w:tcBorders>
              <w:top w:val="nil"/>
              <w:left w:val="nil"/>
              <w:bottom w:val="single" w:color="000000" w:sz="4" w:space="0"/>
              <w:right w:val="single" w:color="000000" w:sz="4" w:space="0"/>
            </w:tcBorders>
            <w:shd w:val="clear" w:color="auto" w:fill="auto"/>
            <w:noWrap/>
            <w:vAlign w:val="center"/>
          </w:tcPr>
          <w:p w14:paraId="3DC1C202">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r>
      <w:tr w14:paraId="777F8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572A84F8">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12</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45C39B21">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12</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00AAF881">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restart"/>
            <w:tcBorders>
              <w:top w:val="nil"/>
              <w:left w:val="nil"/>
              <w:bottom w:val="single" w:color="000000" w:sz="4" w:space="0"/>
              <w:right w:val="single" w:color="000000" w:sz="4" w:space="0"/>
            </w:tcBorders>
            <w:shd w:val="clear" w:color="auto" w:fill="auto"/>
            <w:noWrap/>
            <w:vAlign w:val="center"/>
          </w:tcPr>
          <w:p w14:paraId="281E6115">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260</w:t>
            </w:r>
          </w:p>
        </w:tc>
      </w:tr>
      <w:tr w14:paraId="2A6D0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4D3B9E71">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13</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0C15C678">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13</w:t>
            </w:r>
          </w:p>
        </w:tc>
        <w:tc>
          <w:tcPr>
            <w:tcW w:w="3349" w:type="dxa"/>
            <w:vMerge w:val="restart"/>
            <w:tcBorders>
              <w:top w:val="nil"/>
              <w:left w:val="nil"/>
              <w:bottom w:val="single" w:color="000000" w:sz="4" w:space="0"/>
              <w:right w:val="single" w:color="000000" w:sz="4" w:space="0"/>
            </w:tcBorders>
            <w:shd w:val="clear" w:color="auto" w:fill="auto"/>
            <w:noWrap/>
            <w:vAlign w:val="center"/>
          </w:tcPr>
          <w:p w14:paraId="3677E897">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53</w:t>
            </w:r>
          </w:p>
        </w:tc>
        <w:tc>
          <w:tcPr>
            <w:tcW w:w="3261" w:type="dxa"/>
            <w:vMerge w:val="continue"/>
            <w:tcBorders>
              <w:top w:val="nil"/>
              <w:left w:val="nil"/>
              <w:bottom w:val="single" w:color="000000" w:sz="4" w:space="0"/>
              <w:right w:val="single" w:color="000000" w:sz="4" w:space="0"/>
            </w:tcBorders>
            <w:shd w:val="clear" w:color="auto" w:fill="auto"/>
            <w:noWrap/>
            <w:vAlign w:val="center"/>
          </w:tcPr>
          <w:p w14:paraId="70A0470C">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r>
      <w:tr w14:paraId="41B0A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32D8BF2A">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14</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4995167E">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14</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6AB43778">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restart"/>
            <w:tcBorders>
              <w:top w:val="nil"/>
              <w:left w:val="nil"/>
              <w:bottom w:val="single" w:color="000000" w:sz="4" w:space="0"/>
              <w:right w:val="single" w:color="000000" w:sz="4" w:space="0"/>
            </w:tcBorders>
            <w:shd w:val="clear" w:color="auto" w:fill="auto"/>
            <w:noWrap/>
            <w:vAlign w:val="center"/>
          </w:tcPr>
          <w:p w14:paraId="79125EBE">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285</w:t>
            </w:r>
          </w:p>
        </w:tc>
      </w:tr>
      <w:tr w14:paraId="59FF3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1FFD1E79">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15</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03A3EDB3">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15</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3A257502">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continue"/>
            <w:tcBorders>
              <w:top w:val="nil"/>
              <w:left w:val="nil"/>
              <w:bottom w:val="single" w:color="000000" w:sz="4" w:space="0"/>
              <w:right w:val="single" w:color="000000" w:sz="4" w:space="0"/>
            </w:tcBorders>
            <w:shd w:val="clear" w:color="auto" w:fill="auto"/>
            <w:noWrap/>
            <w:vAlign w:val="center"/>
          </w:tcPr>
          <w:p w14:paraId="75FB41C4">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r>
      <w:tr w14:paraId="7B536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4A2FC6B2">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16</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6C8CB3CA">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16</w:t>
            </w:r>
          </w:p>
        </w:tc>
        <w:tc>
          <w:tcPr>
            <w:tcW w:w="3349" w:type="dxa"/>
            <w:vMerge w:val="restart"/>
            <w:tcBorders>
              <w:top w:val="nil"/>
              <w:left w:val="nil"/>
              <w:bottom w:val="single" w:color="000000" w:sz="4" w:space="0"/>
              <w:right w:val="single" w:color="000000" w:sz="4" w:space="0"/>
            </w:tcBorders>
            <w:shd w:val="clear" w:color="auto" w:fill="auto"/>
            <w:noWrap/>
            <w:vAlign w:val="center"/>
          </w:tcPr>
          <w:p w14:paraId="4ABACC49">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55</w:t>
            </w:r>
          </w:p>
        </w:tc>
        <w:tc>
          <w:tcPr>
            <w:tcW w:w="3261" w:type="dxa"/>
            <w:vMerge w:val="continue"/>
            <w:tcBorders>
              <w:top w:val="nil"/>
              <w:left w:val="nil"/>
              <w:bottom w:val="single" w:color="000000" w:sz="4" w:space="0"/>
              <w:right w:val="single" w:color="000000" w:sz="4" w:space="0"/>
            </w:tcBorders>
            <w:shd w:val="clear" w:color="auto" w:fill="auto"/>
            <w:noWrap/>
            <w:vAlign w:val="center"/>
          </w:tcPr>
          <w:p w14:paraId="358D3FF4">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r>
      <w:tr w14:paraId="1BF86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478421E6">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17</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448E444C">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17</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3C7CD090">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restart"/>
            <w:tcBorders>
              <w:top w:val="nil"/>
              <w:left w:val="nil"/>
              <w:bottom w:val="single" w:color="000000" w:sz="4" w:space="0"/>
              <w:right w:val="single" w:color="000000" w:sz="4" w:space="0"/>
            </w:tcBorders>
            <w:shd w:val="clear" w:color="auto" w:fill="auto"/>
            <w:noWrap/>
            <w:vAlign w:val="center"/>
          </w:tcPr>
          <w:p w14:paraId="5C2027FE">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330</w:t>
            </w:r>
          </w:p>
        </w:tc>
      </w:tr>
      <w:tr w14:paraId="5790C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16257D01">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18</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51D849CA">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18</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28F0F6F8">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continue"/>
            <w:tcBorders>
              <w:top w:val="nil"/>
              <w:left w:val="nil"/>
              <w:bottom w:val="single" w:color="000000" w:sz="4" w:space="0"/>
              <w:right w:val="single" w:color="000000" w:sz="4" w:space="0"/>
            </w:tcBorders>
            <w:shd w:val="clear" w:color="auto" w:fill="auto"/>
            <w:noWrap/>
            <w:vAlign w:val="center"/>
          </w:tcPr>
          <w:p w14:paraId="39ABE292">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r>
      <w:tr w14:paraId="01B99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7B80DD3B">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19</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2E7C17F1">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19</w:t>
            </w:r>
          </w:p>
        </w:tc>
        <w:tc>
          <w:tcPr>
            <w:tcW w:w="3349" w:type="dxa"/>
            <w:vMerge w:val="restart"/>
            <w:tcBorders>
              <w:top w:val="nil"/>
              <w:left w:val="nil"/>
              <w:bottom w:val="single" w:color="000000" w:sz="4" w:space="0"/>
              <w:right w:val="single" w:color="000000" w:sz="4" w:space="0"/>
            </w:tcBorders>
            <w:shd w:val="clear" w:color="auto" w:fill="auto"/>
            <w:noWrap/>
            <w:vAlign w:val="center"/>
          </w:tcPr>
          <w:p w14:paraId="69591E31">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65</w:t>
            </w:r>
          </w:p>
        </w:tc>
        <w:tc>
          <w:tcPr>
            <w:tcW w:w="3261" w:type="dxa"/>
            <w:vMerge w:val="restart"/>
            <w:tcBorders>
              <w:top w:val="nil"/>
              <w:left w:val="nil"/>
              <w:bottom w:val="single" w:color="000000" w:sz="4" w:space="0"/>
              <w:right w:val="single" w:color="000000" w:sz="4" w:space="0"/>
            </w:tcBorders>
            <w:shd w:val="clear" w:color="auto" w:fill="auto"/>
            <w:noWrap/>
            <w:vAlign w:val="center"/>
          </w:tcPr>
          <w:p w14:paraId="31E34BE0">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355</w:t>
            </w:r>
          </w:p>
        </w:tc>
      </w:tr>
      <w:tr w14:paraId="10C78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3D74A897">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20</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6CCD0F2A">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20</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1CF7BC16">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continue"/>
            <w:tcBorders>
              <w:top w:val="nil"/>
              <w:left w:val="nil"/>
              <w:bottom w:val="single" w:color="000000" w:sz="4" w:space="0"/>
              <w:right w:val="single" w:color="000000" w:sz="4" w:space="0"/>
            </w:tcBorders>
            <w:shd w:val="clear" w:color="auto" w:fill="auto"/>
            <w:noWrap/>
            <w:vAlign w:val="center"/>
          </w:tcPr>
          <w:p w14:paraId="753F820E">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r>
      <w:tr w14:paraId="691BF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2E8BD08D">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21</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4A4166AF">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21</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538AA801">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restart"/>
            <w:tcBorders>
              <w:top w:val="nil"/>
              <w:left w:val="nil"/>
              <w:bottom w:val="single" w:color="000000" w:sz="4" w:space="0"/>
              <w:right w:val="single" w:color="000000" w:sz="4" w:space="0"/>
            </w:tcBorders>
            <w:shd w:val="clear" w:color="auto" w:fill="auto"/>
            <w:noWrap/>
            <w:vAlign w:val="center"/>
          </w:tcPr>
          <w:p w14:paraId="6B6D71BC">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410</w:t>
            </w:r>
          </w:p>
        </w:tc>
      </w:tr>
      <w:tr w14:paraId="59FAA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23D085D9">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22</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18651279">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22</w:t>
            </w:r>
          </w:p>
        </w:tc>
        <w:tc>
          <w:tcPr>
            <w:tcW w:w="3349" w:type="dxa"/>
            <w:vMerge w:val="restart"/>
            <w:tcBorders>
              <w:top w:val="nil"/>
              <w:left w:val="nil"/>
              <w:bottom w:val="single" w:color="000000" w:sz="4" w:space="0"/>
              <w:right w:val="single" w:color="000000" w:sz="4" w:space="0"/>
            </w:tcBorders>
            <w:shd w:val="clear" w:color="auto" w:fill="auto"/>
            <w:noWrap/>
            <w:vAlign w:val="center"/>
          </w:tcPr>
          <w:p w14:paraId="4DA617A2">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70</w:t>
            </w:r>
          </w:p>
        </w:tc>
        <w:tc>
          <w:tcPr>
            <w:tcW w:w="3261" w:type="dxa"/>
            <w:vMerge w:val="continue"/>
            <w:tcBorders>
              <w:top w:val="nil"/>
              <w:left w:val="nil"/>
              <w:bottom w:val="single" w:color="000000" w:sz="4" w:space="0"/>
              <w:right w:val="single" w:color="000000" w:sz="4" w:space="0"/>
            </w:tcBorders>
            <w:shd w:val="clear" w:color="auto" w:fill="auto"/>
            <w:noWrap/>
            <w:vAlign w:val="center"/>
          </w:tcPr>
          <w:p w14:paraId="3DC3672A">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r>
      <w:tr w14:paraId="197B0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18A29CF8">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23</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2BBEF992">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23</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56D0B1C7">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continue"/>
            <w:tcBorders>
              <w:top w:val="nil"/>
              <w:left w:val="nil"/>
              <w:bottom w:val="single" w:color="000000" w:sz="4" w:space="0"/>
              <w:right w:val="single" w:color="000000" w:sz="4" w:space="0"/>
            </w:tcBorders>
            <w:shd w:val="clear" w:color="auto" w:fill="auto"/>
            <w:noWrap/>
            <w:vAlign w:val="center"/>
          </w:tcPr>
          <w:p w14:paraId="29EDECA7">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r>
      <w:tr w14:paraId="5935E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5171A84B">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24</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2C01A598">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24</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248E4D8F">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restart"/>
            <w:tcBorders>
              <w:top w:val="nil"/>
              <w:left w:val="nil"/>
              <w:bottom w:val="single" w:color="000000" w:sz="4" w:space="0"/>
              <w:right w:val="single" w:color="000000" w:sz="4" w:space="0"/>
            </w:tcBorders>
            <w:shd w:val="clear" w:color="auto" w:fill="auto"/>
            <w:noWrap/>
            <w:vAlign w:val="center"/>
          </w:tcPr>
          <w:p w14:paraId="6982544C">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435</w:t>
            </w:r>
          </w:p>
        </w:tc>
      </w:tr>
      <w:tr w14:paraId="5A3EC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57AA493E">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25</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79DBD438">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25</w:t>
            </w:r>
          </w:p>
        </w:tc>
        <w:tc>
          <w:tcPr>
            <w:tcW w:w="3349" w:type="dxa"/>
            <w:vMerge w:val="restart"/>
            <w:tcBorders>
              <w:top w:val="nil"/>
              <w:left w:val="nil"/>
              <w:bottom w:val="single" w:color="000000" w:sz="4" w:space="0"/>
              <w:right w:val="single" w:color="000000" w:sz="4" w:space="0"/>
            </w:tcBorders>
            <w:shd w:val="clear" w:color="auto" w:fill="auto"/>
            <w:noWrap/>
            <w:vAlign w:val="center"/>
          </w:tcPr>
          <w:p w14:paraId="62433687">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p>
        </w:tc>
        <w:tc>
          <w:tcPr>
            <w:tcW w:w="3261" w:type="dxa"/>
            <w:vMerge w:val="continue"/>
            <w:tcBorders>
              <w:top w:val="nil"/>
              <w:left w:val="nil"/>
              <w:bottom w:val="single" w:color="000000" w:sz="4" w:space="0"/>
              <w:right w:val="single" w:color="000000" w:sz="4" w:space="0"/>
            </w:tcBorders>
            <w:shd w:val="clear" w:color="auto" w:fill="auto"/>
            <w:noWrap/>
            <w:vAlign w:val="center"/>
          </w:tcPr>
          <w:p w14:paraId="5B0292D5">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r>
      <w:tr w14:paraId="7A05B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5B509B6C">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26</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30CAE9BD">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26</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59DAD082">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continue"/>
            <w:tcBorders>
              <w:top w:val="nil"/>
              <w:left w:val="nil"/>
              <w:bottom w:val="single" w:color="000000" w:sz="4" w:space="0"/>
              <w:right w:val="single" w:color="000000" w:sz="4" w:space="0"/>
            </w:tcBorders>
            <w:shd w:val="clear" w:color="auto" w:fill="auto"/>
            <w:noWrap/>
            <w:vAlign w:val="center"/>
          </w:tcPr>
          <w:p w14:paraId="0DDE4EFE">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r>
      <w:tr w14:paraId="67F0B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57791ED0">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27</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55EDE4D2">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27</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42A5DBC3">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restart"/>
            <w:tcBorders>
              <w:top w:val="nil"/>
              <w:left w:val="nil"/>
              <w:bottom w:val="single" w:color="000000" w:sz="4" w:space="0"/>
              <w:right w:val="single" w:color="000000" w:sz="4" w:space="0"/>
            </w:tcBorders>
            <w:shd w:val="clear" w:color="auto" w:fill="auto"/>
            <w:noWrap/>
            <w:vAlign w:val="center"/>
          </w:tcPr>
          <w:p w14:paraId="5A47F69A">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450</w:t>
            </w:r>
          </w:p>
        </w:tc>
      </w:tr>
      <w:tr w14:paraId="0A81D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1E0D17C1">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28</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20872C1B">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28</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3D3EDD66">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continue"/>
            <w:tcBorders>
              <w:top w:val="nil"/>
              <w:left w:val="nil"/>
              <w:bottom w:val="single" w:color="000000" w:sz="4" w:space="0"/>
              <w:right w:val="single" w:color="000000" w:sz="4" w:space="0"/>
            </w:tcBorders>
            <w:shd w:val="clear" w:color="auto" w:fill="auto"/>
            <w:noWrap/>
            <w:vAlign w:val="center"/>
          </w:tcPr>
          <w:p w14:paraId="21878000">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r>
      <w:tr w14:paraId="53631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56E28C22">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29</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579CBA9E">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29</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640A0738">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continue"/>
            <w:tcBorders>
              <w:top w:val="nil"/>
              <w:left w:val="nil"/>
              <w:bottom w:val="single" w:color="000000" w:sz="4" w:space="0"/>
              <w:right w:val="single" w:color="000000" w:sz="4" w:space="0"/>
            </w:tcBorders>
            <w:shd w:val="clear" w:color="auto" w:fill="auto"/>
            <w:noWrap/>
            <w:vAlign w:val="center"/>
          </w:tcPr>
          <w:p w14:paraId="651EB31A">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r>
      <w:tr w14:paraId="56A9A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1F890FF3">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30</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65654E24">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30</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5DD57A6E">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restart"/>
            <w:tcBorders>
              <w:top w:val="nil"/>
              <w:left w:val="nil"/>
              <w:bottom w:val="single" w:color="000000" w:sz="4" w:space="0"/>
              <w:right w:val="single" w:color="000000" w:sz="4" w:space="0"/>
            </w:tcBorders>
            <w:shd w:val="clear" w:color="auto" w:fill="auto"/>
            <w:noWrap/>
            <w:vAlign w:val="center"/>
          </w:tcPr>
          <w:p w14:paraId="375FAA4A">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755</w:t>
            </w:r>
          </w:p>
        </w:tc>
      </w:tr>
      <w:tr w14:paraId="559C4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415E0882">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31</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7EFC4FDB">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31</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76207A29">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continue"/>
            <w:tcBorders>
              <w:top w:val="nil"/>
              <w:left w:val="nil"/>
              <w:bottom w:val="single" w:color="000000" w:sz="4" w:space="0"/>
              <w:right w:val="single" w:color="000000" w:sz="4" w:space="0"/>
            </w:tcBorders>
            <w:shd w:val="clear" w:color="auto" w:fill="auto"/>
            <w:noWrap/>
            <w:vAlign w:val="center"/>
          </w:tcPr>
          <w:p w14:paraId="1D16346B">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r>
      <w:tr w14:paraId="1EE59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66C82F2B">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32</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51F836A8">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32</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4AE57C7E">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restart"/>
            <w:tcBorders>
              <w:top w:val="nil"/>
              <w:left w:val="nil"/>
              <w:bottom w:val="single" w:color="000000" w:sz="4" w:space="0"/>
              <w:right w:val="single" w:color="000000" w:sz="4" w:space="0"/>
            </w:tcBorders>
            <w:shd w:val="clear" w:color="auto" w:fill="auto"/>
            <w:noWrap/>
            <w:vAlign w:val="center"/>
          </w:tcPr>
          <w:p w14:paraId="3BEDBA29">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770</w:t>
            </w:r>
          </w:p>
        </w:tc>
      </w:tr>
      <w:tr w14:paraId="7BAE1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5694A2E1">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33</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00954941">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33</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1D66F411">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continue"/>
            <w:tcBorders>
              <w:top w:val="nil"/>
              <w:left w:val="nil"/>
              <w:bottom w:val="single" w:color="000000" w:sz="4" w:space="0"/>
              <w:right w:val="single" w:color="000000" w:sz="4" w:space="0"/>
            </w:tcBorders>
            <w:shd w:val="clear" w:color="auto" w:fill="auto"/>
            <w:noWrap/>
            <w:vAlign w:val="center"/>
          </w:tcPr>
          <w:p w14:paraId="2AB559A4">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r>
      <w:tr w14:paraId="56F46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38B656E9">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34</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6515BF75">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34</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19811C28">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restart"/>
            <w:tcBorders>
              <w:top w:val="nil"/>
              <w:left w:val="nil"/>
              <w:bottom w:val="single" w:color="000000" w:sz="4" w:space="0"/>
              <w:right w:val="single" w:color="000000" w:sz="4" w:space="0"/>
            </w:tcBorders>
            <w:shd w:val="clear" w:color="auto" w:fill="auto"/>
            <w:noWrap/>
            <w:vAlign w:val="center"/>
          </w:tcPr>
          <w:p w14:paraId="06D78C48">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785</w:t>
            </w:r>
          </w:p>
        </w:tc>
      </w:tr>
      <w:tr w14:paraId="7F0E3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3B884ED9">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35</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296D008C">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35</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0DB88713">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continue"/>
            <w:tcBorders>
              <w:top w:val="nil"/>
              <w:left w:val="nil"/>
              <w:bottom w:val="single" w:color="000000" w:sz="4" w:space="0"/>
              <w:right w:val="single" w:color="000000" w:sz="4" w:space="0"/>
            </w:tcBorders>
            <w:shd w:val="clear" w:color="auto" w:fill="auto"/>
            <w:noWrap/>
            <w:vAlign w:val="center"/>
          </w:tcPr>
          <w:p w14:paraId="7EEF14FC">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r>
      <w:tr w14:paraId="1866C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053E811E">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36</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3C747DBC">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36</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0B852DA5">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restart"/>
            <w:tcBorders>
              <w:top w:val="nil"/>
              <w:left w:val="nil"/>
              <w:bottom w:val="single" w:color="000000" w:sz="4" w:space="0"/>
              <w:right w:val="single" w:color="000000" w:sz="4" w:space="0"/>
            </w:tcBorders>
            <w:shd w:val="clear" w:color="auto" w:fill="auto"/>
            <w:noWrap/>
            <w:vAlign w:val="center"/>
          </w:tcPr>
          <w:p w14:paraId="077183EC">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800</w:t>
            </w:r>
          </w:p>
        </w:tc>
      </w:tr>
      <w:tr w14:paraId="4F9DA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3A20108E">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37</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49826400">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37</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73DDAC6B">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continue"/>
            <w:tcBorders>
              <w:top w:val="nil"/>
              <w:left w:val="nil"/>
              <w:bottom w:val="single" w:color="000000" w:sz="4" w:space="0"/>
              <w:right w:val="single" w:color="000000" w:sz="4" w:space="0"/>
            </w:tcBorders>
            <w:shd w:val="clear" w:color="auto" w:fill="auto"/>
            <w:noWrap/>
            <w:vAlign w:val="center"/>
          </w:tcPr>
          <w:p w14:paraId="2514E14F">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r>
      <w:tr w14:paraId="235C9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0C7522C1">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38</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13F4529C">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38</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4F4B4600">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restart"/>
            <w:tcBorders>
              <w:top w:val="nil"/>
              <w:left w:val="nil"/>
              <w:bottom w:val="single" w:color="000000" w:sz="4" w:space="0"/>
              <w:right w:val="single" w:color="000000" w:sz="4" w:space="0"/>
            </w:tcBorders>
            <w:shd w:val="clear" w:color="auto" w:fill="auto"/>
            <w:noWrap/>
            <w:vAlign w:val="center"/>
          </w:tcPr>
          <w:p w14:paraId="6BAF80D2">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815</w:t>
            </w:r>
          </w:p>
        </w:tc>
      </w:tr>
      <w:tr w14:paraId="65BFE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3BA0C4FF">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39</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2B5271D5">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39</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6F245A18">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continue"/>
            <w:tcBorders>
              <w:top w:val="nil"/>
              <w:left w:val="nil"/>
              <w:bottom w:val="single" w:color="000000" w:sz="4" w:space="0"/>
              <w:right w:val="single" w:color="000000" w:sz="4" w:space="0"/>
            </w:tcBorders>
            <w:shd w:val="clear" w:color="auto" w:fill="auto"/>
            <w:noWrap/>
            <w:vAlign w:val="center"/>
          </w:tcPr>
          <w:p w14:paraId="1C42201A">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r>
      <w:tr w14:paraId="41B04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5BB6E342">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40</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5B8C0DE6">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40</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67B7F906">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restart"/>
            <w:tcBorders>
              <w:top w:val="nil"/>
              <w:left w:val="nil"/>
              <w:bottom w:val="single" w:color="000000" w:sz="4" w:space="0"/>
              <w:right w:val="single" w:color="000000" w:sz="4" w:space="0"/>
            </w:tcBorders>
            <w:shd w:val="clear" w:color="auto" w:fill="auto"/>
            <w:noWrap/>
            <w:vAlign w:val="center"/>
          </w:tcPr>
          <w:p w14:paraId="7429AF2D">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830</w:t>
            </w:r>
          </w:p>
        </w:tc>
      </w:tr>
      <w:tr w14:paraId="7FC63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4CDC772F">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41</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0EBEED25">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41</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6F8FB5FB">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continue"/>
            <w:tcBorders>
              <w:top w:val="nil"/>
              <w:left w:val="nil"/>
              <w:bottom w:val="single" w:color="000000" w:sz="4" w:space="0"/>
              <w:right w:val="single" w:color="000000" w:sz="4" w:space="0"/>
            </w:tcBorders>
            <w:shd w:val="clear" w:color="auto" w:fill="auto"/>
            <w:noWrap/>
            <w:vAlign w:val="center"/>
          </w:tcPr>
          <w:p w14:paraId="619D24C8">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r>
      <w:tr w14:paraId="13134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65064820">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42</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65CA6DD0">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42</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41B1530C">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restart"/>
            <w:tcBorders>
              <w:top w:val="nil"/>
              <w:left w:val="nil"/>
              <w:bottom w:val="single" w:color="000000" w:sz="4" w:space="0"/>
              <w:right w:val="single" w:color="000000" w:sz="4" w:space="0"/>
            </w:tcBorders>
            <w:shd w:val="clear" w:color="auto" w:fill="auto"/>
            <w:noWrap/>
            <w:vAlign w:val="center"/>
          </w:tcPr>
          <w:p w14:paraId="13809921">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840</w:t>
            </w:r>
          </w:p>
        </w:tc>
      </w:tr>
      <w:tr w14:paraId="71372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4AA1B6EA">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43</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3B83C7B8">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43</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5502F682">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continue"/>
            <w:tcBorders>
              <w:top w:val="nil"/>
              <w:left w:val="nil"/>
              <w:bottom w:val="single" w:color="000000" w:sz="4" w:space="0"/>
              <w:right w:val="single" w:color="000000" w:sz="4" w:space="0"/>
            </w:tcBorders>
            <w:shd w:val="clear" w:color="auto" w:fill="auto"/>
            <w:noWrap/>
            <w:vAlign w:val="center"/>
          </w:tcPr>
          <w:p w14:paraId="7752A07B">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r>
      <w:tr w14:paraId="237C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40BF2554">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44</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5A38B8E0">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44</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2059FE20">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restart"/>
            <w:tcBorders>
              <w:top w:val="nil"/>
              <w:left w:val="nil"/>
              <w:bottom w:val="single" w:color="000000" w:sz="4" w:space="0"/>
              <w:right w:val="single" w:color="000000" w:sz="4" w:space="0"/>
            </w:tcBorders>
            <w:shd w:val="clear" w:color="auto" w:fill="auto"/>
            <w:noWrap/>
            <w:vAlign w:val="center"/>
          </w:tcPr>
          <w:p w14:paraId="6687A695">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850</w:t>
            </w:r>
          </w:p>
        </w:tc>
      </w:tr>
      <w:tr w14:paraId="27631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29F04538">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45</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4A36E285">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45</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0F048B76">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continue"/>
            <w:tcBorders>
              <w:top w:val="nil"/>
              <w:left w:val="nil"/>
              <w:bottom w:val="single" w:color="000000" w:sz="4" w:space="0"/>
              <w:right w:val="single" w:color="000000" w:sz="4" w:space="0"/>
            </w:tcBorders>
            <w:shd w:val="clear" w:color="auto" w:fill="auto"/>
            <w:noWrap/>
            <w:vAlign w:val="center"/>
          </w:tcPr>
          <w:p w14:paraId="7B564C77">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r>
      <w:tr w14:paraId="28ED3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2A5044B5">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46</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4F8DE859">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46</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16230C19">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restart"/>
            <w:tcBorders>
              <w:top w:val="nil"/>
              <w:left w:val="nil"/>
              <w:bottom w:val="single" w:color="000000" w:sz="4" w:space="0"/>
              <w:right w:val="single" w:color="000000" w:sz="4" w:space="0"/>
            </w:tcBorders>
            <w:shd w:val="clear" w:color="auto" w:fill="auto"/>
            <w:noWrap/>
            <w:vAlign w:val="center"/>
          </w:tcPr>
          <w:p w14:paraId="6CAD4D59">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870</w:t>
            </w:r>
          </w:p>
        </w:tc>
      </w:tr>
      <w:tr w14:paraId="4E7EB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60E899F7">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47</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3D9F5350">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47</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31781EEB">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continue"/>
            <w:tcBorders>
              <w:top w:val="nil"/>
              <w:left w:val="nil"/>
              <w:bottom w:val="single" w:color="000000" w:sz="4" w:space="0"/>
              <w:right w:val="single" w:color="000000" w:sz="4" w:space="0"/>
            </w:tcBorders>
            <w:shd w:val="clear" w:color="auto" w:fill="auto"/>
            <w:noWrap/>
            <w:vAlign w:val="center"/>
          </w:tcPr>
          <w:p w14:paraId="31B88C7C">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r>
      <w:tr w14:paraId="5F73C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721" w:type="dxa"/>
            <w:tcBorders>
              <w:top w:val="nil"/>
              <w:left w:val="single" w:color="auto" w:sz="4" w:space="0"/>
              <w:bottom w:val="single" w:color="auto" w:sz="4" w:space="0"/>
              <w:right w:val="single" w:color="auto" w:sz="4" w:space="0"/>
            </w:tcBorders>
            <w:shd w:val="clear" w:color="auto" w:fill="auto"/>
            <w:noWrap/>
            <w:vAlign w:val="bottom"/>
          </w:tcPr>
          <w:p w14:paraId="6FD8468E">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48</w:t>
            </w:r>
          </w:p>
        </w:tc>
        <w:tc>
          <w:tcPr>
            <w:tcW w:w="2312" w:type="dxa"/>
            <w:tcBorders>
              <w:top w:val="single" w:color="auto" w:sz="4" w:space="0"/>
              <w:left w:val="nil"/>
              <w:bottom w:val="single" w:color="auto" w:sz="4" w:space="0"/>
              <w:right w:val="single" w:color="000000" w:sz="4" w:space="0"/>
            </w:tcBorders>
            <w:shd w:val="clear" w:color="auto" w:fill="auto"/>
            <w:noWrap/>
            <w:vAlign w:val="center"/>
          </w:tcPr>
          <w:p w14:paraId="435614B4">
            <w:pPr>
              <w:pStyle w:val="14"/>
              <w:keepNext w:val="0"/>
              <w:keepLines w:val="0"/>
              <w:widowControl w:val="0"/>
              <w:suppressLineNumbers w:val="0"/>
              <w:adjustRightInd w:val="0"/>
              <w:snapToGrid w:val="0"/>
              <w:spacing w:before="0" w:beforeAutospacing="1" w:after="0" w:afterAutospacing="1"/>
              <w:ind w:left="0" w:right="0"/>
              <w:jc w:val="center"/>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48</w:t>
            </w:r>
          </w:p>
        </w:tc>
        <w:tc>
          <w:tcPr>
            <w:tcW w:w="3349" w:type="dxa"/>
            <w:vMerge w:val="continue"/>
            <w:tcBorders>
              <w:top w:val="nil"/>
              <w:left w:val="nil"/>
              <w:bottom w:val="single" w:color="000000" w:sz="4" w:space="0"/>
              <w:right w:val="single" w:color="000000" w:sz="4" w:space="0"/>
            </w:tcBorders>
            <w:shd w:val="clear" w:color="auto" w:fill="auto"/>
            <w:noWrap/>
            <w:vAlign w:val="center"/>
          </w:tcPr>
          <w:p w14:paraId="0C5693D7">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3261" w:type="dxa"/>
            <w:vMerge w:val="continue"/>
            <w:tcBorders>
              <w:top w:val="nil"/>
              <w:left w:val="nil"/>
              <w:bottom w:val="single" w:color="000000" w:sz="4" w:space="0"/>
              <w:right w:val="single" w:color="000000" w:sz="4" w:space="0"/>
            </w:tcBorders>
            <w:shd w:val="clear" w:color="auto" w:fill="auto"/>
            <w:noWrap/>
            <w:vAlign w:val="center"/>
          </w:tcPr>
          <w:p w14:paraId="54FDD25B">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r>
    </w:tbl>
    <w:p w14:paraId="2CE98A00">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14:paraId="437CD52F">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新增配电箱按出线回路位数于工程量清单中未有对应的配电箱的，箱体单价根据已有配电箱箱体价格按出线回路总位数用插值法或倍数法换算（优先采用插值法）。</w:t>
      </w:r>
    </w:p>
    <w:p w14:paraId="5F7BF0E8">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Ⅲ.单个配电箱主材费＝∑【主元器件单价×数量】+箱体+（∑【主元器件单价×数量】+箱体）×综合费费率。其中主元器件单价的定价原则：若合同内有类似单价且合理的，则参考合同单价，其他按看样定板确定品牌对应《电气元件价格表》相应主元器件的最低价为基准下浮30%并结合市场价格执行。综合费费率统一取定为25%。</w:t>
      </w:r>
    </w:p>
    <w:p w14:paraId="2DB00D61">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e.若承包人不提供《配电箱价格分析表》，则发包人有权按有利于发包人的原则计算新增（变更）配电箱价格。</w:t>
      </w:r>
    </w:p>
    <w:p w14:paraId="0FB32A84">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③ 配电箱变更计价时不调整相应清单项目的安装费；新增配电箱项综合单价的安装费按合同约定的合同外新增项目计价规定确定。</w:t>
      </w:r>
    </w:p>
    <w:p w14:paraId="25550C4B">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outlineLvl w:val="5"/>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（3）绿化工程：</w:t>
      </w:r>
    </w:p>
    <w:p w14:paraId="587F57EE">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绿化工程的合同换算综合单价及合同外新增项目综合单价的主材价格确定方式按照如下约定执行：</w:t>
      </w:r>
    </w:p>
    <w:p w14:paraId="0090CD82">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1）工程量报价清单中已有相同材料：</w:t>
      </w:r>
    </w:p>
    <w:p w14:paraId="1F579815">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①工程量报价清单中已有相同材料，且价格合理，则按已有的材料单价执行；</w:t>
      </w:r>
    </w:p>
    <w:p w14:paraId="75A19B4F">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②工程量报价清单中已有相同的材料，但单价高出《厂商价格信息》”）中相应材料最高价时，则按《厂商价格信息》中相应材料的最低价执行；</w:t>
      </w:r>
    </w:p>
    <w:p w14:paraId="3044287D">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③工程量报价清单中已有相同的材料，但其单价在招标当期《厂商价格信息》中没有但又严重偏离市场价格时，则按合理的市场价格执行。工程量报价清单中已有的材料单价是否严重偏离市场价格由监理单位提供相应支持材料加以界定，合理的市场价格由发包人与承包人协商确定。</w:t>
      </w:r>
    </w:p>
    <w:p w14:paraId="5F4A629E">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工程量报价清单中没有相同的，但有类似的苗木材料单价，且《厂商价格信息》中也有类似材料价格的，则结合工程量清单计价补充规定按类似材料单价相对于招标当期《厂商价格信息》中相应材料价格的下浮率乘以招标当期《厂商价格信息》中相应材料价格取定执行。</w:t>
      </w:r>
    </w:p>
    <w:p w14:paraId="0B461692">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3）工程量报价清单中没有相同且没有类似的，但《厂商价格信息》中有相应材料价格的，则按招标当期《厂商价格信息》中所有品牌中相应材料的最低价执行。</w:t>
      </w:r>
    </w:p>
    <w:p w14:paraId="3583785B">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4）工程量报价清单和《厂商价格信息》中均没有的，由发包人与承包人通过询价、比选三家以上苗木价格，结合合理的市场价格水平协商确定。</w:t>
      </w:r>
    </w:p>
    <w:p w14:paraId="3C4AD229">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无论是工程量报价清单中已有适用的材料单价，或按招标当期《厂商价格信息》确定的材料单价，或由发包人与承包人协商确定的材料单价，均须按由发包人对材料看样定板（特别是主材设备可能影响装饰、装修或景观效果的）后才能确定材料单价。如需定价的则看样定板、材料设备定价与相应的设计变更确立应同时进行。</w:t>
      </w:r>
    </w:p>
    <w:p w14:paraId="393C3D52">
      <w:pPr>
        <w:keepNext w:val="0"/>
        <w:keepLines w:val="0"/>
        <w:widowControl w:val="0"/>
        <w:suppressLineNumbers w:val="0"/>
        <w:adjustRightInd w:val="0"/>
        <w:snapToGrid w:val="0"/>
        <w:spacing w:before="0" w:beforeAutospacing="0" w:after="0" w:afterAutospacing="0" w:line="360" w:lineRule="auto"/>
        <w:ind w:left="0" w:right="11" w:firstLine="403"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4"/>
          <w:szCs w:val="24"/>
          <w:highlight w:val="none"/>
          <w:lang w:val="en-US" w:eastAsia="zh-CN" w:bidi="ar"/>
        </w:rPr>
        <w:t xml:space="preserve">6）对于甲管乙供材料，发包人已在招标文件中设定了暂定价（详见暂定主材价表），承包人在报价时按暂定价计入报价中，待承包人与发包人共同择优竞价确定价格并选定确认的材料后，含有该材料的工程量清单的综合单价调整公式如下： </w:t>
      </w:r>
    </w:p>
    <w:p w14:paraId="3467E85A">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调整的综合单价＝工程量清单中综合单价＋材料价差。</w:t>
      </w:r>
    </w:p>
    <w:p w14:paraId="59D66D9C">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材料价差＝发包人及监理单位共同确认的最终材料单价－招标文件中的暂定材料单价。</w:t>
      </w:r>
    </w:p>
    <w:p w14:paraId="63D687AB">
      <w:pPr>
        <w:pStyle w:val="14"/>
        <w:keepNext w:val="0"/>
        <w:keepLines w:val="0"/>
        <w:widowControl/>
        <w:suppressLineNumbers w:val="0"/>
        <w:adjustRightInd w:val="0"/>
        <w:snapToGrid w:val="0"/>
        <w:spacing w:before="0" w:beforeAutospacing="1" w:after="0" w:afterAutospacing="1" w:line="360" w:lineRule="auto"/>
        <w:ind w:left="-8" w:leftChars="-4" w:right="0" w:firstLine="477" w:firstLineChars="199"/>
        <w:jc w:val="left"/>
        <w:outlineLvl w:val="4"/>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33.2.3综合单价确定方式</w:t>
      </w:r>
    </w:p>
    <w:p w14:paraId="1C0176C6">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outlineLvl w:val="5"/>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（1）合同换算综合单价按以下方式计价（仅适用于机电安装工程）：</w:t>
      </w:r>
    </w:p>
    <w:p w14:paraId="3A81CE45">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合同中没有完全一致的综合单价项目但在相应定额中套用的子目一致的综合单价项目（如开关插座、水箱、消防栓箱、消防喷淋喷头、消防自动报警设备等）、或虽规格发生变化但与合同原清单已有类似项目相比所套用的相应定额子目及定额调整系数均一致的综合单价项目，按合同原清单已有类似项目作换算处理。换算时按以下公式进行：</w:t>
      </w:r>
    </w:p>
    <w:p w14:paraId="3B7AE83F">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合同换算综合单价=主材费+安装费=实际使用的主材价格+合同原清单已有类似项目安装费；</w:t>
      </w:r>
    </w:p>
    <w:p w14:paraId="7D7F4D5F">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实际使用主材价格的确定按本条第33.2.2款执行；</w:t>
      </w:r>
    </w:p>
    <w:p w14:paraId="65DF0F7D">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合同原清单已有类似项目综合单价安装费有两个（含两个）以上时，按规格最接近的类似项目的安装费的最低值进行换算。</w:t>
      </w:r>
    </w:p>
    <w:p w14:paraId="11607080">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合同中没有完全一致的综合单价项目但只是规格等发生变化，且与合同原清单已有类似项目相比所套用的相应定额子目不一致的综合单价项目（如电缆等），其主材费按本条第33.2.2款执行，其安装费按本条第33.2.3（2）款中约定的安装费计价方法执行。</w:t>
      </w:r>
    </w:p>
    <w:p w14:paraId="7E943A8C">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如合同综合单价中的安装费人工、辅材、机具的消耗量高于相应定额的消耗量，或合同综合单价中的综合管理费、利润等的取值高于省市相关造价文件所规定的上限值，否则在参照承包人综合单价安装费确定合同内已有类似项目（综合单价）的安装费时，按定额相应子目的消耗量及相关造价文件的上限值调整。</w:t>
      </w:r>
    </w:p>
    <w:p w14:paraId="1E8C6365">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配电箱、电表箱、T接箱、端子箱（接线箱）变更时，其主材费的确定按本条第33.2.2款执行，其综合单价按照本条第33.2.3（2）款的约定计价。新增配电箱、电表箱、T接箱、端子箱（接线箱）的综合单价的确定按本条第33.2.3（2）款的约定执行。</w:t>
      </w:r>
    </w:p>
    <w:p w14:paraId="39B0248B">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outlineLvl w:val="5"/>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（2）综合单价确定方式</w:t>
      </w:r>
    </w:p>
    <w:p w14:paraId="6366F74C">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1）合同中已有适用的综合单价项目，即只是原有清单项目工程数量的增减，则按合同已有的综合单价变更合同价款，合同另有约定调整方式的除外。</w:t>
      </w:r>
    </w:p>
    <w:p w14:paraId="4B465C5D">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合同中没有完全一致的综合单价项目，但有类似综合单价项目，只是砼标号、品牌、规格、型号、厚度、产地等发生变化的，则按合同内类似综合单价项目作换算处理。换算时只计算主材价差，即合同换算综合单价=合同类似项目综合单价+材料价差。主材价差=实际使用的主材价格-合同类似项目综合单价中的主材价格，实际使用主材价格的确定按本条第33.2.2款执行。当合同内类似综合单价项目有两个（含两个）以上时，双方约定按主材价格最靠近和就低不就高的原则进行换算。</w:t>
      </w:r>
    </w:p>
    <w:p w14:paraId="0417180F">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3）若合同中既没有适用的综合单价项目，也不能按合同换算综合单价项目作换算处理，则作为合同外新增项目按下表进行计价：</w:t>
      </w:r>
    </w:p>
    <w:p w14:paraId="28552DC7">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A、机电安装工程：</w:t>
      </w:r>
    </w:p>
    <w:p w14:paraId="2DC90B6C">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295BDB6F">
      <w:pPr>
        <w:keepNext w:val="0"/>
        <w:keepLines w:val="0"/>
        <w:widowControl w:val="0"/>
        <w:suppressLineNumbers w:val="0"/>
        <w:adjustRightInd w:val="0"/>
        <w:snapToGrid w:val="0"/>
        <w:spacing w:before="0" w:beforeAutospacing="0" w:after="0" w:afterAutospacing="0" w:line="360" w:lineRule="auto"/>
        <w:ind w:left="0" w:right="11"/>
        <w:jc w:val="center"/>
        <w:rPr>
          <w:rFonts w:hint="eastAsia" w:ascii="宋体" w:hAnsi="Calibri"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综合单价计价表</w:t>
      </w:r>
    </w:p>
    <w:tbl>
      <w:tblPr>
        <w:tblStyle w:val="17"/>
        <w:tblW w:w="8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48"/>
        <w:gridCol w:w="1194"/>
        <w:gridCol w:w="857"/>
        <w:gridCol w:w="812"/>
        <w:gridCol w:w="221"/>
        <w:gridCol w:w="1033"/>
        <w:gridCol w:w="1103"/>
        <w:gridCol w:w="1524"/>
      </w:tblGrid>
      <w:tr w14:paraId="34801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8" w:hRule="atLeast"/>
          <w:jc w:val="center"/>
        </w:trPr>
        <w:tc>
          <w:tcPr>
            <w:tcW w:w="154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57568B">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清单编码</w:t>
            </w:r>
          </w:p>
        </w:tc>
        <w:tc>
          <w:tcPr>
            <w:tcW w:w="1194" w:type="dxa"/>
            <w:tcBorders>
              <w:top w:val="single" w:color="auto" w:sz="4" w:space="0"/>
              <w:left w:val="nil"/>
              <w:bottom w:val="single" w:color="auto" w:sz="4" w:space="0"/>
              <w:right w:val="single" w:color="auto" w:sz="4" w:space="0"/>
            </w:tcBorders>
            <w:shd w:val="clear" w:color="auto" w:fill="auto"/>
            <w:noWrap/>
            <w:vAlign w:val="center"/>
          </w:tcPr>
          <w:p w14:paraId="0DAB2AC8">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项目名称</w:t>
            </w:r>
          </w:p>
        </w:tc>
        <w:tc>
          <w:tcPr>
            <w:tcW w:w="1669" w:type="dxa"/>
            <w:gridSpan w:val="2"/>
            <w:tcBorders>
              <w:top w:val="single" w:color="auto" w:sz="4" w:space="0"/>
              <w:left w:val="nil"/>
              <w:bottom w:val="single" w:color="auto" w:sz="4" w:space="0"/>
              <w:right w:val="single" w:color="auto" w:sz="4" w:space="0"/>
            </w:tcBorders>
            <w:shd w:val="clear" w:color="auto" w:fill="auto"/>
            <w:noWrap/>
            <w:vAlign w:val="center"/>
          </w:tcPr>
          <w:p w14:paraId="60380BEB">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单位</w:t>
            </w:r>
          </w:p>
        </w:tc>
        <w:tc>
          <w:tcPr>
            <w:tcW w:w="2357" w:type="dxa"/>
            <w:gridSpan w:val="3"/>
            <w:tcBorders>
              <w:top w:val="single" w:color="auto" w:sz="4" w:space="0"/>
              <w:left w:val="nil"/>
              <w:bottom w:val="single" w:color="auto" w:sz="4" w:space="0"/>
              <w:right w:val="single" w:color="auto" w:sz="4" w:space="0"/>
            </w:tcBorders>
            <w:shd w:val="clear" w:color="auto" w:fill="auto"/>
            <w:noWrap/>
            <w:vAlign w:val="center"/>
          </w:tcPr>
          <w:p w14:paraId="36C44F07">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清单项目工程量</w:t>
            </w:r>
          </w:p>
        </w:tc>
        <w:tc>
          <w:tcPr>
            <w:tcW w:w="1524" w:type="dxa"/>
            <w:tcBorders>
              <w:top w:val="single" w:color="auto" w:sz="4" w:space="0"/>
              <w:left w:val="nil"/>
              <w:bottom w:val="single" w:color="auto" w:sz="4" w:space="0"/>
              <w:right w:val="single" w:color="auto" w:sz="4" w:space="0"/>
            </w:tcBorders>
            <w:shd w:val="clear" w:color="auto" w:fill="auto"/>
            <w:noWrap/>
            <w:vAlign w:val="center"/>
          </w:tcPr>
          <w:p w14:paraId="152235F1">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综合单价</w:t>
            </w:r>
          </w:p>
        </w:tc>
      </w:tr>
      <w:tr w14:paraId="07369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4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C226D8">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194" w:type="dxa"/>
            <w:tcBorders>
              <w:top w:val="single" w:color="auto" w:sz="4" w:space="0"/>
              <w:left w:val="nil"/>
              <w:bottom w:val="single" w:color="auto" w:sz="4" w:space="0"/>
              <w:right w:val="single" w:color="auto" w:sz="4" w:space="0"/>
            </w:tcBorders>
            <w:shd w:val="clear" w:color="auto" w:fill="auto"/>
            <w:noWrap/>
            <w:vAlign w:val="center"/>
          </w:tcPr>
          <w:p w14:paraId="098F473F">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669" w:type="dxa"/>
            <w:gridSpan w:val="2"/>
            <w:tcBorders>
              <w:top w:val="single" w:color="auto" w:sz="4" w:space="0"/>
              <w:left w:val="nil"/>
              <w:bottom w:val="single" w:color="auto" w:sz="4" w:space="0"/>
              <w:right w:val="single" w:color="auto" w:sz="4" w:space="0"/>
            </w:tcBorders>
            <w:shd w:val="clear" w:color="auto" w:fill="auto"/>
            <w:noWrap/>
            <w:vAlign w:val="center"/>
          </w:tcPr>
          <w:p w14:paraId="01B0E0A4">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2357" w:type="dxa"/>
            <w:gridSpan w:val="3"/>
            <w:tcBorders>
              <w:top w:val="single" w:color="auto" w:sz="4" w:space="0"/>
              <w:left w:val="nil"/>
              <w:bottom w:val="single" w:color="auto" w:sz="4" w:space="0"/>
              <w:right w:val="single" w:color="auto" w:sz="4" w:space="0"/>
            </w:tcBorders>
            <w:shd w:val="clear" w:color="auto" w:fill="auto"/>
            <w:noWrap/>
            <w:vAlign w:val="center"/>
          </w:tcPr>
          <w:p w14:paraId="6C9132EA">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524" w:type="dxa"/>
            <w:tcBorders>
              <w:top w:val="single" w:color="auto" w:sz="4" w:space="0"/>
              <w:left w:val="nil"/>
              <w:bottom w:val="single" w:color="auto" w:sz="4" w:space="0"/>
              <w:right w:val="single" w:color="auto" w:sz="4" w:space="0"/>
            </w:tcBorders>
            <w:shd w:val="clear" w:color="auto" w:fill="auto"/>
            <w:noWrap/>
            <w:vAlign w:val="center"/>
          </w:tcPr>
          <w:p w14:paraId="0E4ED430">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r>
      <w:tr w14:paraId="62132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54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97AD97">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【项目特征】</w:t>
            </w:r>
          </w:p>
        </w:tc>
        <w:tc>
          <w:tcPr>
            <w:tcW w:w="5220" w:type="dxa"/>
            <w:gridSpan w:val="6"/>
            <w:tcBorders>
              <w:top w:val="single" w:color="auto" w:sz="4" w:space="0"/>
              <w:left w:val="nil"/>
              <w:bottom w:val="single" w:color="auto" w:sz="4" w:space="0"/>
              <w:right w:val="single" w:color="auto" w:sz="4" w:space="0"/>
            </w:tcBorders>
            <w:shd w:val="clear" w:color="auto" w:fill="auto"/>
            <w:noWrap/>
            <w:vAlign w:val="center"/>
          </w:tcPr>
          <w:p w14:paraId="7A766397">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524" w:type="dxa"/>
            <w:tcBorders>
              <w:top w:val="single" w:color="auto" w:sz="4" w:space="0"/>
              <w:left w:val="nil"/>
              <w:bottom w:val="single" w:color="auto" w:sz="4" w:space="0"/>
              <w:right w:val="single" w:color="auto" w:sz="4" w:space="0"/>
            </w:tcBorders>
            <w:shd w:val="clear" w:color="auto" w:fill="auto"/>
            <w:noWrap/>
            <w:vAlign w:val="center"/>
          </w:tcPr>
          <w:p w14:paraId="7F07D28F">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r>
      <w:tr w14:paraId="59608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54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9E046B">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【工程内容】</w:t>
            </w:r>
          </w:p>
        </w:tc>
        <w:tc>
          <w:tcPr>
            <w:tcW w:w="5220" w:type="dxa"/>
            <w:gridSpan w:val="6"/>
            <w:tcBorders>
              <w:top w:val="single" w:color="auto" w:sz="4" w:space="0"/>
              <w:left w:val="nil"/>
              <w:bottom w:val="single" w:color="auto" w:sz="4" w:space="0"/>
              <w:right w:val="single" w:color="auto" w:sz="4" w:space="0"/>
            </w:tcBorders>
            <w:shd w:val="clear" w:color="auto" w:fill="auto"/>
            <w:noWrap/>
            <w:vAlign w:val="center"/>
          </w:tcPr>
          <w:p w14:paraId="732C474F">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524" w:type="dxa"/>
            <w:tcBorders>
              <w:top w:val="single" w:color="auto" w:sz="4" w:space="0"/>
              <w:left w:val="nil"/>
              <w:bottom w:val="single" w:color="auto" w:sz="4" w:space="0"/>
              <w:right w:val="single" w:color="auto" w:sz="4" w:space="0"/>
            </w:tcBorders>
            <w:shd w:val="clear" w:color="auto" w:fill="auto"/>
            <w:noWrap/>
            <w:vAlign w:val="center"/>
          </w:tcPr>
          <w:p w14:paraId="746249A4">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r>
      <w:tr w14:paraId="7E8AF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54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D10EAC">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序号</w:t>
            </w:r>
          </w:p>
        </w:tc>
        <w:tc>
          <w:tcPr>
            <w:tcW w:w="2051" w:type="dxa"/>
            <w:gridSpan w:val="2"/>
            <w:tcBorders>
              <w:top w:val="single" w:color="auto" w:sz="4" w:space="0"/>
              <w:left w:val="nil"/>
              <w:bottom w:val="single" w:color="auto" w:sz="4" w:space="0"/>
              <w:right w:val="single" w:color="auto" w:sz="4" w:space="0"/>
            </w:tcBorders>
            <w:shd w:val="clear" w:color="auto" w:fill="auto"/>
            <w:noWrap/>
            <w:vAlign w:val="top"/>
          </w:tcPr>
          <w:p w14:paraId="360138C2">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项目名称</w:t>
            </w:r>
          </w:p>
        </w:tc>
        <w:tc>
          <w:tcPr>
            <w:tcW w:w="1033" w:type="dxa"/>
            <w:gridSpan w:val="2"/>
            <w:tcBorders>
              <w:top w:val="single" w:color="auto" w:sz="4" w:space="0"/>
              <w:left w:val="nil"/>
              <w:bottom w:val="single" w:color="auto" w:sz="4" w:space="0"/>
              <w:right w:val="single" w:color="auto" w:sz="4" w:space="0"/>
            </w:tcBorders>
            <w:shd w:val="clear" w:color="auto" w:fill="auto"/>
            <w:noWrap/>
            <w:vAlign w:val="top"/>
          </w:tcPr>
          <w:p w14:paraId="5C5CC833">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单位</w:t>
            </w:r>
          </w:p>
        </w:tc>
        <w:tc>
          <w:tcPr>
            <w:tcW w:w="1033" w:type="dxa"/>
            <w:tcBorders>
              <w:top w:val="single" w:color="auto" w:sz="4" w:space="0"/>
              <w:left w:val="nil"/>
              <w:bottom w:val="single" w:color="auto" w:sz="4" w:space="0"/>
              <w:right w:val="single" w:color="auto" w:sz="4" w:space="0"/>
            </w:tcBorders>
            <w:shd w:val="clear" w:color="auto" w:fill="auto"/>
            <w:noWrap/>
            <w:vAlign w:val="top"/>
          </w:tcPr>
          <w:p w14:paraId="611ECC62">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数量</w:t>
            </w:r>
          </w:p>
        </w:tc>
        <w:tc>
          <w:tcPr>
            <w:tcW w:w="1103" w:type="dxa"/>
            <w:tcBorders>
              <w:top w:val="single" w:color="auto" w:sz="4" w:space="0"/>
              <w:left w:val="nil"/>
              <w:bottom w:val="single" w:color="auto" w:sz="4" w:space="0"/>
              <w:right w:val="single" w:color="auto" w:sz="4" w:space="0"/>
            </w:tcBorders>
            <w:shd w:val="clear" w:color="auto" w:fill="auto"/>
            <w:noWrap/>
            <w:vAlign w:val="top"/>
          </w:tcPr>
          <w:p w14:paraId="64C22AC8">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单价</w:t>
            </w:r>
          </w:p>
        </w:tc>
        <w:tc>
          <w:tcPr>
            <w:tcW w:w="1524" w:type="dxa"/>
            <w:tcBorders>
              <w:top w:val="single" w:color="auto" w:sz="4" w:space="0"/>
              <w:left w:val="nil"/>
              <w:bottom w:val="single" w:color="auto" w:sz="4" w:space="0"/>
              <w:right w:val="single" w:color="auto" w:sz="4" w:space="0"/>
            </w:tcBorders>
            <w:shd w:val="clear" w:color="auto" w:fill="auto"/>
            <w:noWrap/>
            <w:vAlign w:val="top"/>
          </w:tcPr>
          <w:p w14:paraId="356E5D09">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合价</w:t>
            </w:r>
          </w:p>
        </w:tc>
      </w:tr>
      <w:tr w14:paraId="04762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54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E1D53B">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w:t>
            </w:r>
          </w:p>
        </w:tc>
        <w:tc>
          <w:tcPr>
            <w:tcW w:w="2051" w:type="dxa"/>
            <w:gridSpan w:val="2"/>
            <w:tcBorders>
              <w:top w:val="single" w:color="auto" w:sz="4" w:space="0"/>
              <w:left w:val="nil"/>
              <w:bottom w:val="single" w:color="auto" w:sz="4" w:space="0"/>
              <w:right w:val="single" w:color="auto" w:sz="4" w:space="0"/>
            </w:tcBorders>
            <w:shd w:val="clear" w:color="auto" w:fill="auto"/>
            <w:noWrap/>
            <w:vAlign w:val="center"/>
          </w:tcPr>
          <w:p w14:paraId="67AF4363">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主材费</w:t>
            </w:r>
          </w:p>
        </w:tc>
        <w:tc>
          <w:tcPr>
            <w:tcW w:w="4693" w:type="dxa"/>
            <w:gridSpan w:val="5"/>
            <w:tcBorders>
              <w:top w:val="single" w:color="auto" w:sz="4" w:space="0"/>
              <w:left w:val="nil"/>
              <w:bottom w:val="single" w:color="auto" w:sz="4" w:space="0"/>
              <w:right w:val="single" w:color="auto" w:sz="4" w:space="0"/>
            </w:tcBorders>
            <w:shd w:val="clear" w:color="auto" w:fill="auto"/>
            <w:noWrap/>
            <w:vAlign w:val="center"/>
          </w:tcPr>
          <w:p w14:paraId="755806B7">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r>
      <w:tr w14:paraId="40E4B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54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28850D">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p>
        </w:tc>
        <w:tc>
          <w:tcPr>
            <w:tcW w:w="2051" w:type="dxa"/>
            <w:gridSpan w:val="2"/>
            <w:tcBorders>
              <w:top w:val="single" w:color="auto" w:sz="4" w:space="0"/>
              <w:left w:val="nil"/>
              <w:bottom w:val="single" w:color="auto" w:sz="4" w:space="0"/>
              <w:right w:val="single" w:color="auto" w:sz="4" w:space="0"/>
            </w:tcBorders>
            <w:shd w:val="clear" w:color="auto" w:fill="auto"/>
            <w:noWrap/>
            <w:vAlign w:val="center"/>
          </w:tcPr>
          <w:p w14:paraId="0924C462">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主材设备费</w:t>
            </w:r>
          </w:p>
        </w:tc>
        <w:tc>
          <w:tcPr>
            <w:tcW w:w="1033" w:type="dxa"/>
            <w:gridSpan w:val="2"/>
            <w:tcBorders>
              <w:top w:val="single" w:color="auto" w:sz="4" w:space="0"/>
              <w:left w:val="nil"/>
              <w:bottom w:val="single" w:color="auto" w:sz="4" w:space="0"/>
              <w:right w:val="single" w:color="auto" w:sz="4" w:space="0"/>
            </w:tcBorders>
            <w:shd w:val="clear" w:color="auto" w:fill="auto"/>
            <w:noWrap/>
            <w:vAlign w:val="center"/>
          </w:tcPr>
          <w:p w14:paraId="60FEC06A">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元</w:t>
            </w:r>
          </w:p>
        </w:tc>
        <w:tc>
          <w:tcPr>
            <w:tcW w:w="1033" w:type="dxa"/>
            <w:tcBorders>
              <w:top w:val="single" w:color="auto" w:sz="4" w:space="0"/>
              <w:left w:val="nil"/>
              <w:bottom w:val="single" w:color="auto" w:sz="4" w:space="0"/>
              <w:right w:val="single" w:color="auto" w:sz="4" w:space="0"/>
            </w:tcBorders>
            <w:shd w:val="clear" w:color="auto" w:fill="auto"/>
            <w:noWrap/>
            <w:vAlign w:val="center"/>
          </w:tcPr>
          <w:p w14:paraId="4B15EFAF">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103" w:type="dxa"/>
            <w:tcBorders>
              <w:top w:val="single" w:color="auto" w:sz="4" w:space="0"/>
              <w:left w:val="nil"/>
              <w:bottom w:val="single" w:color="auto" w:sz="4" w:space="0"/>
              <w:right w:val="single" w:color="auto" w:sz="4" w:space="0"/>
            </w:tcBorders>
            <w:shd w:val="clear" w:color="auto" w:fill="auto"/>
            <w:noWrap/>
            <w:vAlign w:val="center"/>
          </w:tcPr>
          <w:p w14:paraId="0E8AF93C">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524" w:type="dxa"/>
            <w:tcBorders>
              <w:top w:val="single" w:color="auto" w:sz="4" w:space="0"/>
              <w:left w:val="nil"/>
              <w:bottom w:val="single" w:color="auto" w:sz="4" w:space="0"/>
              <w:right w:val="single" w:color="auto" w:sz="4" w:space="0"/>
            </w:tcBorders>
            <w:shd w:val="clear" w:color="auto" w:fill="auto"/>
            <w:noWrap/>
            <w:vAlign w:val="center"/>
          </w:tcPr>
          <w:p w14:paraId="454C84F7">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r>
      <w:tr w14:paraId="79D6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54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B69D4F">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w:t>
            </w:r>
          </w:p>
        </w:tc>
        <w:tc>
          <w:tcPr>
            <w:tcW w:w="2051" w:type="dxa"/>
            <w:gridSpan w:val="2"/>
            <w:tcBorders>
              <w:top w:val="single" w:color="auto" w:sz="4" w:space="0"/>
              <w:left w:val="nil"/>
              <w:bottom w:val="single" w:color="auto" w:sz="4" w:space="0"/>
              <w:right w:val="single" w:color="auto" w:sz="4" w:space="0"/>
            </w:tcBorders>
            <w:shd w:val="clear" w:color="auto" w:fill="auto"/>
            <w:noWrap/>
            <w:vAlign w:val="center"/>
          </w:tcPr>
          <w:p w14:paraId="4E83D822">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p>
        </w:tc>
        <w:tc>
          <w:tcPr>
            <w:tcW w:w="1033" w:type="dxa"/>
            <w:gridSpan w:val="2"/>
            <w:tcBorders>
              <w:top w:val="single" w:color="auto" w:sz="4" w:space="0"/>
              <w:left w:val="nil"/>
              <w:bottom w:val="single" w:color="auto" w:sz="4" w:space="0"/>
              <w:right w:val="single" w:color="auto" w:sz="4" w:space="0"/>
            </w:tcBorders>
            <w:shd w:val="clear" w:color="auto" w:fill="auto"/>
            <w:noWrap/>
            <w:vAlign w:val="center"/>
          </w:tcPr>
          <w:p w14:paraId="1B4DA8AB">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noWrap/>
            <w:vAlign w:val="center"/>
          </w:tcPr>
          <w:p w14:paraId="1C61D847">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103" w:type="dxa"/>
            <w:tcBorders>
              <w:top w:val="single" w:color="auto" w:sz="4" w:space="0"/>
              <w:left w:val="nil"/>
              <w:bottom w:val="single" w:color="auto" w:sz="4" w:space="0"/>
              <w:right w:val="single" w:color="auto" w:sz="4" w:space="0"/>
            </w:tcBorders>
            <w:shd w:val="clear" w:color="auto" w:fill="auto"/>
            <w:noWrap/>
            <w:vAlign w:val="center"/>
          </w:tcPr>
          <w:p w14:paraId="516360D2">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524" w:type="dxa"/>
            <w:tcBorders>
              <w:top w:val="single" w:color="auto" w:sz="4" w:space="0"/>
              <w:left w:val="nil"/>
              <w:bottom w:val="single" w:color="auto" w:sz="4" w:space="0"/>
              <w:right w:val="single" w:color="auto" w:sz="4" w:space="0"/>
            </w:tcBorders>
            <w:shd w:val="clear" w:color="auto" w:fill="auto"/>
            <w:noWrap/>
            <w:vAlign w:val="center"/>
          </w:tcPr>
          <w:p w14:paraId="4FB2909A">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r>
      <w:tr w14:paraId="6F821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8842D1">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2051" w:type="dxa"/>
            <w:gridSpan w:val="2"/>
            <w:tcBorders>
              <w:top w:val="single" w:color="auto" w:sz="4" w:space="0"/>
              <w:left w:val="nil"/>
              <w:bottom w:val="single" w:color="auto" w:sz="4" w:space="0"/>
              <w:right w:val="single" w:color="auto" w:sz="4" w:space="0"/>
            </w:tcBorders>
            <w:shd w:val="clear" w:color="auto" w:fill="auto"/>
            <w:noWrap/>
            <w:vAlign w:val="center"/>
          </w:tcPr>
          <w:p w14:paraId="621B4BB3">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033" w:type="dxa"/>
            <w:gridSpan w:val="2"/>
            <w:tcBorders>
              <w:top w:val="single" w:color="auto" w:sz="4" w:space="0"/>
              <w:left w:val="nil"/>
              <w:bottom w:val="single" w:color="auto" w:sz="4" w:space="0"/>
              <w:right w:val="single" w:color="auto" w:sz="4" w:space="0"/>
            </w:tcBorders>
            <w:shd w:val="clear" w:color="auto" w:fill="auto"/>
            <w:noWrap/>
            <w:vAlign w:val="center"/>
          </w:tcPr>
          <w:p w14:paraId="62F033DF">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noWrap/>
            <w:vAlign w:val="center"/>
          </w:tcPr>
          <w:p w14:paraId="5408064E">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103" w:type="dxa"/>
            <w:tcBorders>
              <w:top w:val="single" w:color="auto" w:sz="4" w:space="0"/>
              <w:left w:val="nil"/>
              <w:bottom w:val="single" w:color="auto" w:sz="4" w:space="0"/>
              <w:right w:val="single" w:color="auto" w:sz="4" w:space="0"/>
            </w:tcBorders>
            <w:shd w:val="clear" w:color="auto" w:fill="auto"/>
            <w:noWrap/>
            <w:vAlign w:val="center"/>
          </w:tcPr>
          <w:p w14:paraId="470A4BE3">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524" w:type="dxa"/>
            <w:tcBorders>
              <w:top w:val="single" w:color="auto" w:sz="4" w:space="0"/>
              <w:left w:val="nil"/>
              <w:bottom w:val="single" w:color="auto" w:sz="4" w:space="0"/>
              <w:right w:val="single" w:color="auto" w:sz="4" w:space="0"/>
            </w:tcBorders>
            <w:shd w:val="clear" w:color="auto" w:fill="auto"/>
            <w:noWrap/>
            <w:vAlign w:val="center"/>
          </w:tcPr>
          <w:p w14:paraId="704795D1">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r>
      <w:tr w14:paraId="441E6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154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BEADC1">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w:t>
            </w:r>
          </w:p>
        </w:tc>
        <w:tc>
          <w:tcPr>
            <w:tcW w:w="2051" w:type="dxa"/>
            <w:gridSpan w:val="2"/>
            <w:tcBorders>
              <w:top w:val="single" w:color="auto" w:sz="4" w:space="0"/>
              <w:left w:val="nil"/>
              <w:bottom w:val="single" w:color="auto" w:sz="4" w:space="0"/>
              <w:right w:val="single" w:color="auto" w:sz="4" w:space="0"/>
            </w:tcBorders>
            <w:shd w:val="clear" w:color="auto" w:fill="auto"/>
            <w:noWrap/>
            <w:vAlign w:val="center"/>
          </w:tcPr>
          <w:p w14:paraId="72B3F7DE">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安装费</w:t>
            </w:r>
          </w:p>
          <w:p w14:paraId="5758634A">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二=（1+2+…+5）×（1-投标下浮率）</w:t>
            </w:r>
          </w:p>
        </w:tc>
        <w:tc>
          <w:tcPr>
            <w:tcW w:w="4693" w:type="dxa"/>
            <w:gridSpan w:val="5"/>
            <w:tcBorders>
              <w:top w:val="single" w:color="auto" w:sz="4" w:space="0"/>
              <w:left w:val="nil"/>
              <w:bottom w:val="single" w:color="auto" w:sz="4" w:space="0"/>
              <w:right w:val="single" w:color="auto" w:sz="4" w:space="0"/>
            </w:tcBorders>
            <w:shd w:val="clear" w:color="auto" w:fill="auto"/>
            <w:noWrap/>
            <w:vAlign w:val="center"/>
          </w:tcPr>
          <w:p w14:paraId="72C4E067">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r>
      <w:tr w14:paraId="6DC73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54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24ADCD">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p>
        </w:tc>
        <w:tc>
          <w:tcPr>
            <w:tcW w:w="2051" w:type="dxa"/>
            <w:gridSpan w:val="2"/>
            <w:tcBorders>
              <w:top w:val="single" w:color="auto" w:sz="4" w:space="0"/>
              <w:left w:val="nil"/>
              <w:bottom w:val="single" w:color="auto" w:sz="4" w:space="0"/>
              <w:right w:val="single" w:color="auto" w:sz="4" w:space="0"/>
            </w:tcBorders>
            <w:shd w:val="clear" w:color="auto" w:fill="auto"/>
            <w:noWrap/>
            <w:vAlign w:val="center"/>
          </w:tcPr>
          <w:p w14:paraId="3D701614">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人工费[定额编号]</w:t>
            </w:r>
          </w:p>
        </w:tc>
        <w:tc>
          <w:tcPr>
            <w:tcW w:w="1033" w:type="dxa"/>
            <w:gridSpan w:val="2"/>
            <w:tcBorders>
              <w:top w:val="single" w:color="auto" w:sz="4" w:space="0"/>
              <w:left w:val="nil"/>
              <w:bottom w:val="single" w:color="auto" w:sz="4" w:space="0"/>
              <w:right w:val="single" w:color="auto" w:sz="4" w:space="0"/>
            </w:tcBorders>
            <w:shd w:val="clear" w:color="auto" w:fill="auto"/>
            <w:noWrap/>
            <w:vAlign w:val="center"/>
          </w:tcPr>
          <w:p w14:paraId="075E471F">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元</w:t>
            </w:r>
          </w:p>
        </w:tc>
        <w:tc>
          <w:tcPr>
            <w:tcW w:w="1033" w:type="dxa"/>
            <w:tcBorders>
              <w:top w:val="single" w:color="auto" w:sz="4" w:space="0"/>
              <w:left w:val="nil"/>
              <w:bottom w:val="single" w:color="auto" w:sz="4" w:space="0"/>
              <w:right w:val="single" w:color="auto" w:sz="4" w:space="0"/>
            </w:tcBorders>
            <w:shd w:val="clear" w:color="auto" w:fill="auto"/>
            <w:noWrap/>
            <w:vAlign w:val="center"/>
          </w:tcPr>
          <w:p w14:paraId="203925DA">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103" w:type="dxa"/>
            <w:tcBorders>
              <w:top w:val="single" w:color="auto" w:sz="4" w:space="0"/>
              <w:left w:val="nil"/>
              <w:bottom w:val="single" w:color="auto" w:sz="4" w:space="0"/>
              <w:right w:val="single" w:color="auto" w:sz="4" w:space="0"/>
            </w:tcBorders>
            <w:shd w:val="clear" w:color="auto" w:fill="auto"/>
            <w:noWrap/>
            <w:vAlign w:val="center"/>
          </w:tcPr>
          <w:p w14:paraId="7571AE0C">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524" w:type="dxa"/>
            <w:tcBorders>
              <w:top w:val="single" w:color="auto" w:sz="4" w:space="0"/>
              <w:left w:val="nil"/>
              <w:bottom w:val="single" w:color="auto" w:sz="4" w:space="0"/>
              <w:right w:val="single" w:color="auto" w:sz="4" w:space="0"/>
            </w:tcBorders>
            <w:shd w:val="clear" w:color="auto" w:fill="auto"/>
            <w:noWrap/>
            <w:vAlign w:val="center"/>
          </w:tcPr>
          <w:p w14:paraId="7B5B235F">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r>
      <w:tr w14:paraId="65BAD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42BED6">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2051" w:type="dxa"/>
            <w:gridSpan w:val="2"/>
            <w:tcBorders>
              <w:top w:val="single" w:color="auto" w:sz="4" w:space="0"/>
              <w:left w:val="nil"/>
              <w:bottom w:val="single" w:color="auto" w:sz="4" w:space="0"/>
              <w:right w:val="single" w:color="auto" w:sz="4" w:space="0"/>
            </w:tcBorders>
            <w:shd w:val="clear" w:color="auto" w:fill="auto"/>
            <w:noWrap/>
            <w:vAlign w:val="center"/>
          </w:tcPr>
          <w:p w14:paraId="45FAA056">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p>
        </w:tc>
        <w:tc>
          <w:tcPr>
            <w:tcW w:w="1033" w:type="dxa"/>
            <w:gridSpan w:val="2"/>
            <w:tcBorders>
              <w:top w:val="single" w:color="auto" w:sz="4" w:space="0"/>
              <w:left w:val="nil"/>
              <w:bottom w:val="single" w:color="auto" w:sz="4" w:space="0"/>
              <w:right w:val="single" w:color="auto" w:sz="4" w:space="0"/>
            </w:tcBorders>
            <w:shd w:val="clear" w:color="auto" w:fill="auto"/>
            <w:noWrap/>
            <w:vAlign w:val="center"/>
          </w:tcPr>
          <w:p w14:paraId="1A9D30D6">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noWrap/>
            <w:vAlign w:val="center"/>
          </w:tcPr>
          <w:p w14:paraId="1CC41CDD">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103" w:type="dxa"/>
            <w:tcBorders>
              <w:top w:val="single" w:color="auto" w:sz="4" w:space="0"/>
              <w:left w:val="nil"/>
              <w:bottom w:val="single" w:color="auto" w:sz="4" w:space="0"/>
              <w:right w:val="single" w:color="auto" w:sz="4" w:space="0"/>
            </w:tcBorders>
            <w:shd w:val="clear" w:color="auto" w:fill="auto"/>
            <w:noWrap/>
            <w:vAlign w:val="center"/>
          </w:tcPr>
          <w:p w14:paraId="71386DA5">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524" w:type="dxa"/>
            <w:tcBorders>
              <w:top w:val="single" w:color="auto" w:sz="4" w:space="0"/>
              <w:left w:val="nil"/>
              <w:bottom w:val="single" w:color="auto" w:sz="4" w:space="0"/>
              <w:right w:val="single" w:color="auto" w:sz="4" w:space="0"/>
            </w:tcBorders>
            <w:shd w:val="clear" w:color="auto" w:fill="auto"/>
            <w:noWrap/>
            <w:vAlign w:val="center"/>
          </w:tcPr>
          <w:p w14:paraId="6F798EB0">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r>
      <w:tr w14:paraId="27578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E4615E">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w:t>
            </w:r>
          </w:p>
        </w:tc>
        <w:tc>
          <w:tcPr>
            <w:tcW w:w="2051" w:type="dxa"/>
            <w:gridSpan w:val="2"/>
            <w:tcBorders>
              <w:top w:val="single" w:color="auto" w:sz="4" w:space="0"/>
              <w:left w:val="nil"/>
              <w:bottom w:val="single" w:color="auto" w:sz="4" w:space="0"/>
              <w:right w:val="single" w:color="auto" w:sz="4" w:space="0"/>
            </w:tcBorders>
            <w:shd w:val="clear" w:color="auto" w:fill="auto"/>
            <w:noWrap/>
            <w:vAlign w:val="center"/>
          </w:tcPr>
          <w:p w14:paraId="600CBDA0">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辅材费[定额编号]</w:t>
            </w:r>
          </w:p>
        </w:tc>
        <w:tc>
          <w:tcPr>
            <w:tcW w:w="1033" w:type="dxa"/>
            <w:gridSpan w:val="2"/>
            <w:tcBorders>
              <w:top w:val="single" w:color="auto" w:sz="4" w:space="0"/>
              <w:left w:val="nil"/>
              <w:bottom w:val="single" w:color="auto" w:sz="4" w:space="0"/>
              <w:right w:val="single" w:color="auto" w:sz="4" w:space="0"/>
            </w:tcBorders>
            <w:shd w:val="clear" w:color="auto" w:fill="auto"/>
            <w:noWrap/>
            <w:vAlign w:val="center"/>
          </w:tcPr>
          <w:p w14:paraId="41E026B8">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元</w:t>
            </w:r>
          </w:p>
        </w:tc>
        <w:tc>
          <w:tcPr>
            <w:tcW w:w="1033" w:type="dxa"/>
            <w:tcBorders>
              <w:top w:val="single" w:color="auto" w:sz="4" w:space="0"/>
              <w:left w:val="nil"/>
              <w:bottom w:val="single" w:color="auto" w:sz="4" w:space="0"/>
              <w:right w:val="single" w:color="auto" w:sz="4" w:space="0"/>
            </w:tcBorders>
            <w:shd w:val="clear" w:color="auto" w:fill="auto"/>
            <w:noWrap/>
            <w:vAlign w:val="center"/>
          </w:tcPr>
          <w:p w14:paraId="3C391795">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103" w:type="dxa"/>
            <w:tcBorders>
              <w:top w:val="single" w:color="auto" w:sz="4" w:space="0"/>
              <w:left w:val="nil"/>
              <w:bottom w:val="single" w:color="auto" w:sz="4" w:space="0"/>
              <w:right w:val="single" w:color="auto" w:sz="4" w:space="0"/>
            </w:tcBorders>
            <w:shd w:val="clear" w:color="auto" w:fill="auto"/>
            <w:noWrap/>
            <w:vAlign w:val="center"/>
          </w:tcPr>
          <w:p w14:paraId="3C0D4431">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524" w:type="dxa"/>
            <w:tcBorders>
              <w:top w:val="single" w:color="auto" w:sz="4" w:space="0"/>
              <w:left w:val="nil"/>
              <w:bottom w:val="single" w:color="auto" w:sz="4" w:space="0"/>
              <w:right w:val="single" w:color="auto" w:sz="4" w:space="0"/>
            </w:tcBorders>
            <w:shd w:val="clear" w:color="auto" w:fill="auto"/>
            <w:noWrap/>
            <w:vAlign w:val="center"/>
          </w:tcPr>
          <w:p w14:paraId="27824E2F">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r>
      <w:tr w14:paraId="40D81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AC0FD5">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2051" w:type="dxa"/>
            <w:gridSpan w:val="2"/>
            <w:tcBorders>
              <w:top w:val="single" w:color="auto" w:sz="4" w:space="0"/>
              <w:left w:val="nil"/>
              <w:bottom w:val="single" w:color="auto" w:sz="4" w:space="0"/>
              <w:right w:val="single" w:color="auto" w:sz="4" w:space="0"/>
            </w:tcBorders>
            <w:shd w:val="clear" w:color="auto" w:fill="auto"/>
            <w:noWrap/>
            <w:vAlign w:val="center"/>
          </w:tcPr>
          <w:p w14:paraId="09B58DF9">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p>
        </w:tc>
        <w:tc>
          <w:tcPr>
            <w:tcW w:w="1033" w:type="dxa"/>
            <w:gridSpan w:val="2"/>
            <w:tcBorders>
              <w:top w:val="single" w:color="auto" w:sz="4" w:space="0"/>
              <w:left w:val="nil"/>
              <w:bottom w:val="single" w:color="auto" w:sz="4" w:space="0"/>
              <w:right w:val="single" w:color="auto" w:sz="4" w:space="0"/>
            </w:tcBorders>
            <w:shd w:val="clear" w:color="auto" w:fill="auto"/>
            <w:noWrap/>
            <w:vAlign w:val="center"/>
          </w:tcPr>
          <w:p w14:paraId="08B49454">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noWrap/>
            <w:vAlign w:val="center"/>
          </w:tcPr>
          <w:p w14:paraId="478466CA">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103" w:type="dxa"/>
            <w:tcBorders>
              <w:top w:val="single" w:color="auto" w:sz="4" w:space="0"/>
              <w:left w:val="nil"/>
              <w:bottom w:val="single" w:color="auto" w:sz="4" w:space="0"/>
              <w:right w:val="single" w:color="auto" w:sz="4" w:space="0"/>
            </w:tcBorders>
            <w:shd w:val="clear" w:color="auto" w:fill="auto"/>
            <w:noWrap/>
            <w:vAlign w:val="center"/>
          </w:tcPr>
          <w:p w14:paraId="646B99DA">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524" w:type="dxa"/>
            <w:tcBorders>
              <w:top w:val="single" w:color="auto" w:sz="4" w:space="0"/>
              <w:left w:val="nil"/>
              <w:bottom w:val="single" w:color="auto" w:sz="4" w:space="0"/>
              <w:right w:val="single" w:color="auto" w:sz="4" w:space="0"/>
            </w:tcBorders>
            <w:shd w:val="clear" w:color="auto" w:fill="auto"/>
            <w:noWrap/>
            <w:vAlign w:val="center"/>
          </w:tcPr>
          <w:p w14:paraId="63CA3927">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r>
      <w:tr w14:paraId="67A05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CDCB22">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w:t>
            </w:r>
          </w:p>
        </w:tc>
        <w:tc>
          <w:tcPr>
            <w:tcW w:w="2051" w:type="dxa"/>
            <w:gridSpan w:val="2"/>
            <w:tcBorders>
              <w:top w:val="single" w:color="auto" w:sz="4" w:space="0"/>
              <w:left w:val="nil"/>
              <w:bottom w:val="single" w:color="auto" w:sz="4" w:space="0"/>
              <w:right w:val="single" w:color="auto" w:sz="4" w:space="0"/>
            </w:tcBorders>
            <w:shd w:val="clear" w:color="auto" w:fill="auto"/>
            <w:noWrap/>
            <w:vAlign w:val="center"/>
          </w:tcPr>
          <w:p w14:paraId="58800FEA">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机具费[定额编号]</w:t>
            </w:r>
          </w:p>
        </w:tc>
        <w:tc>
          <w:tcPr>
            <w:tcW w:w="1033" w:type="dxa"/>
            <w:gridSpan w:val="2"/>
            <w:tcBorders>
              <w:top w:val="single" w:color="auto" w:sz="4" w:space="0"/>
              <w:left w:val="nil"/>
              <w:bottom w:val="single" w:color="auto" w:sz="4" w:space="0"/>
              <w:right w:val="single" w:color="auto" w:sz="4" w:space="0"/>
            </w:tcBorders>
            <w:shd w:val="clear" w:color="auto" w:fill="auto"/>
            <w:noWrap/>
            <w:vAlign w:val="center"/>
          </w:tcPr>
          <w:p w14:paraId="59894D58">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元</w:t>
            </w:r>
          </w:p>
        </w:tc>
        <w:tc>
          <w:tcPr>
            <w:tcW w:w="1033" w:type="dxa"/>
            <w:tcBorders>
              <w:top w:val="single" w:color="auto" w:sz="4" w:space="0"/>
              <w:left w:val="nil"/>
              <w:bottom w:val="single" w:color="auto" w:sz="4" w:space="0"/>
              <w:right w:val="single" w:color="auto" w:sz="4" w:space="0"/>
            </w:tcBorders>
            <w:shd w:val="clear" w:color="auto" w:fill="auto"/>
            <w:noWrap/>
            <w:vAlign w:val="center"/>
          </w:tcPr>
          <w:p w14:paraId="210D3917">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103" w:type="dxa"/>
            <w:tcBorders>
              <w:top w:val="single" w:color="auto" w:sz="4" w:space="0"/>
              <w:left w:val="nil"/>
              <w:bottom w:val="single" w:color="auto" w:sz="4" w:space="0"/>
              <w:right w:val="single" w:color="auto" w:sz="4" w:space="0"/>
            </w:tcBorders>
            <w:shd w:val="clear" w:color="auto" w:fill="auto"/>
            <w:noWrap/>
            <w:vAlign w:val="center"/>
          </w:tcPr>
          <w:p w14:paraId="78777439">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524" w:type="dxa"/>
            <w:tcBorders>
              <w:top w:val="single" w:color="auto" w:sz="4" w:space="0"/>
              <w:left w:val="nil"/>
              <w:bottom w:val="single" w:color="auto" w:sz="4" w:space="0"/>
              <w:right w:val="single" w:color="auto" w:sz="4" w:space="0"/>
            </w:tcBorders>
            <w:shd w:val="clear" w:color="auto" w:fill="auto"/>
            <w:noWrap/>
            <w:vAlign w:val="center"/>
          </w:tcPr>
          <w:p w14:paraId="4C46D891">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r>
      <w:tr w14:paraId="1ABF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54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3729FE">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2051" w:type="dxa"/>
            <w:gridSpan w:val="2"/>
            <w:tcBorders>
              <w:top w:val="single" w:color="auto" w:sz="4" w:space="0"/>
              <w:left w:val="nil"/>
              <w:bottom w:val="single" w:color="auto" w:sz="4" w:space="0"/>
              <w:right w:val="single" w:color="auto" w:sz="4" w:space="0"/>
            </w:tcBorders>
            <w:shd w:val="clear" w:color="auto" w:fill="auto"/>
            <w:noWrap/>
            <w:vAlign w:val="center"/>
          </w:tcPr>
          <w:p w14:paraId="16A50BB3">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p>
        </w:tc>
        <w:tc>
          <w:tcPr>
            <w:tcW w:w="1033" w:type="dxa"/>
            <w:gridSpan w:val="2"/>
            <w:tcBorders>
              <w:top w:val="single" w:color="auto" w:sz="4" w:space="0"/>
              <w:left w:val="nil"/>
              <w:bottom w:val="single" w:color="auto" w:sz="4" w:space="0"/>
              <w:right w:val="single" w:color="auto" w:sz="4" w:space="0"/>
            </w:tcBorders>
            <w:shd w:val="clear" w:color="auto" w:fill="auto"/>
            <w:noWrap/>
            <w:vAlign w:val="center"/>
          </w:tcPr>
          <w:p w14:paraId="41583596">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noWrap/>
            <w:vAlign w:val="center"/>
          </w:tcPr>
          <w:p w14:paraId="7A6EF022">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103" w:type="dxa"/>
            <w:tcBorders>
              <w:top w:val="single" w:color="auto" w:sz="4" w:space="0"/>
              <w:left w:val="nil"/>
              <w:bottom w:val="single" w:color="auto" w:sz="4" w:space="0"/>
              <w:right w:val="single" w:color="auto" w:sz="4" w:space="0"/>
            </w:tcBorders>
            <w:shd w:val="clear" w:color="auto" w:fill="auto"/>
            <w:noWrap/>
            <w:vAlign w:val="center"/>
          </w:tcPr>
          <w:p w14:paraId="54D3723F">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524" w:type="dxa"/>
            <w:tcBorders>
              <w:top w:val="single" w:color="auto" w:sz="4" w:space="0"/>
              <w:left w:val="nil"/>
              <w:bottom w:val="single" w:color="auto" w:sz="4" w:space="0"/>
              <w:right w:val="single" w:color="auto" w:sz="4" w:space="0"/>
            </w:tcBorders>
            <w:shd w:val="clear" w:color="auto" w:fill="auto"/>
            <w:noWrap/>
            <w:vAlign w:val="center"/>
          </w:tcPr>
          <w:p w14:paraId="75ECC989">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r>
      <w:tr w14:paraId="42692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9B4DC8">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w:t>
            </w:r>
          </w:p>
        </w:tc>
        <w:tc>
          <w:tcPr>
            <w:tcW w:w="2051" w:type="dxa"/>
            <w:gridSpan w:val="2"/>
            <w:tcBorders>
              <w:top w:val="single" w:color="auto" w:sz="4" w:space="0"/>
              <w:left w:val="nil"/>
              <w:bottom w:val="single" w:color="auto" w:sz="4" w:space="0"/>
              <w:right w:val="single" w:color="auto" w:sz="4" w:space="0"/>
            </w:tcBorders>
            <w:shd w:val="clear" w:color="auto" w:fill="auto"/>
            <w:noWrap/>
            <w:vAlign w:val="center"/>
          </w:tcPr>
          <w:p w14:paraId="2EA46877">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管理费</w:t>
            </w:r>
          </w:p>
        </w:tc>
        <w:tc>
          <w:tcPr>
            <w:tcW w:w="1033" w:type="dxa"/>
            <w:gridSpan w:val="2"/>
            <w:tcBorders>
              <w:top w:val="single" w:color="auto" w:sz="4" w:space="0"/>
              <w:left w:val="nil"/>
              <w:bottom w:val="single" w:color="auto" w:sz="4" w:space="0"/>
              <w:right w:val="single" w:color="auto" w:sz="4" w:space="0"/>
            </w:tcBorders>
            <w:shd w:val="clear" w:color="auto" w:fill="auto"/>
            <w:noWrap/>
            <w:vAlign w:val="center"/>
          </w:tcPr>
          <w:p w14:paraId="01AF4350">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元</w:t>
            </w:r>
          </w:p>
        </w:tc>
        <w:tc>
          <w:tcPr>
            <w:tcW w:w="1033" w:type="dxa"/>
            <w:tcBorders>
              <w:top w:val="single" w:color="auto" w:sz="4" w:space="0"/>
              <w:left w:val="nil"/>
              <w:bottom w:val="single" w:color="auto" w:sz="4" w:space="0"/>
              <w:right w:val="single" w:color="auto" w:sz="4" w:space="0"/>
            </w:tcBorders>
            <w:shd w:val="clear" w:color="auto" w:fill="auto"/>
            <w:noWrap/>
            <w:vAlign w:val="center"/>
          </w:tcPr>
          <w:p w14:paraId="0B7F56E3">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103" w:type="dxa"/>
            <w:tcBorders>
              <w:top w:val="single" w:color="auto" w:sz="4" w:space="0"/>
              <w:left w:val="nil"/>
              <w:bottom w:val="single" w:color="auto" w:sz="4" w:space="0"/>
              <w:right w:val="single" w:color="auto" w:sz="4" w:space="0"/>
            </w:tcBorders>
            <w:shd w:val="clear" w:color="auto" w:fill="auto"/>
            <w:noWrap/>
            <w:vAlign w:val="center"/>
          </w:tcPr>
          <w:p w14:paraId="22BE6CAF">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524" w:type="dxa"/>
            <w:tcBorders>
              <w:top w:val="single" w:color="auto" w:sz="4" w:space="0"/>
              <w:left w:val="nil"/>
              <w:bottom w:val="single" w:color="auto" w:sz="4" w:space="0"/>
              <w:right w:val="single" w:color="auto" w:sz="4" w:space="0"/>
            </w:tcBorders>
            <w:shd w:val="clear" w:color="auto" w:fill="auto"/>
            <w:noWrap/>
            <w:vAlign w:val="center"/>
          </w:tcPr>
          <w:p w14:paraId="26AAE711">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r>
      <w:tr w14:paraId="1867C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1A47BA">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w:t>
            </w:r>
          </w:p>
        </w:tc>
        <w:tc>
          <w:tcPr>
            <w:tcW w:w="2051" w:type="dxa"/>
            <w:gridSpan w:val="2"/>
            <w:tcBorders>
              <w:top w:val="single" w:color="auto" w:sz="4" w:space="0"/>
              <w:left w:val="nil"/>
              <w:bottom w:val="single" w:color="auto" w:sz="4" w:space="0"/>
              <w:right w:val="single" w:color="auto" w:sz="4" w:space="0"/>
            </w:tcBorders>
            <w:shd w:val="clear" w:color="auto" w:fill="auto"/>
            <w:noWrap/>
            <w:vAlign w:val="center"/>
          </w:tcPr>
          <w:p w14:paraId="6C2F5680">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利润</w:t>
            </w:r>
          </w:p>
        </w:tc>
        <w:tc>
          <w:tcPr>
            <w:tcW w:w="1033" w:type="dxa"/>
            <w:gridSpan w:val="2"/>
            <w:tcBorders>
              <w:top w:val="single" w:color="auto" w:sz="4" w:space="0"/>
              <w:left w:val="nil"/>
              <w:bottom w:val="single" w:color="auto" w:sz="4" w:space="0"/>
              <w:right w:val="single" w:color="auto" w:sz="4" w:space="0"/>
            </w:tcBorders>
            <w:shd w:val="clear" w:color="auto" w:fill="auto"/>
            <w:noWrap/>
            <w:vAlign w:val="center"/>
          </w:tcPr>
          <w:p w14:paraId="4AB12409">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p>
        </w:tc>
        <w:tc>
          <w:tcPr>
            <w:tcW w:w="1033" w:type="dxa"/>
            <w:tcBorders>
              <w:top w:val="single" w:color="auto" w:sz="4" w:space="0"/>
              <w:left w:val="nil"/>
              <w:bottom w:val="single" w:color="auto" w:sz="4" w:space="0"/>
              <w:right w:val="single" w:color="auto" w:sz="4" w:space="0"/>
            </w:tcBorders>
            <w:shd w:val="clear" w:color="auto" w:fill="auto"/>
            <w:noWrap/>
            <w:vAlign w:val="center"/>
          </w:tcPr>
          <w:p w14:paraId="1342B39D">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103" w:type="dxa"/>
            <w:tcBorders>
              <w:top w:val="single" w:color="auto" w:sz="4" w:space="0"/>
              <w:left w:val="nil"/>
              <w:bottom w:val="single" w:color="auto" w:sz="4" w:space="0"/>
              <w:right w:val="single" w:color="auto" w:sz="4" w:space="0"/>
            </w:tcBorders>
            <w:shd w:val="clear" w:color="auto" w:fill="auto"/>
            <w:noWrap/>
            <w:vAlign w:val="center"/>
          </w:tcPr>
          <w:p w14:paraId="430B1780">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524" w:type="dxa"/>
            <w:tcBorders>
              <w:top w:val="single" w:color="auto" w:sz="4" w:space="0"/>
              <w:left w:val="nil"/>
              <w:bottom w:val="single" w:color="auto" w:sz="4" w:space="0"/>
              <w:right w:val="single" w:color="auto" w:sz="4" w:space="0"/>
            </w:tcBorders>
            <w:shd w:val="clear" w:color="auto" w:fill="auto"/>
            <w:noWrap/>
            <w:vAlign w:val="center"/>
          </w:tcPr>
          <w:p w14:paraId="7407BE83">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r>
      <w:tr w14:paraId="2726F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54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B7F36D">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w:t>
            </w:r>
          </w:p>
        </w:tc>
        <w:tc>
          <w:tcPr>
            <w:tcW w:w="2051" w:type="dxa"/>
            <w:gridSpan w:val="2"/>
            <w:tcBorders>
              <w:top w:val="single" w:color="auto" w:sz="4" w:space="0"/>
              <w:left w:val="nil"/>
              <w:bottom w:val="single" w:color="auto" w:sz="4" w:space="0"/>
              <w:right w:val="single" w:color="auto" w:sz="4" w:space="0"/>
            </w:tcBorders>
            <w:shd w:val="clear" w:color="auto" w:fill="auto"/>
            <w:noWrap/>
            <w:vAlign w:val="center"/>
          </w:tcPr>
          <w:p w14:paraId="163511FA">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投标下浮率</w:t>
            </w:r>
          </w:p>
        </w:tc>
        <w:tc>
          <w:tcPr>
            <w:tcW w:w="1033" w:type="dxa"/>
            <w:gridSpan w:val="2"/>
            <w:tcBorders>
              <w:top w:val="single" w:color="auto" w:sz="4" w:space="0"/>
              <w:left w:val="nil"/>
              <w:bottom w:val="single" w:color="auto" w:sz="4" w:space="0"/>
              <w:right w:val="single" w:color="auto" w:sz="4" w:space="0"/>
            </w:tcBorders>
            <w:shd w:val="clear" w:color="auto" w:fill="auto"/>
            <w:noWrap/>
            <w:vAlign w:val="center"/>
          </w:tcPr>
          <w:p w14:paraId="31BEA91F">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p>
        </w:tc>
        <w:tc>
          <w:tcPr>
            <w:tcW w:w="1033" w:type="dxa"/>
            <w:tcBorders>
              <w:top w:val="single" w:color="auto" w:sz="4" w:space="0"/>
              <w:left w:val="nil"/>
              <w:bottom w:val="single" w:color="auto" w:sz="4" w:space="0"/>
              <w:right w:val="single" w:color="auto" w:sz="4" w:space="0"/>
            </w:tcBorders>
            <w:shd w:val="clear" w:color="auto" w:fill="auto"/>
            <w:noWrap/>
            <w:vAlign w:val="center"/>
          </w:tcPr>
          <w:p w14:paraId="6DCE1D57">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103" w:type="dxa"/>
            <w:tcBorders>
              <w:top w:val="single" w:color="auto" w:sz="4" w:space="0"/>
              <w:left w:val="nil"/>
              <w:bottom w:val="single" w:color="auto" w:sz="4" w:space="0"/>
              <w:right w:val="single" w:color="auto" w:sz="4" w:space="0"/>
            </w:tcBorders>
            <w:shd w:val="clear" w:color="auto" w:fill="auto"/>
            <w:noWrap/>
            <w:vAlign w:val="center"/>
          </w:tcPr>
          <w:p w14:paraId="2459EA71">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524" w:type="dxa"/>
            <w:tcBorders>
              <w:top w:val="single" w:color="auto" w:sz="4" w:space="0"/>
              <w:left w:val="nil"/>
              <w:bottom w:val="single" w:color="auto" w:sz="4" w:space="0"/>
              <w:right w:val="single" w:color="auto" w:sz="4" w:space="0"/>
            </w:tcBorders>
            <w:shd w:val="clear" w:color="auto" w:fill="auto"/>
            <w:noWrap/>
            <w:vAlign w:val="center"/>
          </w:tcPr>
          <w:p w14:paraId="66B59752">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r>
      <w:tr w14:paraId="6001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54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D3FFBE">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三</w:t>
            </w:r>
          </w:p>
        </w:tc>
        <w:tc>
          <w:tcPr>
            <w:tcW w:w="2051" w:type="dxa"/>
            <w:gridSpan w:val="2"/>
            <w:tcBorders>
              <w:top w:val="single" w:color="auto" w:sz="4" w:space="0"/>
              <w:left w:val="nil"/>
              <w:bottom w:val="single" w:color="auto" w:sz="4" w:space="0"/>
              <w:right w:val="single" w:color="auto" w:sz="4" w:space="0"/>
            </w:tcBorders>
            <w:shd w:val="clear" w:color="auto" w:fill="auto"/>
            <w:noWrap/>
            <w:vAlign w:val="center"/>
          </w:tcPr>
          <w:p w14:paraId="1972D53B">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最终综合单价（三 = 一 + 二）</w:t>
            </w:r>
          </w:p>
        </w:tc>
        <w:tc>
          <w:tcPr>
            <w:tcW w:w="1033" w:type="dxa"/>
            <w:gridSpan w:val="2"/>
            <w:tcBorders>
              <w:top w:val="single" w:color="auto" w:sz="4" w:space="0"/>
              <w:left w:val="nil"/>
              <w:bottom w:val="single" w:color="auto" w:sz="4" w:space="0"/>
              <w:right w:val="single" w:color="auto" w:sz="4" w:space="0"/>
            </w:tcBorders>
            <w:shd w:val="clear" w:color="auto" w:fill="auto"/>
            <w:noWrap/>
            <w:vAlign w:val="center"/>
          </w:tcPr>
          <w:p w14:paraId="5D54C65B">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元</w:t>
            </w:r>
          </w:p>
        </w:tc>
        <w:tc>
          <w:tcPr>
            <w:tcW w:w="1033" w:type="dxa"/>
            <w:tcBorders>
              <w:top w:val="single" w:color="auto" w:sz="4" w:space="0"/>
              <w:left w:val="nil"/>
              <w:bottom w:val="single" w:color="auto" w:sz="4" w:space="0"/>
              <w:right w:val="single" w:color="auto" w:sz="4" w:space="0"/>
            </w:tcBorders>
            <w:shd w:val="clear" w:color="auto" w:fill="auto"/>
            <w:noWrap/>
            <w:vAlign w:val="center"/>
          </w:tcPr>
          <w:p w14:paraId="45DC140C">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103" w:type="dxa"/>
            <w:tcBorders>
              <w:top w:val="single" w:color="auto" w:sz="4" w:space="0"/>
              <w:left w:val="nil"/>
              <w:bottom w:val="single" w:color="auto" w:sz="4" w:space="0"/>
              <w:right w:val="single" w:color="auto" w:sz="4" w:space="0"/>
            </w:tcBorders>
            <w:shd w:val="clear" w:color="auto" w:fill="auto"/>
            <w:noWrap/>
            <w:vAlign w:val="center"/>
          </w:tcPr>
          <w:p w14:paraId="63324739">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c>
          <w:tcPr>
            <w:tcW w:w="1524" w:type="dxa"/>
            <w:tcBorders>
              <w:top w:val="single" w:color="auto" w:sz="4" w:space="0"/>
              <w:left w:val="nil"/>
              <w:bottom w:val="single" w:color="auto" w:sz="4" w:space="0"/>
              <w:right w:val="single" w:color="auto" w:sz="4" w:space="0"/>
            </w:tcBorders>
            <w:shd w:val="clear" w:color="auto" w:fill="auto"/>
            <w:noWrap/>
            <w:vAlign w:val="center"/>
          </w:tcPr>
          <w:p w14:paraId="0E7728C0">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p>
        </w:tc>
      </w:tr>
    </w:tbl>
    <w:p w14:paraId="66FE0F90">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其中：</w:t>
      </w:r>
    </w:p>
    <w:p w14:paraId="19E85EF0">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①主材费的确定按本条第33.2.2款执行。</w:t>
      </w:r>
    </w:p>
    <w:p w14:paraId="53D2029A">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②投标下浮率=（1-合同总价/招标控制价）×100％=％。</w:t>
      </w:r>
    </w:p>
    <w:p w14:paraId="1DDD30CD">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③按照下列标准确定人工、材料和机具的消耗量及管理费：</w:t>
      </w:r>
    </w:p>
    <w:p w14:paraId="27CABDB1">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《广东省通用安装工程综合定额（2018）》；</w:t>
      </w:r>
    </w:p>
    <w:p w14:paraId="51A9925E">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《广东省房屋建筑与装饰工程综合定额（2018）》；</w:t>
      </w:r>
    </w:p>
    <w:p w14:paraId="54ABD1DF">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《广东省市政工程工程综合定额（2018）》。</w:t>
      </w:r>
    </w:p>
    <w:p w14:paraId="1F7AF66E">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上述定额查找不到的可参考其他相关定额或由发包人与承包人协商确定，国家及广东省、广州市有最新规定的，从其规定。</w:t>
      </w:r>
    </w:p>
    <w:p w14:paraId="57CB91D1">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④人工、辅材料（主材以外的材料）、机具价格的确定：按招标当期广州市工程造价管理部门发布的造价文件及《广州地区建设工程材料指导价格及厂商价格》的规定执行。若招标当期广州市工程造价管理部门发布的造价文件及《广州地区建设工程材料指导价格及厂商价格》中没有的辅材，则以2018年各专业工程综合定额中的辅材价格，并根据《广东省住房和城乡建设厅关于印发&lt;广东省建设工程计价依据（2018）&gt;的通知》（粤建市[2019]6号）的规定执行。安装工程主材与辅材的划分按2018年《广东省安装工程综合定额》的规定执行。</w:t>
      </w:r>
    </w:p>
    <w:p w14:paraId="13BB45A5">
      <w:pPr>
        <w:keepNext w:val="0"/>
        <w:keepLines w:val="0"/>
        <w:widowControl w:val="0"/>
        <w:suppressLineNumbers w:val="0"/>
        <w:adjustRightInd w:val="0"/>
        <w:snapToGrid w:val="0"/>
        <w:spacing w:before="0" w:beforeAutospacing="0" w:after="0" w:afterAutospacing="0" w:line="360" w:lineRule="auto"/>
        <w:ind w:left="0" w:right="11" w:firstLine="403" w:firstLineChars="192"/>
        <w:jc w:val="both"/>
        <w:rPr>
          <w:rFonts w:hint="eastAsia" w:ascii="宋体" w:hAnsi="Calibri" w:eastAsia="宋体" w:cs="宋体"/>
          <w:color w:val="auto"/>
          <w:kern w:val="2"/>
          <w:sz w:val="24"/>
          <w:szCs w:val="24"/>
          <w:highlight w:val="none"/>
        </w:rPr>
      </w:pPr>
      <w:r>
        <w:rPr>
          <w:rFonts w:hint="default" w:ascii="Calibri" w:hAnsi="Calibri" w:eastAsia="宋体" w:cs="Times New Roman"/>
          <w:color w:val="auto"/>
          <w:kern w:val="2"/>
          <w:sz w:val="21"/>
          <w:szCs w:val="21"/>
          <w:highlight w:val="none"/>
          <w:lang w:val="en-US" w:eastAsia="zh-CN" w:bidi="ar"/>
        </w:rPr>
        <w:t>5</w:t>
      </w:r>
      <w:r>
        <w:rPr>
          <w:rFonts w:hint="eastAsia" w:ascii="宋体" w:hAnsi="宋体" w:eastAsia="宋体" w:cs="宋体"/>
          <w:color w:val="auto"/>
          <w:kern w:val="2"/>
          <w:sz w:val="24"/>
          <w:szCs w:val="24"/>
          <w:highlight w:val="none"/>
          <w:lang w:val="en-US" w:eastAsia="zh-CN" w:bidi="ar"/>
        </w:rPr>
        <w:t>管理费、利润按招标当期广州市工程造价管理部门发布的造价文件的规定执行，税金按政府、广东及广州地区税务部门有关规定计算，如文件中规定有上下限的，则按其平均值计算。</w:t>
      </w:r>
    </w:p>
    <w:p w14:paraId="6E9D1745">
      <w:pPr>
        <w:keepNext w:val="0"/>
        <w:keepLines w:val="0"/>
        <w:widowControl w:val="0"/>
        <w:suppressLineNumbers w:val="0"/>
        <w:adjustRightInd w:val="0"/>
        <w:snapToGrid w:val="0"/>
        <w:spacing w:before="0" w:beforeAutospacing="0" w:after="0" w:afterAutospacing="0" w:line="360" w:lineRule="auto"/>
        <w:ind w:left="0" w:right="11" w:firstLine="403" w:firstLineChars="192"/>
        <w:jc w:val="both"/>
        <w:rPr>
          <w:rFonts w:hint="eastAsia" w:ascii="宋体" w:hAnsi="Calibri" w:eastAsia="宋体" w:cs="宋体"/>
          <w:color w:val="auto"/>
          <w:kern w:val="2"/>
          <w:sz w:val="24"/>
          <w:szCs w:val="24"/>
          <w:highlight w:val="none"/>
        </w:rPr>
      </w:pPr>
      <w:r>
        <w:rPr>
          <w:rFonts w:hint="default" w:ascii="Calibri" w:hAnsi="Calibri" w:eastAsia="宋体" w:cs="Times New Roman"/>
          <w:color w:val="auto"/>
          <w:kern w:val="2"/>
          <w:sz w:val="21"/>
          <w:szCs w:val="21"/>
          <w:highlight w:val="none"/>
          <w:lang w:val="en-US" w:eastAsia="zh-CN" w:bidi="ar"/>
        </w:rPr>
        <w:t>6</w:t>
      </w:r>
      <w:r>
        <w:rPr>
          <w:rFonts w:hint="eastAsia" w:ascii="宋体" w:hAnsi="宋体" w:eastAsia="宋体" w:cs="宋体"/>
          <w:color w:val="auto"/>
          <w:kern w:val="2"/>
          <w:sz w:val="24"/>
          <w:szCs w:val="24"/>
          <w:highlight w:val="none"/>
          <w:lang w:val="en-US" w:eastAsia="zh-CN" w:bidi="ar"/>
        </w:rPr>
        <w:t>主材费及安装费所包含内容按照2018年广东省定额和最新广州市补充定额的相关规定界定。</w:t>
      </w:r>
    </w:p>
    <w:p w14:paraId="2AB80822">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B、除机电安装工程以外的其他工程：</w:t>
      </w:r>
    </w:p>
    <w:p w14:paraId="0BAB655D">
      <w:pPr>
        <w:keepNext w:val="0"/>
        <w:keepLines w:val="0"/>
        <w:widowControl w:val="0"/>
        <w:suppressLineNumbers w:val="0"/>
        <w:adjustRightInd w:val="0"/>
        <w:snapToGrid w:val="0"/>
        <w:spacing w:before="0" w:beforeAutospacing="0" w:after="0" w:afterAutospacing="0" w:line="360" w:lineRule="auto"/>
        <w:ind w:left="0" w:right="11"/>
        <w:jc w:val="center"/>
        <w:rPr>
          <w:rFonts w:hint="eastAsia" w:ascii="宋体" w:hAnsi="Calibri"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综合单价分析表</w:t>
      </w:r>
    </w:p>
    <w:tbl>
      <w:tblPr>
        <w:tblStyle w:val="17"/>
        <w:tblW w:w="8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03"/>
        <w:gridCol w:w="1383"/>
        <w:gridCol w:w="719"/>
        <w:gridCol w:w="1011"/>
        <w:gridCol w:w="67"/>
        <w:gridCol w:w="1079"/>
        <w:gridCol w:w="1107"/>
        <w:gridCol w:w="1799"/>
      </w:tblGrid>
      <w:tr w14:paraId="7CF4A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16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DD7F33">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清单编码</w:t>
            </w:r>
          </w:p>
        </w:tc>
        <w:tc>
          <w:tcPr>
            <w:tcW w:w="1383" w:type="dxa"/>
            <w:tcBorders>
              <w:top w:val="single" w:color="auto" w:sz="4" w:space="0"/>
              <w:left w:val="nil"/>
              <w:bottom w:val="single" w:color="auto" w:sz="4" w:space="0"/>
              <w:right w:val="single" w:color="auto" w:sz="4" w:space="0"/>
            </w:tcBorders>
            <w:shd w:val="clear" w:color="auto" w:fill="auto"/>
            <w:noWrap/>
            <w:vAlign w:val="center"/>
          </w:tcPr>
          <w:p w14:paraId="071A0A1F">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项目名称</w:t>
            </w:r>
          </w:p>
        </w:tc>
        <w:tc>
          <w:tcPr>
            <w:tcW w:w="1730" w:type="dxa"/>
            <w:gridSpan w:val="2"/>
            <w:tcBorders>
              <w:top w:val="single" w:color="auto" w:sz="4" w:space="0"/>
              <w:left w:val="nil"/>
              <w:bottom w:val="single" w:color="auto" w:sz="4" w:space="0"/>
              <w:right w:val="single" w:color="auto" w:sz="4" w:space="0"/>
            </w:tcBorders>
            <w:shd w:val="clear" w:color="auto" w:fill="auto"/>
            <w:noWrap/>
            <w:vAlign w:val="center"/>
          </w:tcPr>
          <w:p w14:paraId="4798978D">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单位</w:t>
            </w:r>
          </w:p>
        </w:tc>
        <w:tc>
          <w:tcPr>
            <w:tcW w:w="2253" w:type="dxa"/>
            <w:gridSpan w:val="3"/>
            <w:tcBorders>
              <w:top w:val="single" w:color="auto" w:sz="4" w:space="0"/>
              <w:left w:val="nil"/>
              <w:bottom w:val="single" w:color="auto" w:sz="4" w:space="0"/>
              <w:right w:val="single" w:color="auto" w:sz="4" w:space="0"/>
            </w:tcBorders>
            <w:shd w:val="clear" w:color="auto" w:fill="auto"/>
            <w:noWrap/>
            <w:vAlign w:val="center"/>
          </w:tcPr>
          <w:p w14:paraId="2E676D83">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清单项目工程量</w:t>
            </w:r>
          </w:p>
        </w:tc>
        <w:tc>
          <w:tcPr>
            <w:tcW w:w="1799" w:type="dxa"/>
            <w:tcBorders>
              <w:top w:val="single" w:color="auto" w:sz="4" w:space="0"/>
              <w:left w:val="nil"/>
              <w:bottom w:val="single" w:color="auto" w:sz="4" w:space="0"/>
              <w:right w:val="single" w:color="auto" w:sz="4" w:space="0"/>
            </w:tcBorders>
            <w:shd w:val="clear" w:color="auto" w:fill="auto"/>
            <w:noWrap/>
            <w:vAlign w:val="center"/>
          </w:tcPr>
          <w:p w14:paraId="1DFDA820">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综合单价</w:t>
            </w:r>
          </w:p>
        </w:tc>
      </w:tr>
      <w:tr w14:paraId="03D95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16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BC230B">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383" w:type="dxa"/>
            <w:tcBorders>
              <w:top w:val="single" w:color="auto" w:sz="4" w:space="0"/>
              <w:left w:val="nil"/>
              <w:bottom w:val="single" w:color="auto" w:sz="4" w:space="0"/>
              <w:right w:val="single" w:color="auto" w:sz="4" w:space="0"/>
            </w:tcBorders>
            <w:shd w:val="clear" w:color="auto" w:fill="auto"/>
            <w:noWrap/>
            <w:vAlign w:val="center"/>
          </w:tcPr>
          <w:p w14:paraId="1E0E7862">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730" w:type="dxa"/>
            <w:gridSpan w:val="2"/>
            <w:tcBorders>
              <w:top w:val="single" w:color="auto" w:sz="4" w:space="0"/>
              <w:left w:val="nil"/>
              <w:bottom w:val="single" w:color="auto" w:sz="4" w:space="0"/>
              <w:right w:val="single" w:color="auto" w:sz="4" w:space="0"/>
            </w:tcBorders>
            <w:shd w:val="clear" w:color="auto" w:fill="auto"/>
            <w:noWrap/>
            <w:vAlign w:val="center"/>
          </w:tcPr>
          <w:p w14:paraId="73002C48">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2253" w:type="dxa"/>
            <w:gridSpan w:val="3"/>
            <w:tcBorders>
              <w:top w:val="single" w:color="auto" w:sz="4" w:space="0"/>
              <w:left w:val="nil"/>
              <w:bottom w:val="single" w:color="auto" w:sz="4" w:space="0"/>
              <w:right w:val="single" w:color="auto" w:sz="4" w:space="0"/>
            </w:tcBorders>
            <w:shd w:val="clear" w:color="auto" w:fill="auto"/>
            <w:noWrap/>
            <w:vAlign w:val="center"/>
          </w:tcPr>
          <w:p w14:paraId="3B916F1C">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799" w:type="dxa"/>
            <w:tcBorders>
              <w:top w:val="single" w:color="auto" w:sz="4" w:space="0"/>
              <w:left w:val="nil"/>
              <w:bottom w:val="single" w:color="auto" w:sz="4" w:space="0"/>
              <w:right w:val="single" w:color="auto" w:sz="4" w:space="0"/>
            </w:tcBorders>
            <w:shd w:val="clear" w:color="auto" w:fill="auto"/>
            <w:noWrap/>
            <w:vAlign w:val="center"/>
          </w:tcPr>
          <w:p w14:paraId="78A75C6B">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r>
      <w:tr w14:paraId="7B5BD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1E24FA">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【项目特征】</w:t>
            </w:r>
          </w:p>
        </w:tc>
        <w:tc>
          <w:tcPr>
            <w:tcW w:w="5366" w:type="dxa"/>
            <w:gridSpan w:val="6"/>
            <w:tcBorders>
              <w:top w:val="single" w:color="auto" w:sz="4" w:space="0"/>
              <w:left w:val="nil"/>
              <w:bottom w:val="single" w:color="auto" w:sz="4" w:space="0"/>
              <w:right w:val="single" w:color="auto" w:sz="4" w:space="0"/>
            </w:tcBorders>
            <w:shd w:val="clear" w:color="auto" w:fill="auto"/>
            <w:noWrap/>
            <w:vAlign w:val="center"/>
          </w:tcPr>
          <w:p w14:paraId="07E8445F">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799" w:type="dxa"/>
            <w:tcBorders>
              <w:top w:val="single" w:color="auto" w:sz="4" w:space="0"/>
              <w:left w:val="nil"/>
              <w:bottom w:val="single" w:color="auto" w:sz="4" w:space="0"/>
              <w:right w:val="single" w:color="auto" w:sz="4" w:space="0"/>
            </w:tcBorders>
            <w:shd w:val="clear" w:color="auto" w:fill="auto"/>
            <w:noWrap/>
            <w:vAlign w:val="center"/>
          </w:tcPr>
          <w:p w14:paraId="1A905D98">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r>
      <w:tr w14:paraId="1E4E6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ADFDAE">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【工程内容】</w:t>
            </w:r>
          </w:p>
        </w:tc>
        <w:tc>
          <w:tcPr>
            <w:tcW w:w="5366" w:type="dxa"/>
            <w:gridSpan w:val="6"/>
            <w:tcBorders>
              <w:top w:val="single" w:color="auto" w:sz="4" w:space="0"/>
              <w:left w:val="nil"/>
              <w:bottom w:val="single" w:color="auto" w:sz="4" w:space="0"/>
              <w:right w:val="single" w:color="auto" w:sz="4" w:space="0"/>
            </w:tcBorders>
            <w:shd w:val="clear" w:color="auto" w:fill="auto"/>
            <w:noWrap/>
            <w:vAlign w:val="center"/>
          </w:tcPr>
          <w:p w14:paraId="1B1ED187">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799" w:type="dxa"/>
            <w:tcBorders>
              <w:top w:val="single" w:color="auto" w:sz="4" w:space="0"/>
              <w:left w:val="nil"/>
              <w:bottom w:val="single" w:color="auto" w:sz="4" w:space="0"/>
              <w:right w:val="single" w:color="auto" w:sz="4" w:space="0"/>
            </w:tcBorders>
            <w:shd w:val="clear" w:color="auto" w:fill="auto"/>
            <w:noWrap/>
            <w:vAlign w:val="center"/>
          </w:tcPr>
          <w:p w14:paraId="36B77FE6">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r>
      <w:tr w14:paraId="37BF0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16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A57468">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序号</w:t>
            </w:r>
          </w:p>
        </w:tc>
        <w:tc>
          <w:tcPr>
            <w:tcW w:w="2102" w:type="dxa"/>
            <w:gridSpan w:val="2"/>
            <w:tcBorders>
              <w:top w:val="single" w:color="auto" w:sz="4" w:space="0"/>
              <w:left w:val="nil"/>
              <w:bottom w:val="single" w:color="auto" w:sz="4" w:space="0"/>
              <w:right w:val="single" w:color="auto" w:sz="4" w:space="0"/>
            </w:tcBorders>
            <w:shd w:val="clear" w:color="auto" w:fill="auto"/>
            <w:noWrap/>
            <w:vAlign w:val="center"/>
          </w:tcPr>
          <w:p w14:paraId="7F2160F2">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项目名称</w:t>
            </w:r>
          </w:p>
        </w:tc>
        <w:tc>
          <w:tcPr>
            <w:tcW w:w="1078" w:type="dxa"/>
            <w:gridSpan w:val="2"/>
            <w:tcBorders>
              <w:top w:val="single" w:color="auto" w:sz="4" w:space="0"/>
              <w:left w:val="nil"/>
              <w:bottom w:val="single" w:color="auto" w:sz="4" w:space="0"/>
              <w:right w:val="single" w:color="auto" w:sz="4" w:space="0"/>
            </w:tcBorders>
            <w:shd w:val="clear" w:color="auto" w:fill="auto"/>
            <w:noWrap/>
            <w:vAlign w:val="center"/>
          </w:tcPr>
          <w:p w14:paraId="3332641A">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单位</w:t>
            </w:r>
          </w:p>
        </w:tc>
        <w:tc>
          <w:tcPr>
            <w:tcW w:w="1079" w:type="dxa"/>
            <w:tcBorders>
              <w:top w:val="single" w:color="auto" w:sz="4" w:space="0"/>
              <w:left w:val="nil"/>
              <w:bottom w:val="single" w:color="auto" w:sz="4" w:space="0"/>
              <w:right w:val="single" w:color="auto" w:sz="4" w:space="0"/>
            </w:tcBorders>
            <w:shd w:val="clear" w:color="auto" w:fill="auto"/>
            <w:noWrap/>
            <w:vAlign w:val="center"/>
          </w:tcPr>
          <w:p w14:paraId="61FFAE63">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数量</w:t>
            </w:r>
          </w:p>
        </w:tc>
        <w:tc>
          <w:tcPr>
            <w:tcW w:w="1107" w:type="dxa"/>
            <w:tcBorders>
              <w:top w:val="single" w:color="auto" w:sz="4" w:space="0"/>
              <w:left w:val="nil"/>
              <w:bottom w:val="single" w:color="auto" w:sz="4" w:space="0"/>
              <w:right w:val="single" w:color="auto" w:sz="4" w:space="0"/>
            </w:tcBorders>
            <w:shd w:val="clear" w:color="auto" w:fill="auto"/>
            <w:noWrap/>
            <w:vAlign w:val="center"/>
          </w:tcPr>
          <w:p w14:paraId="219A4ACA">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单价</w:t>
            </w:r>
          </w:p>
        </w:tc>
        <w:tc>
          <w:tcPr>
            <w:tcW w:w="1799" w:type="dxa"/>
            <w:tcBorders>
              <w:top w:val="single" w:color="auto" w:sz="4" w:space="0"/>
              <w:left w:val="nil"/>
              <w:bottom w:val="single" w:color="auto" w:sz="4" w:space="0"/>
              <w:right w:val="single" w:color="auto" w:sz="4" w:space="0"/>
            </w:tcBorders>
            <w:shd w:val="clear" w:color="auto" w:fill="auto"/>
            <w:noWrap/>
            <w:vAlign w:val="center"/>
          </w:tcPr>
          <w:p w14:paraId="469886CA">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合价</w:t>
            </w:r>
          </w:p>
        </w:tc>
      </w:tr>
      <w:tr w14:paraId="4583F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1863C9">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2102" w:type="dxa"/>
            <w:gridSpan w:val="2"/>
            <w:tcBorders>
              <w:top w:val="single" w:color="auto" w:sz="4" w:space="0"/>
              <w:left w:val="nil"/>
              <w:bottom w:val="single" w:color="auto" w:sz="4" w:space="0"/>
              <w:right w:val="single" w:color="auto" w:sz="4" w:space="0"/>
            </w:tcBorders>
            <w:shd w:val="clear" w:color="auto" w:fill="auto"/>
            <w:noWrap/>
            <w:vAlign w:val="center"/>
          </w:tcPr>
          <w:p w14:paraId="14B0B291">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5063" w:type="dxa"/>
            <w:gridSpan w:val="5"/>
            <w:tcBorders>
              <w:top w:val="single" w:color="auto" w:sz="4" w:space="0"/>
              <w:left w:val="nil"/>
              <w:bottom w:val="single" w:color="auto" w:sz="4" w:space="0"/>
              <w:right w:val="single" w:color="auto" w:sz="4" w:space="0"/>
            </w:tcBorders>
            <w:shd w:val="clear" w:color="auto" w:fill="auto"/>
            <w:noWrap/>
            <w:vAlign w:val="center"/>
          </w:tcPr>
          <w:p w14:paraId="01D785B3">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r>
      <w:tr w14:paraId="2F8B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CF7DC5">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p>
        </w:tc>
        <w:tc>
          <w:tcPr>
            <w:tcW w:w="2102" w:type="dxa"/>
            <w:gridSpan w:val="2"/>
            <w:tcBorders>
              <w:top w:val="single" w:color="auto" w:sz="4" w:space="0"/>
              <w:left w:val="nil"/>
              <w:bottom w:val="single" w:color="auto" w:sz="4" w:space="0"/>
              <w:right w:val="single" w:color="auto" w:sz="4" w:space="0"/>
            </w:tcBorders>
            <w:shd w:val="clear" w:color="auto" w:fill="auto"/>
            <w:noWrap/>
            <w:vAlign w:val="center"/>
          </w:tcPr>
          <w:p w14:paraId="25F35FB9">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078" w:type="dxa"/>
            <w:gridSpan w:val="2"/>
            <w:tcBorders>
              <w:top w:val="single" w:color="auto" w:sz="4" w:space="0"/>
              <w:left w:val="nil"/>
              <w:bottom w:val="single" w:color="auto" w:sz="4" w:space="0"/>
              <w:right w:val="single" w:color="auto" w:sz="4" w:space="0"/>
            </w:tcBorders>
            <w:shd w:val="clear" w:color="auto" w:fill="auto"/>
            <w:noWrap/>
            <w:vAlign w:val="center"/>
          </w:tcPr>
          <w:p w14:paraId="1F4827FD">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079" w:type="dxa"/>
            <w:tcBorders>
              <w:top w:val="single" w:color="auto" w:sz="4" w:space="0"/>
              <w:left w:val="nil"/>
              <w:bottom w:val="single" w:color="auto" w:sz="4" w:space="0"/>
              <w:right w:val="single" w:color="auto" w:sz="4" w:space="0"/>
            </w:tcBorders>
            <w:shd w:val="clear" w:color="auto" w:fill="auto"/>
            <w:noWrap/>
            <w:vAlign w:val="center"/>
          </w:tcPr>
          <w:p w14:paraId="3FD96042">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107" w:type="dxa"/>
            <w:tcBorders>
              <w:top w:val="single" w:color="auto" w:sz="4" w:space="0"/>
              <w:left w:val="nil"/>
              <w:bottom w:val="single" w:color="auto" w:sz="4" w:space="0"/>
              <w:right w:val="single" w:color="auto" w:sz="4" w:space="0"/>
            </w:tcBorders>
            <w:shd w:val="clear" w:color="auto" w:fill="auto"/>
            <w:noWrap/>
            <w:vAlign w:val="center"/>
          </w:tcPr>
          <w:p w14:paraId="0AB477FD">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799" w:type="dxa"/>
            <w:tcBorders>
              <w:top w:val="single" w:color="auto" w:sz="4" w:space="0"/>
              <w:left w:val="nil"/>
              <w:bottom w:val="single" w:color="auto" w:sz="4" w:space="0"/>
              <w:right w:val="single" w:color="auto" w:sz="4" w:space="0"/>
            </w:tcBorders>
            <w:shd w:val="clear" w:color="auto" w:fill="auto"/>
            <w:noWrap/>
            <w:vAlign w:val="center"/>
          </w:tcPr>
          <w:p w14:paraId="07411256">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r>
      <w:tr w14:paraId="6CD65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16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2FAC6B">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小计</w:t>
            </w:r>
          </w:p>
        </w:tc>
        <w:tc>
          <w:tcPr>
            <w:tcW w:w="2102" w:type="dxa"/>
            <w:gridSpan w:val="2"/>
            <w:tcBorders>
              <w:top w:val="single" w:color="auto" w:sz="4" w:space="0"/>
              <w:left w:val="nil"/>
              <w:bottom w:val="single" w:color="auto" w:sz="4" w:space="0"/>
              <w:right w:val="single" w:color="auto" w:sz="4" w:space="0"/>
            </w:tcBorders>
            <w:shd w:val="clear" w:color="auto" w:fill="auto"/>
            <w:noWrap/>
            <w:vAlign w:val="center"/>
          </w:tcPr>
          <w:p w14:paraId="5098EB37">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078" w:type="dxa"/>
            <w:gridSpan w:val="2"/>
            <w:tcBorders>
              <w:top w:val="single" w:color="auto" w:sz="4" w:space="0"/>
              <w:left w:val="nil"/>
              <w:bottom w:val="single" w:color="auto" w:sz="4" w:space="0"/>
              <w:right w:val="single" w:color="auto" w:sz="4" w:space="0"/>
            </w:tcBorders>
            <w:shd w:val="clear" w:color="auto" w:fill="auto"/>
            <w:noWrap/>
            <w:vAlign w:val="center"/>
          </w:tcPr>
          <w:p w14:paraId="44D5960A">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079" w:type="dxa"/>
            <w:tcBorders>
              <w:top w:val="single" w:color="auto" w:sz="4" w:space="0"/>
              <w:left w:val="nil"/>
              <w:bottom w:val="single" w:color="auto" w:sz="4" w:space="0"/>
              <w:right w:val="single" w:color="auto" w:sz="4" w:space="0"/>
            </w:tcBorders>
            <w:shd w:val="clear" w:color="auto" w:fill="auto"/>
            <w:noWrap/>
            <w:vAlign w:val="center"/>
          </w:tcPr>
          <w:p w14:paraId="6A52DEFC">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107" w:type="dxa"/>
            <w:tcBorders>
              <w:top w:val="single" w:color="auto" w:sz="4" w:space="0"/>
              <w:left w:val="nil"/>
              <w:bottom w:val="single" w:color="auto" w:sz="4" w:space="0"/>
              <w:right w:val="single" w:color="auto" w:sz="4" w:space="0"/>
            </w:tcBorders>
            <w:shd w:val="clear" w:color="auto" w:fill="auto"/>
            <w:noWrap/>
            <w:vAlign w:val="center"/>
          </w:tcPr>
          <w:p w14:paraId="5BF02437">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799" w:type="dxa"/>
            <w:tcBorders>
              <w:top w:val="single" w:color="auto" w:sz="4" w:space="0"/>
              <w:left w:val="nil"/>
              <w:bottom w:val="single" w:color="auto" w:sz="4" w:space="0"/>
              <w:right w:val="single" w:color="auto" w:sz="4" w:space="0"/>
            </w:tcBorders>
            <w:shd w:val="clear" w:color="auto" w:fill="auto"/>
            <w:noWrap/>
            <w:vAlign w:val="center"/>
          </w:tcPr>
          <w:p w14:paraId="42BFC578">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r>
      <w:tr w14:paraId="63E45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16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CEA9F2">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一、分部分项</w:t>
            </w:r>
          </w:p>
          <w:p w14:paraId="21B61A06">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工程费</w:t>
            </w:r>
          </w:p>
        </w:tc>
        <w:tc>
          <w:tcPr>
            <w:tcW w:w="2102" w:type="dxa"/>
            <w:gridSpan w:val="2"/>
            <w:tcBorders>
              <w:top w:val="single" w:color="auto" w:sz="4" w:space="0"/>
              <w:left w:val="nil"/>
              <w:bottom w:val="single" w:color="auto" w:sz="4" w:space="0"/>
              <w:right w:val="single" w:color="auto" w:sz="4" w:space="0"/>
            </w:tcBorders>
            <w:shd w:val="clear" w:color="auto" w:fill="auto"/>
            <w:noWrap/>
            <w:vAlign w:val="center"/>
          </w:tcPr>
          <w:p w14:paraId="5B4B5E70">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078" w:type="dxa"/>
            <w:gridSpan w:val="2"/>
            <w:tcBorders>
              <w:top w:val="single" w:color="auto" w:sz="4" w:space="0"/>
              <w:left w:val="nil"/>
              <w:bottom w:val="single" w:color="auto" w:sz="4" w:space="0"/>
              <w:right w:val="single" w:color="auto" w:sz="4" w:space="0"/>
            </w:tcBorders>
            <w:shd w:val="clear" w:color="auto" w:fill="auto"/>
            <w:noWrap/>
            <w:vAlign w:val="center"/>
          </w:tcPr>
          <w:p w14:paraId="4C236943">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079" w:type="dxa"/>
            <w:tcBorders>
              <w:top w:val="single" w:color="auto" w:sz="4" w:space="0"/>
              <w:left w:val="nil"/>
              <w:bottom w:val="single" w:color="auto" w:sz="4" w:space="0"/>
              <w:right w:val="single" w:color="auto" w:sz="4" w:space="0"/>
            </w:tcBorders>
            <w:shd w:val="clear" w:color="auto" w:fill="auto"/>
            <w:noWrap/>
            <w:vAlign w:val="center"/>
          </w:tcPr>
          <w:p w14:paraId="3ECD97B7">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107" w:type="dxa"/>
            <w:tcBorders>
              <w:top w:val="single" w:color="auto" w:sz="4" w:space="0"/>
              <w:left w:val="nil"/>
              <w:bottom w:val="single" w:color="auto" w:sz="4" w:space="0"/>
              <w:right w:val="single" w:color="auto" w:sz="4" w:space="0"/>
            </w:tcBorders>
            <w:shd w:val="clear" w:color="auto" w:fill="auto"/>
            <w:noWrap/>
            <w:vAlign w:val="center"/>
          </w:tcPr>
          <w:p w14:paraId="03E58937">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799" w:type="dxa"/>
            <w:tcBorders>
              <w:top w:val="single" w:color="auto" w:sz="4" w:space="0"/>
              <w:left w:val="nil"/>
              <w:bottom w:val="single" w:color="auto" w:sz="4" w:space="0"/>
              <w:right w:val="single" w:color="auto" w:sz="4" w:space="0"/>
            </w:tcBorders>
            <w:shd w:val="clear" w:color="auto" w:fill="auto"/>
            <w:noWrap/>
            <w:vAlign w:val="center"/>
          </w:tcPr>
          <w:p w14:paraId="3B160DEC">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r>
      <w:tr w14:paraId="0E8C3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16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A84749">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p>
        </w:tc>
        <w:tc>
          <w:tcPr>
            <w:tcW w:w="2102" w:type="dxa"/>
            <w:gridSpan w:val="2"/>
            <w:tcBorders>
              <w:top w:val="single" w:color="auto" w:sz="4" w:space="0"/>
              <w:left w:val="nil"/>
              <w:bottom w:val="single" w:color="auto" w:sz="4" w:space="0"/>
              <w:right w:val="single" w:color="auto" w:sz="4" w:space="0"/>
            </w:tcBorders>
            <w:shd w:val="clear" w:color="auto" w:fill="auto"/>
            <w:noWrap/>
            <w:vAlign w:val="center"/>
          </w:tcPr>
          <w:p w14:paraId="30455831">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人工费</w:t>
            </w:r>
          </w:p>
        </w:tc>
        <w:tc>
          <w:tcPr>
            <w:tcW w:w="1078" w:type="dxa"/>
            <w:gridSpan w:val="2"/>
            <w:tcBorders>
              <w:top w:val="single" w:color="auto" w:sz="4" w:space="0"/>
              <w:left w:val="nil"/>
              <w:bottom w:val="single" w:color="auto" w:sz="4" w:space="0"/>
              <w:right w:val="single" w:color="auto" w:sz="4" w:space="0"/>
            </w:tcBorders>
            <w:shd w:val="clear" w:color="auto" w:fill="auto"/>
            <w:noWrap/>
            <w:vAlign w:val="center"/>
          </w:tcPr>
          <w:p w14:paraId="088E7F02">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元</w:t>
            </w:r>
          </w:p>
        </w:tc>
        <w:tc>
          <w:tcPr>
            <w:tcW w:w="1079" w:type="dxa"/>
            <w:tcBorders>
              <w:top w:val="single" w:color="auto" w:sz="4" w:space="0"/>
              <w:left w:val="nil"/>
              <w:bottom w:val="single" w:color="auto" w:sz="4" w:space="0"/>
              <w:right w:val="single" w:color="auto" w:sz="4" w:space="0"/>
            </w:tcBorders>
            <w:shd w:val="clear" w:color="auto" w:fill="auto"/>
            <w:noWrap/>
            <w:vAlign w:val="center"/>
          </w:tcPr>
          <w:p w14:paraId="7441CE81">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107" w:type="dxa"/>
            <w:tcBorders>
              <w:top w:val="single" w:color="auto" w:sz="4" w:space="0"/>
              <w:left w:val="nil"/>
              <w:bottom w:val="single" w:color="auto" w:sz="4" w:space="0"/>
              <w:right w:val="single" w:color="auto" w:sz="4" w:space="0"/>
            </w:tcBorders>
            <w:shd w:val="clear" w:color="auto" w:fill="auto"/>
            <w:noWrap/>
            <w:vAlign w:val="center"/>
          </w:tcPr>
          <w:p w14:paraId="0AB7358A">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799" w:type="dxa"/>
            <w:tcBorders>
              <w:top w:val="single" w:color="auto" w:sz="4" w:space="0"/>
              <w:left w:val="nil"/>
              <w:bottom w:val="single" w:color="auto" w:sz="4" w:space="0"/>
              <w:right w:val="single" w:color="auto" w:sz="4" w:space="0"/>
            </w:tcBorders>
            <w:shd w:val="clear" w:color="auto" w:fill="auto"/>
            <w:noWrap/>
            <w:vAlign w:val="center"/>
          </w:tcPr>
          <w:p w14:paraId="36600D01">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r>
      <w:tr w14:paraId="7A18F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16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F82671">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2102" w:type="dxa"/>
            <w:gridSpan w:val="2"/>
            <w:tcBorders>
              <w:top w:val="single" w:color="auto" w:sz="4" w:space="0"/>
              <w:left w:val="nil"/>
              <w:bottom w:val="single" w:color="auto" w:sz="4" w:space="0"/>
              <w:right w:val="single" w:color="auto" w:sz="4" w:space="0"/>
            </w:tcBorders>
            <w:shd w:val="clear" w:color="auto" w:fill="auto"/>
            <w:noWrap/>
            <w:vAlign w:val="center"/>
          </w:tcPr>
          <w:p w14:paraId="78E2B64D">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p>
        </w:tc>
        <w:tc>
          <w:tcPr>
            <w:tcW w:w="1078" w:type="dxa"/>
            <w:gridSpan w:val="2"/>
            <w:tcBorders>
              <w:top w:val="single" w:color="auto" w:sz="4" w:space="0"/>
              <w:left w:val="nil"/>
              <w:bottom w:val="single" w:color="auto" w:sz="4" w:space="0"/>
              <w:right w:val="single" w:color="auto" w:sz="4" w:space="0"/>
            </w:tcBorders>
            <w:shd w:val="clear" w:color="auto" w:fill="auto"/>
            <w:noWrap/>
            <w:vAlign w:val="center"/>
          </w:tcPr>
          <w:p w14:paraId="10DAA5A8">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079" w:type="dxa"/>
            <w:tcBorders>
              <w:top w:val="single" w:color="auto" w:sz="4" w:space="0"/>
              <w:left w:val="nil"/>
              <w:bottom w:val="single" w:color="auto" w:sz="4" w:space="0"/>
              <w:right w:val="single" w:color="auto" w:sz="4" w:space="0"/>
            </w:tcBorders>
            <w:shd w:val="clear" w:color="auto" w:fill="auto"/>
            <w:noWrap/>
            <w:vAlign w:val="center"/>
          </w:tcPr>
          <w:p w14:paraId="3DA45244">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107" w:type="dxa"/>
            <w:tcBorders>
              <w:top w:val="single" w:color="auto" w:sz="4" w:space="0"/>
              <w:left w:val="nil"/>
              <w:bottom w:val="single" w:color="auto" w:sz="4" w:space="0"/>
              <w:right w:val="single" w:color="auto" w:sz="4" w:space="0"/>
            </w:tcBorders>
            <w:shd w:val="clear" w:color="auto" w:fill="auto"/>
            <w:noWrap/>
            <w:vAlign w:val="center"/>
          </w:tcPr>
          <w:p w14:paraId="75E1F8F0">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799" w:type="dxa"/>
            <w:tcBorders>
              <w:top w:val="single" w:color="auto" w:sz="4" w:space="0"/>
              <w:left w:val="nil"/>
              <w:bottom w:val="single" w:color="auto" w:sz="4" w:space="0"/>
              <w:right w:val="single" w:color="auto" w:sz="4" w:space="0"/>
            </w:tcBorders>
            <w:shd w:val="clear" w:color="auto" w:fill="auto"/>
            <w:noWrap/>
            <w:vAlign w:val="center"/>
          </w:tcPr>
          <w:p w14:paraId="1092F993">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r>
      <w:tr w14:paraId="3CD7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0D46E1">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w:t>
            </w:r>
          </w:p>
        </w:tc>
        <w:tc>
          <w:tcPr>
            <w:tcW w:w="2102" w:type="dxa"/>
            <w:gridSpan w:val="2"/>
            <w:tcBorders>
              <w:top w:val="single" w:color="auto" w:sz="4" w:space="0"/>
              <w:left w:val="nil"/>
              <w:bottom w:val="single" w:color="auto" w:sz="4" w:space="0"/>
              <w:right w:val="single" w:color="auto" w:sz="4" w:space="0"/>
            </w:tcBorders>
            <w:shd w:val="clear" w:color="auto" w:fill="auto"/>
            <w:noWrap/>
            <w:vAlign w:val="center"/>
          </w:tcPr>
          <w:p w14:paraId="24FF0A87">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主材设备费</w:t>
            </w:r>
          </w:p>
        </w:tc>
        <w:tc>
          <w:tcPr>
            <w:tcW w:w="1078" w:type="dxa"/>
            <w:gridSpan w:val="2"/>
            <w:tcBorders>
              <w:top w:val="single" w:color="auto" w:sz="4" w:space="0"/>
              <w:left w:val="nil"/>
              <w:bottom w:val="single" w:color="auto" w:sz="4" w:space="0"/>
              <w:right w:val="single" w:color="auto" w:sz="4" w:space="0"/>
            </w:tcBorders>
            <w:shd w:val="clear" w:color="auto" w:fill="auto"/>
            <w:noWrap/>
            <w:vAlign w:val="center"/>
          </w:tcPr>
          <w:p w14:paraId="4EE58AC0">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元</w:t>
            </w:r>
          </w:p>
        </w:tc>
        <w:tc>
          <w:tcPr>
            <w:tcW w:w="1079" w:type="dxa"/>
            <w:tcBorders>
              <w:top w:val="single" w:color="auto" w:sz="4" w:space="0"/>
              <w:left w:val="nil"/>
              <w:bottom w:val="single" w:color="auto" w:sz="4" w:space="0"/>
              <w:right w:val="single" w:color="auto" w:sz="4" w:space="0"/>
            </w:tcBorders>
            <w:shd w:val="clear" w:color="auto" w:fill="auto"/>
            <w:noWrap/>
            <w:vAlign w:val="center"/>
          </w:tcPr>
          <w:p w14:paraId="7E7CE9A0">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107" w:type="dxa"/>
            <w:tcBorders>
              <w:top w:val="single" w:color="auto" w:sz="4" w:space="0"/>
              <w:left w:val="nil"/>
              <w:bottom w:val="single" w:color="auto" w:sz="4" w:space="0"/>
              <w:right w:val="single" w:color="auto" w:sz="4" w:space="0"/>
            </w:tcBorders>
            <w:shd w:val="clear" w:color="auto" w:fill="auto"/>
            <w:noWrap/>
            <w:vAlign w:val="center"/>
          </w:tcPr>
          <w:p w14:paraId="65DEA339">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799" w:type="dxa"/>
            <w:tcBorders>
              <w:top w:val="single" w:color="auto" w:sz="4" w:space="0"/>
              <w:left w:val="nil"/>
              <w:bottom w:val="single" w:color="auto" w:sz="4" w:space="0"/>
              <w:right w:val="single" w:color="auto" w:sz="4" w:space="0"/>
            </w:tcBorders>
            <w:shd w:val="clear" w:color="auto" w:fill="auto"/>
            <w:noWrap/>
            <w:vAlign w:val="center"/>
          </w:tcPr>
          <w:p w14:paraId="7D27BADF">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r>
      <w:tr w14:paraId="3BC43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16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5C9FF4">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2102" w:type="dxa"/>
            <w:gridSpan w:val="2"/>
            <w:tcBorders>
              <w:top w:val="single" w:color="auto" w:sz="4" w:space="0"/>
              <w:left w:val="nil"/>
              <w:bottom w:val="single" w:color="auto" w:sz="4" w:space="0"/>
              <w:right w:val="single" w:color="auto" w:sz="4" w:space="0"/>
            </w:tcBorders>
            <w:shd w:val="clear" w:color="auto" w:fill="auto"/>
            <w:noWrap/>
            <w:vAlign w:val="center"/>
          </w:tcPr>
          <w:p w14:paraId="1ED3DB14">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p>
        </w:tc>
        <w:tc>
          <w:tcPr>
            <w:tcW w:w="1078" w:type="dxa"/>
            <w:gridSpan w:val="2"/>
            <w:tcBorders>
              <w:top w:val="single" w:color="auto" w:sz="4" w:space="0"/>
              <w:left w:val="nil"/>
              <w:bottom w:val="single" w:color="auto" w:sz="4" w:space="0"/>
              <w:right w:val="single" w:color="auto" w:sz="4" w:space="0"/>
            </w:tcBorders>
            <w:shd w:val="clear" w:color="auto" w:fill="auto"/>
            <w:noWrap/>
            <w:vAlign w:val="center"/>
          </w:tcPr>
          <w:p w14:paraId="5C59C275">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079" w:type="dxa"/>
            <w:tcBorders>
              <w:top w:val="single" w:color="auto" w:sz="4" w:space="0"/>
              <w:left w:val="nil"/>
              <w:bottom w:val="single" w:color="auto" w:sz="4" w:space="0"/>
              <w:right w:val="single" w:color="auto" w:sz="4" w:space="0"/>
            </w:tcBorders>
            <w:shd w:val="clear" w:color="auto" w:fill="auto"/>
            <w:noWrap/>
            <w:vAlign w:val="center"/>
          </w:tcPr>
          <w:p w14:paraId="0B3AB18B">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107" w:type="dxa"/>
            <w:tcBorders>
              <w:top w:val="single" w:color="auto" w:sz="4" w:space="0"/>
              <w:left w:val="nil"/>
              <w:bottom w:val="single" w:color="auto" w:sz="4" w:space="0"/>
              <w:right w:val="single" w:color="auto" w:sz="4" w:space="0"/>
            </w:tcBorders>
            <w:shd w:val="clear" w:color="auto" w:fill="auto"/>
            <w:noWrap/>
            <w:vAlign w:val="center"/>
          </w:tcPr>
          <w:p w14:paraId="093B3FED">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799" w:type="dxa"/>
            <w:tcBorders>
              <w:top w:val="single" w:color="auto" w:sz="4" w:space="0"/>
              <w:left w:val="nil"/>
              <w:bottom w:val="single" w:color="auto" w:sz="4" w:space="0"/>
              <w:right w:val="single" w:color="auto" w:sz="4" w:space="0"/>
            </w:tcBorders>
            <w:shd w:val="clear" w:color="auto" w:fill="auto"/>
            <w:noWrap/>
            <w:vAlign w:val="center"/>
          </w:tcPr>
          <w:p w14:paraId="5B84E0E0">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r>
      <w:tr w14:paraId="2E25F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CB0134">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w:t>
            </w:r>
          </w:p>
        </w:tc>
        <w:tc>
          <w:tcPr>
            <w:tcW w:w="2102" w:type="dxa"/>
            <w:gridSpan w:val="2"/>
            <w:tcBorders>
              <w:top w:val="single" w:color="auto" w:sz="4" w:space="0"/>
              <w:left w:val="nil"/>
              <w:bottom w:val="single" w:color="auto" w:sz="4" w:space="0"/>
              <w:right w:val="single" w:color="auto" w:sz="4" w:space="0"/>
            </w:tcBorders>
            <w:shd w:val="clear" w:color="auto" w:fill="auto"/>
            <w:noWrap/>
            <w:vAlign w:val="center"/>
          </w:tcPr>
          <w:p w14:paraId="44340478">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材料费</w:t>
            </w:r>
          </w:p>
        </w:tc>
        <w:tc>
          <w:tcPr>
            <w:tcW w:w="1078" w:type="dxa"/>
            <w:gridSpan w:val="2"/>
            <w:tcBorders>
              <w:top w:val="single" w:color="auto" w:sz="4" w:space="0"/>
              <w:left w:val="nil"/>
              <w:bottom w:val="single" w:color="auto" w:sz="4" w:space="0"/>
              <w:right w:val="single" w:color="auto" w:sz="4" w:space="0"/>
            </w:tcBorders>
            <w:shd w:val="clear" w:color="auto" w:fill="auto"/>
            <w:noWrap/>
            <w:vAlign w:val="center"/>
          </w:tcPr>
          <w:p w14:paraId="08D0058F">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元</w:t>
            </w:r>
          </w:p>
        </w:tc>
        <w:tc>
          <w:tcPr>
            <w:tcW w:w="1079" w:type="dxa"/>
            <w:tcBorders>
              <w:top w:val="single" w:color="auto" w:sz="4" w:space="0"/>
              <w:left w:val="nil"/>
              <w:bottom w:val="single" w:color="auto" w:sz="4" w:space="0"/>
              <w:right w:val="single" w:color="auto" w:sz="4" w:space="0"/>
            </w:tcBorders>
            <w:shd w:val="clear" w:color="auto" w:fill="auto"/>
            <w:noWrap/>
            <w:vAlign w:val="center"/>
          </w:tcPr>
          <w:p w14:paraId="4BC48552">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107" w:type="dxa"/>
            <w:tcBorders>
              <w:top w:val="single" w:color="auto" w:sz="4" w:space="0"/>
              <w:left w:val="nil"/>
              <w:bottom w:val="single" w:color="auto" w:sz="4" w:space="0"/>
              <w:right w:val="single" w:color="auto" w:sz="4" w:space="0"/>
            </w:tcBorders>
            <w:shd w:val="clear" w:color="auto" w:fill="auto"/>
            <w:noWrap/>
            <w:vAlign w:val="center"/>
          </w:tcPr>
          <w:p w14:paraId="68E6EEC8">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799" w:type="dxa"/>
            <w:tcBorders>
              <w:top w:val="single" w:color="auto" w:sz="4" w:space="0"/>
              <w:left w:val="nil"/>
              <w:bottom w:val="single" w:color="auto" w:sz="4" w:space="0"/>
              <w:right w:val="single" w:color="auto" w:sz="4" w:space="0"/>
            </w:tcBorders>
            <w:shd w:val="clear" w:color="auto" w:fill="auto"/>
            <w:noWrap/>
            <w:vAlign w:val="center"/>
          </w:tcPr>
          <w:p w14:paraId="72D1A7EE">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r>
      <w:tr w14:paraId="5691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16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3C09B0">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2102" w:type="dxa"/>
            <w:gridSpan w:val="2"/>
            <w:tcBorders>
              <w:top w:val="single" w:color="auto" w:sz="4" w:space="0"/>
              <w:left w:val="nil"/>
              <w:bottom w:val="single" w:color="auto" w:sz="4" w:space="0"/>
              <w:right w:val="single" w:color="auto" w:sz="4" w:space="0"/>
            </w:tcBorders>
            <w:shd w:val="clear" w:color="auto" w:fill="auto"/>
            <w:noWrap/>
            <w:vAlign w:val="center"/>
          </w:tcPr>
          <w:p w14:paraId="773305E7">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p>
        </w:tc>
        <w:tc>
          <w:tcPr>
            <w:tcW w:w="1078" w:type="dxa"/>
            <w:gridSpan w:val="2"/>
            <w:tcBorders>
              <w:top w:val="single" w:color="auto" w:sz="4" w:space="0"/>
              <w:left w:val="nil"/>
              <w:bottom w:val="single" w:color="auto" w:sz="4" w:space="0"/>
              <w:right w:val="single" w:color="auto" w:sz="4" w:space="0"/>
            </w:tcBorders>
            <w:shd w:val="clear" w:color="auto" w:fill="auto"/>
            <w:noWrap/>
            <w:vAlign w:val="center"/>
          </w:tcPr>
          <w:p w14:paraId="148F70F2">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079" w:type="dxa"/>
            <w:tcBorders>
              <w:top w:val="single" w:color="auto" w:sz="4" w:space="0"/>
              <w:left w:val="nil"/>
              <w:bottom w:val="single" w:color="auto" w:sz="4" w:space="0"/>
              <w:right w:val="single" w:color="auto" w:sz="4" w:space="0"/>
            </w:tcBorders>
            <w:shd w:val="clear" w:color="auto" w:fill="auto"/>
            <w:noWrap/>
            <w:vAlign w:val="center"/>
          </w:tcPr>
          <w:p w14:paraId="3FC208EF">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107" w:type="dxa"/>
            <w:tcBorders>
              <w:top w:val="single" w:color="auto" w:sz="4" w:space="0"/>
              <w:left w:val="nil"/>
              <w:bottom w:val="single" w:color="auto" w:sz="4" w:space="0"/>
              <w:right w:val="single" w:color="auto" w:sz="4" w:space="0"/>
            </w:tcBorders>
            <w:shd w:val="clear" w:color="auto" w:fill="auto"/>
            <w:noWrap/>
            <w:vAlign w:val="center"/>
          </w:tcPr>
          <w:p w14:paraId="78C6235D">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799" w:type="dxa"/>
            <w:tcBorders>
              <w:top w:val="single" w:color="auto" w:sz="4" w:space="0"/>
              <w:left w:val="nil"/>
              <w:bottom w:val="single" w:color="auto" w:sz="4" w:space="0"/>
              <w:right w:val="single" w:color="auto" w:sz="4" w:space="0"/>
            </w:tcBorders>
            <w:shd w:val="clear" w:color="auto" w:fill="auto"/>
            <w:noWrap/>
            <w:vAlign w:val="center"/>
          </w:tcPr>
          <w:p w14:paraId="37B6C2EE">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r>
      <w:tr w14:paraId="58123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16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8F39F1">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w:t>
            </w:r>
          </w:p>
        </w:tc>
        <w:tc>
          <w:tcPr>
            <w:tcW w:w="2102" w:type="dxa"/>
            <w:gridSpan w:val="2"/>
            <w:tcBorders>
              <w:top w:val="single" w:color="auto" w:sz="4" w:space="0"/>
              <w:left w:val="nil"/>
              <w:bottom w:val="single" w:color="auto" w:sz="4" w:space="0"/>
              <w:right w:val="single" w:color="auto" w:sz="4" w:space="0"/>
            </w:tcBorders>
            <w:shd w:val="clear" w:color="auto" w:fill="auto"/>
            <w:noWrap/>
            <w:vAlign w:val="center"/>
          </w:tcPr>
          <w:p w14:paraId="34BCCD5F">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机具费</w:t>
            </w:r>
          </w:p>
        </w:tc>
        <w:tc>
          <w:tcPr>
            <w:tcW w:w="1078" w:type="dxa"/>
            <w:gridSpan w:val="2"/>
            <w:tcBorders>
              <w:top w:val="single" w:color="auto" w:sz="4" w:space="0"/>
              <w:left w:val="nil"/>
              <w:bottom w:val="single" w:color="auto" w:sz="4" w:space="0"/>
              <w:right w:val="single" w:color="auto" w:sz="4" w:space="0"/>
            </w:tcBorders>
            <w:shd w:val="clear" w:color="auto" w:fill="auto"/>
            <w:noWrap/>
            <w:vAlign w:val="center"/>
          </w:tcPr>
          <w:p w14:paraId="73F07C94">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元</w:t>
            </w:r>
          </w:p>
        </w:tc>
        <w:tc>
          <w:tcPr>
            <w:tcW w:w="1079" w:type="dxa"/>
            <w:tcBorders>
              <w:top w:val="single" w:color="auto" w:sz="4" w:space="0"/>
              <w:left w:val="nil"/>
              <w:bottom w:val="single" w:color="auto" w:sz="4" w:space="0"/>
              <w:right w:val="single" w:color="auto" w:sz="4" w:space="0"/>
            </w:tcBorders>
            <w:shd w:val="clear" w:color="auto" w:fill="auto"/>
            <w:noWrap/>
            <w:vAlign w:val="center"/>
          </w:tcPr>
          <w:p w14:paraId="5CBF104E">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107" w:type="dxa"/>
            <w:tcBorders>
              <w:top w:val="single" w:color="auto" w:sz="4" w:space="0"/>
              <w:left w:val="nil"/>
              <w:bottom w:val="single" w:color="auto" w:sz="4" w:space="0"/>
              <w:right w:val="single" w:color="auto" w:sz="4" w:space="0"/>
            </w:tcBorders>
            <w:shd w:val="clear" w:color="auto" w:fill="auto"/>
            <w:noWrap/>
            <w:vAlign w:val="center"/>
          </w:tcPr>
          <w:p w14:paraId="52CBF0EA">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799" w:type="dxa"/>
            <w:tcBorders>
              <w:top w:val="single" w:color="auto" w:sz="4" w:space="0"/>
              <w:left w:val="nil"/>
              <w:bottom w:val="single" w:color="auto" w:sz="4" w:space="0"/>
              <w:right w:val="single" w:color="auto" w:sz="4" w:space="0"/>
            </w:tcBorders>
            <w:shd w:val="clear" w:color="auto" w:fill="auto"/>
            <w:noWrap/>
            <w:vAlign w:val="center"/>
          </w:tcPr>
          <w:p w14:paraId="56F920A6">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r>
      <w:tr w14:paraId="2EA4D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53E21B">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2102" w:type="dxa"/>
            <w:gridSpan w:val="2"/>
            <w:tcBorders>
              <w:top w:val="single" w:color="auto" w:sz="4" w:space="0"/>
              <w:left w:val="nil"/>
              <w:bottom w:val="single" w:color="auto" w:sz="4" w:space="0"/>
              <w:right w:val="single" w:color="auto" w:sz="4" w:space="0"/>
            </w:tcBorders>
            <w:shd w:val="clear" w:color="auto" w:fill="auto"/>
            <w:noWrap/>
            <w:vAlign w:val="center"/>
          </w:tcPr>
          <w:p w14:paraId="74948BFE">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p>
        </w:tc>
        <w:tc>
          <w:tcPr>
            <w:tcW w:w="1078" w:type="dxa"/>
            <w:gridSpan w:val="2"/>
            <w:tcBorders>
              <w:top w:val="single" w:color="auto" w:sz="4" w:space="0"/>
              <w:left w:val="nil"/>
              <w:bottom w:val="single" w:color="auto" w:sz="4" w:space="0"/>
              <w:right w:val="single" w:color="auto" w:sz="4" w:space="0"/>
            </w:tcBorders>
            <w:shd w:val="clear" w:color="auto" w:fill="auto"/>
            <w:noWrap/>
            <w:vAlign w:val="center"/>
          </w:tcPr>
          <w:p w14:paraId="38D7E455">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079" w:type="dxa"/>
            <w:tcBorders>
              <w:top w:val="single" w:color="auto" w:sz="4" w:space="0"/>
              <w:left w:val="nil"/>
              <w:bottom w:val="single" w:color="auto" w:sz="4" w:space="0"/>
              <w:right w:val="single" w:color="auto" w:sz="4" w:space="0"/>
            </w:tcBorders>
            <w:shd w:val="clear" w:color="auto" w:fill="auto"/>
            <w:noWrap/>
            <w:vAlign w:val="center"/>
          </w:tcPr>
          <w:p w14:paraId="26D2983E">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107" w:type="dxa"/>
            <w:tcBorders>
              <w:top w:val="single" w:color="auto" w:sz="4" w:space="0"/>
              <w:left w:val="nil"/>
              <w:bottom w:val="single" w:color="auto" w:sz="4" w:space="0"/>
              <w:right w:val="single" w:color="auto" w:sz="4" w:space="0"/>
            </w:tcBorders>
            <w:shd w:val="clear" w:color="auto" w:fill="auto"/>
            <w:noWrap/>
            <w:vAlign w:val="center"/>
          </w:tcPr>
          <w:p w14:paraId="03FEA01E">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799" w:type="dxa"/>
            <w:tcBorders>
              <w:top w:val="single" w:color="auto" w:sz="4" w:space="0"/>
              <w:left w:val="nil"/>
              <w:bottom w:val="single" w:color="auto" w:sz="4" w:space="0"/>
              <w:right w:val="single" w:color="auto" w:sz="4" w:space="0"/>
            </w:tcBorders>
            <w:shd w:val="clear" w:color="auto" w:fill="auto"/>
            <w:noWrap/>
            <w:vAlign w:val="center"/>
          </w:tcPr>
          <w:p w14:paraId="6352BC41">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r>
      <w:tr w14:paraId="4B8FF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35D4F4">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2102" w:type="dxa"/>
            <w:gridSpan w:val="2"/>
            <w:tcBorders>
              <w:top w:val="single" w:color="auto" w:sz="4" w:space="0"/>
              <w:left w:val="nil"/>
              <w:bottom w:val="single" w:color="auto" w:sz="4" w:space="0"/>
              <w:right w:val="single" w:color="auto" w:sz="4" w:space="0"/>
            </w:tcBorders>
            <w:shd w:val="clear" w:color="auto" w:fill="auto"/>
            <w:noWrap/>
            <w:vAlign w:val="center"/>
          </w:tcPr>
          <w:p w14:paraId="0DCE7CBD">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工料机小计</w:t>
            </w:r>
          </w:p>
        </w:tc>
        <w:tc>
          <w:tcPr>
            <w:tcW w:w="1078" w:type="dxa"/>
            <w:gridSpan w:val="2"/>
            <w:tcBorders>
              <w:top w:val="single" w:color="auto" w:sz="4" w:space="0"/>
              <w:left w:val="nil"/>
              <w:bottom w:val="single" w:color="auto" w:sz="4" w:space="0"/>
              <w:right w:val="single" w:color="auto" w:sz="4" w:space="0"/>
            </w:tcBorders>
            <w:shd w:val="clear" w:color="auto" w:fill="auto"/>
            <w:noWrap/>
            <w:vAlign w:val="center"/>
          </w:tcPr>
          <w:p w14:paraId="52A41B19">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元</w:t>
            </w:r>
          </w:p>
        </w:tc>
        <w:tc>
          <w:tcPr>
            <w:tcW w:w="1079" w:type="dxa"/>
            <w:tcBorders>
              <w:top w:val="single" w:color="auto" w:sz="4" w:space="0"/>
              <w:left w:val="nil"/>
              <w:bottom w:val="single" w:color="auto" w:sz="4" w:space="0"/>
              <w:right w:val="single" w:color="auto" w:sz="4" w:space="0"/>
            </w:tcBorders>
            <w:shd w:val="clear" w:color="auto" w:fill="auto"/>
            <w:noWrap/>
            <w:vAlign w:val="center"/>
          </w:tcPr>
          <w:p w14:paraId="3BABE9C1">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107" w:type="dxa"/>
            <w:tcBorders>
              <w:top w:val="single" w:color="auto" w:sz="4" w:space="0"/>
              <w:left w:val="nil"/>
              <w:bottom w:val="single" w:color="auto" w:sz="4" w:space="0"/>
              <w:right w:val="single" w:color="auto" w:sz="4" w:space="0"/>
            </w:tcBorders>
            <w:shd w:val="clear" w:color="auto" w:fill="auto"/>
            <w:noWrap/>
            <w:vAlign w:val="center"/>
          </w:tcPr>
          <w:p w14:paraId="0F6834C9">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799" w:type="dxa"/>
            <w:tcBorders>
              <w:top w:val="single" w:color="auto" w:sz="4" w:space="0"/>
              <w:left w:val="nil"/>
              <w:bottom w:val="single" w:color="auto" w:sz="4" w:space="0"/>
              <w:right w:val="single" w:color="auto" w:sz="4" w:space="0"/>
            </w:tcBorders>
            <w:shd w:val="clear" w:color="auto" w:fill="auto"/>
            <w:noWrap/>
            <w:vAlign w:val="center"/>
          </w:tcPr>
          <w:p w14:paraId="06119DA1">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r>
      <w:tr w14:paraId="023D2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CB2615">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w:t>
            </w:r>
          </w:p>
        </w:tc>
        <w:tc>
          <w:tcPr>
            <w:tcW w:w="2102" w:type="dxa"/>
            <w:gridSpan w:val="2"/>
            <w:tcBorders>
              <w:top w:val="single" w:color="auto" w:sz="4" w:space="0"/>
              <w:left w:val="nil"/>
              <w:bottom w:val="single" w:color="auto" w:sz="4" w:space="0"/>
              <w:right w:val="single" w:color="auto" w:sz="4" w:space="0"/>
            </w:tcBorders>
            <w:shd w:val="clear" w:color="auto" w:fill="auto"/>
            <w:noWrap/>
            <w:vAlign w:val="center"/>
          </w:tcPr>
          <w:p w14:paraId="3F39A5A4">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管理费</w:t>
            </w:r>
          </w:p>
        </w:tc>
        <w:tc>
          <w:tcPr>
            <w:tcW w:w="1078" w:type="dxa"/>
            <w:gridSpan w:val="2"/>
            <w:tcBorders>
              <w:top w:val="single" w:color="auto" w:sz="4" w:space="0"/>
              <w:left w:val="nil"/>
              <w:bottom w:val="single" w:color="auto" w:sz="4" w:space="0"/>
              <w:right w:val="single" w:color="auto" w:sz="4" w:space="0"/>
            </w:tcBorders>
            <w:shd w:val="clear" w:color="auto" w:fill="auto"/>
            <w:noWrap/>
            <w:vAlign w:val="center"/>
          </w:tcPr>
          <w:p w14:paraId="56BCD3B7">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元</w:t>
            </w:r>
          </w:p>
        </w:tc>
        <w:tc>
          <w:tcPr>
            <w:tcW w:w="1079" w:type="dxa"/>
            <w:tcBorders>
              <w:top w:val="single" w:color="auto" w:sz="4" w:space="0"/>
              <w:left w:val="nil"/>
              <w:bottom w:val="single" w:color="auto" w:sz="4" w:space="0"/>
              <w:right w:val="single" w:color="auto" w:sz="4" w:space="0"/>
            </w:tcBorders>
            <w:shd w:val="clear" w:color="auto" w:fill="auto"/>
            <w:noWrap/>
            <w:vAlign w:val="center"/>
          </w:tcPr>
          <w:p w14:paraId="05B14827">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107" w:type="dxa"/>
            <w:tcBorders>
              <w:top w:val="single" w:color="auto" w:sz="4" w:space="0"/>
              <w:left w:val="nil"/>
              <w:bottom w:val="single" w:color="auto" w:sz="4" w:space="0"/>
              <w:right w:val="single" w:color="auto" w:sz="4" w:space="0"/>
            </w:tcBorders>
            <w:shd w:val="clear" w:color="auto" w:fill="auto"/>
            <w:noWrap/>
            <w:vAlign w:val="center"/>
          </w:tcPr>
          <w:p w14:paraId="0C91BF07">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799" w:type="dxa"/>
            <w:tcBorders>
              <w:top w:val="single" w:color="auto" w:sz="4" w:space="0"/>
              <w:left w:val="nil"/>
              <w:bottom w:val="single" w:color="auto" w:sz="4" w:space="0"/>
              <w:right w:val="single" w:color="auto" w:sz="4" w:space="0"/>
            </w:tcBorders>
            <w:shd w:val="clear" w:color="auto" w:fill="auto"/>
            <w:noWrap/>
            <w:vAlign w:val="center"/>
          </w:tcPr>
          <w:p w14:paraId="3A59AA11">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r>
      <w:tr w14:paraId="19213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640CE9">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w:t>
            </w:r>
          </w:p>
        </w:tc>
        <w:tc>
          <w:tcPr>
            <w:tcW w:w="2102" w:type="dxa"/>
            <w:gridSpan w:val="2"/>
            <w:tcBorders>
              <w:top w:val="single" w:color="auto" w:sz="4" w:space="0"/>
              <w:left w:val="nil"/>
              <w:bottom w:val="single" w:color="auto" w:sz="4" w:space="0"/>
              <w:right w:val="single" w:color="auto" w:sz="4" w:space="0"/>
            </w:tcBorders>
            <w:shd w:val="clear" w:color="auto" w:fill="auto"/>
            <w:noWrap/>
            <w:vAlign w:val="center"/>
          </w:tcPr>
          <w:p w14:paraId="2A525A61">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利润</w:t>
            </w:r>
          </w:p>
        </w:tc>
        <w:tc>
          <w:tcPr>
            <w:tcW w:w="1078" w:type="dxa"/>
            <w:gridSpan w:val="2"/>
            <w:tcBorders>
              <w:top w:val="single" w:color="auto" w:sz="4" w:space="0"/>
              <w:left w:val="nil"/>
              <w:bottom w:val="single" w:color="auto" w:sz="4" w:space="0"/>
              <w:right w:val="single" w:color="auto" w:sz="4" w:space="0"/>
            </w:tcBorders>
            <w:shd w:val="clear" w:color="auto" w:fill="auto"/>
            <w:noWrap/>
            <w:vAlign w:val="center"/>
          </w:tcPr>
          <w:p w14:paraId="0D2E80BF">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p>
        </w:tc>
        <w:tc>
          <w:tcPr>
            <w:tcW w:w="1079" w:type="dxa"/>
            <w:tcBorders>
              <w:top w:val="single" w:color="auto" w:sz="4" w:space="0"/>
              <w:left w:val="nil"/>
              <w:bottom w:val="single" w:color="auto" w:sz="4" w:space="0"/>
              <w:right w:val="single" w:color="auto" w:sz="4" w:space="0"/>
            </w:tcBorders>
            <w:shd w:val="clear" w:color="auto" w:fill="auto"/>
            <w:noWrap/>
            <w:vAlign w:val="center"/>
          </w:tcPr>
          <w:p w14:paraId="2BC36E33">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107" w:type="dxa"/>
            <w:tcBorders>
              <w:top w:val="single" w:color="auto" w:sz="4" w:space="0"/>
              <w:left w:val="nil"/>
              <w:bottom w:val="single" w:color="auto" w:sz="4" w:space="0"/>
              <w:right w:val="single" w:color="auto" w:sz="4" w:space="0"/>
            </w:tcBorders>
            <w:shd w:val="clear" w:color="auto" w:fill="auto"/>
            <w:noWrap/>
            <w:vAlign w:val="center"/>
          </w:tcPr>
          <w:p w14:paraId="2FDBD7D1">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799" w:type="dxa"/>
            <w:tcBorders>
              <w:top w:val="single" w:color="auto" w:sz="4" w:space="0"/>
              <w:left w:val="nil"/>
              <w:bottom w:val="single" w:color="auto" w:sz="4" w:space="0"/>
              <w:right w:val="single" w:color="auto" w:sz="4" w:space="0"/>
            </w:tcBorders>
            <w:shd w:val="clear" w:color="auto" w:fill="auto"/>
            <w:noWrap/>
            <w:vAlign w:val="center"/>
          </w:tcPr>
          <w:p w14:paraId="326AE897">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r>
      <w:tr w14:paraId="455A5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9011D7">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w:t>
            </w:r>
          </w:p>
        </w:tc>
        <w:tc>
          <w:tcPr>
            <w:tcW w:w="2102" w:type="dxa"/>
            <w:gridSpan w:val="2"/>
            <w:tcBorders>
              <w:top w:val="single" w:color="auto" w:sz="4" w:space="0"/>
              <w:left w:val="nil"/>
              <w:bottom w:val="single" w:color="auto" w:sz="4" w:space="0"/>
              <w:right w:val="single" w:color="auto" w:sz="4" w:space="0"/>
            </w:tcBorders>
            <w:shd w:val="clear" w:color="auto" w:fill="auto"/>
            <w:noWrap/>
            <w:vAlign w:val="center"/>
          </w:tcPr>
          <w:p w14:paraId="3F15BA30">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投标下浮率</w:t>
            </w:r>
          </w:p>
        </w:tc>
        <w:tc>
          <w:tcPr>
            <w:tcW w:w="1078" w:type="dxa"/>
            <w:gridSpan w:val="2"/>
            <w:tcBorders>
              <w:top w:val="single" w:color="auto" w:sz="4" w:space="0"/>
              <w:left w:val="nil"/>
              <w:bottom w:val="single" w:color="auto" w:sz="4" w:space="0"/>
              <w:right w:val="single" w:color="auto" w:sz="4" w:space="0"/>
            </w:tcBorders>
            <w:shd w:val="clear" w:color="auto" w:fill="auto"/>
            <w:noWrap/>
            <w:vAlign w:val="center"/>
          </w:tcPr>
          <w:p w14:paraId="7F838148">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w:t>
            </w:r>
          </w:p>
        </w:tc>
        <w:tc>
          <w:tcPr>
            <w:tcW w:w="1079" w:type="dxa"/>
            <w:tcBorders>
              <w:top w:val="single" w:color="auto" w:sz="4" w:space="0"/>
              <w:left w:val="nil"/>
              <w:bottom w:val="single" w:color="auto" w:sz="4" w:space="0"/>
              <w:right w:val="single" w:color="auto" w:sz="4" w:space="0"/>
            </w:tcBorders>
            <w:shd w:val="clear" w:color="auto" w:fill="auto"/>
            <w:noWrap/>
            <w:vAlign w:val="center"/>
          </w:tcPr>
          <w:p w14:paraId="10BF109C">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107" w:type="dxa"/>
            <w:tcBorders>
              <w:top w:val="single" w:color="auto" w:sz="4" w:space="0"/>
              <w:left w:val="nil"/>
              <w:bottom w:val="single" w:color="auto" w:sz="4" w:space="0"/>
              <w:right w:val="single" w:color="auto" w:sz="4" w:space="0"/>
            </w:tcBorders>
            <w:shd w:val="clear" w:color="auto" w:fill="auto"/>
            <w:noWrap/>
            <w:vAlign w:val="center"/>
          </w:tcPr>
          <w:p w14:paraId="7BB77338">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799" w:type="dxa"/>
            <w:tcBorders>
              <w:top w:val="single" w:color="auto" w:sz="4" w:space="0"/>
              <w:left w:val="nil"/>
              <w:bottom w:val="single" w:color="auto" w:sz="4" w:space="0"/>
              <w:right w:val="single" w:color="auto" w:sz="4" w:space="0"/>
            </w:tcBorders>
            <w:shd w:val="clear" w:color="auto" w:fill="auto"/>
            <w:noWrap/>
            <w:vAlign w:val="center"/>
          </w:tcPr>
          <w:p w14:paraId="5F8616FC">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r>
      <w:tr w14:paraId="1BFD1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16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8FF0E8">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三</w:t>
            </w:r>
          </w:p>
        </w:tc>
        <w:tc>
          <w:tcPr>
            <w:tcW w:w="2102" w:type="dxa"/>
            <w:gridSpan w:val="2"/>
            <w:tcBorders>
              <w:top w:val="single" w:color="auto" w:sz="4" w:space="0"/>
              <w:left w:val="nil"/>
              <w:bottom w:val="single" w:color="auto" w:sz="4" w:space="0"/>
              <w:right w:val="single" w:color="auto" w:sz="4" w:space="0"/>
            </w:tcBorders>
            <w:shd w:val="clear" w:color="auto" w:fill="auto"/>
            <w:noWrap/>
            <w:vAlign w:val="center"/>
          </w:tcPr>
          <w:p w14:paraId="3C906ACD">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最终综合单价</w:t>
            </w:r>
          </w:p>
          <w:p w14:paraId="1F6D34A0">
            <w:pPr>
              <w:keepNext w:val="0"/>
              <w:keepLines w:val="0"/>
              <w:widowControl w:val="0"/>
              <w:suppressLineNumbers w:val="0"/>
              <w:adjustRightInd w:val="0"/>
              <w:snapToGrid w:val="0"/>
              <w:spacing w:before="0" w:beforeAutospacing="0" w:after="0" w:afterAutospacing="0" w:line="300" w:lineRule="auto"/>
              <w:ind w:left="0" w:right="0"/>
              <w:jc w:val="both"/>
              <w:rPr>
                <w:rFonts w:hint="eastAsia" w:ascii="宋体" w:hAnsi="Calibri"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一*（1-二）</w:t>
            </w:r>
          </w:p>
        </w:tc>
        <w:tc>
          <w:tcPr>
            <w:tcW w:w="1078" w:type="dxa"/>
            <w:gridSpan w:val="2"/>
            <w:tcBorders>
              <w:top w:val="single" w:color="auto" w:sz="4" w:space="0"/>
              <w:left w:val="nil"/>
              <w:bottom w:val="single" w:color="auto" w:sz="4" w:space="0"/>
              <w:right w:val="single" w:color="auto" w:sz="4" w:space="0"/>
            </w:tcBorders>
            <w:shd w:val="clear" w:color="auto" w:fill="auto"/>
            <w:noWrap/>
            <w:vAlign w:val="center"/>
          </w:tcPr>
          <w:p w14:paraId="7E09A6C5">
            <w:pPr>
              <w:keepNext w:val="0"/>
              <w:keepLines w:val="0"/>
              <w:widowControl/>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079" w:type="dxa"/>
            <w:tcBorders>
              <w:top w:val="single" w:color="auto" w:sz="4" w:space="0"/>
              <w:left w:val="nil"/>
              <w:bottom w:val="single" w:color="auto" w:sz="4" w:space="0"/>
              <w:right w:val="single" w:color="auto" w:sz="4" w:space="0"/>
            </w:tcBorders>
            <w:shd w:val="clear" w:color="auto" w:fill="auto"/>
            <w:noWrap/>
            <w:vAlign w:val="center"/>
          </w:tcPr>
          <w:p w14:paraId="32E317DE">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107" w:type="dxa"/>
            <w:tcBorders>
              <w:top w:val="single" w:color="auto" w:sz="4" w:space="0"/>
              <w:left w:val="nil"/>
              <w:bottom w:val="single" w:color="auto" w:sz="4" w:space="0"/>
              <w:right w:val="single" w:color="auto" w:sz="4" w:space="0"/>
            </w:tcBorders>
            <w:shd w:val="clear" w:color="auto" w:fill="auto"/>
            <w:noWrap/>
            <w:vAlign w:val="center"/>
          </w:tcPr>
          <w:p w14:paraId="6067C246">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c>
          <w:tcPr>
            <w:tcW w:w="1799" w:type="dxa"/>
            <w:tcBorders>
              <w:top w:val="single" w:color="auto" w:sz="4" w:space="0"/>
              <w:left w:val="nil"/>
              <w:bottom w:val="single" w:color="auto" w:sz="4" w:space="0"/>
              <w:right w:val="single" w:color="auto" w:sz="4" w:space="0"/>
            </w:tcBorders>
            <w:shd w:val="clear" w:color="auto" w:fill="auto"/>
            <w:noWrap/>
            <w:vAlign w:val="center"/>
          </w:tcPr>
          <w:p w14:paraId="1D5A8423">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宋体" w:hAnsi="Calibri" w:eastAsia="宋体" w:cs="宋体"/>
                <w:color w:val="auto"/>
                <w:kern w:val="2"/>
                <w:sz w:val="21"/>
                <w:szCs w:val="21"/>
                <w:highlight w:val="none"/>
              </w:rPr>
            </w:pPr>
          </w:p>
        </w:tc>
      </w:tr>
    </w:tbl>
    <w:p w14:paraId="286F6FE4">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其中：</w:t>
      </w:r>
    </w:p>
    <w:p w14:paraId="651B66CF">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①投标下浮率=（1-合同总价/招标控制价）×100％=％。</w:t>
      </w:r>
    </w:p>
    <w:p w14:paraId="156C4CA1">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②按照下列标准确定人工、材料和机具的消耗量：</w:t>
      </w:r>
    </w:p>
    <w:p w14:paraId="1895600B">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《广东省房屋建筑与装饰工程综合定额（2018）》；</w:t>
      </w:r>
    </w:p>
    <w:p w14:paraId="11437553">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《广东省通用安装工程综合定额（2018）》；</w:t>
      </w:r>
    </w:p>
    <w:p w14:paraId="54117D5A">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《广东省市政工程工程综合定额（2018）》；</w:t>
      </w:r>
    </w:p>
    <w:p w14:paraId="1CE9F529">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《广东省园林绿化工程综合定额（2018）》；</w:t>
      </w:r>
    </w:p>
    <w:p w14:paraId="1963BFD6">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2012年《广东省修缮工程综合定额》。</w:t>
      </w:r>
    </w:p>
    <w:p w14:paraId="7EA06571">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上述定额查找不到的可参考其他相关定额或由发包人与承包人协商确定，国家及广东省、广州市有最新规定的，从其规定。</w:t>
      </w:r>
    </w:p>
    <w:p w14:paraId="6112A4AD">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③人工、辅助材料（主材以外的材料）、机具价格的确定：按招标当期广州市工程造价管理部门发布的造价文件及《广州地区建设工程材料指导价格及厂商价格》的规定执行。若招标当期广州市工程造价管理部门发布的造价文件及《广州地区建设工程材料指导价格及厂商价格》中没有的辅材，则以2018年各专业工程综合定额中的辅材价格，并根据《广东省住房和城乡建设厅关于印发&lt;广东省建设工程计价依据（2018）&gt;的通知》（粤建市[2019]6号）的规定执行。</w:t>
      </w:r>
    </w:p>
    <w:p w14:paraId="24F24B54">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④管理费、利润按招标当期广州市工程造价管理部门发布的造价文件的规定执行，税金按政府、广东及广州地区税务部门有关规定计算，如文件中规定有上下限的，则按其平均值计算。</w:t>
      </w:r>
    </w:p>
    <w:p w14:paraId="3B48EE3C">
      <w:pPr>
        <w:pStyle w:val="14"/>
        <w:keepNext w:val="0"/>
        <w:keepLines w:val="0"/>
        <w:widowControl/>
        <w:suppressLineNumbers w:val="0"/>
        <w:adjustRightInd w:val="0"/>
        <w:snapToGrid w:val="0"/>
        <w:spacing w:before="0" w:beforeAutospacing="1" w:after="0" w:afterAutospacing="1" w:line="360" w:lineRule="auto"/>
        <w:ind w:left="-8" w:leftChars="-4" w:right="0" w:firstLine="477" w:firstLineChars="199"/>
        <w:jc w:val="left"/>
        <w:outlineLvl w:val="4"/>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33.2.4措施项目费的混凝土、钢筋混凝土模板及支架费的调整和结算方式:按综合单价包干的计价方式，工程量按设计图示尺寸据实计量。</w:t>
      </w:r>
    </w:p>
    <w:p w14:paraId="00C53592">
      <w:pPr>
        <w:pStyle w:val="14"/>
        <w:keepNext w:val="0"/>
        <w:keepLines w:val="0"/>
        <w:widowControl/>
        <w:suppressLineNumbers w:val="0"/>
        <w:adjustRightInd w:val="0"/>
        <w:snapToGrid w:val="0"/>
        <w:spacing w:before="0" w:beforeAutospacing="1" w:after="0" w:afterAutospacing="1" w:line="360" w:lineRule="auto"/>
        <w:ind w:left="-8" w:leftChars="-4" w:right="0" w:firstLine="477" w:firstLineChars="199"/>
        <w:jc w:val="left"/>
        <w:outlineLvl w:val="4"/>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33.2.5甲供材料设备管理费的调整和结算方式</w:t>
      </w:r>
    </w:p>
    <w:p w14:paraId="1988FD71">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甲供材料设备管理费结算时按甲供材料设备合同价扣除其中单套（台）主材单价大于5000元的设备价款后的余额乘以合同约定的费率计算。</w:t>
      </w:r>
    </w:p>
    <w:p w14:paraId="04E3F6FB">
      <w:pPr>
        <w:pStyle w:val="14"/>
        <w:keepNext w:val="0"/>
        <w:keepLines w:val="0"/>
        <w:widowControl/>
        <w:suppressLineNumbers w:val="0"/>
        <w:adjustRightInd w:val="0"/>
        <w:snapToGrid w:val="0"/>
        <w:spacing w:before="0" w:beforeAutospacing="1" w:after="0" w:afterAutospacing="1" w:line="360" w:lineRule="auto"/>
        <w:ind w:left="0" w:right="0" w:firstLine="480" w:firstLineChars="200"/>
        <w:jc w:val="left"/>
        <w:outlineLvl w:val="4"/>
        <w:rPr>
          <w:rFonts w:hint="eastAsia" w:ascii="宋体" w:hAnsi="宋体" w:eastAsia="宋体" w:cs="Times New Roman"/>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33.2.6甲招乙供材料设备管理费的调整和结算方式</w:t>
      </w:r>
    </w:p>
    <w:p w14:paraId="2E3147A2">
      <w:pPr>
        <w:pStyle w:val="14"/>
        <w:keepNext w:val="0"/>
        <w:keepLines w:val="0"/>
        <w:widowControl/>
        <w:suppressLineNumbers w:val="0"/>
        <w:adjustRightInd w:val="0"/>
        <w:snapToGrid w:val="0"/>
        <w:spacing w:before="0" w:beforeAutospacing="1" w:after="0" w:afterAutospacing="1" w:line="360" w:lineRule="auto"/>
        <w:ind w:left="0" w:right="0" w:firstLine="480" w:firstLineChars="200"/>
        <w:jc w:val="left"/>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甲招乙供材料设备管理费结算时按甲招乙供材料合同价扣除其中单套（台）主材单价大于5000元的设备价款后的余额乘以合同约定的费率计算。</w:t>
      </w:r>
    </w:p>
    <w:p w14:paraId="17FE6803">
      <w:pPr>
        <w:pStyle w:val="14"/>
        <w:keepNext w:val="0"/>
        <w:keepLines w:val="0"/>
        <w:widowControl/>
        <w:suppressLineNumbers w:val="0"/>
        <w:adjustRightInd w:val="0"/>
        <w:snapToGrid w:val="0"/>
        <w:spacing w:before="0" w:beforeAutospacing="1" w:after="0" w:afterAutospacing="1" w:line="360" w:lineRule="auto"/>
        <w:ind w:left="0" w:right="0" w:firstLine="480" w:firstLineChars="200"/>
        <w:jc w:val="left"/>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33.2.7 </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人工费</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及材料价差的调整和结算方式</w:t>
      </w:r>
    </w:p>
    <w:p w14:paraId="5E2B6696">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中华人民共和国民法典》、《建筑工程施工发包与承包计价管理办法》（住房城乡建设部令第16号）、《广东省建设工程造价管理规定》（粤府令第205号）、《广东省住房和城乡建设厅关于加强建筑工程材料价格风险管控的指导意见》（粤建市函〔2018〕2058号）及有关法律、法规，按照承发包双方合理分担价格风险的原则，约定如下：</w:t>
      </w:r>
    </w:p>
    <w:p w14:paraId="73399BDA">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outlineLvl w:val="5"/>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除</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4"/>
          <w:szCs w:val="24"/>
          <w:highlight w:val="none"/>
          <w:lang w:val="en-US" w:eastAsia="zh-CN" w:bidi="ar"/>
        </w:rPr>
        <w:t>人工费及</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4"/>
          <w:szCs w:val="24"/>
          <w:highlight w:val="none"/>
          <w:lang w:val="en-US" w:eastAsia="zh-CN" w:bidi="ar"/>
        </w:rPr>
        <w:t>钢筋、合同规定可以调差的钢结构主要型钢构件、</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4"/>
          <w:szCs w:val="24"/>
          <w:highlight w:val="none"/>
          <w:lang w:val="en-US" w:eastAsia="zh-CN" w:bidi="ar"/>
        </w:rPr>
        <w:t>电线电缆、</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4"/>
          <w:szCs w:val="24"/>
          <w:highlight w:val="none"/>
          <w:lang w:val="en-US" w:eastAsia="zh-CN" w:bidi="ar"/>
        </w:rPr>
        <w:t>混凝土、</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4"/>
          <w:szCs w:val="24"/>
          <w:highlight w:val="none"/>
          <w:lang w:val="en-US" w:eastAsia="zh-CN" w:bidi="ar"/>
        </w:rPr>
        <w:t>砂浆、</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4"/>
          <w:szCs w:val="24"/>
          <w:highlight w:val="none"/>
          <w:lang w:val="en-US" w:eastAsia="zh-CN" w:bidi="ar"/>
        </w:rPr>
        <w:t>砌体、</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4"/>
          <w:szCs w:val="24"/>
          <w:highlight w:val="none"/>
          <w:lang w:val="en-US" w:eastAsia="zh-CN" w:bidi="ar"/>
        </w:rPr>
        <w:t>中砂、</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4"/>
          <w:szCs w:val="24"/>
          <w:highlight w:val="none"/>
          <w:lang w:val="en-US" w:eastAsia="zh-CN" w:bidi="ar"/>
        </w:rPr>
        <w:t>碎石、</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4"/>
          <w:szCs w:val="24"/>
          <w:highlight w:val="none"/>
          <w:lang w:val="en-US" w:eastAsia="zh-CN" w:bidi="ar"/>
        </w:rPr>
        <w:t>石屑、</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4"/>
          <w:szCs w:val="24"/>
          <w:highlight w:val="none"/>
          <w:lang w:val="en-US" w:eastAsia="zh-CN" w:bidi="ar"/>
        </w:rPr>
        <w:t>管桩</w:t>
      </w:r>
      <w:r>
        <w:rPr>
          <w:rFonts w:hint="eastAsia" w:ascii="宋体" w:hAnsi="宋体" w:eastAsia="宋体" w:cs="宋体"/>
          <w:color w:val="auto"/>
          <w:kern w:val="2"/>
          <w:sz w:val="24"/>
          <w:szCs w:val="24"/>
          <w:highlight w:val="none"/>
          <w:u w:val="single"/>
          <w:lang w:val="en-US" w:eastAsia="zh-CN" w:bidi="ar"/>
        </w:rPr>
        <w:t>、</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2"/>
          <w:sz w:val="24"/>
          <w:szCs w:val="24"/>
          <w:highlight w:val="none"/>
          <w:u w:val="single"/>
          <w:lang w:val="en-US" w:eastAsia="zh-CN" w:bidi="ar"/>
        </w:rPr>
        <w:t>玻璃、×水泥、</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4"/>
          <w:szCs w:val="24"/>
          <w:highlight w:val="none"/>
          <w:u w:val="single"/>
          <w:lang w:val="en-US" w:eastAsia="zh-CN" w:bidi="ar"/>
        </w:rPr>
        <w:t>直线段母线槽、</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4"/>
          <w:szCs w:val="24"/>
          <w:highlight w:val="none"/>
          <w:u w:val="single"/>
          <w:lang w:val="en-US" w:eastAsia="zh-CN" w:bidi="ar"/>
        </w:rPr>
        <w:t>沥青混凝土、</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4"/>
          <w:szCs w:val="24"/>
          <w:highlight w:val="none"/>
          <w:u w:val="single"/>
          <w:lang w:val="en-US" w:eastAsia="zh-CN" w:bidi="ar"/>
        </w:rPr>
        <w:t>铝合金型</w:t>
      </w:r>
      <w:r>
        <w:rPr>
          <w:rFonts w:hint="eastAsia" w:ascii="宋体" w:hAnsi="宋体" w:eastAsia="宋体" w:cs="宋体"/>
          <w:color w:val="auto"/>
          <w:kern w:val="2"/>
          <w:sz w:val="24"/>
          <w:szCs w:val="24"/>
          <w:highlight w:val="none"/>
          <w:lang w:val="en-US" w:eastAsia="zh-CN" w:bidi="ar"/>
        </w:rPr>
        <w:t>材料材料费价差外，其他材其他材料设备的价差均不予调整。调整、计量支付和结算原则如下:</w:t>
      </w:r>
    </w:p>
    <w:p w14:paraId="3B573C85">
      <w:pPr>
        <w:keepNext w:val="0"/>
        <w:keepLines w:val="0"/>
        <w:widowControl w:val="0"/>
        <w:suppressLineNumbers w:val="0"/>
        <w:adjustRightInd w:val="0"/>
        <w:snapToGrid w:val="0"/>
        <w:spacing w:before="0" w:beforeAutospacing="0" w:after="0" w:afterAutospacing="0" w:line="360" w:lineRule="auto"/>
        <w:ind w:left="0" w:right="11" w:firstLine="403" w:firstLineChars="192"/>
        <w:jc w:val="both"/>
        <w:outlineLvl w:val="5"/>
        <w:rPr>
          <w:rFonts w:hint="eastAsia" w:ascii="宋体" w:hAnsi="Calibri" w:eastAsia="宋体" w:cs="宋体"/>
          <w:color w:val="auto"/>
          <w:kern w:val="2"/>
          <w:sz w:val="24"/>
          <w:szCs w:val="24"/>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4"/>
          <w:szCs w:val="24"/>
          <w:highlight w:val="none"/>
          <w:lang w:val="en-US" w:eastAsia="zh-CN" w:bidi="ar"/>
        </w:rPr>
        <w:t xml:space="preserve"> 1）人工费的调整和结算方式：</w:t>
      </w:r>
    </w:p>
    <w:p w14:paraId="632A42D8">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招标文件工程量清单计价说明公布的分部分项人工费总额为本工程分部分项最高人工费总额，承包人在投标报价时不得超过此公布数。如承包人未按招标文件工程量清单计价说明要求填报分部分项人工费的，发包人有权按照招标文件工程量清单计价说明进行修正，承包人应无条件按修正后的分部分项人工费结果执行。</w:t>
      </w:r>
    </w:p>
    <w:p w14:paraId="5F983D6D">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若计量当期人工价格指数（以广州市建设工程造价管理站发布的相应月份建设工程价格信息及有关计价办法中的人工价格指数为准，下同）与按招标当期人工价格指数相比超过5%的，则根据广州市建设工程造价管理站发布的人工价格指数调整超过5%以外的部分{例如：招标当期指数是108.76，计量当期指数是115，相比为105.74%，超过5.74%，只调0.74%[计算公式为(115/108.76)-1-5%=0.74%]}，调整和结算公式如下：</w:t>
      </w:r>
    </w:p>
    <w:p w14:paraId="5E5C7792">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a）涨幅超过5%时：</w:t>
      </w:r>
    </w:p>
    <w:p w14:paraId="2DCBE967">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计量当期人工费调增价款=（计量当期人工价格指数/招标当期人工价格指数-1-5%）×（承包人投标分部分项工程人工费总额÷中标价中的分部分项工程量清单计价汇总合计）×当期各月发包人已确认分部分项工程进度款之和。</w:t>
      </w:r>
    </w:p>
    <w:p w14:paraId="00E5EBE7">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b）跌幅超过5%时：</w:t>
      </w:r>
    </w:p>
    <w:p w14:paraId="587C6A3E">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计量当期人工费调减价款=（1-计量当期人工价格指数/招标当期人工价格指数-5%）×（承包人投标分部分项工程人工费总额÷中标价中的分部分项工程量清单计价汇总合计）×当期各月发包人已确认分部分项工程进度款之和。</w:t>
      </w:r>
    </w:p>
    <w:p w14:paraId="0BD6BEA9">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c）人工费结算增减额=施工期（自开工之日起至完工之日止）每期人工费调整价款之和+人工价格指数浮动调整系数×（承包人投标分部分项工程人工费总额÷中标价中的分部分项工程量清单计价汇总合计）×（有权结算终审部门审定结算价中的分部分项工程费-累计发包人已确认分部分项工程进度款），其中人工价格指数浮动调整系数在施工期每期人工价格指数浮动调整系数中按有利于发包人的原则取定。税金另行计列。</w:t>
      </w:r>
    </w:p>
    <w:p w14:paraId="317F8AD6">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d）计量当期人工费达到上述调整条件时，由承包人按合同约定原则申报，经发包人审定后纳入下月进度款支付。</w:t>
      </w:r>
    </w:p>
    <w:p w14:paraId="3E81EF3C">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e）措施项目、其他项目不参与人工费的调整。</w:t>
      </w:r>
    </w:p>
    <w:p w14:paraId="22D84F19">
      <w:pPr>
        <w:keepNext w:val="0"/>
        <w:keepLines w:val="0"/>
        <w:widowControl w:val="0"/>
        <w:suppressLineNumbers w:val="0"/>
        <w:adjustRightInd w:val="0"/>
        <w:snapToGrid w:val="0"/>
        <w:spacing w:before="0" w:beforeAutospacing="0" w:after="0" w:afterAutospacing="0" w:line="360" w:lineRule="auto"/>
        <w:ind w:left="0" w:right="11" w:firstLine="403" w:firstLineChars="192"/>
        <w:jc w:val="both"/>
        <w:outlineLvl w:val="5"/>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4"/>
          <w:szCs w:val="24"/>
          <w:highlight w:val="none"/>
          <w:lang w:val="en-US" w:eastAsia="zh-CN" w:bidi="ar"/>
        </w:rPr>
        <w:t xml:space="preserve"> 2）</w:t>
      </w:r>
      <w:r>
        <w:rPr>
          <w:rFonts w:hint="eastAsia" w:ascii="宋体" w:hAnsi="宋体" w:eastAsia="宋体" w:cs="宋体"/>
          <w:color w:val="auto"/>
          <w:kern w:val="0"/>
          <w:sz w:val="24"/>
          <w:szCs w:val="24"/>
          <w:highlight w:val="none"/>
          <w:lang w:val="en-US" w:eastAsia="zh-CN" w:bidi="ar"/>
        </w:rPr>
        <w:t>钢筋</w:t>
      </w:r>
      <w:r>
        <w:rPr>
          <w:rFonts w:hint="eastAsia" w:ascii="宋体" w:hAnsi="宋体" w:eastAsia="宋体" w:cs="宋体"/>
          <w:color w:val="auto"/>
          <w:kern w:val="2"/>
          <w:sz w:val="24"/>
          <w:szCs w:val="24"/>
          <w:highlight w:val="none"/>
          <w:lang w:val="en-US" w:eastAsia="zh-CN" w:bidi="ar"/>
        </w:rPr>
        <w:t>、合同规定可以调差的钢结构主要型钢构件</w:t>
      </w:r>
      <w:r>
        <w:rPr>
          <w:rFonts w:hint="eastAsia" w:ascii="宋体" w:hAnsi="宋体" w:eastAsia="宋体" w:cs="宋体"/>
          <w:color w:val="auto"/>
          <w:kern w:val="0"/>
          <w:sz w:val="24"/>
          <w:szCs w:val="24"/>
          <w:highlight w:val="none"/>
          <w:lang w:val="en-US" w:eastAsia="zh-CN" w:bidi="ar"/>
        </w:rPr>
        <w:t>材料费的调整和结算方式</w:t>
      </w:r>
    </w:p>
    <w:p w14:paraId="65CA34EC">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若计量当期钢筋、型钢材料基准单价（Ⅰ级钢筋基准单价为广州市建设工程造价管理站发布的</w:t>
      </w:r>
      <w:r>
        <w:rPr>
          <w:rFonts w:hint="eastAsia" w:ascii="宋体" w:hAnsi="宋体" w:eastAsia="宋体" w:cs="宋体"/>
          <w:color w:val="auto"/>
          <w:kern w:val="2"/>
          <w:sz w:val="24"/>
          <w:szCs w:val="24"/>
          <w:highlight w:val="none"/>
          <w:lang w:val="en-US" w:eastAsia="zh-CN" w:bidi="ar"/>
        </w:rPr>
        <w:t>相应月份建设工程价格信息及有关计价办法</w:t>
      </w:r>
      <w:r>
        <w:rPr>
          <w:rFonts w:hint="eastAsia" w:ascii="宋体" w:hAnsi="宋体" w:eastAsia="宋体" w:cs="宋体"/>
          <w:color w:val="auto"/>
          <w:kern w:val="0"/>
          <w:sz w:val="24"/>
          <w:szCs w:val="24"/>
          <w:highlight w:val="none"/>
          <w:lang w:val="en-US" w:eastAsia="zh-CN" w:bidi="ar"/>
        </w:rPr>
        <w:t>所附《综合价格》钢筋综合价中圆钢Φ10内和Φ10外对应单价的平均值，Ⅱ级、III级钢筋基准单价为《综合价格》钢筋综合价中螺纹钢Φ10外和Φ12--25对应单价的平均值，型钢基准单价为《综合价格》中“＃18--24槽钢”的综合价格，下同）与招标当期对应钢筋、型钢基准单价对比涨跌幅度超过5%的，则调整超过5%以外的部分（如：超过6%，只调1%），调整和结算公式如下：</w:t>
      </w:r>
    </w:p>
    <w:p w14:paraId="6DCB733A">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a）涨幅超过5%时：</w:t>
      </w:r>
    </w:p>
    <w:p w14:paraId="52754C7C">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计量当期材料单价价差=（计量期当期相应钢筋、型钢基准单价-招标当期对应钢筋、型钢基准单价×1.05）。</w:t>
      </w:r>
    </w:p>
    <w:p w14:paraId="62908C80">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计量当期钢筋、型钢材料费调增价款=计量当期钢筋、型钢单价价差×当期各月进度款中发包人已确认计量分部分项工程量清单中以“t”为计量单位的钢筋清单项目相应钢筋、型钢量之和（不含损耗量）。措施项目参与钢筋价差的调整，其他项目、外购预制构件、甲招乙供材料中所含的钢筋及钢筋损耗不参与钢筋价差的调整；除</w:t>
      </w:r>
      <w:r>
        <w:rPr>
          <w:rFonts w:hint="eastAsia" w:ascii="宋体" w:hAnsi="宋体" w:eastAsia="宋体" w:cs="宋体"/>
          <w:color w:val="auto"/>
          <w:kern w:val="2"/>
          <w:sz w:val="24"/>
          <w:szCs w:val="24"/>
          <w:highlight w:val="none"/>
          <w:lang w:val="en-US" w:eastAsia="zh-CN" w:bidi="ar"/>
        </w:rPr>
        <w:t>合同规定可以调差的钢结构主要型钢构件</w:t>
      </w:r>
      <w:r>
        <w:rPr>
          <w:rFonts w:hint="eastAsia" w:ascii="宋体" w:hAnsi="宋体" w:eastAsia="宋体" w:cs="宋体"/>
          <w:color w:val="auto"/>
          <w:kern w:val="0"/>
          <w:sz w:val="24"/>
          <w:szCs w:val="24"/>
          <w:highlight w:val="none"/>
          <w:lang w:val="en-US" w:eastAsia="zh-CN" w:bidi="ar"/>
        </w:rPr>
        <w:t>外，其他构件、预埋件、其他项目中的型钢材及损耗均不参与钢材调差，措施项目中</w:t>
      </w:r>
      <w:r>
        <w:rPr>
          <w:rFonts w:hint="eastAsia" w:ascii="宋体" w:hAnsi="宋体" w:eastAsia="宋体" w:cs="宋体"/>
          <w:color w:val="auto"/>
          <w:kern w:val="2"/>
          <w:sz w:val="24"/>
          <w:szCs w:val="24"/>
          <w:highlight w:val="none"/>
          <w:lang w:val="en-US" w:eastAsia="zh-CN" w:bidi="ar"/>
        </w:rPr>
        <w:t>合同规定可以调差的钢结构主要型钢构件</w:t>
      </w:r>
      <w:r>
        <w:rPr>
          <w:rFonts w:hint="eastAsia" w:ascii="宋体" w:hAnsi="宋体" w:eastAsia="宋体" w:cs="宋体"/>
          <w:color w:val="auto"/>
          <w:kern w:val="0"/>
          <w:sz w:val="24"/>
          <w:szCs w:val="24"/>
          <w:highlight w:val="none"/>
          <w:lang w:val="en-US" w:eastAsia="zh-CN" w:bidi="ar"/>
        </w:rPr>
        <w:t>参与钢材调差，下同。税金另行计列。</w:t>
      </w:r>
    </w:p>
    <w:p w14:paraId="6748B419">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b）跌幅超过5%时：</w:t>
      </w:r>
    </w:p>
    <w:p w14:paraId="5B57C359">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计量当期材料单价价差=（招标当期相应钢筋、型钢基准单价×0.95-对应钢筋、型钢基准单价）。</w:t>
      </w:r>
    </w:p>
    <w:p w14:paraId="398BF3E0">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计量当期钢筋材料、型钢费扣减额=计量当期钢筋、型钢单价价差×当期各月进度款中发包人已确认计量分部分项工程量清单中以“t”为计量单位的钢筋清单项目相应钢筋、型钢量之和（不含损耗量）。</w:t>
      </w:r>
    </w:p>
    <w:p w14:paraId="68A6C74E">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c）钢筋材料费结算增减额=施工期（自开工之日起至完工之日止）每季度钢筋材料费调整价款之和+钢筋单价价差×[有权结算终审部门审定的结算中分部分项工程量清单中以“t”为计量单位的钢筋清单项目相应钢筋量之和（不含损耗量）-累计工程进度款中发包人已确认计量分部分项工程量清单中以“t”为计量单位的钢筋清单项目相应钢筋量之和（不含损耗量）]，其中钢筋单价价差按施工期每季度钢筋单价价差的平均值取定。税金另行计列。</w:t>
      </w:r>
    </w:p>
    <w:p w14:paraId="418D43CA">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2"/>
          <w:sz w:val="24"/>
          <w:szCs w:val="24"/>
          <w:highlight w:val="none"/>
          <w:lang w:val="en-US" w:eastAsia="zh-CN" w:bidi="ar"/>
        </w:rPr>
        <w:t>型钢材料费结算增减额计算方法与钢筋的计算方法一致。</w:t>
      </w:r>
    </w:p>
    <w:p w14:paraId="46F5111D">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d）计量当期钢筋、型钢材料费达到上述调整条件时，由承包人按合同约定原则申报，经发包人审定后纳入下月进度款支付。</w:t>
      </w:r>
    </w:p>
    <w:p w14:paraId="3E1039C6">
      <w:pPr>
        <w:keepNext w:val="0"/>
        <w:keepLines w:val="0"/>
        <w:widowControl w:val="0"/>
        <w:suppressLineNumbers w:val="0"/>
        <w:adjustRightInd w:val="0"/>
        <w:snapToGrid w:val="0"/>
        <w:spacing w:before="0" w:beforeAutospacing="0" w:after="0" w:afterAutospacing="0" w:line="360" w:lineRule="auto"/>
        <w:ind w:left="0" w:right="11" w:firstLine="403" w:firstLineChars="192"/>
        <w:jc w:val="both"/>
        <w:outlineLvl w:val="5"/>
        <w:rPr>
          <w:rFonts w:hint="eastAsia" w:ascii="宋体" w:hAnsi="Calibri" w:eastAsia="宋体" w:cs="宋体"/>
          <w:color w:val="auto"/>
          <w:kern w:val="2"/>
          <w:sz w:val="24"/>
          <w:szCs w:val="24"/>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4"/>
          <w:szCs w:val="24"/>
          <w:highlight w:val="none"/>
          <w:lang w:val="en-US" w:eastAsia="zh-CN" w:bidi="ar"/>
        </w:rPr>
        <w:t xml:space="preserve"> 3）电线电缆材料费的调整和结算方式</w:t>
      </w:r>
    </w:p>
    <w:p w14:paraId="758953B4">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2"/>
          <w:sz w:val="24"/>
          <w:szCs w:val="24"/>
          <w:highlight w:val="none"/>
          <w:lang w:val="en-US" w:eastAsia="zh-CN" w:bidi="ar"/>
        </w:rPr>
        <w:t>a）</w:t>
      </w:r>
      <w:r>
        <w:rPr>
          <w:rFonts w:hint="eastAsia" w:ascii="宋体" w:hAnsi="宋体" w:eastAsia="宋体" w:cs="宋体"/>
          <w:color w:val="auto"/>
          <w:kern w:val="0"/>
          <w:sz w:val="24"/>
          <w:szCs w:val="24"/>
          <w:highlight w:val="none"/>
          <w:lang w:val="en-US" w:eastAsia="zh-CN" w:bidi="ar"/>
        </w:rPr>
        <w:t>电线电缆材料费调整参照铜价变化按电线电缆相应规格分别调整，且在本合同履行过程中只在本工程结算时调整一次。</w:t>
      </w:r>
    </w:p>
    <w:p w14:paraId="36814A99">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若电线电缆材料价格变化幅度（电线电缆材料价格变化幅度为：以上海期货交易所（www.shfe.com.cn - “首页/交易数据/月统计数据/月度参考价”发布的“铜当月”的“月度结算参考价”在投标截止之日前一个月直至工程完工日期前一个月的计算期内的价格平均值，与投标截止之日前一个月相应的“铜当月”的“月度结算参考价”的比值，减去100%得出；下同）即涨跌幅度超过5%的，则在本工程结算时一次性调整超过5%以外的部分（如：超过6%，只调1%）。</w:t>
      </w:r>
    </w:p>
    <w:p w14:paraId="67AAF5C3">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当电线电缆材料价格变化幅度为正值，且涨幅超过5%时，按调增调整；当电线电缆材料价格变化幅度为负值，且跌幅超过5%时，按调减调整。电线电缆材料费调整（调增或调减）价款公式具体如下：</w:t>
      </w:r>
    </w:p>
    <w:p w14:paraId="28F4D8CC">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电线电缆材料费调整（调增或调减）价款=审定结算电线电缆工程量铜含量×铜单价价差。税金另行计列。</w:t>
      </w:r>
    </w:p>
    <w:p w14:paraId="02068B4D">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铜单价价差=本合同投标截止之日前一个月的“铜当月”的“月度结算参考价”×（|电线电缆材料价格变化幅度|-5%）。</w:t>
      </w:r>
    </w:p>
    <w:p w14:paraId="02FAF52F">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审定结算电线电缆工程量铜含量指根据结算电线电缆工程量（延长米）乘以电线电缆铜芯截面积再乘以铜比重（8900千克/立方米）计算得出的电线电缆结算工程量中所含铜的重量。</w:t>
      </w:r>
    </w:p>
    <w:p w14:paraId="3F9DF0E4">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b）进行调价的材料量不含损耗量，损耗量计入相应分部分项工程量清单项目安装费中。</w:t>
      </w:r>
    </w:p>
    <w:p w14:paraId="408119F0">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strike/>
          <w:dstrike w:val="0"/>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c）措施项目参与电线电缆材料费的调整，其他项目不参与电线电缆材料费的调整。</w:t>
      </w:r>
    </w:p>
    <w:p w14:paraId="4ED6E1D0">
      <w:pPr>
        <w:keepNext w:val="0"/>
        <w:keepLines w:val="0"/>
        <w:widowControl w:val="0"/>
        <w:suppressLineNumbers w:val="0"/>
        <w:adjustRightInd w:val="0"/>
        <w:snapToGrid w:val="0"/>
        <w:spacing w:before="0" w:beforeAutospacing="0" w:after="0" w:afterAutospacing="0" w:line="360" w:lineRule="auto"/>
        <w:ind w:left="0" w:right="11" w:firstLine="403"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4"/>
          <w:szCs w:val="24"/>
          <w:highlight w:val="none"/>
          <w:lang w:val="en-US" w:eastAsia="zh-CN" w:bidi="ar"/>
        </w:rPr>
        <w:t xml:space="preserve"> 4）</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4"/>
          <w:szCs w:val="24"/>
          <w:highlight w:val="none"/>
          <w:lang w:val="en-US" w:eastAsia="zh-CN" w:bidi="ar"/>
        </w:rPr>
        <w:t>混凝土、</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4"/>
          <w:szCs w:val="24"/>
          <w:highlight w:val="none"/>
          <w:lang w:val="en-US" w:eastAsia="zh-CN" w:bidi="ar"/>
        </w:rPr>
        <w:t>砂浆、</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4"/>
          <w:szCs w:val="24"/>
          <w:highlight w:val="none"/>
          <w:lang w:val="en-US" w:eastAsia="zh-CN" w:bidi="ar"/>
        </w:rPr>
        <w:t>砌体、</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4"/>
          <w:szCs w:val="24"/>
          <w:highlight w:val="none"/>
          <w:lang w:val="en-US" w:eastAsia="zh-CN" w:bidi="ar"/>
        </w:rPr>
        <w:t>中砂、</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4"/>
          <w:szCs w:val="24"/>
          <w:highlight w:val="none"/>
          <w:lang w:val="en-US" w:eastAsia="zh-CN" w:bidi="ar"/>
        </w:rPr>
        <w:t>碎石、</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4"/>
          <w:szCs w:val="24"/>
          <w:highlight w:val="none"/>
          <w:lang w:val="en-US" w:eastAsia="zh-CN" w:bidi="ar"/>
        </w:rPr>
        <w:t>石屑、</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4"/>
          <w:szCs w:val="24"/>
          <w:highlight w:val="none"/>
          <w:u w:val="single"/>
          <w:lang w:val="en-US" w:eastAsia="zh-CN" w:bidi="ar"/>
        </w:rPr>
        <w:t>管桩、×玻璃、×水泥、</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4"/>
          <w:szCs w:val="24"/>
          <w:highlight w:val="none"/>
          <w:u w:val="single"/>
          <w:lang w:val="en-US" w:eastAsia="zh-CN" w:bidi="ar"/>
        </w:rPr>
        <w:t>直线段母线槽、</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2"/>
          <w:sz w:val="24"/>
          <w:szCs w:val="24"/>
          <w:highlight w:val="none"/>
          <w:u w:val="single"/>
          <w:lang w:val="en-US" w:eastAsia="zh-CN" w:bidi="ar"/>
        </w:rPr>
        <w:t>沥青混凝土、×铝合金型</w:t>
      </w:r>
      <w:r>
        <w:rPr>
          <w:rFonts w:hint="eastAsia" w:ascii="宋体" w:hAnsi="宋体" w:eastAsia="宋体" w:cs="宋体"/>
          <w:color w:val="auto"/>
          <w:kern w:val="2"/>
          <w:sz w:val="24"/>
          <w:szCs w:val="24"/>
          <w:highlight w:val="none"/>
          <w:lang w:val="en-US" w:eastAsia="zh-CN" w:bidi="ar"/>
        </w:rPr>
        <w:t>材料费的调整和结算方式</w:t>
      </w:r>
    </w:p>
    <w:p w14:paraId="239A32D9">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若计量当期上述材料基准单价（基准单价为广州市建设工程造价管理站发布的相应月份建设工程价格信息及有关计价办法所附《综合价格》）与招标当期对应上述材料基准单价对比涨跌幅度超过5%的，则调整超过5%以外的部分（如：超过6%，只调1%），调整和结算公式如下：</w:t>
      </w:r>
    </w:p>
    <w:p w14:paraId="70809DE1">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a）涨幅超过5%时：</w:t>
      </w:r>
    </w:p>
    <w:p w14:paraId="56D8BE22">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计量当期上述材料单价价差=（计量期当期相应上述材料基准单价-招标当期对应上述材料基准单价×1.05）。</w:t>
      </w:r>
    </w:p>
    <w:p w14:paraId="6D633CD7">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计量当期上述材料材料费调增价款=计量当期上述材料单价价差×当期各月进度款中发包人已确认计量分部分项工程量清单中上述材料清单项目相应上述材料量之和（不含损耗量）。其他项目、外购预制构件、甲招乙供材料中所含的上述材料及其损耗不参与上述材料价差的的调整，下同。</w:t>
      </w:r>
    </w:p>
    <w:p w14:paraId="166C0BED">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b）跌幅超过5%时：</w:t>
      </w:r>
    </w:p>
    <w:p w14:paraId="3807F435">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计量当期上述材料单价价差=（招标当期相应上述材料基准单价×0.95-对应上述材料基准单价）。</w:t>
      </w:r>
    </w:p>
    <w:p w14:paraId="52F5A9A9">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计量当期上述材料材料费扣减额=计量当期上述材料单价价差×当期各月进度款中发包人已确认计量分部分项工程量清单中上述材料清单项目相应上述材料量之和（不含损耗量）。</w:t>
      </w:r>
    </w:p>
    <w:p w14:paraId="056F7C91">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c）上述材料材料费结算增减额=施工期（自开工之日起至完工之日止）每季度上述材料材料费调整价款之和+上述材料单价价差×[有权结算终审部门审定的结算中分部分项工程量清单中上述材料清单项目相应上述材料量之和（不含损耗量）-累计工程进度款中发包人已确认计量分部分项工程量清单中上述材料清单项目相应上述材料量之和（不含损耗量）]，其中上述材料单价价差按施工期每季度上述材料单价价差的平均值取定。税金另行计列。</w:t>
      </w:r>
    </w:p>
    <w:p w14:paraId="3C1D01DC">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d）计量当期上述材料材料费达到上述调整条件时，由承包人按合同约定原则申报，经发包人审定后纳入下月进度款支付。</w:t>
      </w:r>
    </w:p>
    <w:p w14:paraId="38B9151D">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e）措施项目中的上述材料按上述约定参与调差，其他项目不参与调差。</w:t>
      </w:r>
    </w:p>
    <w:p w14:paraId="3B89BC08">
      <w:pPr>
        <w:keepNext w:val="0"/>
        <w:keepLines w:val="0"/>
        <w:widowControl w:val="0"/>
        <w:suppressLineNumbers w:val="0"/>
        <w:adjustRightInd w:val="0"/>
        <w:snapToGrid w:val="0"/>
        <w:spacing w:before="0" w:beforeAutospacing="0" w:after="0" w:afterAutospacing="0" w:line="360" w:lineRule="auto"/>
        <w:ind w:left="0" w:right="11" w:firstLine="460" w:firstLineChars="192"/>
        <w:jc w:val="both"/>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5）完工日期按竣工验收报告中明确的竣工验收时间确定。</w:t>
      </w:r>
    </w:p>
    <w:p w14:paraId="5A67FA1B">
      <w:pPr>
        <w:pStyle w:val="14"/>
        <w:keepNext w:val="0"/>
        <w:keepLines w:val="0"/>
        <w:widowControl/>
        <w:suppressLineNumbers w:val="0"/>
        <w:adjustRightInd w:val="0"/>
        <w:snapToGrid w:val="0"/>
        <w:spacing w:before="0" w:beforeAutospacing="1" w:after="0" w:afterAutospacing="1" w:line="360" w:lineRule="auto"/>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6）因承包人原因造成工期延误的，延误期间发生的</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人工费</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及材料费价格差额由承包人承担。</w:t>
      </w:r>
    </w:p>
    <w:p w14:paraId="6BD2EFBD">
      <w:pPr>
        <w:pStyle w:val="14"/>
        <w:keepNext w:val="0"/>
        <w:keepLines w:val="0"/>
        <w:widowControl/>
        <w:suppressLineNumbers w:val="0"/>
        <w:adjustRightInd w:val="0"/>
        <w:snapToGrid w:val="0"/>
        <w:spacing w:before="0" w:beforeAutospacing="1" w:after="0" w:afterAutospacing="1" w:line="360" w:lineRule="auto"/>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7）《综合价格》按上、下半月或区间价发布的，取当期上、下半月或区间值的平均值计算。</w:t>
      </w:r>
    </w:p>
    <w:p w14:paraId="53FD4150">
      <w:pPr>
        <w:pStyle w:val="14"/>
        <w:keepNext w:val="0"/>
        <w:keepLines w:val="0"/>
        <w:widowControl/>
        <w:suppressLineNumbers w:val="0"/>
        <w:adjustRightInd w:val="0"/>
        <w:snapToGrid w:val="0"/>
        <w:spacing w:before="0" w:beforeAutospacing="1" w:after="0" w:afterAutospacing="1" w:line="360" w:lineRule="auto"/>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33.2.8税金的调整和结算方式：招标当期根据《广东省住房和城乡建设厅关于调整广东省建设工程计价依据增值税税率的通知》（粤建标函〔2019〕819号）和广州地区税务部门有关规定计算，增值税销项税额按税前工程造价的9%计取。国家及广东省、广州市有最新规定的，从其规定。 </w:t>
      </w:r>
    </w:p>
    <w:p w14:paraId="72902DB0">
      <w:pPr>
        <w:pStyle w:val="14"/>
        <w:keepNext w:val="0"/>
        <w:keepLines w:val="0"/>
        <w:widowControl w:val="0"/>
        <w:suppressLineNumbers w:val="0"/>
        <w:spacing w:before="0" w:beforeAutospacing="1" w:after="0" w:afterAutospacing="1"/>
        <w:ind w:left="0" w:right="0" w:firstLine="42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br w:type="page"/>
      </w:r>
      <w:r>
        <w:rPr>
          <w:rFonts w:hint="eastAsia" w:ascii="宋体" w:hAnsi="宋体" w:eastAsia="宋体" w:cs="宋体"/>
          <w:color w:val="auto"/>
          <w:kern w:val="2"/>
          <w:sz w:val="24"/>
          <w:szCs w:val="24"/>
          <w:highlight w:val="none"/>
          <w:lang w:val="en-US" w:eastAsia="zh-CN" w:bidi="ar"/>
        </w:rPr>
        <w:t>附文2：</w:t>
      </w:r>
    </w:p>
    <w:tbl>
      <w:tblPr>
        <w:tblStyle w:val="17"/>
        <w:tblW w:w="9515" w:type="dxa"/>
        <w:tblInd w:w="-10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5"/>
        <w:gridCol w:w="781"/>
        <w:gridCol w:w="1431"/>
        <w:gridCol w:w="1070"/>
        <w:gridCol w:w="1330"/>
        <w:gridCol w:w="1660"/>
        <w:gridCol w:w="104"/>
        <w:gridCol w:w="630"/>
        <w:gridCol w:w="1844"/>
      </w:tblGrid>
      <w:tr w14:paraId="1DBCB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578" w:type="dxa"/>
          <w:trHeight w:val="90" w:hRule="atLeast"/>
        </w:trPr>
        <w:tc>
          <w:tcPr>
            <w:tcW w:w="6937" w:type="dxa"/>
            <w:gridSpan w:val="6"/>
            <w:tcBorders>
              <w:top w:val="nil"/>
              <w:left w:val="nil"/>
              <w:bottom w:val="nil"/>
              <w:right w:val="nil"/>
            </w:tcBorders>
            <w:shd w:val="clear" w:color="auto" w:fill="auto"/>
            <w:noWrap/>
            <w:vAlign w:val="center"/>
          </w:tcPr>
          <w:p w14:paraId="4BCF8ABF">
            <w:pPr>
              <w:keepNext w:val="0"/>
              <w:keepLines w:val="0"/>
              <w:widowControl/>
              <w:suppressLineNumbers w:val="0"/>
              <w:spacing w:before="0" w:beforeAutospacing="0" w:after="0" w:afterAutospacing="0"/>
              <w:ind w:left="0" w:right="0"/>
              <w:jc w:val="center"/>
              <w:rPr>
                <w:rFonts w:hint="eastAsia" w:ascii="宋体" w:hAnsi="Calibri" w:eastAsia="宋体" w:cs="宋体"/>
                <w:b/>
                <w:bCs w:val="0"/>
                <w:color w:val="auto"/>
                <w:kern w:val="0"/>
                <w:sz w:val="44"/>
                <w:szCs w:val="44"/>
                <w:highlight w:val="none"/>
              </w:rPr>
            </w:pPr>
            <w:r>
              <w:rPr>
                <w:rFonts w:hint="eastAsia" w:ascii="宋体" w:hAnsi="宋体" w:eastAsia="宋体" w:cs="宋体"/>
                <w:b/>
                <w:bCs w:val="0"/>
                <w:color w:val="auto"/>
                <w:kern w:val="0"/>
                <w:sz w:val="44"/>
                <w:szCs w:val="44"/>
                <w:highlight w:val="none"/>
                <w:lang w:val="en-US" w:eastAsia="zh-CN" w:bidi="ar"/>
              </w:rPr>
              <w:t>广州市重点公共建设项目管理中心</w:t>
            </w:r>
          </w:p>
        </w:tc>
      </w:tr>
      <w:tr w14:paraId="58787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2578" w:type="dxa"/>
          <w:trHeight w:val="90" w:hRule="atLeast"/>
        </w:trPr>
        <w:tc>
          <w:tcPr>
            <w:tcW w:w="6937" w:type="dxa"/>
            <w:gridSpan w:val="6"/>
            <w:tcBorders>
              <w:top w:val="nil"/>
              <w:left w:val="nil"/>
              <w:bottom w:val="nil"/>
              <w:right w:val="nil"/>
            </w:tcBorders>
            <w:shd w:val="clear" w:color="auto" w:fill="auto"/>
            <w:noWrap/>
            <w:vAlign w:val="center"/>
          </w:tcPr>
          <w:p w14:paraId="05DB92F1">
            <w:pPr>
              <w:keepNext w:val="0"/>
              <w:keepLines w:val="0"/>
              <w:widowControl/>
              <w:suppressLineNumbers w:val="0"/>
              <w:spacing w:before="0" w:beforeAutospacing="0" w:after="0" w:afterAutospacing="0"/>
              <w:ind w:left="0" w:right="0"/>
              <w:jc w:val="center"/>
              <w:rPr>
                <w:rFonts w:hint="eastAsia" w:ascii="宋体" w:hAnsi="Calibri" w:eastAsia="宋体" w:cs="宋体"/>
                <w:b/>
                <w:bCs w:val="0"/>
                <w:color w:val="auto"/>
                <w:kern w:val="0"/>
                <w:sz w:val="44"/>
                <w:szCs w:val="44"/>
                <w:highlight w:val="none"/>
              </w:rPr>
            </w:pPr>
            <w:r>
              <w:rPr>
                <w:rFonts w:hint="eastAsia" w:ascii="宋体" w:hAnsi="宋体" w:eastAsia="宋体" w:cs="宋体"/>
                <w:b/>
                <w:bCs w:val="0"/>
                <w:color w:val="auto"/>
                <w:kern w:val="0"/>
                <w:sz w:val="44"/>
                <w:szCs w:val="44"/>
                <w:highlight w:val="none"/>
                <w:lang w:val="en-US" w:eastAsia="zh-CN" w:bidi="ar"/>
              </w:rPr>
              <w:t>工程建设资金使用计划确认表</w:t>
            </w:r>
          </w:p>
        </w:tc>
      </w:tr>
      <w:tr w14:paraId="6E56D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5" w:type="dxa"/>
            <w:tcBorders>
              <w:top w:val="nil"/>
              <w:left w:val="nil"/>
              <w:bottom w:val="nil"/>
              <w:right w:val="nil"/>
            </w:tcBorders>
            <w:shd w:val="clear" w:color="auto" w:fill="auto"/>
            <w:noWrap/>
            <w:vAlign w:val="center"/>
          </w:tcPr>
          <w:p w14:paraId="157038C2">
            <w:pPr>
              <w:keepNext w:val="0"/>
              <w:keepLines w:val="0"/>
              <w:widowControl/>
              <w:suppressLineNumbers w:val="0"/>
              <w:spacing w:before="0" w:beforeAutospacing="0" w:after="0" w:afterAutospacing="0"/>
              <w:ind w:left="0" w:right="0"/>
              <w:jc w:val="center"/>
              <w:rPr>
                <w:rFonts w:hint="eastAsia" w:ascii="宋体" w:hAnsi="Calibri" w:eastAsia="宋体" w:cs="宋体"/>
                <w:b/>
                <w:bCs w:val="0"/>
                <w:color w:val="auto"/>
                <w:kern w:val="0"/>
                <w:sz w:val="44"/>
                <w:szCs w:val="44"/>
                <w:highlight w:val="none"/>
              </w:rPr>
            </w:pPr>
          </w:p>
        </w:tc>
        <w:tc>
          <w:tcPr>
            <w:tcW w:w="781" w:type="dxa"/>
            <w:tcBorders>
              <w:top w:val="nil"/>
              <w:left w:val="nil"/>
              <w:bottom w:val="nil"/>
              <w:right w:val="nil"/>
            </w:tcBorders>
            <w:shd w:val="clear" w:color="auto" w:fill="auto"/>
            <w:noWrap/>
            <w:vAlign w:val="center"/>
          </w:tcPr>
          <w:p w14:paraId="3E327C3F">
            <w:pPr>
              <w:keepNext w:val="0"/>
              <w:keepLines w:val="0"/>
              <w:widowControl/>
              <w:suppressLineNumbers w:val="0"/>
              <w:spacing w:before="0" w:beforeAutospacing="0" w:after="0" w:afterAutospacing="0"/>
              <w:ind w:left="0" w:right="0"/>
              <w:jc w:val="center"/>
              <w:rPr>
                <w:rFonts w:hint="eastAsia" w:ascii="宋体" w:hAnsi="Calibri" w:eastAsia="宋体" w:cs="宋体"/>
                <w:b/>
                <w:bCs w:val="0"/>
                <w:color w:val="auto"/>
                <w:kern w:val="0"/>
                <w:sz w:val="44"/>
                <w:szCs w:val="44"/>
                <w:highlight w:val="none"/>
              </w:rPr>
            </w:pPr>
          </w:p>
        </w:tc>
        <w:tc>
          <w:tcPr>
            <w:tcW w:w="1431" w:type="dxa"/>
            <w:tcBorders>
              <w:top w:val="nil"/>
              <w:left w:val="nil"/>
              <w:bottom w:val="nil"/>
              <w:right w:val="nil"/>
            </w:tcBorders>
            <w:shd w:val="clear" w:color="auto" w:fill="auto"/>
            <w:noWrap/>
            <w:vAlign w:val="center"/>
          </w:tcPr>
          <w:p w14:paraId="0CDCC7DB">
            <w:pPr>
              <w:keepNext w:val="0"/>
              <w:keepLines w:val="0"/>
              <w:widowControl/>
              <w:suppressLineNumbers w:val="0"/>
              <w:spacing w:before="0" w:beforeAutospacing="0" w:after="0" w:afterAutospacing="0"/>
              <w:ind w:left="0" w:right="0"/>
              <w:jc w:val="center"/>
              <w:rPr>
                <w:rFonts w:hint="eastAsia" w:ascii="宋体" w:hAnsi="Calibri" w:eastAsia="宋体" w:cs="宋体"/>
                <w:b/>
                <w:bCs w:val="0"/>
                <w:color w:val="auto"/>
                <w:kern w:val="0"/>
                <w:sz w:val="44"/>
                <w:szCs w:val="44"/>
                <w:highlight w:val="none"/>
              </w:rPr>
            </w:pPr>
          </w:p>
        </w:tc>
        <w:tc>
          <w:tcPr>
            <w:tcW w:w="1070" w:type="dxa"/>
            <w:tcBorders>
              <w:top w:val="nil"/>
              <w:left w:val="nil"/>
              <w:bottom w:val="nil"/>
              <w:right w:val="nil"/>
            </w:tcBorders>
            <w:shd w:val="clear" w:color="auto" w:fill="auto"/>
            <w:noWrap/>
            <w:vAlign w:val="center"/>
          </w:tcPr>
          <w:p w14:paraId="2D090949">
            <w:pPr>
              <w:keepNext w:val="0"/>
              <w:keepLines w:val="0"/>
              <w:widowControl/>
              <w:suppressLineNumbers w:val="0"/>
              <w:spacing w:before="0" w:beforeAutospacing="0" w:after="0" w:afterAutospacing="0"/>
              <w:ind w:left="0" w:right="0"/>
              <w:jc w:val="center"/>
              <w:rPr>
                <w:rFonts w:hint="eastAsia" w:ascii="宋体" w:hAnsi="Calibri" w:eastAsia="宋体" w:cs="宋体"/>
                <w:b/>
                <w:bCs w:val="0"/>
                <w:color w:val="auto"/>
                <w:kern w:val="0"/>
                <w:sz w:val="44"/>
                <w:szCs w:val="44"/>
                <w:highlight w:val="none"/>
              </w:rPr>
            </w:pPr>
          </w:p>
        </w:tc>
        <w:tc>
          <w:tcPr>
            <w:tcW w:w="1330" w:type="dxa"/>
            <w:tcBorders>
              <w:top w:val="nil"/>
              <w:left w:val="nil"/>
              <w:bottom w:val="nil"/>
              <w:right w:val="nil"/>
            </w:tcBorders>
            <w:shd w:val="clear" w:color="auto" w:fill="auto"/>
            <w:noWrap/>
            <w:vAlign w:val="center"/>
          </w:tcPr>
          <w:p w14:paraId="727E5195">
            <w:pPr>
              <w:keepNext w:val="0"/>
              <w:keepLines w:val="0"/>
              <w:widowControl/>
              <w:suppressLineNumbers w:val="0"/>
              <w:spacing w:before="0" w:beforeAutospacing="0" w:after="0" w:afterAutospacing="0"/>
              <w:ind w:left="0" w:right="0"/>
              <w:jc w:val="center"/>
              <w:rPr>
                <w:rFonts w:hint="eastAsia" w:ascii="宋体" w:hAnsi="Calibri" w:eastAsia="宋体" w:cs="宋体"/>
                <w:b/>
                <w:bCs w:val="0"/>
                <w:color w:val="auto"/>
                <w:kern w:val="0"/>
                <w:sz w:val="44"/>
                <w:szCs w:val="44"/>
                <w:highlight w:val="none"/>
              </w:rPr>
            </w:pPr>
          </w:p>
        </w:tc>
        <w:tc>
          <w:tcPr>
            <w:tcW w:w="2394" w:type="dxa"/>
            <w:gridSpan w:val="3"/>
            <w:tcBorders>
              <w:top w:val="nil"/>
              <w:left w:val="nil"/>
              <w:bottom w:val="nil"/>
              <w:right w:val="nil"/>
            </w:tcBorders>
            <w:shd w:val="clear" w:color="auto" w:fill="auto"/>
            <w:noWrap/>
            <w:vAlign w:val="center"/>
          </w:tcPr>
          <w:p w14:paraId="53B80610">
            <w:pPr>
              <w:keepNext w:val="0"/>
              <w:keepLines w:val="0"/>
              <w:widowControl/>
              <w:suppressLineNumbers w:val="0"/>
              <w:spacing w:before="0" w:beforeAutospacing="0" w:after="0" w:afterAutospacing="0"/>
              <w:ind w:left="0" w:right="0"/>
              <w:jc w:val="center"/>
              <w:rPr>
                <w:rFonts w:hint="eastAsia" w:ascii="宋体" w:hAnsi="Calibri" w:eastAsia="宋体" w:cs="宋体"/>
                <w:b/>
                <w:bCs w:val="0"/>
                <w:color w:val="auto"/>
                <w:kern w:val="0"/>
                <w:sz w:val="44"/>
                <w:szCs w:val="44"/>
                <w:highlight w:val="none"/>
              </w:rPr>
            </w:pPr>
          </w:p>
        </w:tc>
        <w:tc>
          <w:tcPr>
            <w:tcW w:w="1844" w:type="dxa"/>
            <w:tcBorders>
              <w:top w:val="nil"/>
              <w:left w:val="nil"/>
              <w:bottom w:val="nil"/>
              <w:right w:val="nil"/>
            </w:tcBorders>
            <w:shd w:val="clear" w:color="auto" w:fill="auto"/>
            <w:noWrap/>
            <w:vAlign w:val="center"/>
          </w:tcPr>
          <w:p w14:paraId="16692744">
            <w:pPr>
              <w:keepNext w:val="0"/>
              <w:keepLines w:val="0"/>
              <w:widowControl/>
              <w:suppressLineNumbers w:val="0"/>
              <w:spacing w:before="0" w:beforeAutospacing="0" w:after="0" w:afterAutospacing="0"/>
              <w:ind w:left="0" w:right="0"/>
              <w:jc w:val="center"/>
              <w:rPr>
                <w:rFonts w:hint="eastAsia" w:ascii="宋体" w:hAnsi="Calibri" w:eastAsia="宋体" w:cs="宋体"/>
                <w:b/>
                <w:bCs w:val="0"/>
                <w:color w:val="auto"/>
                <w:kern w:val="0"/>
                <w:sz w:val="44"/>
                <w:szCs w:val="44"/>
                <w:highlight w:val="none"/>
              </w:rPr>
            </w:pPr>
          </w:p>
        </w:tc>
      </w:tr>
      <w:tr w14:paraId="75BE6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877" w:type="dxa"/>
            <w:gridSpan w:val="3"/>
            <w:tcBorders>
              <w:top w:val="nil"/>
              <w:left w:val="nil"/>
              <w:bottom w:val="single" w:color="auto" w:sz="4" w:space="0"/>
              <w:right w:val="nil"/>
            </w:tcBorders>
            <w:shd w:val="clear" w:color="auto" w:fill="auto"/>
            <w:noWrap/>
            <w:vAlign w:val="center"/>
          </w:tcPr>
          <w:p w14:paraId="76AC5305">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计划期限：    年  月  日至    年  月  日</w:t>
            </w:r>
          </w:p>
        </w:tc>
        <w:tc>
          <w:tcPr>
            <w:tcW w:w="1070" w:type="dxa"/>
            <w:tcBorders>
              <w:top w:val="nil"/>
              <w:left w:val="nil"/>
              <w:bottom w:val="nil"/>
              <w:right w:val="nil"/>
            </w:tcBorders>
            <w:shd w:val="clear" w:color="auto" w:fill="auto"/>
            <w:noWrap/>
            <w:vAlign w:val="center"/>
          </w:tcPr>
          <w:p w14:paraId="144343EF">
            <w:pPr>
              <w:keepNext w:val="0"/>
              <w:keepLines w:val="0"/>
              <w:widowControl/>
              <w:suppressLineNumbers w:val="0"/>
              <w:spacing w:before="0" w:beforeAutospacing="0" w:after="0" w:afterAutospacing="0"/>
              <w:ind w:left="0" w:right="0"/>
              <w:jc w:val="center"/>
              <w:rPr>
                <w:rFonts w:hint="eastAsia" w:ascii="宋体" w:hAnsi="Calibri" w:eastAsia="宋体" w:cs="宋体"/>
                <w:b/>
                <w:bCs w:val="0"/>
                <w:color w:val="auto"/>
                <w:kern w:val="0"/>
                <w:sz w:val="44"/>
                <w:szCs w:val="44"/>
                <w:highlight w:val="none"/>
              </w:rPr>
            </w:pPr>
          </w:p>
        </w:tc>
        <w:tc>
          <w:tcPr>
            <w:tcW w:w="1330" w:type="dxa"/>
            <w:tcBorders>
              <w:top w:val="nil"/>
              <w:left w:val="nil"/>
              <w:bottom w:val="nil"/>
              <w:right w:val="nil"/>
            </w:tcBorders>
            <w:shd w:val="clear" w:color="auto" w:fill="auto"/>
            <w:noWrap/>
            <w:vAlign w:val="center"/>
          </w:tcPr>
          <w:p w14:paraId="3E8A714D">
            <w:pPr>
              <w:keepNext w:val="0"/>
              <w:keepLines w:val="0"/>
              <w:widowControl/>
              <w:suppressLineNumbers w:val="0"/>
              <w:spacing w:before="0" w:beforeAutospacing="0" w:after="0" w:afterAutospacing="0"/>
              <w:ind w:left="0" w:right="0"/>
              <w:jc w:val="center"/>
              <w:rPr>
                <w:rFonts w:hint="eastAsia" w:ascii="宋体" w:hAnsi="Calibri" w:eastAsia="宋体" w:cs="宋体"/>
                <w:b/>
                <w:bCs w:val="0"/>
                <w:color w:val="auto"/>
                <w:kern w:val="0"/>
                <w:sz w:val="44"/>
                <w:szCs w:val="44"/>
                <w:highlight w:val="none"/>
              </w:rPr>
            </w:pPr>
          </w:p>
        </w:tc>
        <w:tc>
          <w:tcPr>
            <w:tcW w:w="2394" w:type="dxa"/>
            <w:gridSpan w:val="3"/>
            <w:tcBorders>
              <w:top w:val="nil"/>
              <w:left w:val="nil"/>
              <w:bottom w:val="nil"/>
              <w:right w:val="nil"/>
            </w:tcBorders>
            <w:shd w:val="clear" w:color="auto" w:fill="auto"/>
            <w:noWrap/>
            <w:vAlign w:val="center"/>
          </w:tcPr>
          <w:p w14:paraId="4448CDCC">
            <w:pPr>
              <w:keepNext w:val="0"/>
              <w:keepLines w:val="0"/>
              <w:widowControl/>
              <w:suppressLineNumbers w:val="0"/>
              <w:spacing w:before="0" w:beforeAutospacing="0" w:after="0" w:afterAutospacing="0"/>
              <w:ind w:left="0" w:right="0"/>
              <w:jc w:val="center"/>
              <w:rPr>
                <w:rFonts w:hint="eastAsia" w:ascii="宋体" w:hAnsi="Calibri" w:eastAsia="宋体" w:cs="宋体"/>
                <w:b/>
                <w:bCs w:val="0"/>
                <w:color w:val="auto"/>
                <w:kern w:val="0"/>
                <w:sz w:val="44"/>
                <w:szCs w:val="44"/>
                <w:highlight w:val="none"/>
              </w:rPr>
            </w:pPr>
          </w:p>
        </w:tc>
        <w:tc>
          <w:tcPr>
            <w:tcW w:w="1844" w:type="dxa"/>
            <w:tcBorders>
              <w:top w:val="nil"/>
              <w:left w:val="nil"/>
              <w:bottom w:val="nil"/>
              <w:right w:val="nil"/>
            </w:tcBorders>
            <w:shd w:val="clear" w:color="auto" w:fill="auto"/>
            <w:noWrap/>
            <w:vAlign w:val="center"/>
          </w:tcPr>
          <w:p w14:paraId="620D6516">
            <w:pPr>
              <w:keepNext w:val="0"/>
              <w:keepLines w:val="0"/>
              <w:widowControl/>
              <w:suppressLineNumbers w:val="0"/>
              <w:spacing w:before="0" w:beforeAutospacing="0" w:after="0" w:afterAutospacing="0"/>
              <w:ind w:left="0" w:right="0"/>
              <w:jc w:val="center"/>
              <w:rPr>
                <w:rFonts w:hint="eastAsia" w:ascii="宋体" w:hAnsi="Calibri" w:eastAsia="宋体" w:cs="宋体"/>
                <w:b/>
                <w:bCs w:val="0"/>
                <w:color w:val="auto"/>
                <w:kern w:val="0"/>
                <w:sz w:val="44"/>
                <w:szCs w:val="44"/>
                <w:highlight w:val="none"/>
              </w:rPr>
            </w:pPr>
          </w:p>
        </w:tc>
      </w:tr>
      <w:tr w14:paraId="01E47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44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E8CB825">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参建单位</w:t>
            </w:r>
          </w:p>
        </w:tc>
        <w:tc>
          <w:tcPr>
            <w:tcW w:w="8069" w:type="dxa"/>
            <w:gridSpan w:val="7"/>
            <w:tcBorders>
              <w:top w:val="single" w:color="auto" w:sz="4" w:space="0"/>
              <w:left w:val="nil"/>
              <w:bottom w:val="single" w:color="auto" w:sz="4" w:space="0"/>
              <w:right w:val="single" w:color="000000" w:sz="4" w:space="0"/>
            </w:tcBorders>
            <w:shd w:val="clear" w:color="auto" w:fill="auto"/>
            <w:noWrap/>
            <w:vAlign w:val="center"/>
          </w:tcPr>
          <w:p w14:paraId="20B27487">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r>
      <w:tr w14:paraId="4657B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4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92ADD3C">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合同名称</w:t>
            </w:r>
          </w:p>
        </w:tc>
        <w:tc>
          <w:tcPr>
            <w:tcW w:w="1431" w:type="dxa"/>
            <w:tcBorders>
              <w:top w:val="nil"/>
              <w:left w:val="nil"/>
              <w:bottom w:val="single" w:color="auto" w:sz="4" w:space="0"/>
              <w:right w:val="single" w:color="auto" w:sz="4" w:space="0"/>
            </w:tcBorders>
            <w:shd w:val="clear" w:color="auto" w:fill="auto"/>
            <w:noWrap/>
            <w:vAlign w:val="center"/>
          </w:tcPr>
          <w:p w14:paraId="6E4B93E3">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1070" w:type="dxa"/>
            <w:tcBorders>
              <w:top w:val="nil"/>
              <w:left w:val="nil"/>
              <w:bottom w:val="single" w:color="auto" w:sz="4" w:space="0"/>
              <w:right w:val="single" w:color="auto" w:sz="4" w:space="0"/>
            </w:tcBorders>
            <w:shd w:val="clear" w:color="auto" w:fill="auto"/>
            <w:noWrap/>
            <w:vAlign w:val="center"/>
          </w:tcPr>
          <w:p w14:paraId="4DAD1F1E">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合同编号</w:t>
            </w:r>
          </w:p>
        </w:tc>
        <w:tc>
          <w:tcPr>
            <w:tcW w:w="5568" w:type="dxa"/>
            <w:gridSpan w:val="5"/>
            <w:tcBorders>
              <w:top w:val="single" w:color="auto" w:sz="4" w:space="0"/>
              <w:left w:val="nil"/>
              <w:bottom w:val="single" w:color="auto" w:sz="4" w:space="0"/>
              <w:right w:val="single" w:color="000000" w:sz="4" w:space="0"/>
            </w:tcBorders>
            <w:shd w:val="clear" w:color="auto" w:fill="auto"/>
            <w:noWrap/>
            <w:vAlign w:val="center"/>
          </w:tcPr>
          <w:p w14:paraId="48197ADF">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r>
      <w:tr w14:paraId="527BC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4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C269B40">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开户银行</w:t>
            </w:r>
          </w:p>
        </w:tc>
        <w:tc>
          <w:tcPr>
            <w:tcW w:w="1431" w:type="dxa"/>
            <w:tcBorders>
              <w:top w:val="nil"/>
              <w:left w:val="nil"/>
              <w:bottom w:val="single" w:color="auto" w:sz="4" w:space="0"/>
              <w:right w:val="single" w:color="auto" w:sz="4" w:space="0"/>
            </w:tcBorders>
            <w:shd w:val="clear" w:color="auto" w:fill="auto"/>
            <w:noWrap/>
            <w:vAlign w:val="center"/>
          </w:tcPr>
          <w:p w14:paraId="42C11524">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1070" w:type="dxa"/>
            <w:tcBorders>
              <w:top w:val="nil"/>
              <w:left w:val="nil"/>
              <w:bottom w:val="single" w:color="auto" w:sz="4" w:space="0"/>
              <w:right w:val="single" w:color="auto" w:sz="4" w:space="0"/>
            </w:tcBorders>
            <w:shd w:val="clear" w:color="auto" w:fill="auto"/>
            <w:noWrap/>
            <w:vAlign w:val="center"/>
          </w:tcPr>
          <w:p w14:paraId="56900602">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银行帐号</w:t>
            </w:r>
          </w:p>
        </w:tc>
        <w:tc>
          <w:tcPr>
            <w:tcW w:w="5568" w:type="dxa"/>
            <w:gridSpan w:val="5"/>
            <w:tcBorders>
              <w:top w:val="single" w:color="auto" w:sz="4" w:space="0"/>
              <w:left w:val="nil"/>
              <w:bottom w:val="single" w:color="auto" w:sz="4" w:space="0"/>
              <w:right w:val="single" w:color="000000" w:sz="4" w:space="0"/>
            </w:tcBorders>
            <w:shd w:val="clear" w:color="auto" w:fill="auto"/>
            <w:noWrap/>
            <w:vAlign w:val="center"/>
          </w:tcPr>
          <w:p w14:paraId="7F9EEE3B">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r>
      <w:tr w14:paraId="75614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4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1ACDCCE">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本期申报计量资金额</w:t>
            </w:r>
          </w:p>
        </w:tc>
        <w:tc>
          <w:tcPr>
            <w:tcW w:w="1431" w:type="dxa"/>
            <w:tcBorders>
              <w:top w:val="nil"/>
              <w:left w:val="nil"/>
              <w:bottom w:val="single" w:color="auto" w:sz="4" w:space="0"/>
              <w:right w:val="single" w:color="auto" w:sz="4" w:space="0"/>
            </w:tcBorders>
            <w:shd w:val="clear" w:color="auto" w:fill="auto"/>
            <w:noWrap/>
            <w:vAlign w:val="center"/>
          </w:tcPr>
          <w:p w14:paraId="221EE22E">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400" w:type="dxa"/>
            <w:gridSpan w:val="2"/>
            <w:tcBorders>
              <w:top w:val="single" w:color="auto" w:sz="4" w:space="0"/>
              <w:left w:val="nil"/>
              <w:bottom w:val="single" w:color="auto" w:sz="4" w:space="0"/>
              <w:right w:val="single" w:color="000000" w:sz="4" w:space="0"/>
            </w:tcBorders>
            <w:shd w:val="clear" w:color="auto" w:fill="auto"/>
            <w:noWrap/>
            <w:vAlign w:val="center"/>
          </w:tcPr>
          <w:p w14:paraId="1C767F52">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至上期累计已收额</w:t>
            </w:r>
          </w:p>
        </w:tc>
        <w:tc>
          <w:tcPr>
            <w:tcW w:w="4238" w:type="dxa"/>
            <w:gridSpan w:val="4"/>
            <w:tcBorders>
              <w:top w:val="single" w:color="auto" w:sz="4" w:space="0"/>
              <w:left w:val="nil"/>
              <w:bottom w:val="single" w:color="auto" w:sz="4" w:space="0"/>
              <w:right w:val="single" w:color="000000" w:sz="4" w:space="0"/>
            </w:tcBorders>
            <w:shd w:val="clear" w:color="auto" w:fill="auto"/>
            <w:noWrap/>
            <w:vAlign w:val="center"/>
          </w:tcPr>
          <w:p w14:paraId="19B18158">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r>
      <w:tr w14:paraId="41B0B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5" w:type="dxa"/>
            <w:tcBorders>
              <w:top w:val="nil"/>
              <w:left w:val="single" w:color="auto" w:sz="4" w:space="0"/>
              <w:bottom w:val="single" w:color="auto" w:sz="4" w:space="0"/>
              <w:right w:val="single" w:color="auto" w:sz="4" w:space="0"/>
            </w:tcBorders>
            <w:shd w:val="clear" w:color="auto" w:fill="auto"/>
            <w:noWrap/>
            <w:vAlign w:val="center"/>
          </w:tcPr>
          <w:p w14:paraId="66387973">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212" w:type="dxa"/>
            <w:gridSpan w:val="2"/>
            <w:tcBorders>
              <w:top w:val="single" w:color="auto" w:sz="4" w:space="0"/>
              <w:left w:val="nil"/>
              <w:bottom w:val="single" w:color="auto" w:sz="4" w:space="0"/>
              <w:right w:val="single" w:color="auto" w:sz="4" w:space="0"/>
            </w:tcBorders>
            <w:shd w:val="clear" w:color="auto" w:fill="auto"/>
            <w:noWrap/>
            <w:vAlign w:val="center"/>
          </w:tcPr>
          <w:p w14:paraId="3AAFAD56">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用款单位</w:t>
            </w:r>
          </w:p>
        </w:tc>
        <w:tc>
          <w:tcPr>
            <w:tcW w:w="2400" w:type="dxa"/>
            <w:gridSpan w:val="2"/>
            <w:tcBorders>
              <w:top w:val="single" w:color="auto" w:sz="4" w:space="0"/>
              <w:left w:val="nil"/>
              <w:bottom w:val="single" w:color="auto" w:sz="4" w:space="0"/>
              <w:right w:val="single" w:color="auto" w:sz="4" w:space="0"/>
            </w:tcBorders>
            <w:shd w:val="clear" w:color="auto" w:fill="auto"/>
            <w:noWrap/>
            <w:vAlign w:val="center"/>
          </w:tcPr>
          <w:p w14:paraId="1A5B28D1">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用途</w:t>
            </w:r>
          </w:p>
        </w:tc>
        <w:tc>
          <w:tcPr>
            <w:tcW w:w="1764" w:type="dxa"/>
            <w:gridSpan w:val="2"/>
            <w:tcBorders>
              <w:top w:val="nil"/>
              <w:left w:val="nil"/>
              <w:bottom w:val="single" w:color="auto" w:sz="4" w:space="0"/>
              <w:right w:val="single" w:color="auto" w:sz="4" w:space="0"/>
            </w:tcBorders>
            <w:shd w:val="clear" w:color="auto" w:fill="auto"/>
            <w:noWrap/>
            <w:vAlign w:val="center"/>
          </w:tcPr>
          <w:p w14:paraId="001C63E0">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金额</w:t>
            </w:r>
          </w:p>
        </w:tc>
        <w:tc>
          <w:tcPr>
            <w:tcW w:w="2474" w:type="dxa"/>
            <w:gridSpan w:val="2"/>
            <w:tcBorders>
              <w:top w:val="nil"/>
              <w:left w:val="nil"/>
              <w:bottom w:val="single" w:color="auto" w:sz="4" w:space="0"/>
              <w:right w:val="single" w:color="auto" w:sz="4" w:space="0"/>
            </w:tcBorders>
            <w:shd w:val="clear" w:color="auto" w:fill="auto"/>
            <w:noWrap/>
            <w:vAlign w:val="center"/>
          </w:tcPr>
          <w:p w14:paraId="12703E56">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累计支付</w:t>
            </w:r>
          </w:p>
        </w:tc>
      </w:tr>
      <w:tr w14:paraId="0DD18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65" w:type="dxa"/>
            <w:tcBorders>
              <w:top w:val="nil"/>
              <w:left w:val="single" w:color="auto" w:sz="4" w:space="0"/>
              <w:bottom w:val="single" w:color="auto" w:sz="4" w:space="0"/>
              <w:right w:val="single" w:color="auto" w:sz="4" w:space="0"/>
            </w:tcBorders>
            <w:shd w:val="clear" w:color="auto" w:fill="auto"/>
            <w:noWrap/>
            <w:vAlign w:val="center"/>
          </w:tcPr>
          <w:p w14:paraId="776313B3">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212" w:type="dxa"/>
            <w:gridSpan w:val="2"/>
            <w:tcBorders>
              <w:top w:val="single" w:color="auto" w:sz="4" w:space="0"/>
              <w:left w:val="nil"/>
              <w:bottom w:val="single" w:color="auto" w:sz="4" w:space="0"/>
              <w:right w:val="single" w:color="auto" w:sz="4" w:space="0"/>
            </w:tcBorders>
            <w:shd w:val="clear" w:color="auto" w:fill="auto"/>
            <w:noWrap/>
            <w:vAlign w:val="center"/>
          </w:tcPr>
          <w:p w14:paraId="53CD2B63">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400" w:type="dxa"/>
            <w:gridSpan w:val="2"/>
            <w:tcBorders>
              <w:top w:val="single" w:color="auto" w:sz="4" w:space="0"/>
              <w:left w:val="nil"/>
              <w:bottom w:val="single" w:color="auto" w:sz="4" w:space="0"/>
              <w:right w:val="single" w:color="auto" w:sz="4" w:space="0"/>
            </w:tcBorders>
            <w:shd w:val="clear" w:color="auto" w:fill="auto"/>
            <w:noWrap/>
            <w:vAlign w:val="center"/>
          </w:tcPr>
          <w:p w14:paraId="6B212841">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1764" w:type="dxa"/>
            <w:gridSpan w:val="2"/>
            <w:tcBorders>
              <w:top w:val="nil"/>
              <w:left w:val="nil"/>
              <w:bottom w:val="single" w:color="auto" w:sz="4" w:space="0"/>
              <w:right w:val="single" w:color="auto" w:sz="4" w:space="0"/>
            </w:tcBorders>
            <w:shd w:val="clear" w:color="auto" w:fill="auto"/>
            <w:noWrap/>
            <w:vAlign w:val="center"/>
          </w:tcPr>
          <w:p w14:paraId="1F5CE468">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474" w:type="dxa"/>
            <w:gridSpan w:val="2"/>
            <w:tcBorders>
              <w:top w:val="nil"/>
              <w:left w:val="nil"/>
              <w:bottom w:val="single" w:color="auto" w:sz="4" w:space="0"/>
              <w:right w:val="single" w:color="auto" w:sz="4" w:space="0"/>
            </w:tcBorders>
            <w:shd w:val="clear" w:color="auto" w:fill="auto"/>
            <w:noWrap/>
            <w:vAlign w:val="center"/>
          </w:tcPr>
          <w:p w14:paraId="2CDE88D2">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r>
      <w:tr w14:paraId="349A6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5" w:type="dxa"/>
            <w:tcBorders>
              <w:top w:val="nil"/>
              <w:left w:val="single" w:color="auto" w:sz="4" w:space="0"/>
              <w:bottom w:val="single" w:color="auto" w:sz="4" w:space="0"/>
              <w:right w:val="single" w:color="auto" w:sz="4" w:space="0"/>
            </w:tcBorders>
            <w:shd w:val="clear" w:color="auto" w:fill="auto"/>
            <w:noWrap/>
            <w:vAlign w:val="center"/>
          </w:tcPr>
          <w:p w14:paraId="3F0D197E">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212" w:type="dxa"/>
            <w:gridSpan w:val="2"/>
            <w:tcBorders>
              <w:top w:val="single" w:color="auto" w:sz="4" w:space="0"/>
              <w:left w:val="nil"/>
              <w:bottom w:val="single" w:color="auto" w:sz="4" w:space="0"/>
              <w:right w:val="single" w:color="auto" w:sz="4" w:space="0"/>
            </w:tcBorders>
            <w:shd w:val="clear" w:color="auto" w:fill="auto"/>
            <w:noWrap/>
            <w:vAlign w:val="center"/>
          </w:tcPr>
          <w:p w14:paraId="21642939">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400" w:type="dxa"/>
            <w:gridSpan w:val="2"/>
            <w:tcBorders>
              <w:top w:val="single" w:color="auto" w:sz="4" w:space="0"/>
              <w:left w:val="nil"/>
              <w:bottom w:val="single" w:color="auto" w:sz="4" w:space="0"/>
              <w:right w:val="single" w:color="auto" w:sz="4" w:space="0"/>
            </w:tcBorders>
            <w:shd w:val="clear" w:color="auto" w:fill="auto"/>
            <w:noWrap/>
            <w:vAlign w:val="center"/>
          </w:tcPr>
          <w:p w14:paraId="73B87B5A">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1764" w:type="dxa"/>
            <w:gridSpan w:val="2"/>
            <w:tcBorders>
              <w:top w:val="nil"/>
              <w:left w:val="nil"/>
              <w:bottom w:val="single" w:color="auto" w:sz="4" w:space="0"/>
              <w:right w:val="single" w:color="auto" w:sz="4" w:space="0"/>
            </w:tcBorders>
            <w:shd w:val="clear" w:color="auto" w:fill="auto"/>
            <w:noWrap/>
            <w:vAlign w:val="center"/>
          </w:tcPr>
          <w:p w14:paraId="394486A9">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474" w:type="dxa"/>
            <w:gridSpan w:val="2"/>
            <w:tcBorders>
              <w:top w:val="nil"/>
              <w:left w:val="nil"/>
              <w:bottom w:val="single" w:color="auto" w:sz="4" w:space="0"/>
              <w:right w:val="single" w:color="auto" w:sz="4" w:space="0"/>
            </w:tcBorders>
            <w:shd w:val="clear" w:color="auto" w:fill="auto"/>
            <w:noWrap/>
            <w:vAlign w:val="center"/>
          </w:tcPr>
          <w:p w14:paraId="020FB74A">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r>
      <w:tr w14:paraId="796DE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65" w:type="dxa"/>
            <w:tcBorders>
              <w:top w:val="nil"/>
              <w:left w:val="single" w:color="auto" w:sz="4" w:space="0"/>
              <w:bottom w:val="single" w:color="auto" w:sz="4" w:space="0"/>
              <w:right w:val="single" w:color="auto" w:sz="4" w:space="0"/>
            </w:tcBorders>
            <w:shd w:val="clear" w:color="auto" w:fill="auto"/>
            <w:noWrap/>
            <w:vAlign w:val="center"/>
          </w:tcPr>
          <w:p w14:paraId="0D7363E7">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212" w:type="dxa"/>
            <w:gridSpan w:val="2"/>
            <w:tcBorders>
              <w:top w:val="single" w:color="auto" w:sz="4" w:space="0"/>
              <w:left w:val="nil"/>
              <w:bottom w:val="single" w:color="auto" w:sz="4" w:space="0"/>
              <w:right w:val="single" w:color="auto" w:sz="4" w:space="0"/>
            </w:tcBorders>
            <w:shd w:val="clear" w:color="auto" w:fill="auto"/>
            <w:noWrap/>
            <w:vAlign w:val="center"/>
          </w:tcPr>
          <w:p w14:paraId="5F3DFF33">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400" w:type="dxa"/>
            <w:gridSpan w:val="2"/>
            <w:tcBorders>
              <w:top w:val="single" w:color="auto" w:sz="4" w:space="0"/>
              <w:left w:val="nil"/>
              <w:bottom w:val="single" w:color="auto" w:sz="4" w:space="0"/>
              <w:right w:val="single" w:color="auto" w:sz="4" w:space="0"/>
            </w:tcBorders>
            <w:shd w:val="clear" w:color="auto" w:fill="auto"/>
            <w:noWrap/>
            <w:vAlign w:val="center"/>
          </w:tcPr>
          <w:p w14:paraId="3D3FCDD0">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1764" w:type="dxa"/>
            <w:gridSpan w:val="2"/>
            <w:tcBorders>
              <w:top w:val="nil"/>
              <w:left w:val="nil"/>
              <w:bottom w:val="single" w:color="auto" w:sz="4" w:space="0"/>
              <w:right w:val="single" w:color="auto" w:sz="4" w:space="0"/>
            </w:tcBorders>
            <w:shd w:val="clear" w:color="auto" w:fill="auto"/>
            <w:noWrap/>
            <w:vAlign w:val="center"/>
          </w:tcPr>
          <w:p w14:paraId="01E97EB3">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474" w:type="dxa"/>
            <w:gridSpan w:val="2"/>
            <w:tcBorders>
              <w:top w:val="nil"/>
              <w:left w:val="nil"/>
              <w:bottom w:val="single" w:color="auto" w:sz="4" w:space="0"/>
              <w:right w:val="single" w:color="auto" w:sz="4" w:space="0"/>
            </w:tcBorders>
            <w:shd w:val="clear" w:color="auto" w:fill="auto"/>
            <w:noWrap/>
            <w:vAlign w:val="center"/>
          </w:tcPr>
          <w:p w14:paraId="0489389E">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r>
      <w:tr w14:paraId="471D2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65" w:type="dxa"/>
            <w:tcBorders>
              <w:top w:val="nil"/>
              <w:left w:val="single" w:color="auto" w:sz="4" w:space="0"/>
              <w:bottom w:val="single" w:color="auto" w:sz="4" w:space="0"/>
              <w:right w:val="single" w:color="auto" w:sz="4" w:space="0"/>
            </w:tcBorders>
            <w:shd w:val="clear" w:color="auto" w:fill="auto"/>
            <w:noWrap/>
            <w:vAlign w:val="center"/>
          </w:tcPr>
          <w:p w14:paraId="0F2F3490">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212" w:type="dxa"/>
            <w:gridSpan w:val="2"/>
            <w:tcBorders>
              <w:top w:val="single" w:color="auto" w:sz="4" w:space="0"/>
              <w:left w:val="nil"/>
              <w:bottom w:val="single" w:color="auto" w:sz="4" w:space="0"/>
              <w:right w:val="single" w:color="auto" w:sz="4" w:space="0"/>
            </w:tcBorders>
            <w:shd w:val="clear" w:color="auto" w:fill="auto"/>
            <w:noWrap/>
            <w:vAlign w:val="center"/>
          </w:tcPr>
          <w:p w14:paraId="447D7872">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400" w:type="dxa"/>
            <w:gridSpan w:val="2"/>
            <w:tcBorders>
              <w:top w:val="single" w:color="auto" w:sz="4" w:space="0"/>
              <w:left w:val="nil"/>
              <w:bottom w:val="single" w:color="auto" w:sz="4" w:space="0"/>
              <w:right w:val="single" w:color="auto" w:sz="4" w:space="0"/>
            </w:tcBorders>
            <w:shd w:val="clear" w:color="auto" w:fill="auto"/>
            <w:noWrap/>
            <w:vAlign w:val="center"/>
          </w:tcPr>
          <w:p w14:paraId="26B34F01">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1764" w:type="dxa"/>
            <w:gridSpan w:val="2"/>
            <w:tcBorders>
              <w:top w:val="nil"/>
              <w:left w:val="nil"/>
              <w:bottom w:val="single" w:color="auto" w:sz="4" w:space="0"/>
              <w:right w:val="single" w:color="auto" w:sz="4" w:space="0"/>
            </w:tcBorders>
            <w:shd w:val="clear" w:color="auto" w:fill="auto"/>
            <w:noWrap/>
            <w:vAlign w:val="center"/>
          </w:tcPr>
          <w:p w14:paraId="66BDFA6A">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474" w:type="dxa"/>
            <w:gridSpan w:val="2"/>
            <w:tcBorders>
              <w:top w:val="nil"/>
              <w:left w:val="nil"/>
              <w:bottom w:val="single" w:color="auto" w:sz="4" w:space="0"/>
              <w:right w:val="single" w:color="auto" w:sz="4" w:space="0"/>
            </w:tcBorders>
            <w:shd w:val="clear" w:color="auto" w:fill="auto"/>
            <w:noWrap/>
            <w:vAlign w:val="center"/>
          </w:tcPr>
          <w:p w14:paraId="20EA655E">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r>
      <w:tr w14:paraId="25608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65" w:type="dxa"/>
            <w:tcBorders>
              <w:top w:val="nil"/>
              <w:left w:val="single" w:color="auto" w:sz="4" w:space="0"/>
              <w:bottom w:val="single" w:color="auto" w:sz="4" w:space="0"/>
              <w:right w:val="single" w:color="auto" w:sz="4" w:space="0"/>
            </w:tcBorders>
            <w:shd w:val="clear" w:color="auto" w:fill="auto"/>
            <w:noWrap/>
            <w:vAlign w:val="center"/>
          </w:tcPr>
          <w:p w14:paraId="7B9D3997">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212" w:type="dxa"/>
            <w:gridSpan w:val="2"/>
            <w:tcBorders>
              <w:top w:val="single" w:color="auto" w:sz="4" w:space="0"/>
              <w:left w:val="nil"/>
              <w:bottom w:val="single" w:color="auto" w:sz="4" w:space="0"/>
              <w:right w:val="single" w:color="auto" w:sz="4" w:space="0"/>
            </w:tcBorders>
            <w:shd w:val="clear" w:color="auto" w:fill="auto"/>
            <w:noWrap/>
            <w:vAlign w:val="center"/>
          </w:tcPr>
          <w:p w14:paraId="7995BD9B">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400" w:type="dxa"/>
            <w:gridSpan w:val="2"/>
            <w:tcBorders>
              <w:top w:val="single" w:color="auto" w:sz="4" w:space="0"/>
              <w:left w:val="nil"/>
              <w:bottom w:val="single" w:color="auto" w:sz="4" w:space="0"/>
              <w:right w:val="single" w:color="auto" w:sz="4" w:space="0"/>
            </w:tcBorders>
            <w:shd w:val="clear" w:color="auto" w:fill="auto"/>
            <w:noWrap/>
            <w:vAlign w:val="center"/>
          </w:tcPr>
          <w:p w14:paraId="4D8996DC">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1764" w:type="dxa"/>
            <w:gridSpan w:val="2"/>
            <w:tcBorders>
              <w:top w:val="nil"/>
              <w:left w:val="nil"/>
              <w:bottom w:val="single" w:color="auto" w:sz="4" w:space="0"/>
              <w:right w:val="single" w:color="auto" w:sz="4" w:space="0"/>
            </w:tcBorders>
            <w:shd w:val="clear" w:color="auto" w:fill="auto"/>
            <w:noWrap/>
            <w:vAlign w:val="center"/>
          </w:tcPr>
          <w:p w14:paraId="0E20DF1D">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474" w:type="dxa"/>
            <w:gridSpan w:val="2"/>
            <w:tcBorders>
              <w:top w:val="nil"/>
              <w:left w:val="nil"/>
              <w:bottom w:val="single" w:color="auto" w:sz="4" w:space="0"/>
              <w:right w:val="single" w:color="auto" w:sz="4" w:space="0"/>
            </w:tcBorders>
            <w:shd w:val="clear" w:color="auto" w:fill="auto"/>
            <w:noWrap/>
            <w:vAlign w:val="center"/>
          </w:tcPr>
          <w:p w14:paraId="74BDA497">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r>
      <w:tr w14:paraId="01C94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65" w:type="dxa"/>
            <w:tcBorders>
              <w:top w:val="nil"/>
              <w:left w:val="single" w:color="auto" w:sz="4" w:space="0"/>
              <w:bottom w:val="single" w:color="auto" w:sz="4" w:space="0"/>
              <w:right w:val="nil"/>
            </w:tcBorders>
            <w:shd w:val="clear" w:color="auto" w:fill="auto"/>
            <w:noWrap/>
            <w:vAlign w:val="center"/>
          </w:tcPr>
          <w:p w14:paraId="702EB344">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21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14CB0B32">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1070" w:type="dxa"/>
            <w:tcBorders>
              <w:top w:val="nil"/>
              <w:left w:val="nil"/>
              <w:bottom w:val="single" w:color="auto" w:sz="4" w:space="0"/>
              <w:right w:val="nil"/>
            </w:tcBorders>
            <w:shd w:val="clear" w:color="auto" w:fill="auto"/>
            <w:noWrap/>
            <w:vAlign w:val="center"/>
          </w:tcPr>
          <w:p w14:paraId="62795F62">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1330" w:type="dxa"/>
            <w:tcBorders>
              <w:top w:val="nil"/>
              <w:left w:val="nil"/>
              <w:bottom w:val="single" w:color="auto" w:sz="4" w:space="0"/>
              <w:right w:val="single" w:color="auto" w:sz="4" w:space="0"/>
            </w:tcBorders>
            <w:shd w:val="clear" w:color="auto" w:fill="auto"/>
            <w:noWrap/>
            <w:vAlign w:val="center"/>
          </w:tcPr>
          <w:p w14:paraId="3B093C83">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1764" w:type="dxa"/>
            <w:gridSpan w:val="2"/>
            <w:tcBorders>
              <w:top w:val="nil"/>
              <w:left w:val="nil"/>
              <w:bottom w:val="single" w:color="auto" w:sz="4" w:space="0"/>
              <w:right w:val="single" w:color="auto" w:sz="4" w:space="0"/>
            </w:tcBorders>
            <w:shd w:val="clear" w:color="auto" w:fill="auto"/>
            <w:noWrap/>
            <w:vAlign w:val="center"/>
          </w:tcPr>
          <w:p w14:paraId="254DC090">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474" w:type="dxa"/>
            <w:gridSpan w:val="2"/>
            <w:tcBorders>
              <w:top w:val="nil"/>
              <w:left w:val="nil"/>
              <w:bottom w:val="single" w:color="auto" w:sz="4" w:space="0"/>
              <w:right w:val="single" w:color="auto" w:sz="4" w:space="0"/>
            </w:tcBorders>
            <w:shd w:val="clear" w:color="auto" w:fill="auto"/>
            <w:noWrap/>
            <w:vAlign w:val="center"/>
          </w:tcPr>
          <w:p w14:paraId="706DB778">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r>
      <w:tr w14:paraId="236B0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65" w:type="dxa"/>
            <w:tcBorders>
              <w:top w:val="nil"/>
              <w:left w:val="single" w:color="auto" w:sz="4" w:space="0"/>
              <w:bottom w:val="single" w:color="auto" w:sz="4" w:space="0"/>
              <w:right w:val="single" w:color="auto" w:sz="4" w:space="0"/>
            </w:tcBorders>
            <w:shd w:val="clear" w:color="auto" w:fill="auto"/>
            <w:noWrap/>
            <w:vAlign w:val="center"/>
          </w:tcPr>
          <w:p w14:paraId="0CC55476">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212" w:type="dxa"/>
            <w:gridSpan w:val="2"/>
            <w:tcBorders>
              <w:top w:val="single" w:color="auto" w:sz="4" w:space="0"/>
              <w:left w:val="nil"/>
              <w:bottom w:val="single" w:color="auto" w:sz="4" w:space="0"/>
              <w:right w:val="single" w:color="auto" w:sz="4" w:space="0"/>
            </w:tcBorders>
            <w:shd w:val="clear" w:color="auto" w:fill="auto"/>
            <w:noWrap/>
            <w:vAlign w:val="center"/>
          </w:tcPr>
          <w:p w14:paraId="2FF9CF37">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400" w:type="dxa"/>
            <w:gridSpan w:val="2"/>
            <w:tcBorders>
              <w:top w:val="single" w:color="auto" w:sz="4" w:space="0"/>
              <w:left w:val="nil"/>
              <w:bottom w:val="single" w:color="auto" w:sz="4" w:space="0"/>
              <w:right w:val="single" w:color="auto" w:sz="4" w:space="0"/>
            </w:tcBorders>
            <w:shd w:val="clear" w:color="auto" w:fill="auto"/>
            <w:noWrap/>
            <w:vAlign w:val="center"/>
          </w:tcPr>
          <w:p w14:paraId="66935C26">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1764" w:type="dxa"/>
            <w:gridSpan w:val="2"/>
            <w:tcBorders>
              <w:top w:val="nil"/>
              <w:left w:val="nil"/>
              <w:bottom w:val="single" w:color="auto" w:sz="4" w:space="0"/>
              <w:right w:val="single" w:color="auto" w:sz="4" w:space="0"/>
            </w:tcBorders>
            <w:shd w:val="clear" w:color="auto" w:fill="auto"/>
            <w:noWrap/>
            <w:vAlign w:val="center"/>
          </w:tcPr>
          <w:p w14:paraId="6C5F0B12">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474" w:type="dxa"/>
            <w:gridSpan w:val="2"/>
            <w:tcBorders>
              <w:top w:val="nil"/>
              <w:left w:val="nil"/>
              <w:bottom w:val="single" w:color="auto" w:sz="4" w:space="0"/>
              <w:right w:val="single" w:color="auto" w:sz="4" w:space="0"/>
            </w:tcBorders>
            <w:shd w:val="clear" w:color="auto" w:fill="auto"/>
            <w:noWrap/>
            <w:vAlign w:val="center"/>
          </w:tcPr>
          <w:p w14:paraId="0906B7D9">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r>
      <w:tr w14:paraId="32AB4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5" w:type="dxa"/>
            <w:tcBorders>
              <w:top w:val="nil"/>
              <w:left w:val="single" w:color="auto" w:sz="4" w:space="0"/>
              <w:bottom w:val="single" w:color="auto" w:sz="4" w:space="0"/>
              <w:right w:val="single" w:color="auto" w:sz="4" w:space="0"/>
            </w:tcBorders>
            <w:shd w:val="clear" w:color="auto" w:fill="auto"/>
            <w:noWrap/>
            <w:vAlign w:val="center"/>
          </w:tcPr>
          <w:p w14:paraId="19051325">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212" w:type="dxa"/>
            <w:gridSpan w:val="2"/>
            <w:tcBorders>
              <w:top w:val="single" w:color="auto" w:sz="4" w:space="0"/>
              <w:left w:val="nil"/>
              <w:bottom w:val="single" w:color="auto" w:sz="4" w:space="0"/>
              <w:right w:val="single" w:color="auto" w:sz="4" w:space="0"/>
            </w:tcBorders>
            <w:shd w:val="clear" w:color="auto" w:fill="auto"/>
            <w:noWrap/>
            <w:vAlign w:val="center"/>
          </w:tcPr>
          <w:p w14:paraId="4B227D38">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400" w:type="dxa"/>
            <w:gridSpan w:val="2"/>
            <w:tcBorders>
              <w:top w:val="single" w:color="auto" w:sz="4" w:space="0"/>
              <w:left w:val="nil"/>
              <w:bottom w:val="single" w:color="auto" w:sz="4" w:space="0"/>
              <w:right w:val="single" w:color="auto" w:sz="4" w:space="0"/>
            </w:tcBorders>
            <w:shd w:val="clear" w:color="auto" w:fill="auto"/>
            <w:noWrap/>
            <w:vAlign w:val="center"/>
          </w:tcPr>
          <w:p w14:paraId="45E5833F">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1764" w:type="dxa"/>
            <w:gridSpan w:val="2"/>
            <w:tcBorders>
              <w:top w:val="nil"/>
              <w:left w:val="nil"/>
              <w:bottom w:val="single" w:color="auto" w:sz="4" w:space="0"/>
              <w:right w:val="single" w:color="auto" w:sz="4" w:space="0"/>
            </w:tcBorders>
            <w:shd w:val="clear" w:color="auto" w:fill="auto"/>
            <w:noWrap/>
            <w:vAlign w:val="center"/>
          </w:tcPr>
          <w:p w14:paraId="1899A9BE">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474" w:type="dxa"/>
            <w:gridSpan w:val="2"/>
            <w:tcBorders>
              <w:top w:val="nil"/>
              <w:left w:val="nil"/>
              <w:bottom w:val="single" w:color="auto" w:sz="4" w:space="0"/>
              <w:right w:val="single" w:color="auto" w:sz="4" w:space="0"/>
            </w:tcBorders>
            <w:shd w:val="clear" w:color="auto" w:fill="auto"/>
            <w:noWrap/>
            <w:vAlign w:val="center"/>
          </w:tcPr>
          <w:p w14:paraId="3DDEB7BD">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r>
      <w:tr w14:paraId="724D9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65" w:type="dxa"/>
            <w:tcBorders>
              <w:top w:val="nil"/>
              <w:left w:val="single" w:color="auto" w:sz="4" w:space="0"/>
              <w:bottom w:val="single" w:color="auto" w:sz="4" w:space="0"/>
              <w:right w:val="single" w:color="auto" w:sz="4" w:space="0"/>
            </w:tcBorders>
            <w:shd w:val="clear" w:color="auto" w:fill="auto"/>
            <w:noWrap/>
            <w:vAlign w:val="center"/>
          </w:tcPr>
          <w:p w14:paraId="60035A23">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212" w:type="dxa"/>
            <w:gridSpan w:val="2"/>
            <w:tcBorders>
              <w:top w:val="single" w:color="auto" w:sz="4" w:space="0"/>
              <w:left w:val="nil"/>
              <w:bottom w:val="single" w:color="auto" w:sz="4" w:space="0"/>
              <w:right w:val="single" w:color="auto" w:sz="4" w:space="0"/>
            </w:tcBorders>
            <w:shd w:val="clear" w:color="auto" w:fill="auto"/>
            <w:noWrap/>
            <w:vAlign w:val="center"/>
          </w:tcPr>
          <w:p w14:paraId="1E7F2386">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400" w:type="dxa"/>
            <w:gridSpan w:val="2"/>
            <w:tcBorders>
              <w:top w:val="single" w:color="auto" w:sz="4" w:space="0"/>
              <w:left w:val="nil"/>
              <w:bottom w:val="single" w:color="auto" w:sz="4" w:space="0"/>
              <w:right w:val="single" w:color="auto" w:sz="4" w:space="0"/>
            </w:tcBorders>
            <w:shd w:val="clear" w:color="auto" w:fill="auto"/>
            <w:noWrap/>
            <w:vAlign w:val="center"/>
          </w:tcPr>
          <w:p w14:paraId="543A1641">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1764" w:type="dxa"/>
            <w:gridSpan w:val="2"/>
            <w:tcBorders>
              <w:top w:val="nil"/>
              <w:left w:val="nil"/>
              <w:bottom w:val="single" w:color="auto" w:sz="4" w:space="0"/>
              <w:right w:val="single" w:color="auto" w:sz="4" w:space="0"/>
            </w:tcBorders>
            <w:shd w:val="clear" w:color="auto" w:fill="auto"/>
            <w:noWrap/>
            <w:vAlign w:val="center"/>
          </w:tcPr>
          <w:p w14:paraId="6A4C98A3">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474" w:type="dxa"/>
            <w:gridSpan w:val="2"/>
            <w:tcBorders>
              <w:top w:val="nil"/>
              <w:left w:val="nil"/>
              <w:bottom w:val="single" w:color="auto" w:sz="4" w:space="0"/>
              <w:right w:val="single" w:color="auto" w:sz="4" w:space="0"/>
            </w:tcBorders>
            <w:shd w:val="clear" w:color="auto" w:fill="auto"/>
            <w:noWrap/>
            <w:vAlign w:val="center"/>
          </w:tcPr>
          <w:p w14:paraId="2CC6D437">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r>
      <w:tr w14:paraId="3BBC6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65" w:type="dxa"/>
            <w:tcBorders>
              <w:top w:val="nil"/>
              <w:left w:val="single" w:color="auto" w:sz="4" w:space="0"/>
              <w:bottom w:val="single" w:color="auto" w:sz="4" w:space="0"/>
              <w:right w:val="single" w:color="auto" w:sz="4" w:space="0"/>
            </w:tcBorders>
            <w:shd w:val="clear" w:color="auto" w:fill="auto"/>
            <w:noWrap/>
            <w:vAlign w:val="center"/>
          </w:tcPr>
          <w:p w14:paraId="4A3523E4">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212" w:type="dxa"/>
            <w:gridSpan w:val="2"/>
            <w:tcBorders>
              <w:top w:val="single" w:color="auto" w:sz="4" w:space="0"/>
              <w:left w:val="nil"/>
              <w:bottom w:val="single" w:color="auto" w:sz="4" w:space="0"/>
              <w:right w:val="single" w:color="auto" w:sz="4" w:space="0"/>
            </w:tcBorders>
            <w:shd w:val="clear" w:color="auto" w:fill="auto"/>
            <w:noWrap/>
            <w:vAlign w:val="center"/>
          </w:tcPr>
          <w:p w14:paraId="3336BAA5">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400" w:type="dxa"/>
            <w:gridSpan w:val="2"/>
            <w:tcBorders>
              <w:top w:val="single" w:color="auto" w:sz="4" w:space="0"/>
              <w:left w:val="nil"/>
              <w:bottom w:val="single" w:color="auto" w:sz="4" w:space="0"/>
              <w:right w:val="single" w:color="auto" w:sz="4" w:space="0"/>
            </w:tcBorders>
            <w:shd w:val="clear" w:color="auto" w:fill="auto"/>
            <w:noWrap/>
            <w:vAlign w:val="center"/>
          </w:tcPr>
          <w:p w14:paraId="3A4057F7">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1764" w:type="dxa"/>
            <w:gridSpan w:val="2"/>
            <w:tcBorders>
              <w:top w:val="nil"/>
              <w:left w:val="nil"/>
              <w:bottom w:val="single" w:color="auto" w:sz="4" w:space="0"/>
              <w:right w:val="single" w:color="auto" w:sz="4" w:space="0"/>
            </w:tcBorders>
            <w:shd w:val="clear" w:color="auto" w:fill="auto"/>
            <w:noWrap/>
            <w:vAlign w:val="center"/>
          </w:tcPr>
          <w:p w14:paraId="449A716A">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474" w:type="dxa"/>
            <w:gridSpan w:val="2"/>
            <w:tcBorders>
              <w:top w:val="nil"/>
              <w:left w:val="nil"/>
              <w:bottom w:val="single" w:color="auto" w:sz="4" w:space="0"/>
              <w:right w:val="single" w:color="auto" w:sz="4" w:space="0"/>
            </w:tcBorders>
            <w:shd w:val="clear" w:color="auto" w:fill="auto"/>
            <w:noWrap/>
            <w:vAlign w:val="center"/>
          </w:tcPr>
          <w:p w14:paraId="4CB75CE3">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r>
      <w:tr w14:paraId="7BBA2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65" w:type="dxa"/>
            <w:tcBorders>
              <w:top w:val="nil"/>
              <w:left w:val="single" w:color="auto" w:sz="4" w:space="0"/>
              <w:bottom w:val="single" w:color="auto" w:sz="4" w:space="0"/>
              <w:right w:val="single" w:color="auto" w:sz="4" w:space="0"/>
            </w:tcBorders>
            <w:shd w:val="clear" w:color="auto" w:fill="auto"/>
            <w:noWrap/>
            <w:vAlign w:val="center"/>
          </w:tcPr>
          <w:p w14:paraId="647300DF">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212" w:type="dxa"/>
            <w:gridSpan w:val="2"/>
            <w:tcBorders>
              <w:top w:val="single" w:color="auto" w:sz="4" w:space="0"/>
              <w:left w:val="nil"/>
              <w:bottom w:val="single" w:color="auto" w:sz="4" w:space="0"/>
              <w:right w:val="single" w:color="auto" w:sz="4" w:space="0"/>
            </w:tcBorders>
            <w:shd w:val="clear" w:color="auto" w:fill="auto"/>
            <w:noWrap/>
            <w:vAlign w:val="center"/>
          </w:tcPr>
          <w:p w14:paraId="74F87C3D">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400" w:type="dxa"/>
            <w:gridSpan w:val="2"/>
            <w:tcBorders>
              <w:top w:val="single" w:color="auto" w:sz="4" w:space="0"/>
              <w:left w:val="nil"/>
              <w:bottom w:val="single" w:color="auto" w:sz="4" w:space="0"/>
              <w:right w:val="single" w:color="auto" w:sz="4" w:space="0"/>
            </w:tcBorders>
            <w:shd w:val="clear" w:color="auto" w:fill="auto"/>
            <w:noWrap/>
            <w:vAlign w:val="center"/>
          </w:tcPr>
          <w:p w14:paraId="32528141">
            <w:pPr>
              <w:keepNext w:val="0"/>
              <w:keepLines w:val="0"/>
              <w:widowControl/>
              <w:suppressLineNumbers w:val="0"/>
              <w:spacing w:before="0" w:beforeAutospacing="0" w:after="0" w:afterAutospacing="0"/>
              <w:ind w:left="0" w:right="0"/>
              <w:jc w:val="center"/>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1764" w:type="dxa"/>
            <w:gridSpan w:val="2"/>
            <w:tcBorders>
              <w:top w:val="nil"/>
              <w:left w:val="nil"/>
              <w:bottom w:val="single" w:color="auto" w:sz="4" w:space="0"/>
              <w:right w:val="single" w:color="auto" w:sz="4" w:space="0"/>
            </w:tcBorders>
            <w:shd w:val="clear" w:color="auto" w:fill="auto"/>
            <w:noWrap/>
            <w:vAlign w:val="center"/>
          </w:tcPr>
          <w:p w14:paraId="1E584D48">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2474" w:type="dxa"/>
            <w:gridSpan w:val="2"/>
            <w:tcBorders>
              <w:top w:val="nil"/>
              <w:left w:val="nil"/>
              <w:bottom w:val="single" w:color="auto" w:sz="4" w:space="0"/>
              <w:right w:val="single" w:color="auto" w:sz="4" w:space="0"/>
            </w:tcBorders>
            <w:shd w:val="clear" w:color="auto" w:fill="auto"/>
            <w:noWrap/>
            <w:vAlign w:val="center"/>
          </w:tcPr>
          <w:p w14:paraId="32023775">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w:t>
            </w:r>
          </w:p>
        </w:tc>
      </w:tr>
      <w:tr w14:paraId="1D605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77" w:type="dxa"/>
            <w:gridSpan w:val="5"/>
            <w:tcBorders>
              <w:top w:val="single" w:color="auto" w:sz="4" w:space="0"/>
              <w:left w:val="single" w:color="auto" w:sz="4" w:space="0"/>
              <w:bottom w:val="single" w:color="auto" w:sz="4" w:space="0"/>
              <w:right w:val="single" w:color="000000" w:sz="4" w:space="0"/>
            </w:tcBorders>
            <w:shd w:val="clear" w:color="auto" w:fill="auto"/>
            <w:noWrap/>
            <w:vAlign w:val="center"/>
          </w:tcPr>
          <w:p w14:paraId="4D7192F1">
            <w:pPr>
              <w:keepNext w:val="0"/>
              <w:keepLines w:val="0"/>
              <w:widowControl/>
              <w:suppressLineNumbers w:val="0"/>
              <w:spacing w:before="0" w:beforeAutospacing="0" w:after="0" w:afterAutospacing="0"/>
              <w:ind w:left="0" w:right="0"/>
              <w:jc w:val="center"/>
              <w:rPr>
                <w:rFonts w:hint="eastAsia" w:ascii="宋体" w:hAnsi="Calibri"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总计</w:t>
            </w:r>
          </w:p>
        </w:tc>
        <w:tc>
          <w:tcPr>
            <w:tcW w:w="1764" w:type="dxa"/>
            <w:gridSpan w:val="2"/>
            <w:tcBorders>
              <w:top w:val="nil"/>
              <w:left w:val="nil"/>
              <w:bottom w:val="single" w:color="auto" w:sz="4" w:space="0"/>
              <w:right w:val="single" w:color="auto" w:sz="4" w:space="0"/>
            </w:tcBorders>
            <w:shd w:val="clear" w:color="auto" w:fill="auto"/>
            <w:noWrap/>
            <w:vAlign w:val="center"/>
          </w:tcPr>
          <w:p w14:paraId="477C2533">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b/>
                <w:bCs w:val="0"/>
                <w:color w:val="auto"/>
                <w:kern w:val="0"/>
                <w:sz w:val="24"/>
                <w:szCs w:val="24"/>
                <w:highlight w:val="none"/>
              </w:rPr>
            </w:pPr>
            <w:r>
              <w:rPr>
                <w:rFonts w:hint="default" w:ascii="Times New Roman" w:hAnsi="Times New Roman" w:eastAsia="宋体" w:cs="Times New Roman"/>
                <w:b/>
                <w:bCs w:val="0"/>
                <w:color w:val="auto"/>
                <w:kern w:val="0"/>
                <w:sz w:val="24"/>
                <w:szCs w:val="24"/>
                <w:highlight w:val="none"/>
                <w:lang w:val="en-US" w:eastAsia="zh-CN" w:bidi="ar"/>
              </w:rPr>
              <w:t xml:space="preserve">                       -   </w:t>
            </w:r>
          </w:p>
        </w:tc>
        <w:tc>
          <w:tcPr>
            <w:tcW w:w="2474" w:type="dxa"/>
            <w:gridSpan w:val="2"/>
            <w:tcBorders>
              <w:top w:val="nil"/>
              <w:left w:val="nil"/>
              <w:bottom w:val="single" w:color="auto" w:sz="4" w:space="0"/>
              <w:right w:val="single" w:color="auto" w:sz="4" w:space="0"/>
            </w:tcBorders>
            <w:shd w:val="clear" w:color="auto" w:fill="auto"/>
            <w:noWrap/>
            <w:vAlign w:val="center"/>
          </w:tcPr>
          <w:p w14:paraId="204D40F7">
            <w:pPr>
              <w:keepNext w:val="0"/>
              <w:keepLines w:val="0"/>
              <w:widowControl/>
              <w:suppressLineNumbers w:val="0"/>
              <w:spacing w:before="0" w:beforeAutospacing="0" w:after="0" w:afterAutospacing="0"/>
              <w:ind w:left="0" w:right="0"/>
              <w:jc w:val="right"/>
              <w:rPr>
                <w:rFonts w:hint="default" w:ascii="Times New Roman" w:hAnsi="Times New Roman" w:eastAsia="宋体" w:cs="Times New Roman"/>
                <w:b/>
                <w:bCs w:val="0"/>
                <w:color w:val="auto"/>
                <w:kern w:val="0"/>
                <w:sz w:val="24"/>
                <w:szCs w:val="24"/>
                <w:highlight w:val="none"/>
              </w:rPr>
            </w:pPr>
            <w:r>
              <w:rPr>
                <w:rFonts w:hint="default" w:ascii="Times New Roman" w:hAnsi="Times New Roman" w:eastAsia="宋体" w:cs="Times New Roman"/>
                <w:b/>
                <w:bCs w:val="0"/>
                <w:color w:val="auto"/>
                <w:kern w:val="0"/>
                <w:sz w:val="24"/>
                <w:szCs w:val="24"/>
                <w:highlight w:val="none"/>
                <w:lang w:val="en-US" w:eastAsia="zh-CN" w:bidi="ar"/>
              </w:rPr>
              <w:t xml:space="preserve">                       -   </w:t>
            </w:r>
          </w:p>
        </w:tc>
      </w:tr>
      <w:tr w14:paraId="100DB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578" w:type="dxa"/>
          <w:trHeight w:val="90" w:hRule="atLeast"/>
        </w:trPr>
        <w:tc>
          <w:tcPr>
            <w:tcW w:w="6937" w:type="dxa"/>
            <w:gridSpan w:val="6"/>
            <w:tcBorders>
              <w:top w:val="nil"/>
              <w:left w:val="nil"/>
              <w:bottom w:val="nil"/>
              <w:right w:val="nil"/>
            </w:tcBorders>
            <w:shd w:val="clear" w:color="auto" w:fill="auto"/>
            <w:noWrap/>
            <w:vAlign w:val="center"/>
          </w:tcPr>
          <w:p w14:paraId="6552ED8C">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备注：1、本表根据本期审定资金额编制用款计划(加盖单位公章)，连同计量相关资料报送；</w:t>
            </w:r>
          </w:p>
        </w:tc>
      </w:tr>
      <w:tr w14:paraId="0FE5F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671" w:type="dxa"/>
            <w:gridSpan w:val="8"/>
            <w:tcBorders>
              <w:top w:val="nil"/>
              <w:left w:val="nil"/>
              <w:bottom w:val="nil"/>
              <w:right w:val="nil"/>
            </w:tcBorders>
            <w:shd w:val="clear" w:color="auto" w:fill="auto"/>
            <w:noWrap/>
            <w:vAlign w:val="center"/>
          </w:tcPr>
          <w:p w14:paraId="4632E85C">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2、本表一式两份，一份作为计量附件资料，一份提交资金监管银行。</w:t>
            </w:r>
          </w:p>
        </w:tc>
        <w:tc>
          <w:tcPr>
            <w:tcW w:w="1844" w:type="dxa"/>
            <w:tcBorders>
              <w:top w:val="nil"/>
              <w:left w:val="nil"/>
              <w:bottom w:val="nil"/>
              <w:right w:val="nil"/>
            </w:tcBorders>
            <w:shd w:val="clear" w:color="auto" w:fill="auto"/>
            <w:noWrap/>
            <w:vAlign w:val="center"/>
          </w:tcPr>
          <w:p w14:paraId="76379531">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4"/>
                <w:szCs w:val="24"/>
                <w:highlight w:val="none"/>
              </w:rPr>
            </w:pPr>
          </w:p>
        </w:tc>
      </w:tr>
      <w:tr w14:paraId="3522E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65" w:type="dxa"/>
            <w:tcBorders>
              <w:top w:val="nil"/>
              <w:left w:val="nil"/>
              <w:bottom w:val="nil"/>
              <w:right w:val="nil"/>
            </w:tcBorders>
            <w:shd w:val="clear" w:color="auto" w:fill="auto"/>
            <w:noWrap/>
            <w:vAlign w:val="center"/>
          </w:tcPr>
          <w:p w14:paraId="5022B150">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4"/>
                <w:szCs w:val="24"/>
                <w:highlight w:val="none"/>
              </w:rPr>
            </w:pPr>
          </w:p>
        </w:tc>
        <w:tc>
          <w:tcPr>
            <w:tcW w:w="781" w:type="dxa"/>
            <w:tcBorders>
              <w:top w:val="nil"/>
              <w:left w:val="nil"/>
              <w:bottom w:val="nil"/>
              <w:right w:val="nil"/>
            </w:tcBorders>
            <w:shd w:val="clear" w:color="auto" w:fill="auto"/>
            <w:noWrap/>
            <w:vAlign w:val="center"/>
          </w:tcPr>
          <w:p w14:paraId="43E4E4DF">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4"/>
                <w:szCs w:val="24"/>
                <w:highlight w:val="none"/>
              </w:rPr>
            </w:pPr>
          </w:p>
        </w:tc>
        <w:tc>
          <w:tcPr>
            <w:tcW w:w="1431" w:type="dxa"/>
            <w:tcBorders>
              <w:top w:val="nil"/>
              <w:left w:val="nil"/>
              <w:bottom w:val="nil"/>
              <w:right w:val="nil"/>
            </w:tcBorders>
            <w:shd w:val="clear" w:color="auto" w:fill="auto"/>
            <w:noWrap/>
            <w:vAlign w:val="center"/>
          </w:tcPr>
          <w:p w14:paraId="4E976F1D">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项目管理部门：</w:t>
            </w:r>
          </w:p>
        </w:tc>
        <w:tc>
          <w:tcPr>
            <w:tcW w:w="1070" w:type="dxa"/>
            <w:tcBorders>
              <w:top w:val="nil"/>
              <w:left w:val="nil"/>
              <w:bottom w:val="nil"/>
              <w:right w:val="nil"/>
            </w:tcBorders>
            <w:shd w:val="clear" w:color="auto" w:fill="auto"/>
            <w:noWrap/>
            <w:vAlign w:val="center"/>
          </w:tcPr>
          <w:p w14:paraId="21FA9CA8">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4"/>
                <w:szCs w:val="24"/>
                <w:highlight w:val="none"/>
              </w:rPr>
            </w:pPr>
          </w:p>
        </w:tc>
        <w:tc>
          <w:tcPr>
            <w:tcW w:w="1330" w:type="dxa"/>
            <w:tcBorders>
              <w:top w:val="nil"/>
              <w:left w:val="nil"/>
              <w:bottom w:val="nil"/>
              <w:right w:val="nil"/>
            </w:tcBorders>
            <w:shd w:val="clear" w:color="auto" w:fill="auto"/>
            <w:noWrap/>
            <w:vAlign w:val="center"/>
          </w:tcPr>
          <w:p w14:paraId="1AAC1543">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单位：</w:t>
            </w:r>
          </w:p>
        </w:tc>
        <w:tc>
          <w:tcPr>
            <w:tcW w:w="2394" w:type="dxa"/>
            <w:gridSpan w:val="3"/>
            <w:tcBorders>
              <w:top w:val="nil"/>
              <w:left w:val="nil"/>
              <w:bottom w:val="nil"/>
              <w:right w:val="nil"/>
            </w:tcBorders>
            <w:shd w:val="clear" w:color="auto" w:fill="auto"/>
            <w:noWrap/>
            <w:vAlign w:val="center"/>
          </w:tcPr>
          <w:p w14:paraId="0B80E656">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4"/>
                <w:szCs w:val="24"/>
                <w:highlight w:val="none"/>
              </w:rPr>
            </w:pPr>
          </w:p>
        </w:tc>
        <w:tc>
          <w:tcPr>
            <w:tcW w:w="1844" w:type="dxa"/>
            <w:tcBorders>
              <w:top w:val="nil"/>
              <w:left w:val="nil"/>
              <w:bottom w:val="nil"/>
              <w:right w:val="nil"/>
            </w:tcBorders>
            <w:shd w:val="clear" w:color="auto" w:fill="auto"/>
            <w:noWrap/>
            <w:vAlign w:val="center"/>
          </w:tcPr>
          <w:p w14:paraId="55B31132">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4"/>
                <w:szCs w:val="24"/>
                <w:highlight w:val="none"/>
              </w:rPr>
            </w:pPr>
          </w:p>
        </w:tc>
      </w:tr>
      <w:tr w14:paraId="4891D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65" w:type="dxa"/>
            <w:tcBorders>
              <w:top w:val="nil"/>
              <w:left w:val="nil"/>
              <w:bottom w:val="nil"/>
              <w:right w:val="nil"/>
            </w:tcBorders>
            <w:shd w:val="clear" w:color="auto" w:fill="auto"/>
            <w:noWrap/>
            <w:vAlign w:val="center"/>
          </w:tcPr>
          <w:p w14:paraId="131CED75">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4"/>
                <w:szCs w:val="24"/>
                <w:highlight w:val="none"/>
              </w:rPr>
            </w:pPr>
          </w:p>
        </w:tc>
        <w:tc>
          <w:tcPr>
            <w:tcW w:w="781" w:type="dxa"/>
            <w:tcBorders>
              <w:top w:val="nil"/>
              <w:left w:val="nil"/>
              <w:bottom w:val="nil"/>
              <w:right w:val="nil"/>
            </w:tcBorders>
            <w:shd w:val="clear" w:color="auto" w:fill="auto"/>
            <w:noWrap/>
            <w:vAlign w:val="center"/>
          </w:tcPr>
          <w:p w14:paraId="04220F79">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4"/>
                <w:szCs w:val="24"/>
                <w:highlight w:val="none"/>
              </w:rPr>
            </w:pPr>
          </w:p>
        </w:tc>
        <w:tc>
          <w:tcPr>
            <w:tcW w:w="1431" w:type="dxa"/>
            <w:tcBorders>
              <w:top w:val="nil"/>
              <w:left w:val="nil"/>
              <w:bottom w:val="nil"/>
              <w:right w:val="nil"/>
            </w:tcBorders>
            <w:shd w:val="clear" w:color="auto" w:fill="auto"/>
            <w:noWrap/>
            <w:vAlign w:val="center"/>
          </w:tcPr>
          <w:p w14:paraId="04DCB416">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审定日期：</w:t>
            </w:r>
          </w:p>
        </w:tc>
        <w:tc>
          <w:tcPr>
            <w:tcW w:w="1070" w:type="dxa"/>
            <w:tcBorders>
              <w:top w:val="nil"/>
              <w:left w:val="nil"/>
              <w:bottom w:val="nil"/>
              <w:right w:val="nil"/>
            </w:tcBorders>
            <w:shd w:val="clear" w:color="auto" w:fill="auto"/>
            <w:noWrap/>
            <w:vAlign w:val="center"/>
          </w:tcPr>
          <w:p w14:paraId="7D42B252">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4"/>
                <w:szCs w:val="24"/>
                <w:highlight w:val="none"/>
              </w:rPr>
            </w:pPr>
          </w:p>
        </w:tc>
        <w:tc>
          <w:tcPr>
            <w:tcW w:w="1330" w:type="dxa"/>
            <w:tcBorders>
              <w:top w:val="nil"/>
              <w:left w:val="nil"/>
              <w:bottom w:val="nil"/>
              <w:right w:val="nil"/>
            </w:tcBorders>
            <w:shd w:val="clear" w:color="auto" w:fill="auto"/>
            <w:noWrap/>
            <w:vAlign w:val="center"/>
          </w:tcPr>
          <w:p w14:paraId="5BFEC66D">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制表日期：</w:t>
            </w:r>
          </w:p>
        </w:tc>
        <w:tc>
          <w:tcPr>
            <w:tcW w:w="2394" w:type="dxa"/>
            <w:gridSpan w:val="3"/>
            <w:tcBorders>
              <w:top w:val="nil"/>
              <w:left w:val="nil"/>
              <w:bottom w:val="nil"/>
              <w:right w:val="nil"/>
            </w:tcBorders>
            <w:shd w:val="clear" w:color="auto" w:fill="auto"/>
            <w:noWrap/>
            <w:vAlign w:val="center"/>
          </w:tcPr>
          <w:p w14:paraId="28C68A99">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4"/>
                <w:szCs w:val="24"/>
                <w:highlight w:val="none"/>
              </w:rPr>
            </w:pPr>
          </w:p>
        </w:tc>
        <w:tc>
          <w:tcPr>
            <w:tcW w:w="1844" w:type="dxa"/>
            <w:tcBorders>
              <w:top w:val="nil"/>
              <w:left w:val="nil"/>
              <w:bottom w:val="nil"/>
              <w:right w:val="nil"/>
            </w:tcBorders>
            <w:shd w:val="clear" w:color="auto" w:fill="auto"/>
            <w:noWrap/>
            <w:vAlign w:val="center"/>
          </w:tcPr>
          <w:p w14:paraId="3B393FB7">
            <w:pPr>
              <w:keepNext w:val="0"/>
              <w:keepLines w:val="0"/>
              <w:widowControl/>
              <w:suppressLineNumbers w:val="0"/>
              <w:spacing w:before="0" w:beforeAutospacing="0" w:after="0" w:afterAutospacing="0"/>
              <w:ind w:left="0" w:right="0"/>
              <w:jc w:val="left"/>
              <w:rPr>
                <w:rFonts w:hint="eastAsia" w:ascii="宋体" w:hAnsi="Calibri" w:eastAsia="宋体" w:cs="宋体"/>
                <w:color w:val="auto"/>
                <w:kern w:val="0"/>
                <w:sz w:val="24"/>
                <w:szCs w:val="24"/>
                <w:highlight w:val="none"/>
              </w:rPr>
            </w:pPr>
          </w:p>
        </w:tc>
      </w:tr>
    </w:tbl>
    <w:p w14:paraId="742C5F03">
      <w:pPr>
        <w:keepNext w:val="0"/>
        <w:keepLines w:val="0"/>
        <w:widowControl w:val="0"/>
        <w:suppressLineNumbers w:val="0"/>
        <w:spacing w:before="0" w:beforeAutospacing="0" w:after="0" w:afterAutospacing="0"/>
        <w:ind w:left="0" w:right="11" w:firstLine="476" w:firstLineChars="192"/>
        <w:jc w:val="both"/>
        <w:rPr>
          <w:rFonts w:hint="eastAsia" w:ascii="宋体" w:hAnsi="Calibri" w:eastAsia="宋体" w:cs="Times New Roman"/>
          <w:color w:val="auto"/>
          <w:spacing w:val="4"/>
          <w:kern w:val="0"/>
          <w:sz w:val="24"/>
          <w:szCs w:val="24"/>
          <w:highlight w:val="none"/>
        </w:rPr>
      </w:pPr>
      <w:r>
        <w:rPr>
          <w:rFonts w:hint="eastAsia" w:ascii="宋体" w:hAnsi="Calibri" w:eastAsia="宋体" w:cs="Times New Roman"/>
          <w:color w:val="auto"/>
          <w:spacing w:val="4"/>
          <w:kern w:val="0"/>
          <w:sz w:val="24"/>
          <w:szCs w:val="24"/>
          <w:highlight w:val="none"/>
          <w:lang w:val="en-US" w:eastAsia="zh-CN" w:bidi="ar"/>
        </w:rPr>
        <w:t xml:space="preserve"> </w:t>
      </w:r>
    </w:p>
    <w:p w14:paraId="7AFFB9FB">
      <w:pPr>
        <w:pStyle w:val="14"/>
        <w:keepNext w:val="0"/>
        <w:keepLines w:val="0"/>
        <w:widowControl w:val="0"/>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br w:type="page"/>
      </w:r>
    </w:p>
    <w:p w14:paraId="05041089">
      <w:pPr>
        <w:keepNext w:val="0"/>
        <w:keepLines w:val="0"/>
        <w:widowControl w:val="0"/>
        <w:suppressLineNumbers w:val="0"/>
        <w:adjustRightInd w:val="0"/>
        <w:snapToGrid w:val="0"/>
        <w:spacing w:before="0" w:beforeAutospacing="0" w:after="0" w:afterAutospacing="0" w:line="360" w:lineRule="auto"/>
        <w:ind w:left="0" w:right="0"/>
        <w:jc w:val="left"/>
        <w:rPr>
          <w:rFonts w:hint="eastAsia" w:ascii="宋体" w:hAnsi="宋体" w:eastAsia="宋体" w:cs="Times New Roman"/>
          <w:b/>
          <w:bCs w:val="0"/>
          <w:color w:val="auto"/>
          <w:kern w:val="0"/>
          <w:sz w:val="32"/>
          <w:szCs w:val="32"/>
          <w:highlight w:val="none"/>
          <w:u w:val="single"/>
        </w:rPr>
      </w:pPr>
      <w:r>
        <w:rPr>
          <w:rFonts w:hint="eastAsia" w:ascii="宋体" w:hAnsi="宋体" w:eastAsia="宋体" w:cs="宋体"/>
          <w:b/>
          <w:bCs w:val="0"/>
          <w:color w:val="auto"/>
          <w:kern w:val="0"/>
          <w:sz w:val="32"/>
          <w:szCs w:val="32"/>
          <w:highlight w:val="none"/>
          <w:u w:val="single"/>
          <w:lang w:val="en-US" w:eastAsia="zh-CN" w:bidi="ar"/>
        </w:rPr>
        <w:t>附文</w:t>
      </w:r>
      <w:r>
        <w:rPr>
          <w:rFonts w:hint="eastAsia" w:ascii="宋体" w:hAnsi="宋体" w:eastAsia="宋体" w:cs="Times New Roman"/>
          <w:b/>
          <w:bCs w:val="0"/>
          <w:color w:val="auto"/>
          <w:kern w:val="0"/>
          <w:sz w:val="32"/>
          <w:szCs w:val="32"/>
          <w:highlight w:val="none"/>
          <w:u w:val="single"/>
          <w:lang w:val="en-US" w:eastAsia="zh-CN" w:bidi="ar"/>
        </w:rPr>
        <w:t>3</w:t>
      </w:r>
      <w:r>
        <w:rPr>
          <w:rFonts w:hint="eastAsia" w:ascii="宋体" w:hAnsi="宋体" w:eastAsia="宋体" w:cs="宋体"/>
          <w:b/>
          <w:bCs w:val="0"/>
          <w:color w:val="auto"/>
          <w:kern w:val="0"/>
          <w:sz w:val="32"/>
          <w:szCs w:val="32"/>
          <w:highlight w:val="none"/>
          <w:u w:val="single"/>
          <w:lang w:val="en-US" w:eastAsia="zh-CN" w:bidi="ar"/>
        </w:rPr>
        <w:t>：</w:t>
      </w:r>
    </w:p>
    <w:p w14:paraId="6FF050D0">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2"/>
          <w:sz w:val="24"/>
          <w:szCs w:val="24"/>
          <w:highlight w:val="none"/>
          <w:lang w:val="en-US" w:eastAsia="zh-CN" w:bidi="ar"/>
        </w:rPr>
        <w:t>合同附件7</w:t>
      </w:r>
    </w:p>
    <w:p w14:paraId="6DEDDB1D">
      <w:pPr>
        <w:keepNext w:val="0"/>
        <w:keepLines w:val="0"/>
        <w:widowControl w:val="0"/>
        <w:suppressLineNumbers w:val="0"/>
        <w:adjustRightInd w:val="0"/>
        <w:snapToGrid w:val="0"/>
        <w:spacing w:before="0" w:beforeAutospacing="0" w:after="0" w:afterAutospacing="0" w:line="360" w:lineRule="auto"/>
        <w:ind w:left="0" w:right="0"/>
        <w:jc w:val="center"/>
        <w:outlineLvl w:val="1"/>
        <w:rPr>
          <w:rFonts w:hint="eastAsia" w:ascii="宋体" w:hAnsi="宋体" w:eastAsia="宋体" w:cs="宋体"/>
          <w:b/>
          <w:bCs w:val="0"/>
          <w:color w:val="auto"/>
          <w:kern w:val="0"/>
          <w:sz w:val="32"/>
          <w:szCs w:val="32"/>
          <w:highlight w:val="none"/>
        </w:rPr>
      </w:pPr>
      <w:r>
        <w:rPr>
          <w:rFonts w:hint="eastAsia" w:ascii="宋体" w:hAnsi="宋体" w:eastAsia="宋体" w:cs="宋体"/>
          <w:b/>
          <w:bCs w:val="0"/>
          <w:color w:val="auto"/>
          <w:kern w:val="0"/>
          <w:sz w:val="32"/>
          <w:szCs w:val="32"/>
          <w:highlight w:val="none"/>
          <w:lang w:val="en-US" w:eastAsia="zh-CN" w:bidi="ar"/>
        </w:rPr>
        <w:t>承包人履约担保（格式）</w:t>
      </w:r>
    </w:p>
    <w:p w14:paraId="0971449C">
      <w:pPr>
        <w:keepNext w:val="0"/>
        <w:keepLines w:val="0"/>
        <w:widowControl w:val="0"/>
        <w:suppressLineNumbers w:val="0"/>
        <w:autoSpaceDE w:val="0"/>
        <w:autoSpaceDN w:val="0"/>
        <w:adjustRightInd w:val="0"/>
        <w:snapToGrid w:val="0"/>
        <w:spacing w:before="0" w:beforeAutospacing="0" w:after="0" w:afterAutospacing="0" w:line="360"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编号：</w:t>
      </w:r>
    </w:p>
    <w:p w14:paraId="06D2E639">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广州市重点公共建设项目管理中心：</w:t>
      </w:r>
    </w:p>
    <w:p w14:paraId="0939101B">
      <w:pPr>
        <w:keepNext w:val="0"/>
        <w:keepLines w:val="0"/>
        <w:widowControl w:val="0"/>
        <w:suppressLineNumbers w:val="0"/>
        <w:adjustRightInd w:val="0"/>
        <w:snapToGrid w:val="0"/>
        <w:spacing w:before="0" w:beforeAutospacing="0" w:after="0" w:afterAutospacing="0" w:line="30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鉴于</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（以下称承包人）应依法按照《</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招标文件》和承包人中标的投标文件与贵中心订立《</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合同》（以下简称合同，合同编号：      ）。</w:t>
      </w:r>
      <w:r>
        <w:rPr>
          <w:rFonts w:hint="eastAsia" w:ascii="宋体" w:hAnsi="宋体" w:eastAsia="宋体" w:cs="宋体"/>
          <w:color w:val="auto"/>
          <w:spacing w:val="4"/>
          <w:kern w:val="0"/>
          <w:sz w:val="24"/>
          <w:szCs w:val="24"/>
          <w:highlight w:val="none"/>
          <w:shd w:val="clear" w:fill="FFFF00"/>
          <w:lang w:val="en-US" w:eastAsia="zh-CN" w:bidi="ar"/>
        </w:rPr>
        <w:t>我</w:t>
      </w:r>
      <w:r>
        <w:rPr>
          <w:rFonts w:hint="eastAsia" w:ascii="宋体" w:hAnsi="宋体" w:eastAsia="宋体" w:cs="宋体"/>
          <w:color w:val="auto"/>
          <w:kern w:val="0"/>
          <w:sz w:val="24"/>
          <w:szCs w:val="24"/>
          <w:highlight w:val="none"/>
          <w:shd w:val="clear" w:fill="FFFF00"/>
          <w:lang w:val="en-US" w:eastAsia="zh-CN" w:bidi="ar"/>
        </w:rPr>
        <w:t>方</w:t>
      </w:r>
      <w:r>
        <w:rPr>
          <w:rFonts w:hint="eastAsia" w:ascii="宋体" w:hAnsi="宋体" w:eastAsia="宋体" w:cs="宋体"/>
          <w:color w:val="auto"/>
          <w:spacing w:val="4"/>
          <w:kern w:val="0"/>
          <w:sz w:val="24"/>
          <w:szCs w:val="24"/>
          <w:highlight w:val="none"/>
          <w:shd w:val="clear" w:fill="FFFF00"/>
          <w:lang w:val="en-US" w:eastAsia="zh-CN" w:bidi="ar"/>
        </w:rPr>
        <w:t>同意为承包人担保，以担保金额人民币________________元（￥_______元）向贵中心提供不可撤销的连带责任保证</w:t>
      </w:r>
      <w:r>
        <w:rPr>
          <w:rFonts w:hint="eastAsia" w:ascii="宋体" w:hAnsi="宋体" w:eastAsia="宋体" w:cs="宋体"/>
          <w:color w:val="auto"/>
          <w:spacing w:val="4"/>
          <w:kern w:val="0"/>
          <w:sz w:val="24"/>
          <w:szCs w:val="24"/>
          <w:highlight w:val="none"/>
          <w:lang w:val="en-US" w:eastAsia="zh-CN" w:bidi="ar"/>
        </w:rPr>
        <w:t>，担保的范围为：</w:t>
      </w:r>
      <w:r>
        <w:rPr>
          <w:rFonts w:hint="eastAsia" w:ascii="宋体" w:hAnsi="宋体" w:eastAsia="宋体" w:cs="宋体"/>
          <w:color w:val="auto"/>
          <w:kern w:val="0"/>
          <w:sz w:val="24"/>
          <w:szCs w:val="24"/>
          <w:highlight w:val="none"/>
          <w:lang w:val="en-US" w:eastAsia="zh-CN" w:bidi="ar"/>
        </w:rPr>
        <w:t>承包人按合同约定应向贵中心履行的全部义务，包括但不限于合同约定的义务，应向贵中心支付的利息，在人力资源、材料、机械设备投入，施工质量，施工工期，施工人员工资支付，工程分包，工程结算，施工（总）承包管理和现场整体组织，专业协调及配合等方面的违约金，损害赔偿金，实现债权的费用。</w:t>
      </w:r>
    </w:p>
    <w:p w14:paraId="7744E026">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我方承诺如下：</w:t>
      </w:r>
    </w:p>
    <w:p w14:paraId="28256FB0">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1、承包人在履行合同中，由于资金、技术、质量或非不可抗力及违约等原因需向贵中心支付违约金或赔偿金时，在贵中心</w:t>
      </w:r>
      <w:r>
        <w:rPr>
          <w:rFonts w:hint="eastAsia" w:ascii="宋体" w:hAnsi="宋体" w:eastAsia="宋体" w:cs="宋体"/>
          <w:color w:val="auto"/>
          <w:kern w:val="2"/>
          <w:sz w:val="24"/>
          <w:szCs w:val="24"/>
          <w:highlight w:val="none"/>
          <w:lang w:val="en-US" w:eastAsia="zh-CN" w:bidi="ar"/>
        </w:rPr>
        <w:t>以书面索赔通知纸质原件形式提出要求得到上述金额内的任何付款时（需提供本担保正本原件供我方核对），我方在7个工作日内予以支付累计不超过上述担保金额的款项</w:t>
      </w:r>
      <w:r>
        <w:rPr>
          <w:rFonts w:hint="eastAsia" w:ascii="宋体" w:hAnsi="宋体" w:eastAsia="宋体" w:cs="宋体"/>
          <w:color w:val="auto"/>
          <w:kern w:val="0"/>
          <w:sz w:val="24"/>
          <w:szCs w:val="24"/>
          <w:highlight w:val="none"/>
          <w:lang w:val="en-US" w:eastAsia="zh-CN" w:bidi="ar"/>
        </w:rPr>
        <w:t>，不挑剔、不争辩，也不要求贵中心出具证明或说明背景、理由。</w:t>
      </w:r>
    </w:p>
    <w:p w14:paraId="1F77BA36">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2、我方放弃贵中心应先向承包人要求赔偿上述金额然后再向我方提出要求的权利。</w:t>
      </w:r>
    </w:p>
    <w:p w14:paraId="336B810E">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3、我方进一步同意，在贵中心和承包人之间的合同条件、合同项下的工程或合同发生变化、补充或修改，在不加重我方担保责任的情况下，我方承担本保函的责任也不改变。有关上述变化、补充和修改也无须通知我方。</w:t>
      </w:r>
    </w:p>
    <w:p w14:paraId="20596D31">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4、</w:t>
      </w:r>
      <w:r>
        <w:rPr>
          <w:rFonts w:hint="eastAsia" w:ascii="宋体" w:hAnsi="宋体" w:eastAsia="宋体" w:cs="宋体"/>
          <w:color w:val="auto"/>
          <w:kern w:val="2"/>
          <w:sz w:val="24"/>
          <w:szCs w:val="24"/>
          <w:highlight w:val="none"/>
          <w:lang w:val="en-US" w:eastAsia="zh-CN" w:bidi="ar"/>
        </w:rPr>
        <w:t>本担保有效期间为</w:t>
      </w:r>
      <w:r>
        <w:rPr>
          <w:rFonts w:hint="eastAsia" w:ascii="宋体" w:hAnsi="宋体" w:eastAsia="宋体" w:cs="宋体"/>
          <w:color w:val="auto"/>
          <w:kern w:val="0"/>
          <w:sz w:val="24"/>
          <w:szCs w:val="24"/>
          <w:highlight w:val="none"/>
          <w:lang w:val="en-US" w:eastAsia="zh-CN" w:bidi="ar"/>
        </w:rPr>
        <w:t>：自本担保签署之日起</w:t>
      </w:r>
      <w:r>
        <w:rPr>
          <w:rFonts w:hint="eastAsia" w:ascii="宋体" w:hAnsi="宋体" w:eastAsia="宋体" w:cs="宋体"/>
          <w:color w:val="auto"/>
          <w:kern w:val="2"/>
          <w:sz w:val="24"/>
          <w:szCs w:val="24"/>
          <w:highlight w:val="none"/>
          <w:lang w:val="en-US" w:eastAsia="zh-CN" w:bidi="ar"/>
        </w:rPr>
        <w:t>至承包人提供工程所需全部分部（子分部）工程质量验收记录及竣工图止</w:t>
      </w:r>
      <w:r>
        <w:rPr>
          <w:rFonts w:hint="eastAsia" w:ascii="宋体" w:hAnsi="宋体" w:eastAsia="宋体" w:cs="宋体"/>
          <w:color w:val="auto"/>
          <w:kern w:val="0"/>
          <w:sz w:val="24"/>
          <w:szCs w:val="24"/>
          <w:highlight w:val="none"/>
          <w:lang w:val="en-US" w:eastAsia="zh-CN" w:bidi="ar"/>
        </w:rPr>
        <w:t>，但最迟不超过</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月</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日。</w:t>
      </w:r>
    </w:p>
    <w:p w14:paraId="7E45C597">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5、</w:t>
      </w:r>
      <w:r>
        <w:rPr>
          <w:rFonts w:hint="eastAsia" w:ascii="宋体" w:hAnsi="宋体" w:eastAsia="宋体" w:cs="宋体"/>
          <w:color w:val="auto"/>
          <w:kern w:val="2"/>
          <w:sz w:val="24"/>
          <w:szCs w:val="24"/>
          <w:highlight w:val="none"/>
          <w:lang w:val="en-US" w:eastAsia="zh-CN" w:bidi="ar"/>
        </w:rPr>
        <w:t>本担保适用中华人民共和国法律，任何与本担保有关的争议均需提交工程项目所在地人民法院提起诉讼。</w:t>
      </w:r>
    </w:p>
    <w:p w14:paraId="76D020FF">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本担保自我方负责人（或委托代理人）签字并加盖公章之日起生效。</w:t>
      </w:r>
    </w:p>
    <w:p w14:paraId="3C5D7477">
      <w:pPr>
        <w:pStyle w:val="14"/>
        <w:keepNext w:val="0"/>
        <w:keepLines w:val="0"/>
        <w:widowControl w:val="0"/>
        <w:suppressLineNumbers w:val="0"/>
        <w:spacing w:before="0" w:beforeAutospacing="0" w:after="0" w:afterAutospacing="0"/>
        <w:ind w:left="0" w:right="0"/>
        <w:jc w:val="both"/>
        <w:rPr>
          <w:rFonts w:hint="eastAsia" w:ascii="宋体" w:hAnsi="Courier New" w:eastAsia="宋体" w:cs="Courier New"/>
          <w:color w:val="auto"/>
          <w:kern w:val="2"/>
          <w:sz w:val="21"/>
          <w:szCs w:val="21"/>
          <w:highlight w:val="none"/>
        </w:rPr>
      </w:pPr>
      <w:r>
        <w:rPr>
          <w:rFonts w:hint="eastAsia" w:ascii="宋体" w:hAnsi="Courier New" w:eastAsia="宋体" w:cs="Courier New"/>
          <w:color w:val="auto"/>
          <w:kern w:val="2"/>
          <w:sz w:val="21"/>
          <w:szCs w:val="21"/>
          <w:highlight w:val="none"/>
          <w:lang w:val="en-US" w:eastAsia="zh-CN" w:bidi="ar"/>
        </w:rPr>
        <w:t xml:space="preserve"> </w:t>
      </w:r>
    </w:p>
    <w:p w14:paraId="629A3CAD">
      <w:pPr>
        <w:keepNext w:val="0"/>
        <w:keepLines w:val="0"/>
        <w:widowControl w:val="0"/>
        <w:suppressLineNumbers w:val="0"/>
        <w:autoSpaceDE w:val="0"/>
        <w:autoSpaceDN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                                       保证人：（盖章）</w:t>
      </w:r>
    </w:p>
    <w:p w14:paraId="6F18F99C">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095" w:firstLineChars="195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负责人（或委托代理人）：</w:t>
      </w:r>
    </w:p>
    <w:p w14:paraId="5D59DDD9">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095" w:firstLineChars="195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地址：</w:t>
      </w:r>
    </w:p>
    <w:p w14:paraId="684A3B67">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095" w:firstLineChars="195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邮政编码：</w:t>
      </w:r>
    </w:p>
    <w:p w14:paraId="65B68FEB">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095" w:firstLineChars="195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联系电话：</w:t>
      </w:r>
    </w:p>
    <w:p w14:paraId="2B1B5B8B">
      <w:pPr>
        <w:keepNext w:val="0"/>
        <w:keepLines w:val="0"/>
        <w:widowControl w:val="0"/>
        <w:suppressLineNumbers w:val="0"/>
        <w:adjustRightInd w:val="0"/>
        <w:snapToGrid w:val="0"/>
        <w:spacing w:before="0" w:beforeAutospacing="0" w:after="0" w:afterAutospacing="0" w:line="360" w:lineRule="auto"/>
        <w:ind w:left="0" w:right="0" w:firstLine="4095" w:firstLineChars="195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日期：     年   月   日</w:t>
      </w:r>
    </w:p>
    <w:p w14:paraId="3221EDAF">
      <w:pPr>
        <w:keepNext w:val="0"/>
        <w:keepLines w:val="0"/>
        <w:widowControl w:val="0"/>
        <w:suppressLineNumbers w:val="0"/>
        <w:adjustRightInd w:val="0"/>
        <w:snapToGrid w:val="0"/>
        <w:spacing w:before="0" w:beforeAutospacing="0" w:after="0" w:afterAutospacing="0" w:line="360" w:lineRule="auto"/>
        <w:ind w:left="0" w:right="0" w:firstLine="4095" w:firstLineChars="1950"/>
        <w:jc w:val="both"/>
        <w:rPr>
          <w:rFonts w:hint="eastAsia" w:ascii="宋体" w:hAnsi="宋体" w:eastAsia="宋体" w:cs="宋体"/>
          <w:b/>
          <w:bCs w:val="0"/>
          <w:color w:val="auto"/>
          <w:kern w:val="0"/>
          <w:sz w:val="44"/>
          <w:szCs w:val="44"/>
          <w:highlight w:val="none"/>
        </w:rPr>
      </w:pPr>
      <w:r>
        <w:rPr>
          <w:rFonts w:hint="eastAsia" w:ascii="宋体" w:hAnsi="宋体" w:eastAsia="宋体" w:cs="宋体"/>
          <w:color w:val="auto"/>
          <w:kern w:val="2"/>
          <w:sz w:val="21"/>
          <w:szCs w:val="21"/>
          <w:highlight w:val="none"/>
          <w:lang w:val="en-US" w:eastAsia="zh-CN" w:bidi="ar"/>
        </w:rPr>
        <w:br w:type="page"/>
      </w:r>
    </w:p>
    <w:p w14:paraId="674861D7">
      <w:pPr>
        <w:keepNext w:val="0"/>
        <w:keepLines w:val="0"/>
        <w:widowControl w:val="0"/>
        <w:suppressLineNumbers w:val="0"/>
        <w:adjustRightInd w:val="0"/>
        <w:snapToGrid w:val="0"/>
        <w:spacing w:before="0" w:beforeAutospacing="0" w:after="0" w:afterAutospacing="0" w:line="360" w:lineRule="auto"/>
        <w:ind w:left="0" w:right="0"/>
        <w:jc w:val="center"/>
        <w:outlineLvl w:val="1"/>
        <w:rPr>
          <w:rFonts w:hint="eastAsia" w:ascii="宋体" w:hAnsi="宋体" w:eastAsia="宋体" w:cs="宋体"/>
          <w:b/>
          <w:bCs w:val="0"/>
          <w:color w:val="auto"/>
          <w:kern w:val="0"/>
          <w:sz w:val="32"/>
          <w:szCs w:val="32"/>
          <w:highlight w:val="none"/>
        </w:rPr>
      </w:pPr>
      <w:r>
        <w:rPr>
          <w:rFonts w:hint="eastAsia" w:ascii="宋体" w:hAnsi="宋体" w:eastAsia="宋体" w:cs="宋体"/>
          <w:b/>
          <w:bCs w:val="0"/>
          <w:color w:val="auto"/>
          <w:kern w:val="0"/>
          <w:sz w:val="32"/>
          <w:szCs w:val="32"/>
          <w:highlight w:val="none"/>
          <w:lang w:val="en-US" w:eastAsia="zh-CN" w:bidi="ar"/>
        </w:rPr>
        <w:t>承 诺 书</w:t>
      </w:r>
    </w:p>
    <w:p w14:paraId="31332F39">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14:paraId="778B414C">
      <w:pPr>
        <w:keepNext w:val="0"/>
        <w:keepLines w:val="0"/>
        <w:widowControl w:val="0"/>
        <w:suppressLineNumbers w:val="0"/>
        <w:autoSpaceDE w:val="0"/>
        <w:autoSpaceDN w:val="0"/>
        <w:adjustRightInd w:val="0"/>
        <w:snapToGrid w:val="0"/>
        <w:spacing w:before="0" w:beforeAutospacing="0" w:after="0" w:afterAutospacing="0" w:line="360" w:lineRule="auto"/>
        <w:ind w:left="0" w:right="0"/>
        <w:jc w:val="both"/>
        <w:rPr>
          <w:rFonts w:hint="eastAsia" w:ascii="宋体" w:hAnsi="宋体"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广州市重点公共建设项目管理中心：</w:t>
      </w:r>
    </w:p>
    <w:p w14:paraId="7514C542">
      <w:pPr>
        <w:pStyle w:val="14"/>
        <w:keepNext w:val="0"/>
        <w:keepLines w:val="0"/>
        <w:widowControl/>
        <w:suppressLineNumbers w:val="0"/>
        <w:autoSpaceDE w:val="0"/>
        <w:autoSpaceDN w:val="0"/>
        <w:adjustRightInd w:val="0"/>
        <w:snapToGrid w:val="0"/>
        <w:spacing w:before="0" w:beforeAutospacing="1" w:after="0" w:afterAutospacing="1" w:line="360" w:lineRule="auto"/>
        <w:ind w:left="0" w:right="0" w:firstLine="482"/>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我司已于</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年___月___日</w:t>
      </w:r>
      <w:r>
        <w:rPr>
          <w:rFonts w:hint="eastAsia" w:ascii="宋体" w:hAnsi="宋体" w:eastAsia="宋体" w:cs="宋体"/>
          <w:color w:val="auto"/>
          <w:kern w:val="0"/>
          <w:sz w:val="24"/>
          <w:szCs w:val="24"/>
          <w:highlight w:val="none"/>
          <w:lang w:val="en-US" w:eastAsia="zh-CN" w:bidi="ar"/>
        </w:rPr>
        <w:t>向贵中心提交了</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的履约担保，</w:t>
      </w:r>
      <w:r>
        <w:rPr>
          <w:rFonts w:hint="eastAsia" w:ascii="宋体" w:hAnsi="宋体" w:eastAsia="宋体" w:cs="宋体"/>
          <w:color w:val="auto"/>
          <w:kern w:val="0"/>
          <w:sz w:val="24"/>
          <w:szCs w:val="24"/>
          <w:highlight w:val="none"/>
          <w:shd w:val="clear" w:fill="FFFF00"/>
          <w:lang w:val="en-US" w:eastAsia="zh-CN" w:bidi="ar"/>
        </w:rPr>
        <w:t>履约</w:t>
      </w:r>
      <w:r>
        <w:rPr>
          <w:rFonts w:hint="eastAsia" w:ascii="宋体" w:hAnsi="宋体" w:eastAsia="宋体" w:cs="宋体"/>
          <w:color w:val="auto"/>
          <w:spacing w:val="4"/>
          <w:kern w:val="0"/>
          <w:sz w:val="24"/>
          <w:szCs w:val="24"/>
          <w:highlight w:val="none"/>
          <w:shd w:val="clear" w:fill="FFFF00"/>
          <w:lang w:val="en-US" w:eastAsia="zh-CN" w:bidi="ar"/>
        </w:rPr>
        <w:t>担保</w:t>
      </w:r>
      <w:r>
        <w:rPr>
          <w:rFonts w:hint="eastAsia" w:ascii="宋体" w:hAnsi="宋体" w:eastAsia="宋体" w:cs="宋体"/>
          <w:color w:val="auto"/>
          <w:kern w:val="0"/>
          <w:sz w:val="24"/>
          <w:szCs w:val="24"/>
          <w:highlight w:val="none"/>
          <w:lang w:val="en-US" w:eastAsia="zh-CN" w:bidi="ar"/>
        </w:rPr>
        <w:t>最长有效期至</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spacing w:val="4"/>
          <w:kern w:val="0"/>
          <w:sz w:val="24"/>
          <w:szCs w:val="24"/>
          <w:highlight w:val="none"/>
          <w:lang w:val="en-US" w:eastAsia="zh-CN" w:bidi="ar"/>
        </w:rPr>
        <w:t>年___月___日</w:t>
      </w:r>
      <w:r>
        <w:rPr>
          <w:rFonts w:hint="eastAsia" w:ascii="宋体" w:hAnsi="宋体" w:eastAsia="宋体" w:cs="宋体"/>
          <w:color w:val="auto"/>
          <w:kern w:val="0"/>
          <w:sz w:val="24"/>
          <w:szCs w:val="24"/>
          <w:highlight w:val="none"/>
          <w:lang w:val="en-US" w:eastAsia="zh-CN" w:bidi="ar"/>
        </w:rPr>
        <w:t>。</w:t>
      </w:r>
    </w:p>
    <w:p w14:paraId="0E8E414A">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2"/>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在</w:t>
      </w:r>
      <w:r>
        <w:rPr>
          <w:rFonts w:hint="eastAsia" w:ascii="宋体" w:hAnsi="宋体" w:eastAsia="宋体" w:cs="宋体"/>
          <w:color w:val="auto"/>
          <w:kern w:val="0"/>
          <w:sz w:val="24"/>
          <w:szCs w:val="24"/>
          <w:highlight w:val="none"/>
          <w:shd w:val="clear" w:fill="FFFF00"/>
          <w:lang w:val="en-US" w:eastAsia="zh-CN" w:bidi="ar"/>
        </w:rPr>
        <w:t>履约</w:t>
      </w:r>
      <w:r>
        <w:rPr>
          <w:rFonts w:hint="eastAsia" w:ascii="宋体" w:hAnsi="宋体" w:eastAsia="宋体" w:cs="宋体"/>
          <w:color w:val="auto"/>
          <w:spacing w:val="4"/>
          <w:kern w:val="0"/>
          <w:sz w:val="24"/>
          <w:szCs w:val="24"/>
          <w:highlight w:val="none"/>
          <w:shd w:val="clear" w:fill="FFFF00"/>
          <w:lang w:val="en-US" w:eastAsia="zh-CN" w:bidi="ar"/>
        </w:rPr>
        <w:t>担保</w:t>
      </w:r>
      <w:r>
        <w:rPr>
          <w:rFonts w:hint="eastAsia" w:ascii="宋体" w:hAnsi="宋体" w:eastAsia="宋体" w:cs="宋体"/>
          <w:color w:val="auto"/>
          <w:kern w:val="0"/>
          <w:sz w:val="24"/>
          <w:szCs w:val="24"/>
          <w:highlight w:val="none"/>
          <w:lang w:val="en-US" w:eastAsia="zh-CN" w:bidi="ar"/>
        </w:rPr>
        <w:t>最长有效期届满时，若我司未提供本项目所需全部分部（子分部）工程质量验收记录及竣工图的，则贵中心有权要求我司另行提交新的</w:t>
      </w:r>
      <w:r>
        <w:rPr>
          <w:rFonts w:hint="eastAsia" w:ascii="宋体" w:hAnsi="宋体" w:eastAsia="宋体" w:cs="宋体"/>
          <w:color w:val="auto"/>
          <w:kern w:val="0"/>
          <w:sz w:val="24"/>
          <w:szCs w:val="24"/>
          <w:highlight w:val="none"/>
          <w:shd w:val="clear" w:fill="FFFF00"/>
          <w:lang w:val="en-US" w:eastAsia="zh-CN" w:bidi="ar"/>
        </w:rPr>
        <w:t>履约</w:t>
      </w:r>
      <w:r>
        <w:rPr>
          <w:rFonts w:hint="eastAsia" w:ascii="宋体" w:hAnsi="宋体" w:eastAsia="宋体" w:cs="宋体"/>
          <w:color w:val="auto"/>
          <w:spacing w:val="4"/>
          <w:kern w:val="0"/>
          <w:sz w:val="24"/>
          <w:szCs w:val="24"/>
          <w:highlight w:val="none"/>
          <w:shd w:val="clear" w:fill="FFFF00"/>
          <w:lang w:val="en-US" w:eastAsia="zh-CN" w:bidi="ar"/>
        </w:rPr>
        <w:t>担保</w:t>
      </w:r>
      <w:r>
        <w:rPr>
          <w:rFonts w:hint="eastAsia" w:ascii="宋体" w:hAnsi="宋体" w:eastAsia="宋体" w:cs="宋体"/>
          <w:color w:val="auto"/>
          <w:kern w:val="0"/>
          <w:sz w:val="24"/>
          <w:szCs w:val="24"/>
          <w:highlight w:val="none"/>
          <w:lang w:val="en-US" w:eastAsia="zh-CN" w:bidi="ar"/>
        </w:rPr>
        <w:t>。若我司不按贵中心要求提交新的</w:t>
      </w:r>
      <w:r>
        <w:rPr>
          <w:rFonts w:hint="eastAsia" w:ascii="宋体" w:hAnsi="宋体" w:eastAsia="宋体" w:cs="宋体"/>
          <w:color w:val="auto"/>
          <w:kern w:val="0"/>
          <w:sz w:val="24"/>
          <w:szCs w:val="24"/>
          <w:highlight w:val="none"/>
          <w:shd w:val="clear" w:fill="FFFF00"/>
          <w:lang w:val="en-US" w:eastAsia="zh-CN" w:bidi="ar"/>
        </w:rPr>
        <w:t>履约</w:t>
      </w:r>
      <w:r>
        <w:rPr>
          <w:rFonts w:hint="eastAsia" w:ascii="宋体" w:hAnsi="宋体" w:eastAsia="宋体" w:cs="宋体"/>
          <w:color w:val="auto"/>
          <w:spacing w:val="4"/>
          <w:kern w:val="0"/>
          <w:sz w:val="24"/>
          <w:szCs w:val="24"/>
          <w:highlight w:val="none"/>
          <w:shd w:val="clear" w:fill="FFFF00"/>
          <w:lang w:val="en-US" w:eastAsia="zh-CN" w:bidi="ar"/>
        </w:rPr>
        <w:t>担保</w:t>
      </w:r>
      <w:r>
        <w:rPr>
          <w:rFonts w:hint="eastAsia" w:ascii="宋体" w:hAnsi="宋体" w:eastAsia="宋体" w:cs="宋体"/>
          <w:color w:val="auto"/>
          <w:kern w:val="0"/>
          <w:sz w:val="24"/>
          <w:szCs w:val="24"/>
          <w:highlight w:val="none"/>
          <w:lang w:val="en-US" w:eastAsia="zh-CN" w:bidi="ar"/>
        </w:rPr>
        <w:t>，则贵中心有权暂停支付余下的合同价款，直至我司提交新的</w:t>
      </w:r>
      <w:r>
        <w:rPr>
          <w:rFonts w:hint="eastAsia" w:ascii="宋体" w:hAnsi="宋体" w:eastAsia="宋体" w:cs="宋体"/>
          <w:color w:val="auto"/>
          <w:kern w:val="0"/>
          <w:sz w:val="24"/>
          <w:szCs w:val="24"/>
          <w:highlight w:val="none"/>
          <w:shd w:val="clear" w:fill="FFFF00"/>
          <w:lang w:val="en-US" w:eastAsia="zh-CN" w:bidi="ar"/>
        </w:rPr>
        <w:t>履约</w:t>
      </w:r>
      <w:r>
        <w:rPr>
          <w:rFonts w:hint="eastAsia" w:ascii="宋体" w:hAnsi="宋体" w:eastAsia="宋体" w:cs="宋体"/>
          <w:color w:val="auto"/>
          <w:spacing w:val="4"/>
          <w:kern w:val="0"/>
          <w:sz w:val="24"/>
          <w:szCs w:val="24"/>
          <w:highlight w:val="none"/>
          <w:shd w:val="clear" w:fill="FFFF00"/>
          <w:lang w:val="en-US" w:eastAsia="zh-CN" w:bidi="ar"/>
        </w:rPr>
        <w:t>担保</w:t>
      </w:r>
      <w:r>
        <w:rPr>
          <w:rFonts w:hint="eastAsia" w:ascii="宋体" w:hAnsi="宋体" w:eastAsia="宋体" w:cs="宋体"/>
          <w:color w:val="auto"/>
          <w:kern w:val="0"/>
          <w:sz w:val="24"/>
          <w:szCs w:val="24"/>
          <w:highlight w:val="none"/>
          <w:lang w:val="en-US" w:eastAsia="zh-CN" w:bidi="ar"/>
        </w:rPr>
        <w:t>或提供本项目所需全部分部（子分部）工程质量验收记录及竣工图。</w:t>
      </w:r>
    </w:p>
    <w:p w14:paraId="06740037">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特此承诺。</w:t>
      </w:r>
    </w:p>
    <w:p w14:paraId="7CDA815E">
      <w:pPr>
        <w:keepNext w:val="0"/>
        <w:keepLines w:val="0"/>
        <w:widowControl w:val="0"/>
        <w:suppressLineNumbers w:val="0"/>
        <w:autoSpaceDE w:val="0"/>
        <w:autoSpaceDN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14:paraId="71BCE1FE">
      <w:pPr>
        <w:keepNext w:val="0"/>
        <w:keepLines w:val="0"/>
        <w:widowControl w:val="0"/>
        <w:suppressLineNumbers w:val="0"/>
        <w:autoSpaceDE w:val="0"/>
        <w:autoSpaceDN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14:paraId="7A14AFEC">
      <w:pPr>
        <w:keepNext w:val="0"/>
        <w:keepLines w:val="0"/>
        <w:widowControl w:val="0"/>
        <w:suppressLineNumbers w:val="0"/>
        <w:autoSpaceDE w:val="0"/>
        <w:autoSpaceDN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14:paraId="2F76556E">
      <w:pPr>
        <w:keepNext w:val="0"/>
        <w:keepLines w:val="0"/>
        <w:widowControl w:val="0"/>
        <w:suppressLineNumbers w:val="0"/>
        <w:autoSpaceDE w:val="0"/>
        <w:autoSpaceDN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承诺人：</w:t>
      </w:r>
    </w:p>
    <w:p w14:paraId="362E35F8">
      <w:pPr>
        <w:keepNext w:val="0"/>
        <w:keepLines w:val="0"/>
        <w:widowControl w:val="0"/>
        <w:suppressLineNumbers w:val="0"/>
        <w:autoSpaceDE w:val="0"/>
        <w:autoSpaceDN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14:paraId="10AF3208">
      <w:pPr>
        <w:keepNext w:val="0"/>
        <w:keepLines w:val="0"/>
        <w:widowControl w:val="0"/>
        <w:suppressLineNumbers w:val="0"/>
        <w:autoSpaceDE w:val="0"/>
        <w:autoSpaceDN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法定代表人：</w:t>
      </w:r>
    </w:p>
    <w:p w14:paraId="1ACE348C">
      <w:pPr>
        <w:keepNext w:val="0"/>
        <w:keepLines w:val="0"/>
        <w:widowControl w:val="0"/>
        <w:suppressLineNumbers w:val="0"/>
        <w:adjustRightInd w:val="0"/>
        <w:snapToGrid w:val="0"/>
        <w:spacing w:before="0" w:beforeAutospacing="0" w:after="0" w:afterAutospacing="0" w:line="360" w:lineRule="auto"/>
        <w:ind w:left="0" w:right="0" w:firstLine="5160" w:firstLineChars="215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14:paraId="171A0F73">
      <w:pPr>
        <w:keepNext w:val="0"/>
        <w:keepLines w:val="0"/>
        <w:widowControl w:val="0"/>
        <w:suppressLineNumbers w:val="0"/>
        <w:adjustRightInd w:val="0"/>
        <w:snapToGrid w:val="0"/>
        <w:spacing w:before="0" w:beforeAutospacing="0" w:after="0" w:afterAutospacing="0" w:line="360" w:lineRule="auto"/>
        <w:ind w:left="0" w:right="0" w:firstLine="5160" w:firstLineChars="215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日期：     年   月   日</w:t>
      </w:r>
    </w:p>
    <w:p w14:paraId="45D2FDDC">
      <w:pPr>
        <w:keepNext w:val="0"/>
        <w:keepLines w:val="0"/>
        <w:widowControl w:val="0"/>
        <w:suppressLineNumbers w:val="0"/>
        <w:adjustRightInd w:val="0"/>
        <w:snapToGrid w:val="0"/>
        <w:spacing w:before="0" w:beforeAutospacing="0" w:after="0" w:afterAutospacing="0" w:line="360" w:lineRule="auto"/>
        <w:ind w:left="0" w:right="0"/>
        <w:jc w:val="left"/>
        <w:rPr>
          <w:rFonts w:hint="eastAsia" w:ascii="宋体" w:hAnsi="宋体" w:eastAsia="宋体" w:cs="宋体"/>
          <w:b/>
          <w:bCs w:val="0"/>
          <w:color w:val="auto"/>
          <w:kern w:val="0"/>
          <w:sz w:val="32"/>
          <w:szCs w:val="32"/>
          <w:highlight w:val="none"/>
          <w:u w:val="single"/>
        </w:rPr>
      </w:pPr>
      <w:r>
        <w:rPr>
          <w:rFonts w:hint="eastAsia" w:ascii="宋体" w:hAnsi="宋体" w:eastAsia="宋体" w:cs="宋体"/>
          <w:b/>
          <w:bCs w:val="0"/>
          <w:color w:val="auto"/>
          <w:kern w:val="0"/>
          <w:sz w:val="32"/>
          <w:szCs w:val="32"/>
          <w:highlight w:val="none"/>
          <w:u w:val="single"/>
          <w:lang w:val="en-US" w:eastAsia="zh-CN" w:bidi="ar"/>
        </w:rPr>
        <w:t xml:space="preserve"> </w:t>
      </w:r>
    </w:p>
    <w:p w14:paraId="0E4BFDB9">
      <w:pPr>
        <w:keepNext w:val="0"/>
        <w:keepLines w:val="0"/>
        <w:widowControl w:val="0"/>
        <w:suppressLineNumbers w:val="0"/>
        <w:adjustRightInd w:val="0"/>
        <w:snapToGrid w:val="0"/>
        <w:spacing w:before="0" w:beforeAutospacing="0" w:after="0" w:afterAutospacing="0" w:line="360" w:lineRule="auto"/>
        <w:ind w:left="0" w:right="0"/>
        <w:jc w:val="left"/>
        <w:rPr>
          <w:rFonts w:hint="eastAsia" w:ascii="宋体" w:hAnsi="宋体" w:eastAsia="宋体" w:cs="宋体"/>
          <w:b/>
          <w:bCs w:val="0"/>
          <w:color w:val="auto"/>
          <w:kern w:val="0"/>
          <w:sz w:val="32"/>
          <w:szCs w:val="32"/>
          <w:highlight w:val="none"/>
          <w:u w:val="single"/>
        </w:rPr>
      </w:pPr>
      <w:r>
        <w:rPr>
          <w:rFonts w:hint="eastAsia" w:ascii="宋体" w:hAnsi="宋体" w:eastAsia="宋体" w:cs="宋体"/>
          <w:b/>
          <w:bCs w:val="0"/>
          <w:color w:val="auto"/>
          <w:kern w:val="0"/>
          <w:sz w:val="32"/>
          <w:szCs w:val="32"/>
          <w:highlight w:val="none"/>
          <w:u w:val="single"/>
          <w:lang w:val="en-US" w:eastAsia="zh-CN" w:bidi="ar"/>
        </w:rPr>
        <w:t xml:space="preserve"> </w:t>
      </w:r>
    </w:p>
    <w:p w14:paraId="06306A00">
      <w:pPr>
        <w:keepNext w:val="0"/>
        <w:keepLines w:val="0"/>
        <w:widowControl w:val="0"/>
        <w:suppressLineNumbers w:val="0"/>
        <w:adjustRightInd w:val="0"/>
        <w:snapToGrid w:val="0"/>
        <w:spacing w:before="0" w:beforeAutospacing="0" w:after="0" w:afterAutospacing="0" w:line="360" w:lineRule="auto"/>
        <w:ind w:left="0" w:right="0"/>
        <w:jc w:val="left"/>
        <w:rPr>
          <w:rFonts w:hint="eastAsia" w:ascii="宋体" w:hAnsi="宋体" w:eastAsia="宋体" w:cs="宋体"/>
          <w:b/>
          <w:bCs w:val="0"/>
          <w:color w:val="auto"/>
          <w:kern w:val="0"/>
          <w:sz w:val="32"/>
          <w:szCs w:val="32"/>
          <w:highlight w:val="none"/>
          <w:u w:val="single"/>
        </w:rPr>
      </w:pPr>
      <w:r>
        <w:rPr>
          <w:rFonts w:hint="eastAsia" w:ascii="宋体" w:hAnsi="宋体" w:eastAsia="宋体" w:cs="宋体"/>
          <w:b/>
          <w:bCs w:val="0"/>
          <w:color w:val="auto"/>
          <w:kern w:val="0"/>
          <w:sz w:val="32"/>
          <w:szCs w:val="32"/>
          <w:highlight w:val="none"/>
          <w:u w:val="single"/>
          <w:lang w:val="en-US" w:eastAsia="zh-CN" w:bidi="ar"/>
        </w:rPr>
        <w:t xml:space="preserve"> </w:t>
      </w:r>
    </w:p>
    <w:p w14:paraId="12416E84">
      <w:pPr>
        <w:keepNext w:val="0"/>
        <w:keepLines w:val="0"/>
        <w:widowControl w:val="0"/>
        <w:suppressLineNumbers w:val="0"/>
        <w:adjustRightInd w:val="0"/>
        <w:snapToGrid w:val="0"/>
        <w:spacing w:before="0" w:beforeAutospacing="0" w:after="0" w:afterAutospacing="0" w:line="360" w:lineRule="auto"/>
        <w:ind w:left="0" w:right="0"/>
        <w:jc w:val="left"/>
        <w:rPr>
          <w:rFonts w:hint="eastAsia" w:ascii="宋体" w:hAnsi="宋体" w:eastAsia="宋体" w:cs="宋体"/>
          <w:b/>
          <w:bCs w:val="0"/>
          <w:color w:val="auto"/>
          <w:kern w:val="0"/>
          <w:sz w:val="32"/>
          <w:szCs w:val="32"/>
          <w:highlight w:val="none"/>
          <w:u w:val="single"/>
        </w:rPr>
      </w:pPr>
      <w:r>
        <w:rPr>
          <w:rFonts w:hint="eastAsia" w:ascii="宋体" w:hAnsi="宋体" w:eastAsia="宋体" w:cs="宋体"/>
          <w:b/>
          <w:bCs w:val="0"/>
          <w:color w:val="auto"/>
          <w:kern w:val="0"/>
          <w:sz w:val="32"/>
          <w:szCs w:val="32"/>
          <w:highlight w:val="none"/>
          <w:u w:val="single"/>
          <w:lang w:val="en-US" w:eastAsia="zh-CN" w:bidi="ar"/>
        </w:rPr>
        <w:t xml:space="preserve"> </w:t>
      </w:r>
    </w:p>
    <w:p w14:paraId="4E51ED7A">
      <w:pPr>
        <w:keepNext w:val="0"/>
        <w:keepLines w:val="0"/>
        <w:widowControl w:val="0"/>
        <w:suppressLineNumbers w:val="0"/>
        <w:adjustRightInd w:val="0"/>
        <w:snapToGrid w:val="0"/>
        <w:spacing w:before="0" w:beforeAutospacing="0" w:after="0" w:afterAutospacing="0" w:line="360" w:lineRule="auto"/>
        <w:ind w:left="0" w:right="0"/>
        <w:jc w:val="left"/>
        <w:rPr>
          <w:rFonts w:hint="eastAsia" w:ascii="宋体" w:hAnsi="宋体" w:eastAsia="宋体" w:cs="宋体"/>
          <w:b/>
          <w:bCs w:val="0"/>
          <w:color w:val="auto"/>
          <w:kern w:val="0"/>
          <w:sz w:val="32"/>
          <w:szCs w:val="32"/>
          <w:highlight w:val="none"/>
          <w:u w:val="single"/>
        </w:rPr>
      </w:pPr>
      <w:r>
        <w:rPr>
          <w:rFonts w:hint="eastAsia" w:ascii="宋体" w:hAnsi="宋体" w:eastAsia="宋体" w:cs="宋体"/>
          <w:b/>
          <w:bCs w:val="0"/>
          <w:color w:val="auto"/>
          <w:kern w:val="0"/>
          <w:sz w:val="32"/>
          <w:szCs w:val="32"/>
          <w:highlight w:val="none"/>
          <w:u w:val="single"/>
          <w:lang w:val="en-US" w:eastAsia="zh-CN" w:bidi="ar"/>
        </w:rPr>
        <w:t xml:space="preserve"> </w:t>
      </w:r>
    </w:p>
    <w:p w14:paraId="615AA4D0">
      <w:pPr>
        <w:keepNext w:val="0"/>
        <w:keepLines w:val="0"/>
        <w:widowControl w:val="0"/>
        <w:suppressLineNumbers w:val="0"/>
        <w:spacing w:before="0" w:beforeAutospacing="0" w:after="0" w:afterAutospacing="0"/>
        <w:ind w:left="0" w:right="11" w:firstLine="476" w:firstLineChars="192"/>
        <w:jc w:val="both"/>
        <w:rPr>
          <w:rFonts w:hint="eastAsia" w:ascii="宋体" w:hAnsi="Calibri" w:eastAsia="宋体" w:cs="Times New Roman"/>
          <w:color w:val="auto"/>
          <w:spacing w:val="4"/>
          <w:kern w:val="0"/>
          <w:sz w:val="24"/>
          <w:szCs w:val="24"/>
          <w:highlight w:val="none"/>
        </w:rPr>
      </w:pPr>
      <w:r>
        <w:rPr>
          <w:rFonts w:hint="eastAsia" w:ascii="宋体" w:hAnsi="Calibri" w:eastAsia="宋体" w:cs="Times New Roman"/>
          <w:color w:val="auto"/>
          <w:spacing w:val="4"/>
          <w:kern w:val="0"/>
          <w:sz w:val="24"/>
          <w:szCs w:val="24"/>
          <w:highlight w:val="none"/>
          <w:lang w:val="en-US" w:eastAsia="zh-CN" w:bidi="ar"/>
        </w:rPr>
        <w:t xml:space="preserve"> </w:t>
      </w:r>
    </w:p>
    <w:p w14:paraId="21A909F2">
      <w:pPr>
        <w:pStyle w:val="14"/>
        <w:keepNext w:val="0"/>
        <w:keepLines w:val="0"/>
        <w:widowControl w:val="0"/>
        <w:suppressLineNumbers w:val="0"/>
        <w:spacing w:before="0" w:beforeAutospacing="0" w:after="0" w:afterAutospacing="0"/>
        <w:ind w:left="0" w:right="0" w:firstLine="42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br w:type="page"/>
      </w:r>
    </w:p>
    <w:p w14:paraId="123F8AA4">
      <w:pPr>
        <w:keepNext w:val="0"/>
        <w:keepLines w:val="0"/>
        <w:widowControl w:val="0"/>
        <w:suppressLineNumbers w:val="0"/>
        <w:adjustRightInd w:val="0"/>
        <w:snapToGrid w:val="0"/>
        <w:spacing w:before="0" w:beforeAutospacing="0" w:after="0" w:afterAutospacing="0" w:line="360" w:lineRule="auto"/>
        <w:ind w:left="0" w:right="0"/>
        <w:jc w:val="left"/>
        <w:rPr>
          <w:rFonts w:hint="eastAsia" w:ascii="宋体" w:hAnsi="宋体" w:eastAsia="宋体" w:cs="宋体"/>
          <w:b/>
          <w:bCs w:val="0"/>
          <w:color w:val="auto"/>
          <w:spacing w:val="-20"/>
          <w:kern w:val="0"/>
          <w:sz w:val="32"/>
          <w:szCs w:val="32"/>
          <w:highlight w:val="none"/>
        </w:rPr>
      </w:pPr>
      <w:r>
        <w:rPr>
          <w:rFonts w:hint="eastAsia" w:ascii="宋体" w:hAnsi="宋体" w:eastAsia="宋体" w:cs="宋体"/>
          <w:b/>
          <w:bCs w:val="0"/>
          <w:color w:val="auto"/>
          <w:spacing w:val="-20"/>
          <w:kern w:val="0"/>
          <w:sz w:val="32"/>
          <w:szCs w:val="32"/>
          <w:highlight w:val="none"/>
          <w:lang w:val="en-US" w:eastAsia="zh-CN" w:bidi="ar"/>
        </w:rPr>
        <w:t>附文4：</w:t>
      </w:r>
    </w:p>
    <w:p w14:paraId="4B2F6841">
      <w:pPr>
        <w:keepNext w:val="0"/>
        <w:keepLines w:val="0"/>
        <w:widowControl w:val="0"/>
        <w:suppressLineNumbers w:val="0"/>
        <w:adjustRightInd w:val="0"/>
        <w:snapToGrid w:val="0"/>
        <w:spacing w:before="0" w:beforeAutospacing="0" w:after="0" w:afterAutospacing="0" w:line="360" w:lineRule="auto"/>
        <w:ind w:left="0" w:right="0"/>
        <w:jc w:val="left"/>
        <w:rPr>
          <w:rFonts w:hint="eastAsia" w:ascii="宋体" w:hAnsi="Calibri" w:eastAsia="宋体" w:cs="宋体"/>
          <w:b/>
          <w:bCs w:val="0"/>
          <w:color w:val="auto"/>
          <w:spacing w:val="-20"/>
          <w:kern w:val="0"/>
          <w:sz w:val="32"/>
          <w:szCs w:val="32"/>
          <w:highlight w:val="none"/>
        </w:rPr>
      </w:pPr>
      <w:r>
        <w:rPr>
          <w:rFonts w:hint="eastAsia" w:ascii="宋体" w:hAnsi="宋体" w:eastAsia="宋体" w:cs="宋体"/>
          <w:b/>
          <w:bCs w:val="0"/>
          <w:color w:val="auto"/>
          <w:spacing w:val="-20"/>
          <w:kern w:val="0"/>
          <w:sz w:val="32"/>
          <w:szCs w:val="32"/>
          <w:highlight w:val="none"/>
          <w:lang w:val="en-US" w:eastAsia="zh-CN" w:bidi="ar"/>
        </w:rPr>
        <w:t>附件19：</w:t>
      </w:r>
    </w:p>
    <w:p w14:paraId="30DCD795">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Times New Roman" w:eastAsia="宋体" w:cs="宋体"/>
          <w:b/>
          <w:bCs w:val="0"/>
          <w:color w:val="auto"/>
          <w:spacing w:val="-20"/>
          <w:kern w:val="0"/>
          <w:sz w:val="32"/>
          <w:szCs w:val="32"/>
          <w:highlight w:val="none"/>
        </w:rPr>
      </w:pPr>
      <w:r>
        <w:rPr>
          <w:rFonts w:hint="eastAsia" w:ascii="宋体" w:hAnsi="宋体" w:eastAsia="宋体" w:cs="宋体"/>
          <w:b/>
          <w:bCs w:val="0"/>
          <w:color w:val="auto"/>
          <w:spacing w:val="-20"/>
          <w:kern w:val="0"/>
          <w:sz w:val="32"/>
          <w:szCs w:val="32"/>
          <w:highlight w:val="none"/>
          <w:lang w:val="en-US" w:eastAsia="zh-CN" w:bidi="ar"/>
        </w:rPr>
        <w:t>工程工人工资委托代发协议书（格式）</w:t>
      </w:r>
    </w:p>
    <w:p w14:paraId="679A4292">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Times New Roman" w:eastAsia="宋体" w:cs="宋体"/>
          <w:b/>
          <w:bCs w:val="0"/>
          <w:color w:val="auto"/>
          <w:kern w:val="0"/>
          <w:sz w:val="24"/>
          <w:szCs w:val="24"/>
          <w:highlight w:val="none"/>
        </w:rPr>
      </w:pPr>
      <w:r>
        <w:rPr>
          <w:rFonts w:hint="eastAsia" w:ascii="宋体" w:hAnsi="Times New Roman" w:eastAsia="宋体" w:cs="宋体"/>
          <w:b/>
          <w:bCs w:val="0"/>
          <w:color w:val="auto"/>
          <w:kern w:val="0"/>
          <w:sz w:val="24"/>
          <w:szCs w:val="24"/>
          <w:highlight w:val="none"/>
          <w:lang w:val="en-US" w:eastAsia="zh-CN" w:bidi="ar"/>
        </w:rPr>
        <w:t xml:space="preserve"> </w:t>
      </w:r>
    </w:p>
    <w:p w14:paraId="7D7E929F">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Times New Roman" w:eastAsia="宋体" w:cs="宋体"/>
          <w:b/>
          <w:bCs w:val="0"/>
          <w:color w:val="auto"/>
          <w:spacing w:val="-20"/>
          <w:kern w:val="0"/>
          <w:sz w:val="24"/>
          <w:szCs w:val="24"/>
          <w:highlight w:val="none"/>
        </w:rPr>
      </w:pPr>
      <w:r>
        <w:rPr>
          <w:rFonts w:hint="eastAsia" w:ascii="宋体" w:hAnsi="宋体" w:eastAsia="宋体" w:cs="宋体"/>
          <w:b/>
          <w:bCs w:val="0"/>
          <w:color w:val="auto"/>
          <w:kern w:val="0"/>
          <w:sz w:val="24"/>
          <w:szCs w:val="24"/>
          <w:highlight w:val="none"/>
          <w:lang w:val="en-US" w:eastAsia="zh-CN" w:bidi="ar"/>
        </w:rPr>
        <w:t>发  包  人（甲方）：广州市重点公共建设项目管理中心</w:t>
      </w:r>
    </w:p>
    <w:p w14:paraId="51D9A0FA">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Times New Roman"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总 承 包人（乙方）：</w:t>
      </w:r>
    </w:p>
    <w:p w14:paraId="6A9C185E">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Times New Roman" w:eastAsia="宋体" w:cs="宋体"/>
          <w:b/>
          <w:bCs w:val="0"/>
          <w:color w:val="auto"/>
          <w:spacing w:val="-20"/>
          <w:kern w:val="0"/>
          <w:sz w:val="24"/>
          <w:szCs w:val="24"/>
          <w:highlight w:val="none"/>
        </w:rPr>
      </w:pPr>
      <w:r>
        <w:rPr>
          <w:rFonts w:hint="eastAsia" w:ascii="宋体" w:hAnsi="宋体" w:eastAsia="宋体" w:cs="宋体"/>
          <w:b/>
          <w:bCs w:val="0"/>
          <w:color w:val="auto"/>
          <w:kern w:val="0"/>
          <w:sz w:val="24"/>
          <w:szCs w:val="24"/>
          <w:highlight w:val="none"/>
          <w:lang w:val="en-US" w:eastAsia="zh-CN" w:bidi="ar"/>
        </w:rPr>
        <w:t>专业承包人（丙方）：</w:t>
      </w:r>
    </w:p>
    <w:p w14:paraId="18F8E8B7">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Times New Roman" w:eastAsia="宋体" w:cs="宋体"/>
          <w:b/>
          <w:bCs w:val="0"/>
          <w:color w:val="auto"/>
          <w:spacing w:val="-20"/>
          <w:kern w:val="0"/>
          <w:sz w:val="24"/>
          <w:szCs w:val="24"/>
          <w:highlight w:val="none"/>
        </w:rPr>
      </w:pPr>
      <w:r>
        <w:rPr>
          <w:rFonts w:hint="eastAsia" w:ascii="宋体" w:hAnsi="Times New Roman" w:eastAsia="宋体" w:cs="宋体"/>
          <w:b/>
          <w:bCs w:val="0"/>
          <w:color w:val="auto"/>
          <w:spacing w:val="-20"/>
          <w:kern w:val="0"/>
          <w:sz w:val="24"/>
          <w:szCs w:val="24"/>
          <w:highlight w:val="none"/>
          <w:lang w:val="en-US" w:eastAsia="zh-CN" w:bidi="ar"/>
        </w:rPr>
        <w:t xml:space="preserve"> </w:t>
      </w:r>
    </w:p>
    <w:p w14:paraId="70AFB244">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Times New Roman" w:eastAsia="宋体" w:cs="宋体"/>
          <w:color w:val="auto"/>
          <w:spacing w:val="-20"/>
          <w:kern w:val="0"/>
          <w:sz w:val="24"/>
          <w:szCs w:val="24"/>
          <w:highlight w:val="none"/>
        </w:rPr>
      </w:pPr>
      <w:r>
        <w:rPr>
          <w:rFonts w:hint="eastAsia" w:ascii="宋体" w:hAnsi="宋体" w:eastAsia="宋体" w:cs="宋体"/>
          <w:b/>
          <w:bCs w:val="0"/>
          <w:color w:val="auto"/>
          <w:kern w:val="0"/>
          <w:sz w:val="24"/>
          <w:szCs w:val="24"/>
          <w:highlight w:val="none"/>
          <w:lang w:val="en-US" w:eastAsia="zh-CN" w:bidi="ar"/>
        </w:rPr>
        <w:t>鉴于：</w:t>
      </w:r>
    </w:p>
    <w:p w14:paraId="5C6C95C9">
      <w:pPr>
        <w:keepNext w:val="0"/>
        <w:keepLines w:val="0"/>
        <w:widowControl w:val="0"/>
        <w:suppressLineNumbers w:val="0"/>
        <w:adjustRightInd w:val="0"/>
        <w:snapToGrid w:val="0"/>
        <w:spacing w:before="0" w:beforeAutospacing="0" w:after="0" w:afterAutospacing="0" w:line="360" w:lineRule="auto"/>
        <w:ind w:left="118" w:leftChars="56" w:right="11" w:firstLine="348" w:firstLineChars="145"/>
        <w:jc w:val="both"/>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w:t>
      </w:r>
      <w:r>
        <w:rPr>
          <w:rFonts w:hint="eastAsia" w:ascii="宋体" w:hAnsi="Times New Roman"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（以下称乙方）为（以下称本项目）施工总承包单位，负责本项目施工总承包及</w:t>
      </w:r>
      <w:r>
        <w:rPr>
          <w:rFonts w:hint="eastAsia" w:ascii="宋体" w:hAnsi="宋体" w:eastAsia="宋体" w:cs="宋体"/>
          <w:bCs/>
          <w:color w:val="auto"/>
          <w:kern w:val="0"/>
          <w:sz w:val="24"/>
          <w:szCs w:val="24"/>
          <w:highlight w:val="none"/>
          <w:lang w:val="en-US" w:eastAsia="zh-CN" w:bidi="ar"/>
        </w:rPr>
        <w:t>施工总承包管理与配合服务</w:t>
      </w:r>
      <w:r>
        <w:rPr>
          <w:rFonts w:hint="eastAsia" w:ascii="宋体" w:hAnsi="宋体" w:eastAsia="宋体" w:cs="宋体"/>
          <w:color w:val="auto"/>
          <w:kern w:val="0"/>
          <w:sz w:val="24"/>
          <w:szCs w:val="24"/>
          <w:highlight w:val="none"/>
          <w:lang w:val="en-US" w:eastAsia="zh-CN" w:bidi="ar"/>
        </w:rPr>
        <w:t>。</w:t>
      </w:r>
    </w:p>
    <w:p w14:paraId="5EA423B4">
      <w:pPr>
        <w:keepNext w:val="0"/>
        <w:keepLines w:val="0"/>
        <w:widowControl w:val="0"/>
        <w:suppressLineNumbers w:val="0"/>
        <w:adjustRightInd w:val="0"/>
        <w:snapToGrid w:val="0"/>
        <w:spacing w:before="0" w:beforeAutospacing="0" w:after="0" w:afterAutospacing="0" w:line="360" w:lineRule="auto"/>
        <w:ind w:left="118" w:leftChars="56" w:right="11" w:firstLine="348" w:firstLineChars="145"/>
        <w:jc w:val="both"/>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2.发包人</w:t>
      </w:r>
      <w:r>
        <w:rPr>
          <w:rFonts w:hint="eastAsia" w:ascii="宋体" w:hAnsi="宋体" w:eastAsia="宋体" w:cs="宋体"/>
          <w:b/>
          <w:bCs w:val="0"/>
          <w:color w:val="auto"/>
          <w:kern w:val="0"/>
          <w:sz w:val="24"/>
          <w:szCs w:val="24"/>
          <w:highlight w:val="none"/>
          <w:lang w:val="en-US" w:eastAsia="zh-CN" w:bidi="ar"/>
        </w:rPr>
        <w:t>广州市重点公共建设项目管理中心</w:t>
      </w:r>
      <w:r>
        <w:rPr>
          <w:rFonts w:hint="eastAsia" w:ascii="宋体" w:hAnsi="宋体" w:eastAsia="宋体" w:cs="宋体"/>
          <w:color w:val="auto"/>
          <w:kern w:val="0"/>
          <w:sz w:val="24"/>
          <w:szCs w:val="24"/>
          <w:highlight w:val="none"/>
          <w:lang w:val="en-US" w:eastAsia="zh-CN" w:bidi="ar"/>
        </w:rPr>
        <w:t>（以下称甲方）依法确定（以下称丙方）为本项目XX工程的专业承包单位。甲方与丙方签订《》（合同编号：，以下称《XX承包合同》）。《XX承包合同》约定由丙方负责本项目XX工程施工。</w:t>
      </w:r>
    </w:p>
    <w:p w14:paraId="0C3A756E">
      <w:pPr>
        <w:keepNext w:val="0"/>
        <w:keepLines w:val="0"/>
        <w:widowControl w:val="0"/>
        <w:suppressLineNumbers w:val="0"/>
        <w:adjustRightInd w:val="0"/>
        <w:snapToGrid w:val="0"/>
        <w:spacing w:before="240" w:beforeAutospacing="0" w:after="0" w:afterAutospacing="0" w:line="360" w:lineRule="auto"/>
        <w:ind w:left="0" w:right="11" w:firstLine="470" w:firstLineChars="196"/>
        <w:jc w:val="both"/>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现根据《保障农民工工资支付条例》、《广州市根治农民工工资工作领导小组关于&lt;贯彻落实广东省源头治理欠薪问题实施办法&gt;实施方案的通知》等相关规定，甲、乙、丙三方经协商一致，就本项目XX工程</w:t>
      </w:r>
      <w:r>
        <w:rPr>
          <w:rFonts w:hint="eastAsia" w:ascii="宋体" w:hAnsi="宋体" w:eastAsia="宋体" w:cs="宋体"/>
          <w:bCs/>
          <w:color w:val="auto"/>
          <w:kern w:val="0"/>
          <w:sz w:val="24"/>
          <w:szCs w:val="24"/>
          <w:highlight w:val="none"/>
          <w:lang w:val="en-US" w:eastAsia="zh-CN" w:bidi="ar"/>
        </w:rPr>
        <w:t>工人工资委托代发</w:t>
      </w:r>
      <w:r>
        <w:rPr>
          <w:rFonts w:hint="eastAsia" w:ascii="宋体" w:hAnsi="宋体" w:eastAsia="宋体" w:cs="宋体"/>
          <w:color w:val="auto"/>
          <w:kern w:val="0"/>
          <w:sz w:val="24"/>
          <w:szCs w:val="24"/>
          <w:highlight w:val="none"/>
          <w:lang w:val="en-US" w:eastAsia="zh-CN" w:bidi="ar"/>
        </w:rPr>
        <w:t>事宜达成以下约定，以资共同遵守。</w:t>
      </w:r>
    </w:p>
    <w:p w14:paraId="6259CCF0">
      <w:pPr>
        <w:keepNext w:val="0"/>
        <w:keepLines w:val="0"/>
        <w:widowControl w:val="0"/>
        <w:suppressLineNumbers w:val="0"/>
        <w:adjustRightInd w:val="0"/>
        <w:snapToGrid w:val="0"/>
        <w:spacing w:before="0" w:beforeAutospacing="0" w:after="0" w:afterAutospacing="0" w:line="360" w:lineRule="auto"/>
        <w:ind w:left="0" w:right="11" w:firstLine="472" w:firstLineChars="196"/>
        <w:jc w:val="both"/>
        <w:rPr>
          <w:rFonts w:hint="eastAsia" w:ascii="宋体" w:hAnsi="Times New Roman" w:eastAsia="宋体" w:cs="宋体"/>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第一条</w:t>
      </w:r>
      <w:r>
        <w:rPr>
          <w:rFonts w:hint="eastAsia" w:ascii="宋体" w:hAnsi="宋体" w:eastAsia="宋体" w:cs="宋体"/>
          <w:color w:val="auto"/>
          <w:kern w:val="0"/>
          <w:sz w:val="24"/>
          <w:szCs w:val="24"/>
          <w:highlight w:val="none"/>
          <w:lang w:val="en-US" w:eastAsia="zh-CN" w:bidi="ar"/>
        </w:rPr>
        <w:t>甲、丙方就XX工程应付的工人工资，委托乙方进行总包代收代发。由丙方在广州市建设领域管理应用信息平台提交总包代发申请，经乙方审核后提交本项目总监理工程师审核。</w:t>
      </w:r>
    </w:p>
    <w:p w14:paraId="1D1C7764">
      <w:pPr>
        <w:keepNext w:val="0"/>
        <w:keepLines w:val="0"/>
        <w:widowControl w:val="0"/>
        <w:suppressLineNumbers w:val="0"/>
        <w:adjustRightInd w:val="0"/>
        <w:snapToGrid w:val="0"/>
        <w:spacing w:before="0" w:beforeAutospacing="0" w:after="0" w:afterAutospacing="0" w:line="360" w:lineRule="auto"/>
        <w:ind w:left="0" w:right="11" w:firstLine="472" w:firstLineChars="196"/>
        <w:jc w:val="both"/>
        <w:rPr>
          <w:rFonts w:hint="eastAsia" w:ascii="宋体" w:hAnsi="Times New Roman" w:eastAsia="宋体" w:cs="宋体"/>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第二条</w:t>
      </w:r>
      <w:r>
        <w:rPr>
          <w:rFonts w:hint="eastAsia" w:ascii="宋体" w:hAnsi="宋体" w:eastAsia="宋体" w:cs="宋体"/>
          <w:color w:val="auto"/>
          <w:kern w:val="0"/>
          <w:sz w:val="24"/>
          <w:szCs w:val="24"/>
          <w:highlight w:val="none"/>
          <w:lang w:val="en-US" w:eastAsia="zh-CN" w:bidi="ar"/>
        </w:rPr>
        <w:t>丙方负责其工人信息的录入及考勤等操作，并将相关的人员信息（包括与工人签订的合同、施工人员身份证复印件、施工人员本人工资银行卡复印件等）报乙方备案。相关信息与资料的真实性、完整性由丙方负责。</w:t>
      </w:r>
    </w:p>
    <w:p w14:paraId="2500CBE3">
      <w:pPr>
        <w:keepNext w:val="0"/>
        <w:keepLines w:val="0"/>
        <w:widowControl w:val="0"/>
        <w:suppressLineNumbers w:val="0"/>
        <w:adjustRightInd w:val="0"/>
        <w:snapToGrid w:val="0"/>
        <w:spacing w:before="0" w:beforeAutospacing="0" w:after="0" w:afterAutospacing="0" w:line="360" w:lineRule="auto"/>
        <w:ind w:left="0" w:right="11" w:firstLine="472" w:firstLineChars="196"/>
        <w:jc w:val="both"/>
        <w:rPr>
          <w:rFonts w:hint="eastAsia" w:ascii="宋体" w:hAnsi="Times New Roman" w:eastAsia="宋体" w:cs="宋体"/>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第三条</w:t>
      </w:r>
      <w:r>
        <w:rPr>
          <w:rFonts w:hint="eastAsia" w:ascii="宋体" w:hAnsi="宋体" w:eastAsia="宋体" w:cs="宋体"/>
          <w:color w:val="auto"/>
          <w:kern w:val="0"/>
          <w:sz w:val="24"/>
          <w:szCs w:val="24"/>
          <w:highlight w:val="none"/>
          <w:lang w:val="en-US" w:eastAsia="zh-CN" w:bidi="ar"/>
        </w:rPr>
        <w:t>丙方就XX工程内应付的工人工资，按照甲方要求及《XX承包合同》的规定，按时向甲方提交支付申请并全额开具发票。乙方不参与甲、丙方的发票往来关系。</w:t>
      </w:r>
    </w:p>
    <w:p w14:paraId="1B04F95C">
      <w:pPr>
        <w:keepNext w:val="0"/>
        <w:keepLines w:val="0"/>
        <w:widowControl w:val="0"/>
        <w:suppressLineNumbers w:val="0"/>
        <w:adjustRightInd w:val="0"/>
        <w:snapToGrid w:val="0"/>
        <w:spacing w:before="0" w:beforeAutospacing="0" w:after="0" w:afterAutospacing="0" w:line="360" w:lineRule="auto"/>
        <w:ind w:left="0" w:right="11" w:firstLine="472" w:firstLineChars="196"/>
        <w:jc w:val="both"/>
        <w:rPr>
          <w:rFonts w:hint="eastAsia" w:ascii="宋体" w:hAnsi="Times New Roman" w:eastAsia="宋体" w:cs="宋体"/>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 xml:space="preserve">第四条 </w:t>
      </w:r>
      <w:r>
        <w:rPr>
          <w:rFonts w:hint="eastAsia" w:ascii="宋体" w:hAnsi="宋体" w:eastAsia="宋体" w:cs="宋体"/>
          <w:color w:val="auto"/>
          <w:kern w:val="0"/>
          <w:sz w:val="24"/>
          <w:szCs w:val="24"/>
          <w:highlight w:val="none"/>
          <w:lang w:val="en-US" w:eastAsia="zh-CN" w:bidi="ar"/>
        </w:rPr>
        <w:t>乙方应在甲方按《XX承包合同》约定将应支付的工人工资足额支付至乙方就本项目开立的工人工资支付专用账户，并收到丙方加盖公章后提供的工人花名册、考勤记录、工人工资表等资料后3个工作日内，根据丙方编制并经丙方工人本人签字确认的工资支付表，通过乙方工人工资支付专用账户直接将工资支付到丙方工人本人的银行账户，并向丙方提供代发工资凭证。</w:t>
      </w:r>
    </w:p>
    <w:p w14:paraId="41C1D12A">
      <w:pPr>
        <w:keepNext w:val="0"/>
        <w:keepLines w:val="0"/>
        <w:widowControl w:val="0"/>
        <w:suppressLineNumbers w:val="0"/>
        <w:adjustRightInd w:val="0"/>
        <w:snapToGrid w:val="0"/>
        <w:spacing w:before="0" w:beforeAutospacing="0" w:after="0" w:afterAutospacing="0" w:line="360" w:lineRule="auto"/>
        <w:ind w:left="0" w:right="11" w:firstLine="470" w:firstLineChars="196"/>
        <w:jc w:val="both"/>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乙方工人工资支付专用账户：</w:t>
      </w:r>
    </w:p>
    <w:p w14:paraId="787606C2">
      <w:pPr>
        <w:keepNext w:val="0"/>
        <w:keepLines w:val="0"/>
        <w:widowControl w:val="0"/>
        <w:suppressLineNumbers w:val="0"/>
        <w:adjustRightInd w:val="0"/>
        <w:snapToGrid w:val="0"/>
        <w:spacing w:before="0" w:beforeAutospacing="0" w:after="0" w:afterAutospacing="0" w:line="360" w:lineRule="auto"/>
        <w:ind w:left="0" w:right="11" w:firstLine="470" w:firstLineChars="196"/>
        <w:jc w:val="both"/>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户名：</w:t>
      </w:r>
    </w:p>
    <w:p w14:paraId="652F4CCD">
      <w:pPr>
        <w:keepNext w:val="0"/>
        <w:keepLines w:val="0"/>
        <w:widowControl w:val="0"/>
        <w:suppressLineNumbers w:val="0"/>
        <w:adjustRightInd w:val="0"/>
        <w:snapToGrid w:val="0"/>
        <w:spacing w:before="0" w:beforeAutospacing="0" w:after="0" w:afterAutospacing="0" w:line="360" w:lineRule="auto"/>
        <w:ind w:left="0" w:right="11" w:firstLine="470" w:firstLineChars="196"/>
        <w:jc w:val="both"/>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开户行：</w:t>
      </w:r>
    </w:p>
    <w:p w14:paraId="720C8F81">
      <w:pPr>
        <w:keepNext w:val="0"/>
        <w:keepLines w:val="0"/>
        <w:widowControl w:val="0"/>
        <w:suppressLineNumbers w:val="0"/>
        <w:adjustRightInd w:val="0"/>
        <w:snapToGrid w:val="0"/>
        <w:spacing w:before="0" w:beforeAutospacing="0" w:after="0" w:afterAutospacing="0" w:line="360" w:lineRule="auto"/>
        <w:ind w:left="0" w:right="11" w:firstLine="470" w:firstLineChars="196"/>
        <w:jc w:val="both"/>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账号：</w:t>
      </w:r>
    </w:p>
    <w:p w14:paraId="7E2D4908">
      <w:pPr>
        <w:keepNext w:val="0"/>
        <w:keepLines w:val="0"/>
        <w:widowControl w:val="0"/>
        <w:suppressLineNumbers w:val="0"/>
        <w:adjustRightInd w:val="0"/>
        <w:snapToGrid w:val="0"/>
        <w:spacing w:before="0" w:beforeAutospacing="0" w:after="0" w:afterAutospacing="0" w:line="360" w:lineRule="auto"/>
        <w:ind w:left="0" w:right="11" w:firstLine="472" w:firstLineChars="196"/>
        <w:jc w:val="both"/>
        <w:rPr>
          <w:rFonts w:hint="eastAsia" w:ascii="宋体" w:hAnsi="Times New Roman" w:eastAsia="宋体" w:cs="宋体"/>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第五条</w:t>
      </w:r>
      <w:r>
        <w:rPr>
          <w:rFonts w:hint="eastAsia" w:ascii="宋体" w:hAnsi="宋体" w:eastAsia="宋体" w:cs="宋体"/>
          <w:color w:val="auto"/>
          <w:kern w:val="0"/>
          <w:sz w:val="24"/>
          <w:szCs w:val="24"/>
          <w:highlight w:val="none"/>
          <w:lang w:val="en-US" w:eastAsia="zh-CN" w:bidi="ar"/>
        </w:rPr>
        <w:t>丙方应确保工资发放涉及所有人员，不能出现漏发、套用专户资金等问题，避免造成监理单位和乙方信用平台预警、诚信扣分等问题。乙方不得挪用甲方支付至乙方工人工资支付专用账户的丙方资金。</w:t>
      </w:r>
    </w:p>
    <w:p w14:paraId="18FB9B96">
      <w:pPr>
        <w:keepNext w:val="0"/>
        <w:keepLines w:val="0"/>
        <w:widowControl w:val="0"/>
        <w:suppressLineNumbers w:val="0"/>
        <w:adjustRightInd w:val="0"/>
        <w:snapToGrid w:val="0"/>
        <w:spacing w:before="0" w:beforeAutospacing="0" w:after="0" w:afterAutospacing="0" w:line="360" w:lineRule="auto"/>
        <w:ind w:left="0" w:right="11" w:firstLine="472" w:firstLineChars="196"/>
        <w:jc w:val="both"/>
        <w:rPr>
          <w:rFonts w:hint="eastAsia" w:ascii="宋体" w:hAnsi="Times New Roman" w:eastAsia="宋体" w:cs="宋体"/>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第六条</w:t>
      </w:r>
      <w:r>
        <w:rPr>
          <w:rFonts w:hint="eastAsia" w:ascii="宋体" w:hAnsi="宋体" w:eastAsia="宋体" w:cs="宋体"/>
          <w:color w:val="auto"/>
          <w:kern w:val="0"/>
          <w:sz w:val="24"/>
          <w:szCs w:val="24"/>
          <w:highlight w:val="none"/>
          <w:lang w:val="en-US" w:eastAsia="zh-CN" w:bidi="ar"/>
        </w:rPr>
        <w:t xml:space="preserve"> 乙方应及时配合丙方，完成其工人工资账户内剩余的丙方工人工资的结算工作。如在丙方工人工资全额发放后，乙方工人工资支付专用账户仍剩余丙方资金的，由丙方出具相应承诺书交乙方、监理单位审核，乙方办理安全评价书并办理销户手续后30个工作日内，退还至丙方公司账户。</w:t>
      </w:r>
    </w:p>
    <w:p w14:paraId="5AF37273">
      <w:pPr>
        <w:keepNext w:val="0"/>
        <w:keepLines w:val="0"/>
        <w:widowControl w:val="0"/>
        <w:suppressLineNumbers w:val="0"/>
        <w:adjustRightInd w:val="0"/>
        <w:snapToGrid w:val="0"/>
        <w:spacing w:before="0" w:beforeAutospacing="0" w:after="0" w:afterAutospacing="0" w:line="360" w:lineRule="auto"/>
        <w:ind w:left="0" w:right="11" w:firstLine="472" w:firstLineChars="196"/>
        <w:jc w:val="both"/>
        <w:rPr>
          <w:rFonts w:hint="eastAsia" w:ascii="宋体" w:hAnsi="Times New Roman" w:eastAsia="宋体" w:cs="宋体"/>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第七条</w:t>
      </w:r>
      <w:r>
        <w:rPr>
          <w:rFonts w:hint="eastAsia" w:ascii="宋体" w:hAnsi="宋体" w:eastAsia="宋体" w:cs="宋体"/>
          <w:color w:val="auto"/>
          <w:kern w:val="0"/>
          <w:sz w:val="24"/>
          <w:szCs w:val="24"/>
          <w:highlight w:val="none"/>
          <w:lang w:val="en-US" w:eastAsia="zh-CN" w:bidi="ar"/>
        </w:rPr>
        <w:t>甲方已将应支付的工人工资足额支付至乙方工人工资支付专用账户但乙方未按时足额完成丙方工人工资代付工作的，相关的责任和损失由乙方承担。乙方挪用丙方资金的，丙方有权向乙方追偿，且甲方有权暂停支付本项目施工总承包合同的工程进度款，</w:t>
      </w:r>
      <w:r>
        <w:rPr>
          <w:rFonts w:hint="eastAsia" w:ascii="宋体" w:hAnsi="宋体" w:eastAsia="宋体" w:cs="宋体"/>
          <w:color w:val="auto"/>
          <w:kern w:val="2"/>
          <w:sz w:val="24"/>
          <w:szCs w:val="24"/>
          <w:highlight w:val="none"/>
          <w:lang w:val="en-US" w:eastAsia="zh-CN" w:bidi="ar"/>
        </w:rPr>
        <w:t>直至乙方归还挪用资金为止，</w:t>
      </w:r>
      <w:r>
        <w:rPr>
          <w:rFonts w:hint="eastAsia" w:ascii="宋体" w:hAnsi="宋体" w:eastAsia="宋体" w:cs="宋体"/>
          <w:color w:val="auto"/>
          <w:kern w:val="0"/>
          <w:sz w:val="24"/>
          <w:szCs w:val="24"/>
          <w:highlight w:val="none"/>
          <w:lang w:val="en-US" w:eastAsia="zh-CN" w:bidi="ar"/>
        </w:rPr>
        <w:t>给甲、丙方造成的损失由乙方承担。因丙方不及时提供资料、提供的相关资料错误或遗漏等原因造成丙方工人工资未能按时足额支付的，相关的责任和损失由丙方承担。丙方伪造出勤信息、提供虚假身份套取、高估冒算工人工资的，乙方可依法向丙方追偿。</w:t>
      </w:r>
    </w:p>
    <w:p w14:paraId="1D21113B">
      <w:pPr>
        <w:keepNext w:val="0"/>
        <w:keepLines w:val="0"/>
        <w:widowControl w:val="0"/>
        <w:suppressLineNumbers w:val="0"/>
        <w:adjustRightInd w:val="0"/>
        <w:snapToGrid w:val="0"/>
        <w:spacing w:before="0" w:beforeAutospacing="0" w:after="0" w:afterAutospacing="0" w:line="360" w:lineRule="auto"/>
        <w:ind w:left="0" w:right="11" w:firstLine="472" w:firstLineChars="196"/>
        <w:jc w:val="both"/>
        <w:rPr>
          <w:rFonts w:hint="eastAsia" w:ascii="宋体" w:hAnsi="Times New Roman" w:eastAsia="宋体" w:cs="宋体"/>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第八条</w:t>
      </w:r>
      <w:r>
        <w:rPr>
          <w:rFonts w:hint="eastAsia" w:ascii="宋体" w:hAnsi="宋体" w:eastAsia="宋体" w:cs="宋体"/>
          <w:color w:val="auto"/>
          <w:kern w:val="0"/>
          <w:sz w:val="24"/>
          <w:szCs w:val="24"/>
          <w:highlight w:val="none"/>
          <w:lang w:val="en-US" w:eastAsia="zh-CN" w:bidi="ar"/>
        </w:rPr>
        <w:t>乙方、丙方承诺：如因工人工资发放问题处置不力，由此造成的相关纠纷、费用以及社会影响全部由乙、丙方各自承担。如因此给甲方造成损失，甲方有权向乙、丙方追偿。</w:t>
      </w:r>
    </w:p>
    <w:p w14:paraId="77D756DA">
      <w:pPr>
        <w:keepNext w:val="0"/>
        <w:keepLines w:val="0"/>
        <w:widowControl w:val="0"/>
        <w:suppressLineNumbers w:val="0"/>
        <w:adjustRightInd w:val="0"/>
        <w:snapToGrid w:val="0"/>
        <w:spacing w:before="0" w:beforeAutospacing="0" w:after="0" w:afterAutospacing="0" w:line="360" w:lineRule="auto"/>
        <w:ind w:left="0" w:right="11" w:firstLine="472" w:firstLineChars="196"/>
        <w:jc w:val="both"/>
        <w:rPr>
          <w:rFonts w:hint="eastAsia" w:ascii="宋体" w:hAnsi="Times New Roman" w:eastAsia="宋体" w:cs="宋体"/>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第九条</w:t>
      </w:r>
      <w:r>
        <w:rPr>
          <w:rFonts w:hint="eastAsia" w:ascii="宋体" w:hAnsi="宋体" w:eastAsia="宋体" w:cs="宋体"/>
          <w:color w:val="auto"/>
          <w:kern w:val="0"/>
          <w:sz w:val="24"/>
          <w:szCs w:val="24"/>
          <w:highlight w:val="none"/>
          <w:lang w:val="en-US" w:eastAsia="zh-CN" w:bidi="ar"/>
        </w:rPr>
        <w:t>本协议仅明确本项目XX工程工人工资代收代发相关事宜，除本协议明确所作修改的条款之外，各方权利及义务按照甲方与乙方、甲方与丙方签订的合同的约定执行。</w:t>
      </w:r>
    </w:p>
    <w:p w14:paraId="45CB4BAA">
      <w:pPr>
        <w:keepNext w:val="0"/>
        <w:keepLines w:val="0"/>
        <w:widowControl w:val="0"/>
        <w:suppressLineNumbers w:val="0"/>
        <w:adjustRightInd w:val="0"/>
        <w:snapToGrid w:val="0"/>
        <w:spacing w:before="0" w:beforeAutospacing="0" w:after="0" w:afterAutospacing="0" w:line="360" w:lineRule="auto"/>
        <w:ind w:left="0" w:right="11" w:firstLine="472" w:firstLineChars="196"/>
        <w:jc w:val="both"/>
        <w:rPr>
          <w:rFonts w:hint="eastAsia" w:ascii="宋体" w:hAnsi="Times New Roman" w:eastAsia="宋体" w:cs="宋体"/>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第十条</w:t>
      </w:r>
      <w:r>
        <w:rPr>
          <w:rFonts w:hint="eastAsia" w:ascii="宋体" w:hAnsi="宋体" w:eastAsia="宋体" w:cs="宋体"/>
          <w:color w:val="auto"/>
          <w:kern w:val="0"/>
          <w:sz w:val="24"/>
          <w:szCs w:val="24"/>
          <w:highlight w:val="none"/>
          <w:lang w:val="en-US" w:eastAsia="zh-CN" w:bidi="ar"/>
        </w:rPr>
        <w:t xml:space="preserve">  若有其他未尽事宜，由三方另行商议达成补充协议。</w:t>
      </w:r>
    </w:p>
    <w:p w14:paraId="622EAA2F">
      <w:pPr>
        <w:keepNext w:val="0"/>
        <w:keepLines w:val="0"/>
        <w:widowControl w:val="0"/>
        <w:suppressLineNumbers w:val="0"/>
        <w:adjustRightInd w:val="0"/>
        <w:snapToGrid w:val="0"/>
        <w:spacing w:before="0" w:beforeAutospacing="0" w:after="0" w:afterAutospacing="0" w:line="360" w:lineRule="auto"/>
        <w:ind w:left="0" w:right="11" w:firstLine="472" w:firstLineChars="196"/>
        <w:jc w:val="both"/>
        <w:rPr>
          <w:rFonts w:hint="eastAsia" w:ascii="宋体" w:hAnsi="Times New Roman" w:eastAsia="宋体" w:cs="宋体"/>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 xml:space="preserve">第十一条  </w:t>
      </w:r>
      <w:r>
        <w:rPr>
          <w:rFonts w:hint="eastAsia" w:ascii="宋体" w:hAnsi="宋体" w:eastAsia="宋体" w:cs="宋体"/>
          <w:color w:val="auto"/>
          <w:kern w:val="0"/>
          <w:sz w:val="24"/>
          <w:szCs w:val="24"/>
          <w:highlight w:val="none"/>
          <w:lang w:val="en-US" w:eastAsia="zh-CN" w:bidi="ar"/>
        </w:rPr>
        <w:t>三方因本协议或者履行本协议所产生的争议，可先行协商解决，经协商达成一致意见的，应签订补充协议；若协商不成的，三方均可向本协议签订地人民法院提起诉讼。</w:t>
      </w:r>
    </w:p>
    <w:p w14:paraId="2F4B01AB">
      <w:pPr>
        <w:keepNext w:val="0"/>
        <w:keepLines w:val="0"/>
        <w:widowControl w:val="0"/>
        <w:suppressLineNumbers w:val="0"/>
        <w:adjustRightInd w:val="0"/>
        <w:snapToGrid w:val="0"/>
        <w:spacing w:before="0" w:beforeAutospacing="0" w:after="0" w:afterAutospacing="0" w:line="360" w:lineRule="auto"/>
        <w:ind w:left="0" w:right="11" w:firstLine="472" w:firstLineChars="196"/>
        <w:jc w:val="both"/>
        <w:rPr>
          <w:rFonts w:hint="eastAsia" w:ascii="宋体" w:hAnsi="Times New Roman" w:eastAsia="宋体" w:cs="宋体"/>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第十二条</w:t>
      </w:r>
      <w:r>
        <w:rPr>
          <w:rFonts w:hint="eastAsia" w:ascii="宋体" w:hAnsi="宋体" w:eastAsia="宋体" w:cs="宋体"/>
          <w:color w:val="auto"/>
          <w:kern w:val="0"/>
          <w:sz w:val="24"/>
          <w:szCs w:val="24"/>
          <w:highlight w:val="none"/>
          <w:lang w:val="en-US" w:eastAsia="zh-CN" w:bidi="ar"/>
        </w:rPr>
        <w:t>本协议自三方法定代表人（或委托代理人）签字并盖章（公章或合同专用章）之日起生效。</w:t>
      </w:r>
    </w:p>
    <w:p w14:paraId="0AE8B8A8">
      <w:pPr>
        <w:keepNext w:val="0"/>
        <w:keepLines w:val="0"/>
        <w:widowControl w:val="0"/>
        <w:suppressLineNumbers w:val="0"/>
        <w:adjustRightInd w:val="0"/>
        <w:snapToGrid w:val="0"/>
        <w:spacing w:before="0" w:beforeAutospacing="0" w:after="0" w:afterAutospacing="0" w:line="360" w:lineRule="auto"/>
        <w:ind w:left="0" w:right="11" w:firstLine="472" w:firstLineChars="196"/>
        <w:jc w:val="both"/>
        <w:rPr>
          <w:rFonts w:hint="eastAsia" w:ascii="宋体" w:hAnsi="Times New Roman" w:eastAsia="宋体" w:cs="宋体"/>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 xml:space="preserve">第十三条  </w:t>
      </w:r>
      <w:r>
        <w:rPr>
          <w:rFonts w:hint="eastAsia" w:ascii="宋体" w:hAnsi="宋体" w:eastAsia="宋体" w:cs="宋体"/>
          <w:color w:val="auto"/>
          <w:kern w:val="0"/>
          <w:sz w:val="24"/>
          <w:szCs w:val="24"/>
          <w:highlight w:val="none"/>
          <w:lang w:val="en-US" w:eastAsia="zh-CN" w:bidi="ar"/>
        </w:rPr>
        <w:t>本协议正本三份，三方各执一份；副本十份，乙、丙方各执二份，甲方执六份。</w:t>
      </w:r>
      <w:r>
        <w:rPr>
          <w:rFonts w:hint="eastAsia" w:ascii="宋体" w:hAnsi="宋体" w:eastAsia="宋体" w:cs="宋体"/>
          <w:bCs/>
          <w:color w:val="auto"/>
          <w:kern w:val="0"/>
          <w:sz w:val="24"/>
          <w:szCs w:val="24"/>
          <w:highlight w:val="none"/>
          <w:lang w:val="en-US" w:eastAsia="zh-CN" w:bidi="ar"/>
        </w:rPr>
        <w:t>协议正、副本具有同等效力，但当正本与副本的表述不一致时，以正本为准。</w:t>
      </w:r>
    </w:p>
    <w:p w14:paraId="62853932">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（本页以下无正文）</w:t>
      </w:r>
    </w:p>
    <w:p w14:paraId="23781768">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Times New Roman" w:eastAsia="宋体" w:cs="宋体"/>
          <w:color w:val="auto"/>
          <w:kern w:val="0"/>
          <w:sz w:val="24"/>
          <w:szCs w:val="24"/>
          <w:highlight w:val="none"/>
        </w:rPr>
      </w:pPr>
      <w:r>
        <w:rPr>
          <w:rFonts w:hint="eastAsia" w:ascii="宋体" w:hAnsi="Times New Roman" w:eastAsia="宋体" w:cs="宋体"/>
          <w:color w:val="auto"/>
          <w:kern w:val="0"/>
          <w:sz w:val="24"/>
          <w:szCs w:val="24"/>
          <w:highlight w:val="none"/>
          <w:lang w:val="en-US" w:eastAsia="zh-CN" w:bidi="ar"/>
        </w:rPr>
        <w:t xml:space="preserve"> </w:t>
      </w:r>
    </w:p>
    <w:p w14:paraId="3D929550">
      <w:pPr>
        <w:keepNext w:val="0"/>
        <w:keepLines w:val="0"/>
        <w:widowControl/>
        <w:suppressLineNumbers w:val="0"/>
        <w:spacing w:before="0" w:beforeAutospacing="0" w:after="0" w:afterAutospacing="0"/>
        <w:ind w:left="0" w:right="0"/>
        <w:jc w:val="left"/>
        <w:rPr>
          <w:rFonts w:hint="eastAsia" w:ascii="宋体" w:hAnsi="Times New Roman" w:eastAsia="宋体" w:cs="宋体"/>
          <w:color w:val="auto"/>
          <w:kern w:val="0"/>
          <w:sz w:val="24"/>
          <w:szCs w:val="24"/>
          <w:highlight w:val="none"/>
        </w:rPr>
      </w:pPr>
      <w:r>
        <w:rPr>
          <w:rFonts w:hint="eastAsia" w:ascii="宋体" w:hAnsi="Times New Roman" w:eastAsia="宋体" w:cs="Times New Roman"/>
          <w:color w:val="auto"/>
          <w:kern w:val="2"/>
          <w:sz w:val="24"/>
          <w:szCs w:val="24"/>
          <w:highlight w:val="none"/>
          <w:lang w:val="en-US" w:eastAsia="zh-CN" w:bidi="ar"/>
        </w:rPr>
        <w:br w:type="page"/>
      </w:r>
    </w:p>
    <w:p w14:paraId="33CD8BCA">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（本页无正文，为签署页）</w:t>
      </w:r>
    </w:p>
    <w:p w14:paraId="40810D9E">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Times New Roman" w:eastAsia="宋体" w:cs="宋体"/>
          <w:b/>
          <w:bCs w:val="0"/>
          <w:color w:val="auto"/>
          <w:spacing w:val="-20"/>
          <w:kern w:val="0"/>
          <w:sz w:val="24"/>
          <w:szCs w:val="24"/>
          <w:highlight w:val="none"/>
        </w:rPr>
      </w:pPr>
      <w:r>
        <w:rPr>
          <w:rFonts w:hint="eastAsia" w:ascii="宋体" w:hAnsi="宋体" w:eastAsia="宋体" w:cs="宋体"/>
          <w:b/>
          <w:bCs w:val="0"/>
          <w:color w:val="auto"/>
          <w:kern w:val="0"/>
          <w:sz w:val="24"/>
          <w:szCs w:val="24"/>
          <w:highlight w:val="none"/>
          <w:lang w:val="en-US" w:eastAsia="zh-CN" w:bidi="ar"/>
        </w:rPr>
        <w:t>甲方：</w:t>
      </w:r>
      <w:r>
        <w:rPr>
          <w:rFonts w:hint="eastAsia" w:ascii="宋体" w:hAnsi="宋体" w:eastAsia="宋体" w:cs="宋体"/>
          <w:b/>
          <w:bCs w:val="0"/>
          <w:color w:val="auto"/>
          <w:spacing w:val="-6"/>
          <w:kern w:val="0"/>
          <w:sz w:val="24"/>
          <w:szCs w:val="24"/>
          <w:highlight w:val="none"/>
          <w:lang w:val="en-US" w:eastAsia="zh-CN" w:bidi="ar"/>
        </w:rPr>
        <w:t>广州市重点公共建设项目管理中心</w:t>
      </w:r>
      <w:r>
        <w:rPr>
          <w:rFonts w:hint="eastAsia" w:ascii="宋体" w:hAnsi="宋体" w:eastAsia="宋体" w:cs="宋体"/>
          <w:b/>
          <w:bCs w:val="0"/>
          <w:color w:val="auto"/>
          <w:kern w:val="0"/>
          <w:sz w:val="24"/>
          <w:szCs w:val="24"/>
          <w:highlight w:val="none"/>
          <w:lang w:val="en-US" w:eastAsia="zh-CN" w:bidi="ar"/>
        </w:rPr>
        <w:t>乙方</w:t>
      </w:r>
      <w:r>
        <w:rPr>
          <w:rFonts w:hint="eastAsia" w:ascii="宋体" w:hAnsi="宋体" w:eastAsia="宋体" w:cs="宋体"/>
          <w:color w:val="auto"/>
          <w:kern w:val="0"/>
          <w:sz w:val="24"/>
          <w:szCs w:val="24"/>
          <w:highlight w:val="none"/>
          <w:lang w:val="en-US" w:eastAsia="zh-CN" w:bidi="ar"/>
        </w:rPr>
        <w:t>：</w:t>
      </w:r>
    </w:p>
    <w:p w14:paraId="093A7D25">
      <w:pPr>
        <w:keepNext w:val="0"/>
        <w:keepLines w:val="0"/>
        <w:widowControl w:val="0"/>
        <w:suppressLineNumbers w:val="0"/>
        <w:adjustRightInd w:val="0"/>
        <w:snapToGrid w:val="0"/>
        <w:spacing w:before="0" w:beforeAutospacing="0" w:after="0" w:afterAutospacing="0" w:line="360" w:lineRule="auto"/>
        <w:ind w:left="0" w:right="11" w:firstLine="1680" w:firstLineChars="700"/>
        <w:jc w:val="both"/>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（盖章）                             （盖章）</w:t>
      </w:r>
    </w:p>
    <w:p w14:paraId="0A5B24E4">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Times New Roman" w:eastAsia="宋体" w:cs="宋体"/>
          <w:color w:val="auto"/>
          <w:kern w:val="0"/>
          <w:sz w:val="24"/>
          <w:szCs w:val="24"/>
          <w:highlight w:val="none"/>
        </w:rPr>
      </w:pPr>
      <w:r>
        <w:rPr>
          <w:rFonts w:hint="eastAsia" w:ascii="宋体" w:hAnsi="Times New Roman" w:eastAsia="宋体" w:cs="宋体"/>
          <w:color w:val="auto"/>
          <w:kern w:val="0"/>
          <w:sz w:val="24"/>
          <w:szCs w:val="24"/>
          <w:highlight w:val="none"/>
          <w:lang w:val="en-US" w:eastAsia="zh-CN" w:bidi="ar"/>
        </w:rPr>
        <w:t xml:space="preserve"> </w:t>
      </w:r>
    </w:p>
    <w:p w14:paraId="6184CB4C">
      <w:pPr>
        <w:keepNext w:val="0"/>
        <w:keepLines w:val="0"/>
        <w:widowControl w:val="0"/>
        <w:suppressLineNumbers w:val="0"/>
        <w:adjustRightInd w:val="0"/>
        <w:snapToGrid w:val="0"/>
        <w:spacing w:before="0" w:beforeAutospacing="0" w:after="0" w:afterAutospacing="0" w:line="360" w:lineRule="auto"/>
        <w:ind w:left="-2" w:leftChars="-1" w:right="0"/>
        <w:jc w:val="both"/>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法定代表人：                         法定代表人：</w:t>
      </w:r>
    </w:p>
    <w:p w14:paraId="2294069B">
      <w:pPr>
        <w:keepNext w:val="0"/>
        <w:keepLines w:val="0"/>
        <w:widowControl w:val="0"/>
        <w:suppressLineNumbers w:val="0"/>
        <w:adjustRightInd w:val="0"/>
        <w:snapToGrid w:val="0"/>
        <w:spacing w:before="0" w:beforeAutospacing="0" w:after="0" w:afterAutospacing="0" w:line="360" w:lineRule="auto"/>
        <w:ind w:left="-2" w:leftChars="-1" w:right="0"/>
        <w:jc w:val="both"/>
        <w:rPr>
          <w:rFonts w:hint="eastAsia" w:ascii="宋体" w:hAnsi="Times New Roman" w:eastAsia="宋体" w:cs="宋体"/>
          <w:color w:val="auto"/>
          <w:kern w:val="0"/>
          <w:sz w:val="24"/>
          <w:szCs w:val="24"/>
          <w:highlight w:val="none"/>
        </w:rPr>
      </w:pPr>
      <w:r>
        <w:rPr>
          <w:rFonts w:hint="eastAsia" w:ascii="宋体" w:hAnsi="Times New Roman" w:eastAsia="宋体" w:cs="宋体"/>
          <w:color w:val="auto"/>
          <w:kern w:val="0"/>
          <w:sz w:val="24"/>
          <w:szCs w:val="24"/>
          <w:highlight w:val="none"/>
          <w:lang w:val="en-US" w:eastAsia="zh-CN" w:bidi="ar"/>
        </w:rPr>
        <w:t xml:space="preserve"> </w:t>
      </w:r>
    </w:p>
    <w:p w14:paraId="76C3E5B6">
      <w:pPr>
        <w:keepNext w:val="0"/>
        <w:keepLines w:val="0"/>
        <w:widowControl w:val="0"/>
        <w:suppressLineNumbers w:val="0"/>
        <w:adjustRightInd w:val="0"/>
        <w:snapToGrid w:val="0"/>
        <w:spacing w:before="0" w:beforeAutospacing="0" w:after="0" w:afterAutospacing="0" w:line="360" w:lineRule="auto"/>
        <w:ind w:left="-2" w:leftChars="-1" w:right="0"/>
        <w:jc w:val="both"/>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委托代理人：                         委托代理人：</w:t>
      </w:r>
    </w:p>
    <w:p w14:paraId="10964928">
      <w:pPr>
        <w:keepNext w:val="0"/>
        <w:keepLines w:val="0"/>
        <w:widowControl w:val="0"/>
        <w:suppressLineNumbers w:val="0"/>
        <w:adjustRightInd w:val="0"/>
        <w:snapToGrid w:val="0"/>
        <w:spacing w:before="0" w:beforeAutospacing="0" w:after="0" w:afterAutospacing="0" w:line="360" w:lineRule="auto"/>
        <w:ind w:left="-2" w:leftChars="-1" w:right="0"/>
        <w:jc w:val="both"/>
        <w:rPr>
          <w:rFonts w:hint="eastAsia" w:ascii="宋体" w:hAnsi="Times New Roman" w:eastAsia="宋体" w:cs="宋体"/>
          <w:color w:val="auto"/>
          <w:kern w:val="0"/>
          <w:sz w:val="24"/>
          <w:szCs w:val="24"/>
          <w:highlight w:val="none"/>
        </w:rPr>
      </w:pPr>
      <w:r>
        <w:rPr>
          <w:rFonts w:hint="eastAsia" w:ascii="宋体" w:hAnsi="Times New Roman" w:eastAsia="宋体" w:cs="宋体"/>
          <w:color w:val="auto"/>
          <w:kern w:val="0"/>
          <w:sz w:val="24"/>
          <w:szCs w:val="24"/>
          <w:highlight w:val="none"/>
          <w:lang w:val="en-US" w:eastAsia="zh-CN" w:bidi="ar"/>
        </w:rPr>
        <w:t xml:space="preserve"> </w:t>
      </w:r>
    </w:p>
    <w:p w14:paraId="06A8E171">
      <w:pPr>
        <w:keepNext w:val="0"/>
        <w:keepLines w:val="0"/>
        <w:widowControl w:val="0"/>
        <w:suppressLineNumbers w:val="0"/>
        <w:adjustRightInd w:val="0"/>
        <w:snapToGrid w:val="0"/>
        <w:spacing w:before="0" w:beforeAutospacing="0" w:after="0" w:afterAutospacing="0" w:line="360" w:lineRule="auto"/>
        <w:ind w:left="-2" w:leftChars="-1" w:right="0"/>
        <w:jc w:val="both"/>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住址：</w:t>
      </w:r>
      <w:r>
        <w:rPr>
          <w:rFonts w:hint="eastAsia" w:ascii="宋体" w:hAnsi="宋体" w:eastAsia="宋体" w:cs="宋体"/>
          <w:color w:val="auto"/>
          <w:spacing w:val="-20"/>
          <w:kern w:val="0"/>
          <w:sz w:val="24"/>
          <w:szCs w:val="24"/>
          <w:highlight w:val="none"/>
          <w:lang w:val="en-US" w:eastAsia="zh-CN" w:bidi="ar"/>
        </w:rPr>
        <w:t>广州市广州大学城内环东星运路1号</w:t>
      </w:r>
      <w:r>
        <w:rPr>
          <w:rFonts w:hint="eastAsia" w:ascii="宋体" w:hAnsi="宋体" w:eastAsia="宋体" w:cs="宋体"/>
          <w:color w:val="auto"/>
          <w:kern w:val="0"/>
          <w:sz w:val="24"/>
          <w:szCs w:val="24"/>
          <w:highlight w:val="none"/>
          <w:lang w:val="en-US" w:eastAsia="zh-CN" w:bidi="ar"/>
        </w:rPr>
        <w:t>住址：</w:t>
      </w:r>
    </w:p>
    <w:p w14:paraId="2DE3D028">
      <w:pPr>
        <w:keepNext w:val="0"/>
        <w:keepLines w:val="0"/>
        <w:widowControl w:val="0"/>
        <w:suppressLineNumbers w:val="0"/>
        <w:adjustRightInd w:val="0"/>
        <w:snapToGrid w:val="0"/>
        <w:spacing w:before="0" w:beforeAutospacing="0" w:after="0" w:afterAutospacing="0" w:line="360" w:lineRule="auto"/>
        <w:ind w:left="-2" w:leftChars="-1" w:right="0"/>
        <w:jc w:val="both"/>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邮编：510006                         邮编：</w:t>
      </w:r>
    </w:p>
    <w:p w14:paraId="2C52A7F8">
      <w:pPr>
        <w:keepNext w:val="0"/>
        <w:keepLines w:val="0"/>
        <w:widowControl w:val="0"/>
        <w:suppressLineNumbers w:val="0"/>
        <w:adjustRightInd w:val="0"/>
        <w:snapToGrid w:val="0"/>
        <w:spacing w:before="0" w:beforeAutospacing="0" w:after="0" w:afterAutospacing="0" w:line="360" w:lineRule="auto"/>
        <w:ind w:left="-2" w:leftChars="-1" w:right="0"/>
        <w:jc w:val="both"/>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电话：                               电话：</w:t>
      </w:r>
    </w:p>
    <w:p w14:paraId="10D3AE5D">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传真：                               传真：</w:t>
      </w:r>
    </w:p>
    <w:p w14:paraId="5755B428">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日期：     年  月  日                日期：     年  月  日</w:t>
      </w:r>
    </w:p>
    <w:p w14:paraId="71B01461">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Times New Roman" w:eastAsia="宋体" w:cs="宋体"/>
          <w:color w:val="auto"/>
          <w:kern w:val="0"/>
          <w:sz w:val="24"/>
          <w:szCs w:val="24"/>
          <w:highlight w:val="none"/>
        </w:rPr>
      </w:pPr>
      <w:r>
        <w:rPr>
          <w:rFonts w:hint="eastAsia" w:ascii="宋体" w:hAnsi="Times New Roman" w:eastAsia="宋体" w:cs="宋体"/>
          <w:color w:val="auto"/>
          <w:kern w:val="0"/>
          <w:sz w:val="24"/>
          <w:szCs w:val="24"/>
          <w:highlight w:val="none"/>
          <w:lang w:val="en-US" w:eastAsia="zh-CN" w:bidi="ar"/>
        </w:rPr>
        <w:t xml:space="preserve"> </w:t>
      </w:r>
    </w:p>
    <w:p w14:paraId="02C57544">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Times New Roman" w:eastAsia="宋体" w:cs="宋体"/>
          <w:color w:val="auto"/>
          <w:kern w:val="0"/>
          <w:sz w:val="24"/>
          <w:szCs w:val="24"/>
          <w:highlight w:val="none"/>
        </w:rPr>
      </w:pPr>
      <w:r>
        <w:rPr>
          <w:rFonts w:hint="eastAsia" w:ascii="宋体" w:hAnsi="Times New Roman" w:eastAsia="宋体" w:cs="宋体"/>
          <w:color w:val="auto"/>
          <w:kern w:val="0"/>
          <w:sz w:val="24"/>
          <w:szCs w:val="24"/>
          <w:highlight w:val="none"/>
          <w:lang w:val="en-US" w:eastAsia="zh-CN" w:bidi="ar"/>
        </w:rPr>
        <w:t xml:space="preserve"> </w:t>
      </w:r>
    </w:p>
    <w:p w14:paraId="0C821EDB">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Times New Roman"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丙方</w:t>
      </w:r>
      <w:r>
        <w:rPr>
          <w:rFonts w:hint="eastAsia" w:ascii="宋体" w:hAnsi="宋体" w:eastAsia="宋体" w:cs="宋体"/>
          <w:color w:val="auto"/>
          <w:kern w:val="0"/>
          <w:sz w:val="24"/>
          <w:szCs w:val="24"/>
          <w:highlight w:val="none"/>
          <w:lang w:val="en-US" w:eastAsia="zh-CN" w:bidi="ar"/>
        </w:rPr>
        <w:t>：</w:t>
      </w:r>
    </w:p>
    <w:p w14:paraId="73D367E8">
      <w:pPr>
        <w:keepNext w:val="0"/>
        <w:keepLines w:val="0"/>
        <w:widowControl w:val="0"/>
        <w:suppressLineNumbers w:val="0"/>
        <w:adjustRightInd w:val="0"/>
        <w:snapToGrid w:val="0"/>
        <w:spacing w:before="0" w:beforeAutospacing="0" w:after="0" w:afterAutospacing="0" w:line="360" w:lineRule="auto"/>
        <w:ind w:left="0" w:right="11" w:firstLine="2040" w:firstLineChars="850"/>
        <w:jc w:val="both"/>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（盖章）</w:t>
      </w:r>
    </w:p>
    <w:p w14:paraId="5269CDAB">
      <w:pPr>
        <w:keepNext w:val="0"/>
        <w:keepLines w:val="0"/>
        <w:widowControl w:val="0"/>
        <w:suppressLineNumbers w:val="0"/>
        <w:adjustRightInd w:val="0"/>
        <w:snapToGrid w:val="0"/>
        <w:spacing w:before="0" w:beforeAutospacing="0" w:after="0" w:afterAutospacing="0" w:line="360" w:lineRule="auto"/>
        <w:ind w:left="0" w:right="11" w:firstLine="840" w:firstLineChars="350"/>
        <w:jc w:val="both"/>
        <w:rPr>
          <w:rFonts w:hint="eastAsia" w:ascii="宋体" w:hAnsi="Times New Roman" w:eastAsia="宋体" w:cs="宋体"/>
          <w:color w:val="auto"/>
          <w:kern w:val="0"/>
          <w:sz w:val="24"/>
          <w:szCs w:val="24"/>
          <w:highlight w:val="none"/>
        </w:rPr>
      </w:pPr>
      <w:r>
        <w:rPr>
          <w:rFonts w:hint="eastAsia" w:ascii="宋体" w:hAnsi="Times New Roman" w:eastAsia="宋体" w:cs="宋体"/>
          <w:color w:val="auto"/>
          <w:kern w:val="0"/>
          <w:sz w:val="24"/>
          <w:szCs w:val="24"/>
          <w:highlight w:val="none"/>
          <w:lang w:val="en-US" w:eastAsia="zh-CN" w:bidi="ar"/>
        </w:rPr>
        <w:t xml:space="preserve"> </w:t>
      </w:r>
    </w:p>
    <w:p w14:paraId="1CA62C1B">
      <w:pPr>
        <w:keepNext w:val="0"/>
        <w:keepLines w:val="0"/>
        <w:widowControl w:val="0"/>
        <w:suppressLineNumbers w:val="0"/>
        <w:adjustRightInd w:val="0"/>
        <w:snapToGrid w:val="0"/>
        <w:spacing w:before="0" w:beforeAutospacing="0" w:after="0" w:afterAutospacing="0" w:line="360" w:lineRule="auto"/>
        <w:ind w:left="-2" w:leftChars="-1" w:right="0"/>
        <w:jc w:val="both"/>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法定代表人： </w:t>
      </w:r>
    </w:p>
    <w:p w14:paraId="0025DBDE">
      <w:pPr>
        <w:keepNext w:val="0"/>
        <w:keepLines w:val="0"/>
        <w:widowControl w:val="0"/>
        <w:suppressLineNumbers w:val="0"/>
        <w:adjustRightInd w:val="0"/>
        <w:snapToGrid w:val="0"/>
        <w:spacing w:before="0" w:beforeAutospacing="0" w:after="0" w:afterAutospacing="0" w:line="360" w:lineRule="auto"/>
        <w:ind w:left="-2" w:leftChars="-1" w:right="0"/>
        <w:jc w:val="both"/>
        <w:rPr>
          <w:rFonts w:hint="eastAsia" w:ascii="宋体" w:hAnsi="Times New Roman" w:eastAsia="宋体" w:cs="宋体"/>
          <w:color w:val="auto"/>
          <w:kern w:val="0"/>
          <w:sz w:val="24"/>
          <w:szCs w:val="24"/>
          <w:highlight w:val="none"/>
        </w:rPr>
      </w:pPr>
      <w:r>
        <w:rPr>
          <w:rFonts w:hint="eastAsia" w:ascii="宋体" w:hAnsi="Times New Roman" w:eastAsia="宋体" w:cs="宋体"/>
          <w:color w:val="auto"/>
          <w:kern w:val="0"/>
          <w:sz w:val="24"/>
          <w:szCs w:val="24"/>
          <w:highlight w:val="none"/>
          <w:lang w:val="en-US" w:eastAsia="zh-CN" w:bidi="ar"/>
        </w:rPr>
        <w:t xml:space="preserve"> </w:t>
      </w:r>
    </w:p>
    <w:p w14:paraId="72A1E5FD">
      <w:pPr>
        <w:keepNext w:val="0"/>
        <w:keepLines w:val="0"/>
        <w:widowControl w:val="0"/>
        <w:suppressLineNumbers w:val="0"/>
        <w:adjustRightInd w:val="0"/>
        <w:snapToGrid w:val="0"/>
        <w:spacing w:before="0" w:beforeAutospacing="0" w:after="0" w:afterAutospacing="0" w:line="360" w:lineRule="auto"/>
        <w:ind w:left="-2" w:leftChars="-1" w:right="0"/>
        <w:jc w:val="both"/>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委托代理人：</w:t>
      </w:r>
    </w:p>
    <w:p w14:paraId="57770196">
      <w:pPr>
        <w:keepNext w:val="0"/>
        <w:keepLines w:val="0"/>
        <w:widowControl w:val="0"/>
        <w:suppressLineNumbers w:val="0"/>
        <w:adjustRightInd w:val="0"/>
        <w:snapToGrid w:val="0"/>
        <w:spacing w:before="0" w:beforeAutospacing="0" w:after="0" w:afterAutospacing="0" w:line="360" w:lineRule="auto"/>
        <w:ind w:left="-2" w:leftChars="-1" w:right="0"/>
        <w:jc w:val="both"/>
        <w:rPr>
          <w:rFonts w:hint="eastAsia" w:ascii="宋体" w:hAnsi="Times New Roman" w:eastAsia="宋体" w:cs="宋体"/>
          <w:color w:val="auto"/>
          <w:kern w:val="0"/>
          <w:sz w:val="24"/>
          <w:szCs w:val="24"/>
          <w:highlight w:val="none"/>
        </w:rPr>
      </w:pPr>
      <w:r>
        <w:rPr>
          <w:rFonts w:hint="eastAsia" w:ascii="宋体" w:hAnsi="Times New Roman" w:eastAsia="宋体" w:cs="宋体"/>
          <w:color w:val="auto"/>
          <w:kern w:val="0"/>
          <w:sz w:val="24"/>
          <w:szCs w:val="24"/>
          <w:highlight w:val="none"/>
          <w:lang w:val="en-US" w:eastAsia="zh-CN" w:bidi="ar"/>
        </w:rPr>
        <w:t xml:space="preserve"> </w:t>
      </w:r>
    </w:p>
    <w:p w14:paraId="1C856CAC">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住址：</w:t>
      </w:r>
    </w:p>
    <w:p w14:paraId="4F48D489">
      <w:pPr>
        <w:keepNext w:val="0"/>
        <w:keepLines w:val="0"/>
        <w:widowControl w:val="0"/>
        <w:suppressLineNumbers w:val="0"/>
        <w:adjustRightInd w:val="0"/>
        <w:snapToGrid w:val="0"/>
        <w:spacing w:before="0" w:beforeAutospacing="0" w:after="0" w:afterAutospacing="0" w:line="360" w:lineRule="auto"/>
        <w:ind w:left="-2" w:leftChars="-1" w:right="0"/>
        <w:jc w:val="both"/>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邮编：</w:t>
      </w:r>
    </w:p>
    <w:p w14:paraId="22F0C166">
      <w:pPr>
        <w:keepNext w:val="0"/>
        <w:keepLines w:val="0"/>
        <w:widowControl w:val="0"/>
        <w:suppressLineNumbers w:val="0"/>
        <w:adjustRightInd w:val="0"/>
        <w:snapToGrid w:val="0"/>
        <w:spacing w:before="0" w:beforeAutospacing="0" w:after="0" w:afterAutospacing="0" w:line="360" w:lineRule="auto"/>
        <w:ind w:left="-2" w:leftChars="-1" w:right="0"/>
        <w:jc w:val="both"/>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电话：</w:t>
      </w:r>
    </w:p>
    <w:p w14:paraId="2FC4CD6F">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传真：</w:t>
      </w:r>
    </w:p>
    <w:p w14:paraId="4F93B5BB">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日期：     年  月  日 </w:t>
      </w:r>
    </w:p>
    <w:p w14:paraId="7E90314A">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Times New Roman" w:eastAsia="宋体" w:cs="宋体"/>
          <w:color w:val="auto"/>
          <w:kern w:val="0"/>
          <w:sz w:val="24"/>
          <w:szCs w:val="24"/>
          <w:highlight w:val="none"/>
        </w:rPr>
      </w:pPr>
      <w:r>
        <w:rPr>
          <w:rFonts w:hint="eastAsia" w:ascii="宋体" w:hAnsi="Times New Roman" w:eastAsia="宋体" w:cs="宋体"/>
          <w:color w:val="auto"/>
          <w:kern w:val="0"/>
          <w:sz w:val="24"/>
          <w:szCs w:val="24"/>
          <w:highlight w:val="none"/>
          <w:lang w:val="en-US" w:eastAsia="zh-CN" w:bidi="ar"/>
        </w:rPr>
        <w:t xml:space="preserve"> </w:t>
      </w:r>
    </w:p>
    <w:p w14:paraId="6BC821C7">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Times New Roman"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本协议签订于广东省广州市番禺区。</w:t>
      </w:r>
    </w:p>
    <w:p w14:paraId="2FF3D9B0">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b/>
          <w:bCs w:val="0"/>
          <w:color w:val="auto"/>
          <w:kern w:val="0"/>
          <w:sz w:val="52"/>
          <w:szCs w:val="52"/>
          <w:highlight w:val="none"/>
        </w:rPr>
      </w:pPr>
      <w:r>
        <w:rPr>
          <w:rFonts w:hint="eastAsia" w:ascii="宋体" w:hAnsi="Calibri" w:eastAsia="宋体" w:cs="Times New Roman"/>
          <w:color w:val="auto"/>
          <w:spacing w:val="4"/>
          <w:kern w:val="0"/>
          <w:sz w:val="24"/>
          <w:szCs w:val="24"/>
          <w:highlight w:val="none"/>
          <w:lang w:val="en-US" w:eastAsia="zh-CN" w:bidi="ar"/>
        </w:rPr>
        <w:br w:type="page"/>
      </w:r>
      <w:r>
        <w:rPr>
          <w:rFonts w:hint="eastAsia" w:ascii="宋体" w:hAnsi="宋体" w:eastAsia="宋体" w:cs="宋体"/>
          <w:color w:val="auto"/>
          <w:kern w:val="2"/>
          <w:sz w:val="21"/>
          <w:szCs w:val="21"/>
          <w:highlight w:val="none"/>
          <w:lang w:val="en-US" w:eastAsia="zh-CN" w:bidi="ar"/>
        </w:rPr>
        <w:t>附文5：《建设资金支付协议（格式）》</w:t>
      </w:r>
    </w:p>
    <w:p w14:paraId="1769A3A3">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b/>
          <w:bCs w:val="0"/>
          <w:color w:val="auto"/>
          <w:kern w:val="0"/>
          <w:sz w:val="32"/>
          <w:szCs w:val="32"/>
          <w:highlight w:val="none"/>
        </w:rPr>
      </w:pPr>
      <w:r>
        <w:rPr>
          <w:rFonts w:hint="eastAsia" w:ascii="宋体" w:hAnsi="宋体" w:eastAsia="宋体" w:cs="宋体"/>
          <w:b/>
          <w:bCs w:val="0"/>
          <w:color w:val="auto"/>
          <w:kern w:val="0"/>
          <w:sz w:val="32"/>
          <w:szCs w:val="32"/>
          <w:highlight w:val="none"/>
          <w:lang w:val="en-US" w:eastAsia="zh-CN" w:bidi="ar"/>
        </w:rPr>
        <w:t xml:space="preserve">附件20： </w:t>
      </w:r>
    </w:p>
    <w:p w14:paraId="2D8B8F48">
      <w:pPr>
        <w:keepNext w:val="0"/>
        <w:keepLines w:val="0"/>
        <w:widowControl w:val="0"/>
        <w:suppressLineNumbers w:val="0"/>
        <w:spacing w:before="240" w:beforeAutospacing="0" w:after="0" w:afterAutospacing="0" w:line="360" w:lineRule="auto"/>
        <w:ind w:left="0" w:right="0"/>
        <w:jc w:val="center"/>
        <w:rPr>
          <w:rFonts w:hint="default" w:ascii="华文中宋" w:hAnsi="华文中宋" w:eastAsia="华文中宋" w:cs="华文中宋"/>
          <w:color w:val="auto"/>
          <w:kern w:val="0"/>
          <w:sz w:val="80"/>
          <w:szCs w:val="80"/>
          <w:highlight w:val="none"/>
        </w:rPr>
      </w:pPr>
      <w:r>
        <w:rPr>
          <w:rFonts w:hint="default" w:ascii="华文中宋" w:hAnsi="华文中宋" w:eastAsia="华文中宋" w:cs="华文中宋"/>
          <w:color w:val="auto"/>
          <w:kern w:val="0"/>
          <w:sz w:val="80"/>
          <w:szCs w:val="80"/>
          <w:highlight w:val="none"/>
          <w:lang w:val="en-US" w:eastAsia="zh-CN" w:bidi="ar"/>
        </w:rPr>
        <w:t>建设资金支付协议</w:t>
      </w:r>
    </w:p>
    <w:p w14:paraId="0EDFB02E">
      <w:pPr>
        <w:keepNext w:val="0"/>
        <w:keepLines w:val="0"/>
        <w:widowControl w:val="0"/>
        <w:suppressLineNumbers w:val="0"/>
        <w:adjustRightInd w:val="0"/>
        <w:snapToGrid w:val="0"/>
        <w:spacing w:before="240" w:beforeAutospacing="0" w:after="0" w:afterAutospacing="0" w:line="360" w:lineRule="auto"/>
        <w:ind w:left="0" w:right="0"/>
        <w:jc w:val="center"/>
        <w:rPr>
          <w:rFonts w:hint="eastAsia" w:ascii="宋体" w:hAnsi="宋体" w:eastAsia="宋体" w:cs="宋体"/>
          <w:b/>
          <w:bCs w:val="0"/>
          <w:color w:val="auto"/>
          <w:kern w:val="0"/>
          <w:sz w:val="32"/>
          <w:szCs w:val="32"/>
          <w:highlight w:val="none"/>
        </w:rPr>
      </w:pPr>
      <w:r>
        <w:rPr>
          <w:rFonts w:hint="eastAsia" w:ascii="宋体" w:hAnsi="宋体" w:eastAsia="宋体" w:cs="宋体"/>
          <w:b/>
          <w:bCs w:val="0"/>
          <w:color w:val="auto"/>
          <w:kern w:val="0"/>
          <w:sz w:val="32"/>
          <w:szCs w:val="32"/>
          <w:highlight w:val="none"/>
          <w:lang w:val="en-US" w:eastAsia="zh-CN" w:bidi="ar"/>
        </w:rPr>
        <w:t>编号：</w:t>
      </w:r>
    </w:p>
    <w:p w14:paraId="4B36ED8F">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14:paraId="6C8CCB4E">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14:paraId="5FAE5215">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14:paraId="32611FC3">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14:paraId="4BCDBC88">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14:paraId="59779611">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14:paraId="7E944593">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14:paraId="44190158">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14:paraId="207B8A8B">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14:paraId="3C9E220B">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14:paraId="274AF3C8">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14:paraId="0C85CCAA">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14:paraId="3DD10F1B">
      <w:pPr>
        <w:keepNext w:val="0"/>
        <w:keepLines w:val="0"/>
        <w:widowControl w:val="0"/>
        <w:suppressLineNumbers w:val="0"/>
        <w:spacing w:before="0" w:beforeAutospacing="0" w:after="0" w:afterAutospacing="0" w:line="360" w:lineRule="auto"/>
        <w:ind w:left="0" w:right="0" w:firstLine="315" w:firstLineChars="98"/>
        <w:jc w:val="both"/>
        <w:rPr>
          <w:rFonts w:hint="eastAsia" w:ascii="宋体" w:hAnsi="宋体" w:eastAsia="宋体" w:cs="宋体"/>
          <w:b/>
          <w:bCs w:val="0"/>
          <w:color w:val="auto"/>
          <w:kern w:val="0"/>
          <w:sz w:val="32"/>
          <w:szCs w:val="32"/>
          <w:highlight w:val="none"/>
        </w:rPr>
      </w:pPr>
      <w:r>
        <w:rPr>
          <w:rFonts w:hint="eastAsia" w:ascii="宋体" w:hAnsi="宋体" w:eastAsia="宋体" w:cs="宋体"/>
          <w:b/>
          <w:bCs w:val="0"/>
          <w:color w:val="auto"/>
          <w:kern w:val="0"/>
          <w:sz w:val="32"/>
          <w:szCs w:val="32"/>
          <w:highlight w:val="none"/>
          <w:lang w:val="en-US" w:eastAsia="zh-CN" w:bidi="ar"/>
        </w:rPr>
        <w:t xml:space="preserve">甲方(项目业主单位)：广州市体育局 </w:t>
      </w:r>
    </w:p>
    <w:p w14:paraId="184B62C6">
      <w:pPr>
        <w:keepNext w:val="0"/>
        <w:keepLines w:val="0"/>
        <w:widowControl w:val="0"/>
        <w:suppressLineNumbers w:val="0"/>
        <w:adjustRightInd w:val="0"/>
        <w:snapToGrid w:val="0"/>
        <w:spacing w:before="0" w:beforeAutospacing="0" w:after="0" w:afterAutospacing="0" w:line="360" w:lineRule="auto"/>
        <w:ind w:left="0" w:right="0" w:firstLine="320" w:firstLineChars="100"/>
        <w:jc w:val="both"/>
        <w:rPr>
          <w:rFonts w:hint="eastAsia"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lang w:val="en-US" w:eastAsia="zh-CN" w:bidi="ar"/>
        </w:rPr>
        <w:t xml:space="preserve">地址： </w:t>
      </w:r>
    </w:p>
    <w:p w14:paraId="1F009609">
      <w:pPr>
        <w:keepNext w:val="0"/>
        <w:keepLines w:val="0"/>
        <w:widowControl w:val="0"/>
        <w:suppressLineNumbers w:val="0"/>
        <w:spacing w:before="0" w:beforeAutospacing="0" w:after="0" w:afterAutospacing="0" w:line="360" w:lineRule="auto"/>
        <w:ind w:left="0" w:right="0" w:firstLine="315" w:firstLineChars="98"/>
        <w:jc w:val="both"/>
        <w:rPr>
          <w:rFonts w:hint="eastAsia" w:ascii="宋体" w:hAnsi="宋体" w:eastAsia="宋体" w:cs="宋体"/>
          <w:b/>
          <w:bCs w:val="0"/>
          <w:color w:val="auto"/>
          <w:kern w:val="0"/>
          <w:sz w:val="32"/>
          <w:szCs w:val="32"/>
          <w:highlight w:val="none"/>
        </w:rPr>
      </w:pPr>
      <w:r>
        <w:rPr>
          <w:rFonts w:hint="eastAsia" w:ascii="宋体" w:hAnsi="宋体" w:eastAsia="宋体" w:cs="宋体"/>
          <w:b/>
          <w:bCs w:val="0"/>
          <w:color w:val="auto"/>
          <w:kern w:val="0"/>
          <w:sz w:val="32"/>
          <w:szCs w:val="32"/>
          <w:highlight w:val="none"/>
          <w:lang w:val="en-US" w:eastAsia="zh-CN" w:bidi="ar"/>
        </w:rPr>
        <w:t>乙方(建设管理单位)：</w:t>
      </w:r>
      <w:r>
        <w:rPr>
          <w:rFonts w:hint="eastAsia" w:ascii="宋体" w:hAnsi="宋体" w:eastAsia="宋体" w:cs="宋体"/>
          <w:b/>
          <w:bCs w:val="0"/>
          <w:color w:val="auto"/>
          <w:spacing w:val="-20"/>
          <w:kern w:val="0"/>
          <w:sz w:val="32"/>
          <w:szCs w:val="32"/>
          <w:highlight w:val="none"/>
          <w:lang w:val="en-US" w:eastAsia="zh-CN" w:bidi="ar"/>
        </w:rPr>
        <w:t>广州市重点公共建设项目管理中心</w:t>
      </w:r>
    </w:p>
    <w:p w14:paraId="6DBA7CB5">
      <w:pPr>
        <w:keepNext w:val="0"/>
        <w:keepLines w:val="0"/>
        <w:widowControl w:val="0"/>
        <w:suppressLineNumbers w:val="0"/>
        <w:adjustRightInd w:val="0"/>
        <w:snapToGrid w:val="0"/>
        <w:spacing w:before="0" w:beforeAutospacing="0" w:after="0" w:afterAutospacing="0" w:line="360" w:lineRule="auto"/>
        <w:ind w:left="0" w:right="0" w:firstLine="320" w:firstLineChars="100"/>
        <w:jc w:val="both"/>
        <w:rPr>
          <w:rFonts w:hint="eastAsia" w:ascii="宋体" w:hAnsi="宋体" w:eastAsia="宋体" w:cs="宋体"/>
          <w:b/>
          <w:bCs w:val="0"/>
          <w:color w:val="auto"/>
          <w:kern w:val="0"/>
          <w:sz w:val="32"/>
          <w:szCs w:val="32"/>
          <w:highlight w:val="none"/>
        </w:rPr>
      </w:pPr>
      <w:r>
        <w:rPr>
          <w:rFonts w:hint="eastAsia" w:ascii="宋体" w:hAnsi="宋体" w:eastAsia="宋体" w:cs="宋体"/>
          <w:color w:val="auto"/>
          <w:kern w:val="0"/>
          <w:sz w:val="32"/>
          <w:szCs w:val="32"/>
          <w:highlight w:val="none"/>
          <w:lang w:val="en-US" w:eastAsia="zh-CN" w:bidi="ar"/>
        </w:rPr>
        <w:t>地址：广州大学城内环东星运路1号</w:t>
      </w:r>
    </w:p>
    <w:p w14:paraId="32C32986">
      <w:pPr>
        <w:keepNext w:val="0"/>
        <w:keepLines w:val="0"/>
        <w:widowControl w:val="0"/>
        <w:suppressLineNumbers w:val="0"/>
        <w:adjustRightInd w:val="0"/>
        <w:snapToGrid w:val="0"/>
        <w:spacing w:before="0" w:beforeAutospacing="0" w:after="0" w:afterAutospacing="0" w:line="360" w:lineRule="auto"/>
        <w:ind w:left="0" w:right="11" w:firstLine="472" w:firstLineChars="147"/>
        <w:jc w:val="both"/>
        <w:rPr>
          <w:rFonts w:hint="eastAsia" w:ascii="宋体" w:hAnsi="宋体" w:eastAsia="宋体" w:cs="宋体"/>
          <w:color w:val="auto"/>
          <w:kern w:val="0"/>
          <w:sz w:val="24"/>
          <w:szCs w:val="24"/>
          <w:highlight w:val="none"/>
        </w:rPr>
      </w:pPr>
      <w:r>
        <w:rPr>
          <w:rFonts w:hint="eastAsia" w:ascii="宋体" w:hAnsi="宋体" w:eastAsia="宋体" w:cs="宋体"/>
          <w:b/>
          <w:bCs w:val="0"/>
          <w:color w:val="auto"/>
          <w:kern w:val="0"/>
          <w:sz w:val="32"/>
          <w:szCs w:val="32"/>
          <w:highlight w:val="none"/>
          <w:lang w:val="en-US" w:eastAsia="zh-CN" w:bidi="ar"/>
        </w:rPr>
        <w:br w:type="page"/>
      </w:r>
      <w:r>
        <w:rPr>
          <w:rFonts w:hint="eastAsia" w:ascii="宋体" w:hAnsi="宋体" w:eastAsia="宋体" w:cs="宋体"/>
          <w:color w:val="auto"/>
          <w:kern w:val="0"/>
          <w:sz w:val="24"/>
          <w:szCs w:val="24"/>
          <w:highlight w:val="none"/>
          <w:lang w:val="en-US" w:eastAsia="zh-CN" w:bidi="ar"/>
        </w:rPr>
        <w:t>根据穗府16届43次〔2023〕25号《市政府常务会议纪要》，明确由乙方对广州体育馆维修改造项目（以下简称本项目）实行建设管理。现经甲、乙双方协商一致，甲方负责落实和管理本项目建设资金，双方就本项目建设资金支付等事宜具体约定如下：</w:t>
      </w:r>
    </w:p>
    <w:p w14:paraId="11F4A4EF">
      <w:pPr>
        <w:keepNext w:val="0"/>
        <w:keepLines w:val="0"/>
        <w:widowControl w:val="0"/>
        <w:suppressLineNumbers w:val="0"/>
        <w:adjustRightInd w:val="0"/>
        <w:snapToGrid w:val="0"/>
        <w:spacing w:before="0" w:beforeAutospacing="0" w:after="0" w:afterAutospacing="0" w:line="360" w:lineRule="auto"/>
        <w:ind w:left="0" w:right="11" w:firstLine="482" w:firstLineChars="200"/>
        <w:jc w:val="both"/>
        <w:rPr>
          <w:rFonts w:hint="eastAsia" w:ascii="宋体" w:hAnsi="宋体" w:eastAsia="宋体" w:cs="宋体"/>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 xml:space="preserve">第一条  </w:t>
      </w:r>
      <w:r>
        <w:rPr>
          <w:rFonts w:hint="eastAsia" w:ascii="宋体" w:hAnsi="宋体" w:eastAsia="宋体" w:cs="宋体"/>
          <w:color w:val="auto"/>
          <w:kern w:val="0"/>
          <w:sz w:val="24"/>
          <w:szCs w:val="24"/>
          <w:highlight w:val="none"/>
          <w:lang w:val="en-US" w:eastAsia="zh-CN" w:bidi="ar"/>
        </w:rPr>
        <w:t>甲、乙双方一致同意，在本项目有关的设计、监理、施工、服务类等合同（以下统称项目合同）的承建单位或服务单位达到项目合同（包括由乙方和承建单位或服务单位另行签订的其他涉及调整项目合同价款的补充合同）约定付款条件并按照项目合同约定申请款项支付时，应向乙方提交相应合法有效的支付申请材料和收款票据（票据类型包括但不限于发票，下同；由承建单位或服务单位向甲方开具，即付款方名称为“</w:t>
      </w:r>
      <w:r>
        <w:rPr>
          <w:rFonts w:hint="eastAsia" w:ascii="宋体" w:hAnsi="宋体" w:eastAsia="宋体" w:cs="宋体"/>
          <w:b/>
          <w:bCs w:val="0"/>
          <w:color w:val="auto"/>
          <w:spacing w:val="4"/>
          <w:kern w:val="0"/>
          <w:sz w:val="24"/>
          <w:szCs w:val="24"/>
          <w:highlight w:val="none"/>
          <w:lang w:val="en-US" w:eastAsia="zh-CN" w:bidi="ar"/>
        </w:rPr>
        <w:t>广州市体育局</w:t>
      </w:r>
      <w:r>
        <w:rPr>
          <w:rFonts w:hint="eastAsia" w:ascii="宋体" w:hAnsi="宋体" w:eastAsia="宋体" w:cs="宋体"/>
          <w:color w:val="auto"/>
          <w:kern w:val="0"/>
          <w:sz w:val="24"/>
          <w:szCs w:val="24"/>
          <w:highlight w:val="none"/>
          <w:lang w:val="en-US" w:eastAsia="zh-CN" w:bidi="ar"/>
        </w:rPr>
        <w:t>”）。</w:t>
      </w:r>
    </w:p>
    <w:p w14:paraId="6984B67F">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宋体" w:eastAsia="宋体" w:cs="宋体"/>
          <w:bCs/>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承建单位或服务单位</w:t>
      </w:r>
      <w:r>
        <w:rPr>
          <w:rFonts w:hint="eastAsia" w:ascii="宋体" w:hAnsi="宋体" w:eastAsia="宋体" w:cs="宋体"/>
          <w:bCs/>
          <w:color w:val="auto"/>
          <w:kern w:val="0"/>
          <w:sz w:val="24"/>
          <w:szCs w:val="24"/>
          <w:highlight w:val="none"/>
          <w:lang w:val="en-US" w:eastAsia="zh-CN" w:bidi="ar"/>
        </w:rPr>
        <w:t>按相关规定及财务制度（含</w:t>
      </w:r>
      <w:r>
        <w:rPr>
          <w:rFonts w:hint="eastAsia" w:ascii="宋体" w:hAnsi="宋体" w:eastAsia="宋体" w:cs="宋体"/>
          <w:color w:val="auto"/>
          <w:kern w:val="0"/>
          <w:sz w:val="24"/>
          <w:szCs w:val="24"/>
          <w:highlight w:val="none"/>
          <w:lang w:val="en-US" w:eastAsia="zh-CN" w:bidi="ar"/>
        </w:rPr>
        <w:t>乙方</w:t>
      </w:r>
      <w:r>
        <w:rPr>
          <w:rFonts w:hint="eastAsia" w:ascii="宋体" w:hAnsi="宋体" w:eastAsia="宋体" w:cs="宋体"/>
          <w:bCs/>
          <w:color w:val="auto"/>
          <w:kern w:val="0"/>
          <w:sz w:val="24"/>
          <w:szCs w:val="24"/>
          <w:highlight w:val="none"/>
          <w:lang w:val="en-US" w:eastAsia="zh-CN" w:bidi="ar"/>
        </w:rPr>
        <w:t>的财务管理制度）提交完备且无误的支付申请材料后，</w:t>
      </w:r>
      <w:r>
        <w:rPr>
          <w:rFonts w:hint="eastAsia" w:ascii="宋体" w:hAnsi="宋体" w:eastAsia="宋体" w:cs="宋体"/>
          <w:color w:val="auto"/>
          <w:kern w:val="0"/>
          <w:sz w:val="24"/>
          <w:szCs w:val="24"/>
          <w:highlight w:val="none"/>
          <w:lang w:val="en-US" w:eastAsia="zh-CN" w:bidi="ar"/>
        </w:rPr>
        <w:t>乙方</w:t>
      </w:r>
      <w:r>
        <w:rPr>
          <w:rFonts w:hint="eastAsia" w:ascii="宋体" w:hAnsi="宋体" w:eastAsia="宋体" w:cs="宋体"/>
          <w:bCs/>
          <w:color w:val="auto"/>
          <w:kern w:val="0"/>
          <w:sz w:val="24"/>
          <w:szCs w:val="24"/>
          <w:highlight w:val="none"/>
          <w:lang w:val="en-US" w:eastAsia="zh-CN" w:bidi="ar"/>
        </w:rPr>
        <w:t>根据甲方在“数字政府”系统中按规定授权使用本项目的预算指标，对</w:t>
      </w:r>
      <w:r>
        <w:rPr>
          <w:rFonts w:hint="eastAsia" w:ascii="宋体" w:hAnsi="宋体" w:eastAsia="宋体" w:cs="宋体"/>
          <w:color w:val="auto"/>
          <w:kern w:val="0"/>
          <w:sz w:val="24"/>
          <w:szCs w:val="24"/>
          <w:highlight w:val="none"/>
          <w:lang w:val="en-US" w:eastAsia="zh-CN" w:bidi="ar"/>
        </w:rPr>
        <w:t>承建单位或服务单位</w:t>
      </w:r>
      <w:r>
        <w:rPr>
          <w:rFonts w:hint="eastAsia" w:ascii="宋体" w:hAnsi="宋体" w:eastAsia="宋体" w:cs="宋体"/>
          <w:bCs/>
          <w:color w:val="auto"/>
          <w:kern w:val="0"/>
          <w:sz w:val="24"/>
          <w:szCs w:val="24"/>
          <w:highlight w:val="none"/>
          <w:lang w:val="en-US" w:eastAsia="zh-CN" w:bidi="ar"/>
        </w:rPr>
        <w:t>提交的支付申请材料进行审核，</w:t>
      </w:r>
      <w:r>
        <w:rPr>
          <w:rFonts w:hint="eastAsia" w:ascii="宋体" w:hAnsi="宋体" w:eastAsia="宋体" w:cs="宋体"/>
          <w:color w:val="auto"/>
          <w:kern w:val="0"/>
          <w:sz w:val="24"/>
          <w:szCs w:val="24"/>
          <w:highlight w:val="none"/>
          <w:lang w:val="en-US" w:eastAsia="zh-CN" w:bidi="ar"/>
        </w:rPr>
        <w:t>乙方</w:t>
      </w:r>
      <w:r>
        <w:rPr>
          <w:rFonts w:hint="eastAsia" w:ascii="宋体" w:hAnsi="宋体" w:eastAsia="宋体" w:cs="宋体"/>
          <w:bCs/>
          <w:color w:val="auto"/>
          <w:kern w:val="0"/>
          <w:sz w:val="24"/>
          <w:szCs w:val="24"/>
          <w:highlight w:val="none"/>
          <w:lang w:val="en-US" w:eastAsia="zh-CN" w:bidi="ar"/>
        </w:rPr>
        <w:t>在审核确定且财政资金到位后5个工作日内把相关资料连同</w:t>
      </w:r>
      <w:r>
        <w:rPr>
          <w:rFonts w:hint="eastAsia" w:ascii="宋体" w:hAnsi="宋体" w:eastAsia="宋体" w:cs="宋体"/>
          <w:color w:val="auto"/>
          <w:kern w:val="0"/>
          <w:sz w:val="24"/>
          <w:szCs w:val="24"/>
          <w:highlight w:val="none"/>
          <w:lang w:val="en-US" w:eastAsia="zh-CN" w:bidi="ar"/>
        </w:rPr>
        <w:t>承建单位或服务单位</w:t>
      </w:r>
      <w:r>
        <w:rPr>
          <w:rFonts w:hint="eastAsia" w:ascii="宋体" w:hAnsi="宋体" w:eastAsia="宋体" w:cs="宋体"/>
          <w:bCs/>
          <w:color w:val="auto"/>
          <w:kern w:val="0"/>
          <w:sz w:val="24"/>
          <w:szCs w:val="24"/>
          <w:highlight w:val="none"/>
          <w:lang w:val="en-US" w:eastAsia="zh-CN" w:bidi="ar"/>
        </w:rPr>
        <w:t>提交的收款票据向财政部门或资金主管部门申请拨付有关款项至</w:t>
      </w:r>
      <w:r>
        <w:rPr>
          <w:rFonts w:hint="eastAsia" w:ascii="宋体" w:hAnsi="宋体" w:eastAsia="宋体" w:cs="宋体"/>
          <w:color w:val="auto"/>
          <w:kern w:val="0"/>
          <w:sz w:val="24"/>
          <w:szCs w:val="24"/>
          <w:highlight w:val="none"/>
          <w:lang w:val="en-US" w:eastAsia="zh-CN" w:bidi="ar"/>
        </w:rPr>
        <w:t>承建单位或服务单位</w:t>
      </w:r>
      <w:r>
        <w:rPr>
          <w:rFonts w:hint="eastAsia" w:ascii="宋体" w:hAnsi="宋体" w:eastAsia="宋体" w:cs="宋体"/>
          <w:bCs/>
          <w:color w:val="auto"/>
          <w:kern w:val="0"/>
          <w:sz w:val="24"/>
          <w:szCs w:val="24"/>
          <w:highlight w:val="none"/>
          <w:lang w:val="en-US" w:eastAsia="zh-CN" w:bidi="ar"/>
        </w:rPr>
        <w:t>，具体支付时间以财政部门或资金主管部门实际支付时间为准。因财政或上级主管部门等原因导致的支付延迟，</w:t>
      </w:r>
      <w:r>
        <w:rPr>
          <w:rFonts w:hint="eastAsia" w:ascii="宋体" w:hAnsi="宋体" w:eastAsia="宋体" w:cs="宋体"/>
          <w:color w:val="auto"/>
          <w:kern w:val="0"/>
          <w:sz w:val="24"/>
          <w:szCs w:val="24"/>
          <w:highlight w:val="none"/>
          <w:lang w:val="en-US" w:eastAsia="zh-CN" w:bidi="ar"/>
        </w:rPr>
        <w:t>甲、乙双方</w:t>
      </w:r>
      <w:r>
        <w:rPr>
          <w:rFonts w:hint="eastAsia" w:ascii="宋体" w:hAnsi="宋体" w:eastAsia="宋体" w:cs="宋体"/>
          <w:bCs/>
          <w:color w:val="auto"/>
          <w:kern w:val="0"/>
          <w:sz w:val="24"/>
          <w:szCs w:val="24"/>
          <w:highlight w:val="none"/>
          <w:lang w:val="en-US" w:eastAsia="zh-CN" w:bidi="ar"/>
        </w:rPr>
        <w:t>不承担违约等法律责任</w:t>
      </w:r>
      <w:r>
        <w:rPr>
          <w:rFonts w:hint="eastAsia" w:ascii="宋体" w:hAnsi="宋体" w:eastAsia="宋体" w:cs="宋体"/>
          <w:color w:val="auto"/>
          <w:kern w:val="0"/>
          <w:sz w:val="24"/>
          <w:szCs w:val="24"/>
          <w:highlight w:val="none"/>
          <w:lang w:val="en-US" w:eastAsia="zh-CN" w:bidi="ar"/>
        </w:rPr>
        <w:t>，并且此情况不能成为承建单位或服务单位中止或拒绝履行合同约定义务的理由</w:t>
      </w:r>
      <w:r>
        <w:rPr>
          <w:rFonts w:hint="eastAsia" w:ascii="宋体" w:hAnsi="宋体" w:eastAsia="宋体" w:cs="宋体"/>
          <w:bCs/>
          <w:color w:val="auto"/>
          <w:kern w:val="0"/>
          <w:sz w:val="24"/>
          <w:szCs w:val="24"/>
          <w:highlight w:val="none"/>
          <w:lang w:val="en-US" w:eastAsia="zh-CN" w:bidi="ar"/>
        </w:rPr>
        <w:t>。</w:t>
      </w:r>
    </w:p>
    <w:p w14:paraId="340D8BE9">
      <w:pPr>
        <w:keepNext w:val="0"/>
        <w:keepLines w:val="0"/>
        <w:widowControl w:val="0"/>
        <w:suppressLineNumbers w:val="0"/>
        <w:adjustRightInd w:val="0"/>
        <w:snapToGrid w:val="0"/>
        <w:spacing w:before="0" w:beforeAutospacing="0" w:after="0" w:afterAutospacing="0" w:line="360" w:lineRule="auto"/>
        <w:ind w:left="0" w:right="11" w:firstLine="482" w:firstLineChars="200"/>
        <w:jc w:val="both"/>
        <w:rPr>
          <w:rFonts w:hint="eastAsia" w:ascii="宋体" w:hAnsi="宋体" w:eastAsia="宋体" w:cs="宋体"/>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第二条</w:t>
      </w:r>
      <w:r>
        <w:rPr>
          <w:rFonts w:hint="eastAsia" w:ascii="宋体" w:hAnsi="宋体" w:eastAsia="宋体" w:cs="宋体"/>
          <w:color w:val="auto"/>
          <w:kern w:val="0"/>
          <w:sz w:val="24"/>
          <w:szCs w:val="24"/>
          <w:highlight w:val="none"/>
          <w:lang w:val="en-US" w:eastAsia="zh-CN" w:bidi="ar"/>
        </w:rPr>
        <w:t xml:space="preserve">  甲、乙双方一致同意，本项目竣工验收且移交给甲方使用管理后，监理、施工等合同项下属于乙方在工程质量保修阶段所涉及的权利和义务即由甲方享有和承担，即：由甲方牵头组织完成项目合同约定范围内的工程质量保修期服务/工程质量保修阶段监理服务，乙方负责监督协调，监理单位/施工单位在项目合同中约定的工程质量保修/工程质量保修阶段监理服务所涉及的权利和义务不变。</w:t>
      </w:r>
    </w:p>
    <w:p w14:paraId="34CE29FC">
      <w:pPr>
        <w:keepNext w:val="0"/>
        <w:keepLines w:val="0"/>
        <w:widowControl w:val="0"/>
        <w:suppressLineNumbers w:val="0"/>
        <w:adjustRightInd w:val="0"/>
        <w:snapToGrid w:val="0"/>
        <w:spacing w:before="0" w:beforeAutospacing="0" w:after="0" w:afterAutospacing="0" w:line="360" w:lineRule="auto"/>
        <w:ind w:left="0" w:right="11"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项目合同约定保留的工程质量保证金/工程质量保修阶段监理酬金，由承建单位或服务单位向甲方提交支付申请资料，甲方按相关审批手续组织审核后，将相关付款资料和承建单位或服务单位提交的收款票据送</w:t>
      </w:r>
      <w:r>
        <w:rPr>
          <w:rFonts w:hint="eastAsia" w:ascii="宋体" w:hAnsi="宋体" w:eastAsia="宋体" w:cs="宋体"/>
          <w:bCs/>
          <w:color w:val="auto"/>
          <w:kern w:val="0"/>
          <w:sz w:val="24"/>
          <w:szCs w:val="24"/>
          <w:highlight w:val="none"/>
          <w:lang w:val="en-US" w:eastAsia="zh-CN" w:bidi="ar"/>
        </w:rPr>
        <w:t>财政部门或资金主管部门</w:t>
      </w:r>
      <w:r>
        <w:rPr>
          <w:rFonts w:hint="eastAsia" w:ascii="宋体" w:hAnsi="宋体" w:eastAsia="宋体" w:cs="宋体"/>
          <w:color w:val="auto"/>
          <w:kern w:val="0"/>
          <w:sz w:val="24"/>
          <w:szCs w:val="24"/>
          <w:highlight w:val="none"/>
          <w:lang w:val="en-US" w:eastAsia="zh-CN" w:bidi="ar"/>
        </w:rPr>
        <w:t>办理拨款手续。</w:t>
      </w:r>
    </w:p>
    <w:p w14:paraId="372CF79F">
      <w:pPr>
        <w:keepNext w:val="0"/>
        <w:keepLines w:val="0"/>
        <w:widowControl w:val="0"/>
        <w:suppressLineNumbers w:val="0"/>
        <w:adjustRightInd w:val="0"/>
        <w:snapToGrid w:val="0"/>
        <w:spacing w:before="0" w:beforeAutospacing="0" w:after="0" w:afterAutospacing="0" w:line="360" w:lineRule="auto"/>
        <w:ind w:left="0" w:right="11" w:firstLine="482" w:firstLineChars="200"/>
        <w:jc w:val="both"/>
        <w:rPr>
          <w:rFonts w:hint="eastAsia" w:ascii="宋体" w:hAnsi="宋体" w:eastAsia="宋体" w:cs="宋体"/>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第三条</w:t>
      </w:r>
      <w:r>
        <w:rPr>
          <w:rFonts w:hint="eastAsia" w:ascii="宋体" w:hAnsi="宋体" w:eastAsia="宋体" w:cs="宋体"/>
          <w:color w:val="auto"/>
          <w:kern w:val="0"/>
          <w:sz w:val="24"/>
          <w:szCs w:val="24"/>
          <w:highlight w:val="none"/>
          <w:lang w:val="en-US" w:eastAsia="zh-CN" w:bidi="ar"/>
        </w:rPr>
        <w:t xml:space="preserve">  若有其他未尽事宜，由甲、乙双方另行商议解决。</w:t>
      </w:r>
    </w:p>
    <w:p w14:paraId="5165165E">
      <w:pPr>
        <w:keepNext w:val="0"/>
        <w:keepLines w:val="0"/>
        <w:widowControl w:val="0"/>
        <w:suppressLineNumbers w:val="0"/>
        <w:adjustRightInd w:val="0"/>
        <w:snapToGrid w:val="0"/>
        <w:spacing w:before="0" w:beforeAutospacing="0" w:after="0" w:afterAutospacing="0" w:line="360" w:lineRule="auto"/>
        <w:ind w:left="0" w:right="11" w:firstLine="482" w:firstLineChars="200"/>
        <w:jc w:val="both"/>
        <w:rPr>
          <w:rFonts w:hint="eastAsia" w:ascii="宋体" w:hAnsi="宋体" w:eastAsia="宋体" w:cs="宋体"/>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第四条</w:t>
      </w:r>
      <w:r>
        <w:rPr>
          <w:rFonts w:hint="eastAsia" w:ascii="宋体" w:hAnsi="宋体" w:eastAsia="宋体" w:cs="宋体"/>
          <w:color w:val="auto"/>
          <w:kern w:val="0"/>
          <w:sz w:val="24"/>
          <w:szCs w:val="24"/>
          <w:highlight w:val="none"/>
          <w:lang w:val="en-US" w:eastAsia="zh-CN" w:bidi="ar"/>
        </w:rPr>
        <w:t xml:space="preserve">  本协议自甲、乙双方签字盖章之日起生效。</w:t>
      </w:r>
    </w:p>
    <w:p w14:paraId="05C5E03A">
      <w:pPr>
        <w:keepNext w:val="0"/>
        <w:keepLines w:val="0"/>
        <w:widowControl w:val="0"/>
        <w:suppressLineNumbers w:val="0"/>
        <w:adjustRightInd w:val="0"/>
        <w:snapToGrid w:val="0"/>
        <w:spacing w:before="0" w:beforeAutospacing="0" w:after="0" w:afterAutospacing="0" w:line="360" w:lineRule="auto"/>
        <w:ind w:left="0" w:right="11" w:firstLine="482" w:firstLineChars="200"/>
        <w:jc w:val="both"/>
        <w:rPr>
          <w:rFonts w:hint="eastAsia" w:ascii="宋体" w:hAnsi="宋体" w:eastAsia="宋体" w:cs="宋体"/>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 xml:space="preserve">第五条  </w:t>
      </w:r>
      <w:r>
        <w:rPr>
          <w:rFonts w:hint="eastAsia" w:ascii="宋体" w:hAnsi="宋体" w:eastAsia="宋体" w:cs="宋体"/>
          <w:color w:val="auto"/>
          <w:kern w:val="0"/>
          <w:sz w:val="24"/>
          <w:szCs w:val="24"/>
          <w:highlight w:val="none"/>
          <w:lang w:val="en-US" w:eastAsia="zh-CN" w:bidi="ar"/>
        </w:rPr>
        <w:t>本协议一式八份，甲方执两份，乙方执六份，具有同等法律效力。</w:t>
      </w:r>
    </w:p>
    <w:p w14:paraId="1947B872">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（本页以下无正文）</w:t>
      </w:r>
    </w:p>
    <w:p w14:paraId="79BA1814">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41629C3A">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33AACADC">
      <w:pPr>
        <w:keepNext w:val="0"/>
        <w:keepLines w:val="0"/>
        <w:widowControl w:val="0"/>
        <w:suppressLineNumbers w:val="0"/>
        <w:adjustRightInd w:val="0"/>
        <w:snapToGrid w:val="0"/>
        <w:spacing w:before="0" w:beforeAutospacing="0" w:after="0" w:afterAutospacing="0" w:line="360" w:lineRule="auto"/>
        <w:ind w:left="0" w:right="11"/>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甲方：</w:t>
      </w:r>
      <w:r>
        <w:rPr>
          <w:rFonts w:hint="eastAsia" w:ascii="宋体" w:hAnsi="宋体" w:eastAsia="宋体" w:cs="宋体"/>
          <w:b/>
          <w:bCs w:val="0"/>
          <w:color w:val="auto"/>
          <w:spacing w:val="4"/>
          <w:kern w:val="0"/>
          <w:sz w:val="24"/>
          <w:szCs w:val="24"/>
          <w:highlight w:val="none"/>
          <w:lang w:val="en-US" w:eastAsia="zh-CN" w:bidi="ar"/>
        </w:rPr>
        <w:t>广州市体育局</w:t>
      </w:r>
      <w:r>
        <w:rPr>
          <w:rFonts w:hint="eastAsia" w:ascii="宋体" w:hAnsi="宋体" w:eastAsia="宋体" w:cs="宋体"/>
          <w:b/>
          <w:bCs w:val="0"/>
          <w:color w:val="auto"/>
          <w:kern w:val="0"/>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乙方：</w:t>
      </w:r>
      <w:r>
        <w:rPr>
          <w:rFonts w:hint="eastAsia" w:ascii="宋体" w:hAnsi="宋体" w:eastAsia="宋体" w:cs="宋体"/>
          <w:b/>
          <w:bCs w:val="0"/>
          <w:color w:val="auto"/>
          <w:spacing w:val="-10"/>
          <w:kern w:val="2"/>
          <w:sz w:val="24"/>
          <w:szCs w:val="24"/>
          <w:highlight w:val="none"/>
          <w:lang w:val="en-US" w:eastAsia="zh-CN" w:bidi="ar"/>
        </w:rPr>
        <w:t>广州市重点公共建设项目管理中心</w:t>
      </w:r>
    </w:p>
    <w:p w14:paraId="77180411">
      <w:pPr>
        <w:keepNext w:val="0"/>
        <w:keepLines w:val="0"/>
        <w:widowControl w:val="0"/>
        <w:suppressLineNumbers w:val="0"/>
        <w:adjustRightInd w:val="0"/>
        <w:snapToGrid w:val="0"/>
        <w:spacing w:before="0" w:beforeAutospacing="0" w:after="0" w:afterAutospacing="0" w:line="360" w:lineRule="auto"/>
        <w:ind w:left="0" w:right="0" w:firstLine="1200" w:firstLineChars="5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（盖章）                                 （盖章）</w:t>
      </w:r>
    </w:p>
    <w:p w14:paraId="0E3F26DC">
      <w:pPr>
        <w:keepNext w:val="0"/>
        <w:keepLines w:val="0"/>
        <w:widowControl w:val="0"/>
        <w:suppressLineNumbers w:val="0"/>
        <w:adjustRightInd w:val="0"/>
        <w:snapToGrid w:val="0"/>
        <w:spacing w:before="0" w:beforeAutospacing="0" w:after="0" w:afterAutospacing="0" w:line="360" w:lineRule="auto"/>
        <w:ind w:left="0" w:right="0" w:firstLine="1440" w:firstLineChars="6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27B8D567">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法定代表人                          法定代表人</w:t>
      </w:r>
    </w:p>
    <w:p w14:paraId="2B1908C3">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或委托代理人：                      或委托代理人：</w:t>
      </w:r>
    </w:p>
    <w:p w14:paraId="74D84983">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2BE273C9">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地址：广州市天河路299号 </w:t>
      </w:r>
      <w:r>
        <w:rPr>
          <w:rFonts w:hint="eastAsia" w:ascii="宋体" w:hAnsi="宋体" w:eastAsia="宋体" w:cs="宋体"/>
          <w:color w:val="auto"/>
          <w:spacing w:val="-10"/>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地址：广州大学城内环东星运路1号</w:t>
      </w:r>
    </w:p>
    <w:p w14:paraId="1E0AABE2">
      <w:pPr>
        <w:keepNext w:val="0"/>
        <w:keepLines w:val="0"/>
        <w:widowControl w:val="0"/>
        <w:suppressLineNumbers w:val="0"/>
        <w:adjustRightInd w:val="0"/>
        <w:snapToGrid w:val="0"/>
        <w:spacing w:before="0" w:beforeAutospacing="0" w:after="0" w:afterAutospacing="0" w:line="360" w:lineRule="auto"/>
        <w:ind w:left="0" w:right="-334" w:rightChars="-159"/>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邮政编码：                          邮政编码：510006  </w:t>
      </w:r>
      <w:r>
        <w:rPr>
          <w:rFonts w:hint="eastAsia" w:ascii="宋体" w:hAnsi="宋体" w:eastAsia="宋体" w:cs="宋体"/>
          <w:color w:val="auto"/>
          <w:kern w:val="2"/>
          <w:sz w:val="24"/>
          <w:szCs w:val="24"/>
          <w:highlight w:val="none"/>
          <w:lang w:val="en-US" w:eastAsia="zh-CN" w:bidi="ar"/>
        </w:rPr>
        <w:br w:type="textWrapping"/>
      </w:r>
      <w:r>
        <w:rPr>
          <w:rFonts w:hint="eastAsia" w:ascii="宋体" w:hAnsi="宋体" w:eastAsia="宋体" w:cs="宋体"/>
          <w:color w:val="auto"/>
          <w:kern w:val="2"/>
          <w:sz w:val="24"/>
          <w:szCs w:val="24"/>
          <w:highlight w:val="none"/>
          <w:lang w:val="en-US" w:eastAsia="zh-CN" w:bidi="ar"/>
        </w:rPr>
        <w:t>电话：</w:t>
      </w:r>
      <w:r>
        <w:rPr>
          <w:rFonts w:hint="eastAsia" w:ascii="宋体" w:hAnsi="宋体" w:eastAsia="宋体" w:cs="宋体"/>
          <w:color w:val="auto"/>
          <w:kern w:val="0"/>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                             电话： </w:t>
      </w:r>
    </w:p>
    <w:p w14:paraId="16E70180">
      <w:pPr>
        <w:keepNext w:val="0"/>
        <w:keepLines w:val="0"/>
        <w:widowControl w:val="0"/>
        <w:suppressLineNumbers w:val="0"/>
        <w:adjustRightInd w:val="0"/>
        <w:snapToGrid w:val="0"/>
        <w:spacing w:before="0" w:beforeAutospacing="0" w:after="0" w:afterAutospacing="0" w:line="360" w:lineRule="auto"/>
        <w:ind w:left="0" w:right="-235" w:rightChars="-112"/>
        <w:jc w:val="both"/>
        <w:rPr>
          <w:rFonts w:hint="eastAsia" w:ascii="宋体" w:hAnsi="宋体" w:eastAsia="宋体" w:cs="宋体"/>
          <w:strike w:val="0"/>
          <w:dstrike/>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传真：                              传真： </w:t>
      </w:r>
      <w:r>
        <w:rPr>
          <w:rFonts w:hint="eastAsia" w:ascii="宋体" w:hAnsi="宋体" w:eastAsia="宋体" w:cs="宋体"/>
          <w:color w:val="auto"/>
          <w:kern w:val="2"/>
          <w:sz w:val="24"/>
          <w:szCs w:val="24"/>
          <w:highlight w:val="none"/>
          <w:lang w:val="en-US" w:eastAsia="zh-CN" w:bidi="ar"/>
        </w:rPr>
        <w:br w:type="textWrapping"/>
      </w:r>
      <w:r>
        <w:rPr>
          <w:rFonts w:hint="eastAsia" w:ascii="宋体" w:hAnsi="宋体" w:eastAsia="宋体" w:cs="宋体"/>
          <w:color w:val="auto"/>
          <w:kern w:val="2"/>
          <w:sz w:val="24"/>
          <w:szCs w:val="24"/>
          <w:highlight w:val="none"/>
          <w:lang w:val="en-US" w:eastAsia="zh-CN" w:bidi="ar"/>
        </w:rPr>
        <w:t>签约日期：    年  月  日            签约日期：     年  月  日</w:t>
      </w:r>
    </w:p>
    <w:p w14:paraId="388EDB7A">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14:paraId="040B69DE">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本协议签订于广东省广州市。</w:t>
      </w:r>
    </w:p>
    <w:p w14:paraId="3ECDF602">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auto"/>
          <w:spacing w:val="4"/>
          <w:kern w:val="0"/>
          <w:sz w:val="44"/>
          <w:szCs w:val="44"/>
          <w:highlight w:val="none"/>
        </w:rPr>
      </w:pPr>
      <w:r>
        <w:rPr>
          <w:rFonts w:hint="eastAsia" w:ascii="宋体" w:hAnsi="宋体" w:eastAsia="宋体" w:cs="宋体"/>
          <w:b/>
          <w:bCs w:val="0"/>
          <w:color w:val="auto"/>
          <w:spacing w:val="4"/>
          <w:kern w:val="0"/>
          <w:sz w:val="44"/>
          <w:szCs w:val="44"/>
          <w:highlight w:val="none"/>
          <w:lang w:val="en-US" w:eastAsia="zh-CN" w:bidi="ar"/>
        </w:rPr>
        <w:t xml:space="preserve"> </w:t>
      </w:r>
    </w:p>
    <w:p w14:paraId="04140D80">
      <w:pPr>
        <w:pStyle w:val="14"/>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auto"/>
          <w:spacing w:val="4"/>
          <w:kern w:val="0"/>
          <w:sz w:val="44"/>
          <w:szCs w:val="44"/>
          <w:highlight w:val="none"/>
        </w:rPr>
      </w:pPr>
      <w:r>
        <w:rPr>
          <w:rFonts w:hint="eastAsia" w:ascii="宋体" w:hAnsi="宋体" w:eastAsia="宋体" w:cs="宋体"/>
          <w:b/>
          <w:bCs w:val="0"/>
          <w:color w:val="auto"/>
          <w:spacing w:val="4"/>
          <w:kern w:val="0"/>
          <w:sz w:val="44"/>
          <w:szCs w:val="44"/>
          <w:highlight w:val="none"/>
          <w:lang w:val="en-US" w:eastAsia="zh-CN" w:bidi="ar"/>
        </w:rPr>
        <w:t xml:space="preserve"> </w:t>
      </w:r>
    </w:p>
    <w:p w14:paraId="7540EEF3">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auto"/>
          <w:spacing w:val="4"/>
          <w:kern w:val="0"/>
          <w:sz w:val="44"/>
          <w:szCs w:val="44"/>
          <w:highlight w:val="none"/>
        </w:rPr>
      </w:pPr>
      <w:r>
        <w:rPr>
          <w:rFonts w:hint="eastAsia" w:ascii="宋体" w:hAnsi="宋体" w:eastAsia="宋体" w:cs="宋体"/>
          <w:b/>
          <w:bCs w:val="0"/>
          <w:color w:val="auto"/>
          <w:spacing w:val="4"/>
          <w:kern w:val="0"/>
          <w:sz w:val="44"/>
          <w:szCs w:val="44"/>
          <w:highlight w:val="none"/>
          <w:lang w:val="en-US" w:eastAsia="zh-CN" w:bidi="ar"/>
        </w:rPr>
        <w:t xml:space="preserve"> </w:t>
      </w:r>
    </w:p>
    <w:p w14:paraId="7FB2CA73">
      <w:pPr>
        <w:pStyle w:val="14"/>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auto"/>
          <w:spacing w:val="4"/>
          <w:kern w:val="0"/>
          <w:sz w:val="44"/>
          <w:szCs w:val="44"/>
          <w:highlight w:val="none"/>
        </w:rPr>
      </w:pPr>
      <w:r>
        <w:rPr>
          <w:rFonts w:hint="eastAsia" w:ascii="宋体" w:hAnsi="宋体" w:eastAsia="宋体" w:cs="宋体"/>
          <w:b/>
          <w:bCs w:val="0"/>
          <w:color w:val="auto"/>
          <w:spacing w:val="4"/>
          <w:kern w:val="0"/>
          <w:sz w:val="44"/>
          <w:szCs w:val="44"/>
          <w:highlight w:val="none"/>
          <w:lang w:val="en-US" w:eastAsia="zh-CN" w:bidi="ar"/>
        </w:rPr>
        <w:t xml:space="preserve"> </w:t>
      </w:r>
    </w:p>
    <w:p w14:paraId="42B466B6">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auto"/>
          <w:spacing w:val="4"/>
          <w:kern w:val="0"/>
          <w:sz w:val="44"/>
          <w:szCs w:val="44"/>
          <w:highlight w:val="none"/>
        </w:rPr>
      </w:pPr>
      <w:r>
        <w:rPr>
          <w:rFonts w:hint="eastAsia" w:ascii="宋体" w:hAnsi="宋体" w:eastAsia="宋体" w:cs="宋体"/>
          <w:b/>
          <w:bCs w:val="0"/>
          <w:color w:val="auto"/>
          <w:spacing w:val="4"/>
          <w:kern w:val="0"/>
          <w:sz w:val="44"/>
          <w:szCs w:val="44"/>
          <w:highlight w:val="none"/>
          <w:lang w:val="en-US" w:eastAsia="zh-CN" w:bidi="ar"/>
        </w:rPr>
        <w:t xml:space="preserve"> </w:t>
      </w:r>
    </w:p>
    <w:p w14:paraId="5D3935FD">
      <w:pPr>
        <w:pStyle w:val="14"/>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auto"/>
          <w:spacing w:val="4"/>
          <w:kern w:val="0"/>
          <w:sz w:val="44"/>
          <w:szCs w:val="44"/>
          <w:highlight w:val="none"/>
        </w:rPr>
      </w:pPr>
      <w:r>
        <w:rPr>
          <w:rFonts w:hint="eastAsia" w:ascii="宋体" w:hAnsi="宋体" w:eastAsia="宋体" w:cs="宋体"/>
          <w:b/>
          <w:bCs w:val="0"/>
          <w:color w:val="auto"/>
          <w:spacing w:val="4"/>
          <w:kern w:val="0"/>
          <w:sz w:val="44"/>
          <w:szCs w:val="44"/>
          <w:highlight w:val="none"/>
          <w:lang w:val="en-US" w:eastAsia="zh-CN" w:bidi="ar"/>
        </w:rPr>
        <w:t xml:space="preserve"> </w:t>
      </w:r>
    </w:p>
    <w:p w14:paraId="12303CE1">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auto"/>
          <w:spacing w:val="4"/>
          <w:kern w:val="0"/>
          <w:sz w:val="44"/>
          <w:szCs w:val="44"/>
          <w:highlight w:val="none"/>
        </w:rPr>
      </w:pPr>
      <w:r>
        <w:rPr>
          <w:rFonts w:hint="eastAsia" w:ascii="宋体" w:hAnsi="宋体" w:eastAsia="宋体" w:cs="宋体"/>
          <w:b/>
          <w:bCs w:val="0"/>
          <w:color w:val="auto"/>
          <w:spacing w:val="4"/>
          <w:kern w:val="0"/>
          <w:sz w:val="44"/>
          <w:szCs w:val="44"/>
          <w:highlight w:val="none"/>
          <w:lang w:val="en-US" w:eastAsia="zh-CN" w:bidi="ar"/>
        </w:rPr>
        <w:t xml:space="preserve"> </w:t>
      </w:r>
    </w:p>
    <w:p w14:paraId="51986EB8">
      <w:pPr>
        <w:pStyle w:val="14"/>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auto"/>
          <w:spacing w:val="4"/>
          <w:kern w:val="0"/>
          <w:sz w:val="44"/>
          <w:szCs w:val="44"/>
          <w:highlight w:val="none"/>
        </w:rPr>
      </w:pPr>
      <w:r>
        <w:rPr>
          <w:rFonts w:hint="eastAsia" w:ascii="宋体" w:hAnsi="宋体" w:eastAsia="宋体" w:cs="宋体"/>
          <w:b/>
          <w:bCs w:val="0"/>
          <w:color w:val="auto"/>
          <w:spacing w:val="4"/>
          <w:kern w:val="0"/>
          <w:sz w:val="44"/>
          <w:szCs w:val="44"/>
          <w:highlight w:val="none"/>
          <w:lang w:val="en-US" w:eastAsia="zh-CN" w:bidi="ar"/>
        </w:rPr>
        <w:t xml:space="preserve"> </w:t>
      </w:r>
    </w:p>
    <w:p w14:paraId="0501AA67">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auto"/>
          <w:spacing w:val="4"/>
          <w:kern w:val="0"/>
          <w:sz w:val="44"/>
          <w:szCs w:val="44"/>
          <w:highlight w:val="none"/>
        </w:rPr>
      </w:pPr>
      <w:r>
        <w:rPr>
          <w:rFonts w:hint="eastAsia" w:ascii="宋体" w:hAnsi="宋体" w:eastAsia="宋体" w:cs="宋体"/>
          <w:b/>
          <w:bCs w:val="0"/>
          <w:color w:val="auto"/>
          <w:spacing w:val="4"/>
          <w:kern w:val="0"/>
          <w:sz w:val="44"/>
          <w:szCs w:val="44"/>
          <w:highlight w:val="none"/>
          <w:lang w:val="en-US" w:eastAsia="zh-CN" w:bidi="ar"/>
        </w:rPr>
        <w:t xml:space="preserve"> </w:t>
      </w:r>
    </w:p>
    <w:p w14:paraId="59CD19A8">
      <w:pPr>
        <w:pStyle w:val="14"/>
        <w:keepNext w:val="0"/>
        <w:keepLines w:val="0"/>
        <w:widowControl w:val="0"/>
        <w:suppressLineNumbers w:val="0"/>
        <w:spacing w:before="0" w:beforeAutospacing="0" w:after="0" w:afterAutospacing="0"/>
        <w:ind w:left="0" w:right="0"/>
        <w:jc w:val="both"/>
        <w:rPr>
          <w:rFonts w:hint="eastAsia" w:ascii="宋体" w:hAnsi="宋体" w:eastAsia="宋体" w:cs="Times New Roman"/>
          <w:color w:val="auto"/>
          <w:kern w:val="0"/>
          <w:sz w:val="24"/>
          <w:szCs w:val="24"/>
          <w:highlight w:val="none"/>
        </w:rPr>
      </w:pPr>
      <w:r>
        <w:rPr>
          <w:rFonts w:hint="eastAsia" w:ascii="宋体" w:hAnsi="宋体" w:eastAsia="宋体" w:cs="宋体"/>
          <w:b/>
          <w:bCs w:val="0"/>
          <w:color w:val="auto"/>
          <w:spacing w:val="4"/>
          <w:kern w:val="0"/>
          <w:sz w:val="44"/>
          <w:szCs w:val="44"/>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附文6：《质保期银行履约保函（格式）》</w:t>
      </w:r>
    </w:p>
    <w:p w14:paraId="1577EB60">
      <w:pPr>
        <w:keepNext w:val="0"/>
        <w:keepLines w:val="0"/>
        <w:widowControl w:val="0"/>
        <w:suppressLineNumbers w:val="0"/>
        <w:adjustRightInd w:val="0"/>
        <w:snapToGrid w:val="0"/>
        <w:spacing w:before="0" w:beforeAutospacing="0" w:after="0" w:afterAutospacing="0" w:line="360" w:lineRule="auto"/>
        <w:ind w:left="0" w:right="0"/>
        <w:jc w:val="center"/>
        <w:outlineLvl w:val="1"/>
        <w:rPr>
          <w:rFonts w:hint="eastAsia" w:ascii="宋体" w:hAnsi="宋体" w:eastAsia="宋体" w:cs="宋体"/>
          <w:b/>
          <w:bCs w:val="0"/>
          <w:color w:val="auto"/>
          <w:kern w:val="0"/>
          <w:sz w:val="32"/>
          <w:szCs w:val="32"/>
          <w:highlight w:val="none"/>
        </w:rPr>
      </w:pPr>
      <w:r>
        <w:rPr>
          <w:rFonts w:hint="eastAsia" w:ascii="宋体" w:hAnsi="宋体" w:eastAsia="宋体" w:cs="宋体"/>
          <w:b/>
          <w:bCs w:val="0"/>
          <w:color w:val="auto"/>
          <w:kern w:val="0"/>
          <w:sz w:val="32"/>
          <w:szCs w:val="32"/>
          <w:highlight w:val="none"/>
          <w:lang w:val="en-US" w:eastAsia="zh-CN" w:bidi="ar"/>
        </w:rPr>
        <w:t>附件21：质保期银行履约保函（格式）</w:t>
      </w:r>
    </w:p>
    <w:p w14:paraId="3A0B35A9">
      <w:pPr>
        <w:keepNext w:val="0"/>
        <w:keepLines w:val="0"/>
        <w:widowControl w:val="0"/>
        <w:suppressLineNumbers w:val="0"/>
        <w:autoSpaceDE w:val="0"/>
        <w:autoSpaceDN w:val="0"/>
        <w:adjustRightInd w:val="0"/>
        <w:snapToGrid w:val="0"/>
        <w:spacing w:before="0" w:beforeAutospacing="0" w:after="0" w:afterAutospacing="0" w:line="360" w:lineRule="auto"/>
        <w:ind w:left="0" w:right="0"/>
        <w:jc w:val="center"/>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lang w:val="en-US" w:eastAsia="zh-CN" w:bidi="ar"/>
        </w:rPr>
        <w:t>编号：</w:t>
      </w:r>
      <w:r>
        <w:rPr>
          <w:rFonts w:hint="eastAsia" w:ascii="宋体" w:hAnsi="宋体" w:eastAsia="宋体" w:cs="宋体"/>
          <w:color w:val="auto"/>
          <w:kern w:val="0"/>
          <w:sz w:val="24"/>
          <w:szCs w:val="24"/>
          <w:highlight w:val="none"/>
          <w:u w:val="single"/>
          <w:lang w:val="en-US" w:eastAsia="zh-CN" w:bidi="ar"/>
        </w:rPr>
        <w:t xml:space="preserve">     </w:t>
      </w:r>
    </w:p>
    <w:p w14:paraId="0E545012">
      <w:pPr>
        <w:keepNext w:val="0"/>
        <w:keepLines w:val="0"/>
        <w:widowControl w:val="0"/>
        <w:suppressLineNumbers w:val="0"/>
        <w:adjustRightInd w:val="0"/>
        <w:snapToGrid w:val="0"/>
        <w:spacing w:before="0" w:beforeAutospacing="0" w:after="0" w:afterAutospacing="0" w:line="360" w:lineRule="auto"/>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3E14CAD7">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鉴于</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（以下称承包人）按照《</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招标文件》和承包人中标的投标文件与广州市重点公共建设项目管理中心订立《</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施工总承包合同》（以下简称合同）。我行同意为承包人出具担保金额为人民币</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）的</w:t>
      </w:r>
      <w:r>
        <w:rPr>
          <w:rFonts w:hint="eastAsia" w:ascii="宋体" w:hAnsi="宋体" w:eastAsia="宋体" w:cs="宋体"/>
          <w:b/>
          <w:bCs w:val="0"/>
          <w:color w:val="auto"/>
          <w:kern w:val="0"/>
          <w:sz w:val="21"/>
          <w:szCs w:val="21"/>
          <w:highlight w:val="none"/>
          <w:lang w:val="en-US" w:eastAsia="zh-CN" w:bidi="ar"/>
        </w:rPr>
        <w:t>连带责任保证</w:t>
      </w:r>
      <w:r>
        <w:rPr>
          <w:rFonts w:hint="eastAsia" w:ascii="宋体" w:hAnsi="宋体" w:eastAsia="宋体" w:cs="宋体"/>
          <w:color w:val="auto"/>
          <w:kern w:val="0"/>
          <w:sz w:val="21"/>
          <w:szCs w:val="21"/>
          <w:highlight w:val="none"/>
          <w:lang w:val="en-US" w:eastAsia="zh-CN" w:bidi="ar"/>
        </w:rPr>
        <w:t>保函作为承包人在</w:t>
      </w:r>
      <w:r>
        <w:rPr>
          <w:rFonts w:hint="eastAsia" w:ascii="宋体" w:hAnsi="宋体" w:eastAsia="宋体" w:cs="宋体"/>
          <w:b/>
          <w:bCs w:val="0"/>
          <w:color w:val="auto"/>
          <w:kern w:val="0"/>
          <w:sz w:val="21"/>
          <w:szCs w:val="21"/>
          <w:highlight w:val="none"/>
          <w:lang w:val="en-US" w:eastAsia="zh-CN" w:bidi="ar"/>
        </w:rPr>
        <w:t>防水工程质量保修期</w:t>
      </w:r>
      <w:r>
        <w:rPr>
          <w:rFonts w:hint="eastAsia" w:ascii="宋体" w:hAnsi="宋体" w:eastAsia="宋体" w:cs="宋体"/>
          <w:color w:val="auto"/>
          <w:kern w:val="0"/>
          <w:sz w:val="21"/>
          <w:szCs w:val="21"/>
          <w:highlight w:val="none"/>
          <w:lang w:val="en-US" w:eastAsia="zh-CN" w:bidi="ar"/>
        </w:rPr>
        <w:t>内对合同约定工程出现的</w:t>
      </w:r>
      <w:r>
        <w:rPr>
          <w:rFonts w:hint="eastAsia" w:ascii="宋体" w:hAnsi="宋体" w:eastAsia="宋体" w:cs="宋体"/>
          <w:b/>
          <w:bCs w:val="0"/>
          <w:color w:val="auto"/>
          <w:kern w:val="0"/>
          <w:sz w:val="21"/>
          <w:szCs w:val="21"/>
          <w:highlight w:val="none"/>
          <w:lang w:val="en-US" w:eastAsia="zh-CN" w:bidi="ar"/>
        </w:rPr>
        <w:t>防水工程质量问题</w:t>
      </w:r>
      <w:r>
        <w:rPr>
          <w:rFonts w:hint="eastAsia" w:ascii="宋体" w:hAnsi="宋体" w:eastAsia="宋体" w:cs="宋体"/>
          <w:color w:val="auto"/>
          <w:kern w:val="0"/>
          <w:sz w:val="21"/>
          <w:szCs w:val="21"/>
          <w:highlight w:val="none"/>
          <w:lang w:val="en-US" w:eastAsia="zh-CN" w:bidi="ar"/>
        </w:rPr>
        <w:t>履行维修义务的担保。担保的范围为承包人按法律规定以及合同约定应向贵方履行的全部义务，包括但不限于</w:t>
      </w:r>
      <w:r>
        <w:rPr>
          <w:rFonts w:hint="eastAsia" w:ascii="宋体" w:hAnsi="宋体" w:eastAsia="宋体" w:cs="宋体"/>
          <w:color w:val="auto"/>
          <w:kern w:val="2"/>
          <w:sz w:val="21"/>
          <w:szCs w:val="21"/>
          <w:highlight w:val="none"/>
          <w:shd w:val="clear" w:fill="FFFFFF"/>
          <w:lang w:val="en-US" w:eastAsia="zh-CN" w:bidi="ar"/>
        </w:rPr>
        <w:t>对建设工程出现的</w:t>
      </w:r>
      <w:r>
        <w:rPr>
          <w:rFonts w:hint="eastAsia" w:ascii="宋体" w:hAnsi="宋体" w:eastAsia="宋体" w:cs="宋体"/>
          <w:b/>
          <w:bCs w:val="0"/>
          <w:color w:val="auto"/>
          <w:kern w:val="0"/>
          <w:sz w:val="21"/>
          <w:szCs w:val="21"/>
          <w:highlight w:val="none"/>
          <w:lang w:val="en-US" w:eastAsia="zh-CN" w:bidi="ar"/>
        </w:rPr>
        <w:t>防水工程质量问题</w:t>
      </w:r>
      <w:r>
        <w:rPr>
          <w:rFonts w:hint="eastAsia" w:ascii="宋体" w:hAnsi="宋体" w:eastAsia="宋体" w:cs="宋体"/>
          <w:color w:val="auto"/>
          <w:kern w:val="2"/>
          <w:sz w:val="21"/>
          <w:szCs w:val="21"/>
          <w:highlight w:val="none"/>
          <w:shd w:val="clear" w:fill="FFFFFF"/>
          <w:lang w:val="en-US" w:eastAsia="zh-CN" w:bidi="ar"/>
        </w:rPr>
        <w:t>进行维修的费用</w:t>
      </w:r>
      <w:r>
        <w:rPr>
          <w:rFonts w:hint="eastAsia" w:ascii="宋体" w:hAnsi="宋体" w:eastAsia="宋体" w:cs="宋体"/>
          <w:color w:val="auto"/>
          <w:kern w:val="0"/>
          <w:sz w:val="21"/>
          <w:szCs w:val="21"/>
          <w:highlight w:val="none"/>
          <w:lang w:val="en-US" w:eastAsia="zh-CN" w:bidi="ar"/>
        </w:rPr>
        <w:t>，应向贵方支付的利息，在人力资源、材料、机械设备投入，施工质量，施工工期，施工人员工资支付，工程分包，施工（总）承包管理和现场整体组织，专业协调及配合等方面的违约金，损害赔偿金，实现债权的费用。</w:t>
      </w:r>
    </w:p>
    <w:p w14:paraId="1267B959">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我行承诺如下：</w:t>
      </w:r>
    </w:p>
    <w:p w14:paraId="50E0ABCE">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1、承包人在按照合同约定及法律规定对建设工程出现的</w:t>
      </w:r>
      <w:r>
        <w:rPr>
          <w:rFonts w:hint="eastAsia" w:ascii="宋体" w:hAnsi="宋体" w:eastAsia="宋体" w:cs="宋体"/>
          <w:b/>
          <w:bCs w:val="0"/>
          <w:color w:val="auto"/>
          <w:kern w:val="0"/>
          <w:sz w:val="21"/>
          <w:szCs w:val="21"/>
          <w:highlight w:val="none"/>
          <w:lang w:val="en-US" w:eastAsia="zh-CN" w:bidi="ar"/>
        </w:rPr>
        <w:t>防水工程质量问题</w:t>
      </w:r>
      <w:r>
        <w:rPr>
          <w:rFonts w:hint="eastAsia" w:ascii="宋体" w:hAnsi="宋体" w:eastAsia="宋体" w:cs="宋体"/>
          <w:color w:val="auto"/>
          <w:kern w:val="0"/>
          <w:sz w:val="21"/>
          <w:szCs w:val="21"/>
          <w:highlight w:val="none"/>
          <w:lang w:val="en-US" w:eastAsia="zh-CN" w:bidi="ar"/>
        </w:rPr>
        <w:t>履行维修义务过程中，由于资金、技术、质量或非不可抗力及其他违约行为等原因需向贵方支付违约金或赔偿金时，在贵方</w:t>
      </w:r>
      <w:r>
        <w:rPr>
          <w:rFonts w:hint="eastAsia" w:ascii="宋体" w:hAnsi="宋体" w:eastAsia="宋体" w:cs="宋体"/>
          <w:color w:val="auto"/>
          <w:kern w:val="2"/>
          <w:sz w:val="21"/>
          <w:szCs w:val="21"/>
          <w:highlight w:val="none"/>
          <w:lang w:val="en-US" w:eastAsia="zh-CN" w:bidi="ar"/>
        </w:rPr>
        <w:t>以书面索赔通知纸质原件形式提出要求得到上述金额内的任何付款时（需提供本保函正本原件供我行核对），我行在7个工作日内予以支付累计不超过上述担保金额的款项</w:t>
      </w:r>
      <w:r>
        <w:rPr>
          <w:rFonts w:hint="eastAsia" w:ascii="宋体" w:hAnsi="宋体" w:eastAsia="宋体" w:cs="宋体"/>
          <w:color w:val="auto"/>
          <w:kern w:val="0"/>
          <w:sz w:val="21"/>
          <w:szCs w:val="21"/>
          <w:highlight w:val="none"/>
          <w:lang w:val="en-US" w:eastAsia="zh-CN" w:bidi="ar"/>
        </w:rPr>
        <w:t>，不挑剔、不争辩，也不要求贵方出具证明或说明背景、理由。</w:t>
      </w:r>
    </w:p>
    <w:p w14:paraId="7BCA1F97">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2、我行放弃贵方应先向承包人要求赔偿上述金额然后再向我行提出要求的权利。</w:t>
      </w:r>
    </w:p>
    <w:p w14:paraId="04AB92E7">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我行进一步同意，在贵方和承包人之间的合同条件、合同项下的工程或合同发生变化、补充或修改，在不加重我行担保责任的情况下，我行承担本保函的责任也不改变。有关上述变化、补充和修改也无须通知我行。</w:t>
      </w:r>
    </w:p>
    <w:p w14:paraId="4A175DBA">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w:t>
      </w:r>
      <w:r>
        <w:rPr>
          <w:rFonts w:hint="eastAsia" w:ascii="宋体" w:hAnsi="宋体" w:eastAsia="宋体" w:cs="宋体"/>
          <w:color w:val="auto"/>
          <w:kern w:val="2"/>
          <w:sz w:val="21"/>
          <w:szCs w:val="21"/>
          <w:highlight w:val="none"/>
          <w:lang w:val="en-US" w:eastAsia="zh-CN" w:bidi="ar"/>
        </w:rPr>
        <w:t>本保函有效期间为</w:t>
      </w:r>
      <w:r>
        <w:rPr>
          <w:rFonts w:hint="eastAsia" w:ascii="宋体" w:hAnsi="宋体" w:eastAsia="宋体" w:cs="宋体"/>
          <w:color w:val="auto"/>
          <w:kern w:val="0"/>
          <w:sz w:val="21"/>
          <w:szCs w:val="21"/>
          <w:highlight w:val="none"/>
          <w:lang w:val="en-US" w:eastAsia="zh-CN" w:bidi="ar"/>
        </w:rPr>
        <w:t>：自本保函签署之日起至合同约定的</w:t>
      </w:r>
      <w:r>
        <w:rPr>
          <w:rFonts w:hint="eastAsia" w:ascii="宋体" w:hAnsi="宋体" w:eastAsia="宋体" w:cs="宋体"/>
          <w:b/>
          <w:bCs w:val="0"/>
          <w:color w:val="auto"/>
          <w:kern w:val="0"/>
          <w:sz w:val="21"/>
          <w:szCs w:val="21"/>
          <w:highlight w:val="none"/>
          <w:lang w:val="en-US" w:eastAsia="zh-CN" w:bidi="ar"/>
        </w:rPr>
        <w:t>防水工程质量保修期</w:t>
      </w:r>
      <w:r>
        <w:rPr>
          <w:rFonts w:hint="eastAsia" w:ascii="宋体" w:hAnsi="宋体" w:eastAsia="宋体" w:cs="宋体"/>
          <w:color w:val="auto"/>
          <w:kern w:val="0"/>
          <w:sz w:val="21"/>
          <w:szCs w:val="21"/>
          <w:highlight w:val="none"/>
          <w:lang w:val="en-US" w:eastAsia="zh-CN" w:bidi="ar"/>
        </w:rPr>
        <w:t>满后六个月届满之日止，但最迟不超过年月日。</w:t>
      </w:r>
    </w:p>
    <w:p w14:paraId="7F7931DA">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5、</w:t>
      </w:r>
      <w:r>
        <w:rPr>
          <w:rFonts w:hint="eastAsia" w:ascii="宋体" w:hAnsi="宋体" w:eastAsia="宋体" w:cs="宋体"/>
          <w:color w:val="auto"/>
          <w:kern w:val="2"/>
          <w:sz w:val="21"/>
          <w:szCs w:val="21"/>
          <w:highlight w:val="none"/>
          <w:lang w:val="en-US" w:eastAsia="zh-CN" w:bidi="ar"/>
        </w:rPr>
        <w:t>本保函适用中华人民共和国法律，任何与本保函有关的争议均需提交工程项目所在地人民法院提起诉讼。</w:t>
      </w:r>
    </w:p>
    <w:p w14:paraId="0AE3A3BE">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本保函自我行负责人（或委托代理人）签字并加盖公章之日起生效。</w:t>
      </w:r>
    </w:p>
    <w:p w14:paraId="19ED2977">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14:paraId="05FACB98">
      <w:pPr>
        <w:keepNext w:val="0"/>
        <w:keepLines w:val="0"/>
        <w:widowControl w:val="0"/>
        <w:suppressLineNumbers w:val="0"/>
        <w:autoSpaceDE w:val="0"/>
        <w:autoSpaceDN w:val="0"/>
        <w:adjustRightInd w:val="0"/>
        <w:snapToGrid w:val="0"/>
        <w:spacing w:before="0" w:beforeAutospacing="0" w:after="0" w:afterAutospacing="0" w:line="300" w:lineRule="auto"/>
        <w:ind w:left="0" w:right="0" w:firstLine="4095" w:firstLineChars="195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银行名称：（盖章）</w:t>
      </w:r>
    </w:p>
    <w:p w14:paraId="5D11CE18">
      <w:pPr>
        <w:keepNext w:val="0"/>
        <w:keepLines w:val="0"/>
        <w:widowControl w:val="0"/>
        <w:suppressLineNumbers w:val="0"/>
        <w:autoSpaceDE w:val="0"/>
        <w:autoSpaceDN w:val="0"/>
        <w:adjustRightInd w:val="0"/>
        <w:snapToGrid w:val="0"/>
        <w:spacing w:before="0" w:beforeAutospacing="0" w:after="0" w:afterAutospacing="0" w:line="300" w:lineRule="auto"/>
        <w:ind w:left="0" w:right="0" w:firstLine="4095" w:firstLineChars="195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银行负责人（或委托代理人）：</w:t>
      </w:r>
    </w:p>
    <w:p w14:paraId="47A4D689">
      <w:pPr>
        <w:keepNext w:val="0"/>
        <w:keepLines w:val="0"/>
        <w:widowControl w:val="0"/>
        <w:suppressLineNumbers w:val="0"/>
        <w:autoSpaceDE w:val="0"/>
        <w:autoSpaceDN w:val="0"/>
        <w:adjustRightInd w:val="0"/>
        <w:snapToGrid w:val="0"/>
        <w:spacing w:before="0" w:beforeAutospacing="0" w:after="0" w:afterAutospacing="0" w:line="300" w:lineRule="auto"/>
        <w:ind w:left="0" w:right="0" w:firstLine="4095" w:firstLineChars="195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地址：</w:t>
      </w:r>
    </w:p>
    <w:p w14:paraId="6AB8CEEC">
      <w:pPr>
        <w:keepNext w:val="0"/>
        <w:keepLines w:val="0"/>
        <w:widowControl w:val="0"/>
        <w:suppressLineNumbers w:val="0"/>
        <w:autoSpaceDE w:val="0"/>
        <w:autoSpaceDN w:val="0"/>
        <w:adjustRightInd w:val="0"/>
        <w:snapToGrid w:val="0"/>
        <w:spacing w:before="0" w:beforeAutospacing="0" w:after="0" w:afterAutospacing="0" w:line="300" w:lineRule="auto"/>
        <w:ind w:left="0" w:right="0" w:firstLine="4095" w:firstLineChars="195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邮政编码：</w:t>
      </w:r>
    </w:p>
    <w:p w14:paraId="6A8ED879">
      <w:pPr>
        <w:keepNext w:val="0"/>
        <w:keepLines w:val="0"/>
        <w:widowControl w:val="0"/>
        <w:suppressLineNumbers w:val="0"/>
        <w:autoSpaceDE w:val="0"/>
        <w:autoSpaceDN w:val="0"/>
        <w:adjustRightInd w:val="0"/>
        <w:snapToGrid w:val="0"/>
        <w:spacing w:before="0" w:beforeAutospacing="0" w:after="0" w:afterAutospacing="0" w:line="300" w:lineRule="auto"/>
        <w:ind w:left="0" w:right="0" w:firstLine="4095" w:firstLineChars="195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联系电话：</w:t>
      </w:r>
    </w:p>
    <w:p w14:paraId="3373EF7E">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1"/>
          <w:szCs w:val="21"/>
          <w:highlight w:val="none"/>
          <w:lang w:val="en-US" w:eastAsia="zh-CN" w:bidi="ar"/>
        </w:rPr>
        <w:t xml:space="preserve">                                       日期：</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年</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月</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日</w:t>
      </w:r>
      <w:r>
        <w:rPr>
          <w:rFonts w:hint="eastAsia" w:ascii="宋体" w:hAnsi="宋体" w:eastAsia="宋体" w:cs="宋体"/>
          <w:color w:val="auto"/>
          <w:kern w:val="2"/>
          <w:sz w:val="24"/>
          <w:szCs w:val="24"/>
          <w:highlight w:val="none"/>
          <w:lang w:val="en-US" w:eastAsia="zh-CN" w:bidi="ar"/>
        </w:rPr>
        <w:t xml:space="preserve"> </w:t>
      </w:r>
    </w:p>
    <w:p w14:paraId="1DD48FF1">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p>
    <w:p w14:paraId="52A674E4">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p>
    <w:p w14:paraId="1D9B5EF3">
      <w:pPr>
        <w:keepNext w:val="0"/>
        <w:keepLines w:val="0"/>
        <w:widowControl w:val="0"/>
        <w:suppressLineNumbers w:val="0"/>
        <w:autoSpaceDE w:val="0"/>
        <w:autoSpaceDN w:val="0"/>
        <w:adjustRightInd w:val="0"/>
        <w:snapToGrid w:val="0"/>
        <w:spacing w:before="0" w:beforeAutospacing="0" w:after="0" w:afterAutospacing="0" w:line="360" w:lineRule="auto"/>
        <w:ind w:left="0" w:right="0"/>
        <w:jc w:val="both"/>
        <w:rPr>
          <w:rFonts w:hint="eastAsia" w:ascii="宋体" w:hAnsi="宋体" w:eastAsia="宋体" w:cs="宋体"/>
          <w:b w:val="0"/>
          <w:bCs w:val="0"/>
          <w:color w:val="auto"/>
          <w:kern w:val="2"/>
          <w:sz w:val="24"/>
          <w:szCs w:val="24"/>
          <w:highlight w:val="none"/>
          <w:lang w:eastAsia="zh-CN" w:bidi="ar"/>
        </w:rPr>
      </w:pPr>
      <w:r>
        <w:rPr>
          <w:rFonts w:hint="eastAsia" w:ascii="宋体" w:hAnsi="宋体" w:eastAsia="宋体" w:cs="宋体"/>
          <w:b w:val="0"/>
          <w:bCs w:val="0"/>
          <w:color w:val="auto"/>
          <w:kern w:val="2"/>
          <w:sz w:val="24"/>
          <w:szCs w:val="24"/>
          <w:highlight w:val="none"/>
          <w:lang w:eastAsia="zh-CN" w:bidi="ar"/>
        </w:rPr>
        <w:t>附文7</w:t>
      </w:r>
    </w:p>
    <w:p w14:paraId="32BD738F">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2"/>
          <w:sz w:val="24"/>
          <w:szCs w:val="24"/>
          <w:highlight w:val="none"/>
          <w:lang w:eastAsia="zh-CN" w:bidi="ar"/>
        </w:rPr>
      </w:pPr>
      <w:r>
        <w:rPr>
          <w:rFonts w:hint="eastAsia" w:ascii="宋体" w:hAnsi="宋体" w:eastAsia="宋体" w:cs="宋体"/>
          <w:b/>
          <w:bCs w:val="0"/>
          <w:color w:val="auto"/>
          <w:kern w:val="0"/>
          <w:sz w:val="32"/>
          <w:szCs w:val="32"/>
          <w:highlight w:val="none"/>
          <w:lang w:val="en-US" w:eastAsia="zh-CN" w:bidi="ar"/>
        </w:rPr>
        <w:t>附件22：承诺函（格式）</w:t>
      </w:r>
    </w:p>
    <w:p w14:paraId="4C0425D6">
      <w:pPr>
        <w:keepNext w:val="0"/>
        <w:keepLines w:val="0"/>
        <w:widowControl w:val="0"/>
        <w:suppressLineNumbers w:val="0"/>
        <w:adjustRightInd w:val="0"/>
        <w:snapToGrid w:val="0"/>
        <w:spacing w:before="0" w:beforeAutospacing="0" w:after="0" w:afterAutospacing="0" w:line="360" w:lineRule="auto"/>
        <w:ind w:left="0" w:right="0"/>
        <w:jc w:val="center"/>
        <w:outlineLvl w:val="1"/>
        <w:rPr>
          <w:rFonts w:hint="eastAsia" w:ascii="宋体" w:hAnsi="宋体" w:eastAsia="宋体" w:cs="宋体"/>
          <w:b/>
          <w:bCs w:val="0"/>
          <w:color w:val="auto"/>
          <w:kern w:val="0"/>
          <w:sz w:val="32"/>
          <w:szCs w:val="32"/>
          <w:highlight w:val="none"/>
          <w:lang w:val="en-US" w:bidi="ar"/>
        </w:rPr>
      </w:pPr>
    </w:p>
    <w:p w14:paraId="00AEDEAE">
      <w:pPr>
        <w:keepNext w:val="0"/>
        <w:keepLines w:val="0"/>
        <w:widowControl w:val="0"/>
        <w:suppressLineNumbers w:val="0"/>
        <w:adjustRightInd w:val="0"/>
        <w:snapToGrid w:val="0"/>
        <w:spacing w:before="0" w:beforeAutospacing="0" w:after="0" w:afterAutospacing="0" w:line="360" w:lineRule="auto"/>
        <w:ind w:left="0" w:right="0"/>
        <w:jc w:val="center"/>
        <w:outlineLvl w:val="1"/>
        <w:rPr>
          <w:rFonts w:hint="eastAsia" w:ascii="宋体" w:hAnsi="宋体" w:eastAsia="宋体" w:cs="宋体"/>
          <w:b/>
          <w:bCs w:val="0"/>
          <w:color w:val="auto"/>
          <w:kern w:val="0"/>
          <w:sz w:val="32"/>
          <w:szCs w:val="32"/>
          <w:highlight w:val="none"/>
          <w:lang w:val="en-US"/>
        </w:rPr>
      </w:pPr>
      <w:r>
        <w:rPr>
          <w:rFonts w:hint="eastAsia" w:ascii="宋体" w:hAnsi="宋体" w:eastAsia="宋体" w:cs="宋体"/>
          <w:b/>
          <w:bCs w:val="0"/>
          <w:color w:val="auto"/>
          <w:kern w:val="0"/>
          <w:sz w:val="32"/>
          <w:szCs w:val="32"/>
          <w:highlight w:val="none"/>
          <w:lang w:val="en-US" w:eastAsia="zh-CN" w:bidi="ar"/>
        </w:rPr>
        <w:t>承诺函（格式）</w:t>
      </w:r>
    </w:p>
    <w:p w14:paraId="3F9F8EB8">
      <w:pPr>
        <w:keepNext w:val="0"/>
        <w:keepLines w:val="0"/>
        <w:widowControl w:val="0"/>
        <w:suppressLineNumbers w:val="0"/>
        <w:spacing w:before="0" w:beforeAutospacing="0" w:after="0" w:afterAutospacing="0"/>
        <w:ind w:left="0" w:right="0"/>
        <w:jc w:val="both"/>
        <w:rPr>
          <w:color w:val="auto"/>
          <w:highlight w:val="none"/>
          <w:lang w:val="en-US"/>
        </w:rPr>
      </w:pPr>
    </w:p>
    <w:p w14:paraId="5AAAC1DB">
      <w:pPr>
        <w:keepNext w:val="0"/>
        <w:keepLines w:val="0"/>
        <w:widowControl w:val="0"/>
        <w:suppressLineNumbers w:val="0"/>
        <w:spacing w:before="0" w:beforeAutospacing="0" w:after="0" w:afterAutospacing="0"/>
        <w:ind w:left="0" w:right="0"/>
        <w:jc w:val="both"/>
        <w:rPr>
          <w:color w:val="auto"/>
          <w:highlight w:val="none"/>
          <w:lang w:val="en-US"/>
        </w:rPr>
      </w:pPr>
    </w:p>
    <w:p w14:paraId="45C4EDBE">
      <w:pPr>
        <w:keepNext w:val="0"/>
        <w:keepLines w:val="0"/>
        <w:widowControl w:val="0"/>
        <w:suppressLineNumbers w:val="0"/>
        <w:autoSpaceDE w:val="0"/>
        <w:autoSpaceDN w:val="0"/>
        <w:adjustRightInd w:val="0"/>
        <w:snapToGrid w:val="0"/>
        <w:spacing w:before="0" w:beforeAutospacing="0" w:after="0" w:afterAutospacing="0" w:line="360" w:lineRule="auto"/>
        <w:ind w:left="0" w:right="0"/>
        <w:jc w:val="both"/>
        <w:rPr>
          <w:rFonts w:hint="eastAsia" w:ascii="宋体" w:hAnsi="宋体" w:eastAsia="宋体" w:cs="宋体"/>
          <w:color w:val="auto"/>
          <w:sz w:val="24"/>
          <w:szCs w:val="24"/>
          <w:highlight w:val="none"/>
          <w:lang w:val="en-US" w:bidi="ar"/>
        </w:rPr>
      </w:pPr>
      <w:r>
        <w:rPr>
          <w:rFonts w:hint="eastAsia" w:ascii="宋体" w:hAnsi="宋体" w:eastAsia="宋体" w:cs="宋体"/>
          <w:color w:val="auto"/>
          <w:kern w:val="2"/>
          <w:sz w:val="24"/>
          <w:szCs w:val="24"/>
          <w:highlight w:val="none"/>
          <w:lang w:val="en-US" w:eastAsia="zh-CN" w:bidi="ar"/>
        </w:rPr>
        <w:t>致广州市重点公共建设项目管理中心：</w:t>
      </w:r>
    </w:p>
    <w:p w14:paraId="3A109B4B">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jc w:val="both"/>
        <w:rPr>
          <w:rFonts w:hint="eastAsia" w:ascii="宋体" w:hAnsi="宋体" w:eastAsia="宋体" w:cs="宋体"/>
          <w:color w:val="auto"/>
          <w:sz w:val="24"/>
          <w:szCs w:val="24"/>
          <w:highlight w:val="none"/>
          <w:lang w:val="en-US" w:bidi="ar"/>
        </w:rPr>
      </w:pPr>
      <w:r>
        <w:rPr>
          <w:rFonts w:hint="eastAsia" w:ascii="宋体" w:hAnsi="宋体" w:eastAsia="宋体" w:cs="宋体"/>
          <w:color w:val="auto"/>
          <w:kern w:val="2"/>
          <w:sz w:val="24"/>
          <w:szCs w:val="24"/>
          <w:highlight w:val="none"/>
          <w:lang w:val="en-US" w:eastAsia="zh-CN" w:bidi="ar"/>
        </w:rPr>
        <w:t>我司作为项目的承建单位，充分认识到场馆建设的重要性。对于后续场馆实施过程中可能存在的设施设备厂家赛事赞助事宜，不论是我司承包范围内或不属于我司承包范围的潜在的设施设备发生赛事赞助供应情形的，我司承诺如下：我司同意使用上述赛事赞助设施设备并无条件服从贵中心就设施设备的入场、安装及验收工作所发出的指令；同时，我司承诺在材料设备采购前，报监理单位及贵中心审批同意后方进行采购，若未经审批同意自行采购的，由此产生的全部损失和风险自行承担。</w:t>
      </w:r>
    </w:p>
    <w:p w14:paraId="41E1AF0F">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jc w:val="both"/>
        <w:rPr>
          <w:rFonts w:hint="eastAsia" w:ascii="宋体" w:hAnsi="宋体" w:eastAsia="宋体" w:cs="宋体"/>
          <w:color w:val="auto"/>
          <w:sz w:val="24"/>
          <w:szCs w:val="24"/>
          <w:highlight w:val="none"/>
          <w:lang w:val="en-US" w:bidi="ar"/>
        </w:rPr>
      </w:pPr>
      <w:r>
        <w:rPr>
          <w:rFonts w:hint="eastAsia" w:ascii="宋体" w:hAnsi="宋体" w:eastAsia="宋体" w:cs="宋体"/>
          <w:color w:val="auto"/>
          <w:kern w:val="2"/>
          <w:sz w:val="24"/>
          <w:szCs w:val="24"/>
          <w:highlight w:val="none"/>
          <w:lang w:val="en-US" w:eastAsia="zh-CN" w:bidi="ar"/>
        </w:rPr>
        <w:t>特此承诺!</w:t>
      </w:r>
    </w:p>
    <w:p w14:paraId="1239E262">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jc w:val="both"/>
        <w:rPr>
          <w:rFonts w:hint="eastAsia" w:ascii="宋体" w:hAnsi="宋体" w:eastAsia="宋体" w:cs="宋体"/>
          <w:color w:val="auto"/>
          <w:sz w:val="24"/>
          <w:szCs w:val="24"/>
          <w:highlight w:val="none"/>
          <w:lang w:val="en-US" w:bidi="ar"/>
        </w:rPr>
      </w:pPr>
    </w:p>
    <w:p w14:paraId="30ECB35C">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jc w:val="both"/>
        <w:rPr>
          <w:rFonts w:hint="eastAsia" w:ascii="宋体" w:hAnsi="宋体" w:eastAsia="宋体" w:cs="宋体"/>
          <w:color w:val="auto"/>
          <w:sz w:val="24"/>
          <w:szCs w:val="24"/>
          <w:highlight w:val="none"/>
          <w:lang w:val="en-US" w:bidi="ar"/>
        </w:rPr>
      </w:pPr>
    </w:p>
    <w:p w14:paraId="4B60B053">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jc w:val="both"/>
        <w:rPr>
          <w:rFonts w:hint="eastAsia" w:ascii="宋体" w:hAnsi="宋体" w:eastAsia="宋体" w:cs="宋体"/>
          <w:color w:val="auto"/>
          <w:sz w:val="24"/>
          <w:szCs w:val="24"/>
          <w:highlight w:val="none"/>
          <w:lang w:val="en-US" w:bidi="ar"/>
        </w:rPr>
      </w:pPr>
      <w:r>
        <w:rPr>
          <w:rFonts w:hint="eastAsia" w:ascii="宋体" w:hAnsi="宋体" w:eastAsia="宋体" w:cs="宋体"/>
          <w:color w:val="auto"/>
          <w:kern w:val="2"/>
          <w:sz w:val="24"/>
          <w:szCs w:val="24"/>
          <w:highlight w:val="none"/>
          <w:lang w:val="en-US" w:eastAsia="zh-CN" w:bidi="ar"/>
        </w:rPr>
        <w:t xml:space="preserve">                                                   承诺单位（盖章） </w:t>
      </w:r>
    </w:p>
    <w:p w14:paraId="1E6E0F1F">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jc w:val="both"/>
        <w:rPr>
          <w:rFonts w:hint="eastAsia" w:ascii="宋体" w:hAnsi="宋体" w:eastAsia="宋体" w:cs="宋体"/>
          <w:color w:val="auto"/>
          <w:sz w:val="24"/>
          <w:szCs w:val="24"/>
          <w:highlight w:val="none"/>
          <w:lang w:val="en-US" w:bidi="ar"/>
        </w:rPr>
      </w:pPr>
      <w:r>
        <w:rPr>
          <w:rFonts w:hint="eastAsia" w:ascii="宋体" w:hAnsi="宋体" w:eastAsia="宋体" w:cs="宋体"/>
          <w:color w:val="auto"/>
          <w:kern w:val="2"/>
          <w:sz w:val="24"/>
          <w:szCs w:val="24"/>
          <w:highlight w:val="none"/>
          <w:lang w:val="en-US" w:eastAsia="zh-CN" w:bidi="ar"/>
        </w:rPr>
        <w:t xml:space="preserve">                                                        年</w:t>
      </w:r>
      <w:r>
        <w:rPr>
          <w:rFonts w:hint="default" w:ascii="宋体" w:hAnsi="宋体" w:eastAsia="宋体" w:cs="宋体"/>
          <w:color w:val="auto"/>
          <w:kern w:val="2"/>
          <w:sz w:val="24"/>
          <w:szCs w:val="24"/>
          <w:highlight w:val="none"/>
          <w:lang w:eastAsia="zh-CN" w:bidi="ar"/>
        </w:rPr>
        <w:t xml:space="preserve"> </w:t>
      </w:r>
      <w:r>
        <w:rPr>
          <w:rFonts w:hint="eastAsia" w:ascii="宋体" w:hAnsi="宋体" w:eastAsia="宋体" w:cs="宋体"/>
          <w:color w:val="auto"/>
          <w:kern w:val="2"/>
          <w:sz w:val="24"/>
          <w:szCs w:val="24"/>
          <w:highlight w:val="none"/>
          <w:lang w:val="en-US" w:eastAsia="zh-CN" w:bidi="ar"/>
        </w:rPr>
        <w:t>月</w:t>
      </w:r>
      <w:r>
        <w:rPr>
          <w:rFonts w:hint="default" w:ascii="宋体" w:hAnsi="宋体" w:eastAsia="宋体" w:cs="宋体"/>
          <w:color w:val="auto"/>
          <w:kern w:val="2"/>
          <w:sz w:val="24"/>
          <w:szCs w:val="24"/>
          <w:highlight w:val="none"/>
          <w:lang w:eastAsia="zh-CN" w:bidi="ar"/>
        </w:rPr>
        <w:t xml:space="preserve"> </w:t>
      </w:r>
      <w:r>
        <w:rPr>
          <w:rFonts w:hint="eastAsia" w:ascii="宋体" w:hAnsi="宋体" w:eastAsia="宋体" w:cs="宋体"/>
          <w:color w:val="auto"/>
          <w:kern w:val="2"/>
          <w:sz w:val="24"/>
          <w:szCs w:val="24"/>
          <w:highlight w:val="none"/>
          <w:lang w:val="en-US" w:eastAsia="zh-CN" w:bidi="ar"/>
        </w:rPr>
        <w:t>日</w:t>
      </w:r>
    </w:p>
    <w:p w14:paraId="58BE4CC9">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bidi="ar"/>
        </w:rPr>
      </w:pPr>
    </w:p>
    <w:p w14:paraId="40495397">
      <w:pPr>
        <w:pStyle w:val="14"/>
        <w:keepNext w:val="0"/>
        <w:keepLines w:val="0"/>
        <w:widowControl w:val="0"/>
        <w:suppressLineNumbers w:val="0"/>
        <w:spacing w:before="0" w:beforeAutospacing="0" w:after="0" w:afterAutospacing="0"/>
        <w:ind w:left="0" w:right="0" w:firstLine="480" w:firstLineChars="200"/>
        <w:jc w:val="both"/>
        <w:rPr>
          <w:rFonts w:hint="eastAsia" w:ascii="宋体" w:hAnsi="宋体" w:eastAsia="宋体" w:cs="宋体"/>
          <w:color w:val="auto"/>
          <w:sz w:val="24"/>
          <w:szCs w:val="24"/>
          <w:highlight w:val="none"/>
          <w:lang w:val="en-US" w:bidi="ar"/>
        </w:rPr>
      </w:pPr>
    </w:p>
    <w:p w14:paraId="215BF338">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bidi="ar"/>
        </w:rPr>
      </w:pPr>
    </w:p>
    <w:p w14:paraId="149082D3">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2"/>
          <w:sz w:val="24"/>
          <w:szCs w:val="24"/>
          <w:highlight w:val="none"/>
          <w:lang w:eastAsia="zh-CN" w:bidi="ar"/>
        </w:rPr>
      </w:pPr>
    </w:p>
    <w:p w14:paraId="0C36087F">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2"/>
          <w:sz w:val="24"/>
          <w:szCs w:val="24"/>
          <w:highlight w:val="none"/>
          <w:lang w:val="en-US" w:eastAsia="zh-CN" w:bidi="ar"/>
        </w:rPr>
      </w:pPr>
    </w:p>
    <w:p w14:paraId="4185E425">
      <w:pPr>
        <w:keepNext w:val="0"/>
        <w:keepLines w:val="0"/>
        <w:widowControl w:val="0"/>
        <w:suppressLineNumbers w:val="0"/>
        <w:spacing w:before="0" w:beforeAutospacing="0" w:after="0" w:afterAutospacing="0"/>
        <w:ind w:left="0" w:right="0" w:firstLine="0" w:firstLineChars="0"/>
        <w:jc w:val="both"/>
        <w:rPr>
          <w:rFonts w:hint="eastAsia" w:ascii="宋体" w:hAnsi="Calibri" w:eastAsia="宋体" w:cs="Times New Roman"/>
          <w:color w:val="auto"/>
          <w:spacing w:val="4"/>
          <w:kern w:val="0"/>
          <w:sz w:val="24"/>
          <w:szCs w:val="24"/>
          <w:highlight w:val="none"/>
          <w:lang w:val="en-US" w:eastAsia="zh-CN" w:bidi="ar"/>
        </w:rPr>
      </w:pPr>
      <w:r>
        <w:rPr>
          <w:rFonts w:hint="eastAsia" w:ascii="宋体" w:hAnsi="Calibri" w:eastAsia="宋体" w:cs="Times New Roman"/>
          <w:color w:val="auto"/>
          <w:spacing w:val="4"/>
          <w:kern w:val="0"/>
          <w:sz w:val="24"/>
          <w:szCs w:val="24"/>
          <w:highlight w:val="none"/>
          <w:lang w:val="en-US" w:eastAsia="zh-CN" w:bidi="ar"/>
        </w:rPr>
        <w:t xml:space="preserve"> </w:t>
      </w:r>
    </w:p>
    <w:p w14:paraId="696B6B35">
      <w:pPr>
        <w:keepNext w:val="0"/>
        <w:keepLines w:val="0"/>
        <w:widowControl w:val="0"/>
        <w:suppressLineNumbers w:val="0"/>
        <w:spacing w:before="0" w:beforeAutospacing="0" w:after="0" w:afterAutospacing="0"/>
        <w:ind w:left="0" w:right="0" w:firstLine="0" w:firstLineChars="0"/>
        <w:jc w:val="both"/>
        <w:rPr>
          <w:rFonts w:hint="eastAsia" w:ascii="宋体" w:hAnsi="Calibri" w:eastAsia="宋体" w:cs="Times New Roman"/>
          <w:color w:val="auto"/>
          <w:spacing w:val="4"/>
          <w:kern w:val="0"/>
          <w:sz w:val="24"/>
          <w:szCs w:val="24"/>
          <w:highlight w:val="none"/>
          <w:lang w:val="en-US" w:eastAsia="zh-CN" w:bidi="ar"/>
        </w:rPr>
      </w:pPr>
    </w:p>
    <w:p w14:paraId="6E121C73">
      <w:pPr>
        <w:keepNext w:val="0"/>
        <w:keepLines w:val="0"/>
        <w:widowControl w:val="0"/>
        <w:suppressLineNumbers w:val="0"/>
        <w:spacing w:before="0" w:beforeAutospacing="0" w:after="0" w:afterAutospacing="0"/>
        <w:ind w:left="0" w:right="0" w:firstLine="0" w:firstLineChars="0"/>
        <w:jc w:val="both"/>
        <w:rPr>
          <w:rFonts w:hint="eastAsia" w:ascii="宋体" w:hAnsi="Calibri" w:eastAsia="宋体" w:cs="Times New Roman"/>
          <w:color w:val="auto"/>
          <w:spacing w:val="4"/>
          <w:kern w:val="0"/>
          <w:sz w:val="24"/>
          <w:szCs w:val="24"/>
          <w:highlight w:val="none"/>
          <w:lang w:val="en-US" w:eastAsia="zh-CN" w:bidi="ar"/>
        </w:rPr>
      </w:pPr>
    </w:p>
    <w:p w14:paraId="1C9EEB5B">
      <w:pPr>
        <w:keepNext w:val="0"/>
        <w:keepLines w:val="0"/>
        <w:widowControl w:val="0"/>
        <w:suppressLineNumbers w:val="0"/>
        <w:spacing w:before="0" w:beforeAutospacing="0" w:after="0" w:afterAutospacing="0"/>
        <w:ind w:left="0" w:right="0" w:firstLine="0" w:firstLineChars="0"/>
        <w:jc w:val="both"/>
        <w:rPr>
          <w:rFonts w:hint="eastAsia" w:ascii="宋体" w:hAnsi="Calibri" w:eastAsia="宋体" w:cs="Times New Roman"/>
          <w:color w:val="auto"/>
          <w:spacing w:val="4"/>
          <w:kern w:val="0"/>
          <w:sz w:val="24"/>
          <w:szCs w:val="24"/>
          <w:highlight w:val="none"/>
          <w:lang w:val="en-US" w:eastAsia="zh-CN" w:bidi="ar"/>
        </w:rPr>
      </w:pPr>
    </w:p>
    <w:p w14:paraId="1F025F2E">
      <w:pPr>
        <w:keepNext w:val="0"/>
        <w:keepLines w:val="0"/>
        <w:widowControl w:val="0"/>
        <w:suppressLineNumbers w:val="0"/>
        <w:spacing w:before="0" w:beforeAutospacing="0" w:after="0" w:afterAutospacing="0"/>
        <w:ind w:left="0" w:right="0" w:firstLine="0" w:firstLineChars="0"/>
        <w:jc w:val="both"/>
        <w:rPr>
          <w:rFonts w:hint="eastAsia" w:ascii="宋体" w:hAnsi="Calibri" w:eastAsia="宋体" w:cs="Times New Roman"/>
          <w:color w:val="auto"/>
          <w:spacing w:val="4"/>
          <w:kern w:val="0"/>
          <w:sz w:val="24"/>
          <w:szCs w:val="24"/>
          <w:highlight w:val="none"/>
          <w:lang w:val="en-US" w:eastAsia="zh-CN" w:bidi="ar"/>
        </w:rPr>
      </w:pPr>
    </w:p>
    <w:p w14:paraId="63B3C0DE">
      <w:pPr>
        <w:keepNext w:val="0"/>
        <w:keepLines w:val="0"/>
        <w:widowControl w:val="0"/>
        <w:suppressLineNumbers w:val="0"/>
        <w:spacing w:before="0" w:beforeAutospacing="0" w:after="0" w:afterAutospacing="0"/>
        <w:ind w:left="0" w:right="0" w:firstLine="0" w:firstLineChars="0"/>
        <w:jc w:val="both"/>
        <w:rPr>
          <w:rFonts w:hint="eastAsia" w:ascii="宋体" w:hAnsi="Calibri" w:eastAsia="宋体" w:cs="Times New Roman"/>
          <w:color w:val="auto"/>
          <w:spacing w:val="4"/>
          <w:kern w:val="0"/>
          <w:sz w:val="24"/>
          <w:szCs w:val="24"/>
          <w:highlight w:val="none"/>
          <w:lang w:val="en-US" w:eastAsia="zh-CN" w:bidi="ar"/>
        </w:rPr>
      </w:pPr>
    </w:p>
    <w:p w14:paraId="768FEFA7">
      <w:pPr>
        <w:keepNext w:val="0"/>
        <w:keepLines w:val="0"/>
        <w:widowControl w:val="0"/>
        <w:suppressLineNumbers w:val="0"/>
        <w:spacing w:before="0" w:beforeAutospacing="0" w:after="0" w:afterAutospacing="0"/>
        <w:ind w:left="0" w:right="0" w:firstLine="0" w:firstLineChars="0"/>
        <w:jc w:val="both"/>
        <w:rPr>
          <w:rFonts w:hint="eastAsia" w:ascii="宋体" w:hAnsi="Calibri" w:eastAsia="宋体" w:cs="Times New Roman"/>
          <w:color w:val="auto"/>
          <w:spacing w:val="4"/>
          <w:kern w:val="0"/>
          <w:sz w:val="24"/>
          <w:szCs w:val="24"/>
          <w:highlight w:val="none"/>
          <w:lang w:val="en-US" w:eastAsia="zh-CN" w:bidi="ar"/>
        </w:rPr>
      </w:pPr>
    </w:p>
    <w:p w14:paraId="4ABD7CCD">
      <w:pPr>
        <w:keepNext w:val="0"/>
        <w:keepLines w:val="0"/>
        <w:widowControl w:val="0"/>
        <w:suppressLineNumbers w:val="0"/>
        <w:spacing w:before="0" w:beforeAutospacing="0" w:after="0" w:afterAutospacing="0"/>
        <w:ind w:left="0" w:right="0" w:firstLine="0" w:firstLineChars="0"/>
        <w:jc w:val="both"/>
        <w:rPr>
          <w:rFonts w:hint="eastAsia" w:ascii="宋体" w:hAnsi="Calibri" w:eastAsia="宋体" w:cs="Times New Roman"/>
          <w:color w:val="auto"/>
          <w:spacing w:val="4"/>
          <w:kern w:val="0"/>
          <w:sz w:val="24"/>
          <w:szCs w:val="24"/>
          <w:highlight w:val="none"/>
          <w:lang w:val="en-US" w:eastAsia="zh-CN" w:bidi="ar"/>
        </w:rPr>
      </w:pPr>
    </w:p>
    <w:p w14:paraId="119B689B">
      <w:pPr>
        <w:keepNext w:val="0"/>
        <w:keepLines w:val="0"/>
        <w:widowControl w:val="0"/>
        <w:suppressLineNumbers w:val="0"/>
        <w:spacing w:before="0" w:beforeAutospacing="0" w:after="0" w:afterAutospacing="0"/>
        <w:ind w:left="0" w:right="0" w:firstLine="0" w:firstLineChars="0"/>
        <w:jc w:val="both"/>
        <w:rPr>
          <w:rFonts w:hint="eastAsia" w:ascii="宋体" w:hAnsi="Calibri" w:eastAsia="宋体" w:cs="Times New Roman"/>
          <w:color w:val="auto"/>
          <w:spacing w:val="4"/>
          <w:kern w:val="0"/>
          <w:sz w:val="24"/>
          <w:szCs w:val="24"/>
          <w:highlight w:val="none"/>
          <w:lang w:val="en-US" w:eastAsia="zh-CN" w:bidi="ar"/>
        </w:rPr>
      </w:pPr>
    </w:p>
    <w:p w14:paraId="7C013195">
      <w:pPr>
        <w:keepNext w:val="0"/>
        <w:keepLines w:val="0"/>
        <w:widowControl w:val="0"/>
        <w:suppressLineNumbers w:val="0"/>
        <w:spacing w:before="0" w:beforeAutospacing="0" w:after="0" w:afterAutospacing="0"/>
        <w:ind w:left="0" w:right="0" w:firstLine="0" w:firstLineChars="0"/>
        <w:jc w:val="both"/>
        <w:rPr>
          <w:rFonts w:hint="eastAsia" w:ascii="宋体" w:hAnsi="Calibri" w:eastAsia="宋体" w:cs="Times New Roman"/>
          <w:color w:val="auto"/>
          <w:spacing w:val="4"/>
          <w:kern w:val="0"/>
          <w:sz w:val="24"/>
          <w:szCs w:val="24"/>
          <w:highlight w:val="none"/>
          <w:lang w:val="en-US" w:eastAsia="zh-CN" w:bidi="ar"/>
        </w:rPr>
      </w:pPr>
    </w:p>
    <w:p w14:paraId="3D165D47">
      <w:pPr>
        <w:keepNext w:val="0"/>
        <w:keepLines w:val="0"/>
        <w:widowControl w:val="0"/>
        <w:suppressLineNumbers w:val="0"/>
        <w:spacing w:before="0" w:beforeAutospacing="0" w:after="0" w:afterAutospacing="0"/>
        <w:ind w:left="0" w:right="0" w:firstLine="0" w:firstLineChars="0"/>
        <w:jc w:val="both"/>
        <w:rPr>
          <w:rFonts w:hint="eastAsia" w:ascii="宋体" w:hAnsi="Calibri" w:eastAsia="宋体" w:cs="Times New Roman"/>
          <w:color w:val="auto"/>
          <w:spacing w:val="4"/>
          <w:kern w:val="0"/>
          <w:sz w:val="24"/>
          <w:szCs w:val="24"/>
          <w:highlight w:val="none"/>
          <w:lang w:val="en-US" w:eastAsia="zh-CN" w:bidi="ar"/>
        </w:rPr>
      </w:pPr>
    </w:p>
    <w:p w14:paraId="7060F6A4">
      <w:pPr>
        <w:keepNext w:val="0"/>
        <w:keepLines w:val="0"/>
        <w:widowControl w:val="0"/>
        <w:suppressLineNumbers w:val="0"/>
        <w:spacing w:before="0" w:beforeAutospacing="0" w:after="0" w:afterAutospacing="0"/>
        <w:ind w:left="0" w:right="0" w:firstLine="0" w:firstLineChars="0"/>
        <w:jc w:val="both"/>
        <w:rPr>
          <w:rFonts w:hint="eastAsia" w:ascii="宋体" w:hAnsi="Calibri" w:eastAsia="宋体" w:cs="Times New Roman"/>
          <w:color w:val="auto"/>
          <w:spacing w:val="4"/>
          <w:kern w:val="0"/>
          <w:sz w:val="24"/>
          <w:szCs w:val="24"/>
          <w:highlight w:val="none"/>
          <w:lang w:val="en-US" w:eastAsia="zh-CN" w:bidi="ar"/>
        </w:rPr>
      </w:pPr>
    </w:p>
    <w:p w14:paraId="76C9AB79">
      <w:pPr>
        <w:keepNext w:val="0"/>
        <w:keepLines w:val="0"/>
        <w:widowControl w:val="0"/>
        <w:suppressLineNumbers w:val="0"/>
        <w:spacing w:before="0" w:beforeAutospacing="0" w:after="0" w:afterAutospacing="0"/>
        <w:ind w:left="0" w:right="0" w:firstLine="0" w:firstLineChars="0"/>
        <w:jc w:val="both"/>
        <w:rPr>
          <w:rFonts w:hint="eastAsia" w:ascii="宋体" w:hAnsi="Calibri" w:eastAsia="宋体" w:cs="Times New Roman"/>
          <w:color w:val="auto"/>
          <w:spacing w:val="4"/>
          <w:kern w:val="0"/>
          <w:sz w:val="24"/>
          <w:szCs w:val="24"/>
          <w:highlight w:val="none"/>
          <w:lang w:val="en-US" w:eastAsia="zh-CN" w:bidi="ar"/>
        </w:rPr>
      </w:pPr>
    </w:p>
    <w:p w14:paraId="6C4B5279">
      <w:pPr>
        <w:keepNext w:val="0"/>
        <w:keepLines w:val="0"/>
        <w:widowControl w:val="0"/>
        <w:suppressLineNumbers w:val="0"/>
        <w:spacing w:before="0" w:beforeAutospacing="0" w:after="0" w:afterAutospacing="0"/>
        <w:ind w:left="0" w:right="0" w:firstLine="0" w:firstLineChars="0"/>
        <w:jc w:val="both"/>
        <w:rPr>
          <w:rFonts w:hint="eastAsia" w:ascii="宋体" w:hAnsi="Calibri" w:eastAsia="宋体" w:cs="Times New Roman"/>
          <w:color w:val="auto"/>
          <w:spacing w:val="4"/>
          <w:kern w:val="0"/>
          <w:sz w:val="24"/>
          <w:szCs w:val="24"/>
          <w:highlight w:val="none"/>
          <w:lang w:val="en-US" w:eastAsia="zh-CN" w:bidi="ar"/>
        </w:rPr>
      </w:pPr>
    </w:p>
    <w:p w14:paraId="6E3FC206">
      <w:pPr>
        <w:keepNext w:val="0"/>
        <w:keepLines w:val="0"/>
        <w:widowControl w:val="0"/>
        <w:suppressLineNumbers w:val="0"/>
        <w:spacing w:before="0" w:beforeAutospacing="0" w:after="0" w:afterAutospacing="0"/>
        <w:ind w:left="0" w:right="11" w:firstLine="863" w:firstLineChars="192"/>
        <w:jc w:val="both"/>
        <w:rPr>
          <w:rFonts w:hint="default" w:ascii="Times New Roman" w:hAnsi="Times New Roman" w:eastAsia="宋体" w:cs="Times New Roman"/>
          <w:color w:val="auto"/>
          <w:kern w:val="2"/>
          <w:sz w:val="21"/>
          <w:szCs w:val="21"/>
          <w:highlight w:val="none"/>
        </w:rPr>
      </w:pPr>
      <w:r>
        <w:rPr>
          <w:rFonts w:hint="eastAsia" w:ascii="宋体" w:hAnsi="宋体" w:eastAsia="宋体" w:cs="宋体"/>
          <w:b/>
          <w:bCs w:val="0"/>
          <w:color w:val="auto"/>
          <w:spacing w:val="4"/>
          <w:kern w:val="0"/>
          <w:sz w:val="44"/>
          <w:szCs w:val="44"/>
          <w:highlight w:val="none"/>
          <w:lang w:val="en-US" w:eastAsia="zh-CN" w:bidi="ar"/>
        </w:rPr>
        <w:t>二、《广州市重点公共建设项目管理中心施工总承包合同范本》（</w:t>
      </w:r>
      <w:r>
        <w:rPr>
          <w:rFonts w:hint="default" w:ascii="Calibri" w:hAnsi="Calibri" w:eastAsia="宋体" w:cs="Times New Roman"/>
          <w:b/>
          <w:bCs w:val="0"/>
          <w:color w:val="auto"/>
          <w:spacing w:val="4"/>
          <w:kern w:val="0"/>
          <w:sz w:val="44"/>
          <w:szCs w:val="44"/>
          <w:highlight w:val="none"/>
          <w:lang w:val="en-US" w:eastAsia="zh-CN" w:bidi="ar"/>
        </w:rPr>
        <w:t>2015</w:t>
      </w:r>
      <w:r>
        <w:rPr>
          <w:rFonts w:hint="eastAsia" w:ascii="宋体" w:hAnsi="宋体" w:eastAsia="宋体" w:cs="宋体"/>
          <w:b/>
          <w:bCs w:val="0"/>
          <w:color w:val="auto"/>
          <w:spacing w:val="4"/>
          <w:kern w:val="0"/>
          <w:sz w:val="44"/>
          <w:szCs w:val="44"/>
          <w:highlight w:val="none"/>
          <w:lang w:val="en-US" w:eastAsia="zh-CN" w:bidi="ar"/>
        </w:rPr>
        <w:t>年</w:t>
      </w:r>
      <w:r>
        <w:rPr>
          <w:rFonts w:hint="default" w:ascii="Calibri" w:hAnsi="Calibri" w:eastAsia="宋体" w:cs="Calibri"/>
          <w:b/>
          <w:bCs w:val="0"/>
          <w:color w:val="auto"/>
          <w:spacing w:val="4"/>
          <w:kern w:val="0"/>
          <w:sz w:val="44"/>
          <w:szCs w:val="44"/>
          <w:highlight w:val="none"/>
          <w:lang w:val="en-US" w:eastAsia="zh-CN" w:bidi="ar"/>
        </w:rPr>
        <w:t>8</w:t>
      </w:r>
      <w:r>
        <w:rPr>
          <w:rFonts w:hint="eastAsia" w:ascii="宋体" w:hAnsi="宋体" w:eastAsia="宋体" w:cs="宋体"/>
          <w:b/>
          <w:bCs w:val="0"/>
          <w:color w:val="auto"/>
          <w:spacing w:val="4"/>
          <w:kern w:val="0"/>
          <w:sz w:val="44"/>
          <w:szCs w:val="44"/>
          <w:highlight w:val="none"/>
          <w:lang w:val="en-US" w:eastAsia="zh-CN" w:bidi="ar"/>
        </w:rPr>
        <w:t>月，</w:t>
      </w:r>
      <w:r>
        <w:rPr>
          <w:rFonts w:hint="default" w:ascii="Calibri" w:hAnsi="Calibri" w:eastAsia="宋体" w:cs="Calibri"/>
          <w:b/>
          <w:bCs w:val="0"/>
          <w:color w:val="auto"/>
          <w:spacing w:val="4"/>
          <w:kern w:val="0"/>
          <w:sz w:val="44"/>
          <w:szCs w:val="44"/>
          <w:highlight w:val="none"/>
          <w:lang w:val="en-US" w:eastAsia="zh-CN" w:bidi="ar"/>
        </w:rPr>
        <w:t>2018</w:t>
      </w:r>
      <w:r>
        <w:rPr>
          <w:rFonts w:hint="eastAsia" w:ascii="宋体" w:hAnsi="宋体" w:eastAsia="宋体" w:cs="宋体"/>
          <w:b/>
          <w:bCs w:val="0"/>
          <w:color w:val="auto"/>
          <w:spacing w:val="4"/>
          <w:kern w:val="0"/>
          <w:sz w:val="44"/>
          <w:szCs w:val="44"/>
          <w:highlight w:val="none"/>
          <w:lang w:val="en-US" w:eastAsia="zh-CN" w:bidi="ar"/>
        </w:rPr>
        <w:t>年修订</w:t>
      </w:r>
    </w:p>
    <w:p w14:paraId="6A8735FC">
      <w:pPr>
        <w:keepNext w:val="0"/>
        <w:keepLines w:val="0"/>
        <w:widowControl w:val="0"/>
        <w:suppressLineNumbers w:val="0"/>
        <w:spacing w:before="0" w:beforeAutospacing="0" w:after="0" w:afterAutospacing="0"/>
        <w:ind w:left="0" w:right="0"/>
        <w:jc w:val="both"/>
        <w:rPr>
          <w:rFonts w:hint="eastAsia" w:ascii="Calibri" w:hAnsi="Calibri" w:eastAsia="宋体" w:cs="Times New Roman"/>
          <w:color w:val="auto"/>
          <w:kern w:val="2"/>
          <w:sz w:val="21"/>
          <w:szCs w:val="21"/>
          <w:highlight w:val="none"/>
        </w:rPr>
      </w:pPr>
      <w:r>
        <w:rPr>
          <w:rFonts w:hint="eastAsia" w:ascii="Calibri" w:hAnsi="Calibri" w:eastAsia="宋体" w:cs="Times New Roman"/>
          <w:color w:val="auto"/>
          <w:kern w:val="2"/>
          <w:sz w:val="21"/>
          <w:szCs w:val="21"/>
          <w:highlight w:val="none"/>
          <w:lang w:val="en-US" w:eastAsia="zh-CN" w:bidi="ar"/>
        </w:rPr>
        <w:t xml:space="preserve"> </w:t>
      </w:r>
    </w:p>
    <w:p w14:paraId="0D2C48B9">
      <w:pPr>
        <w:keepNext w:val="0"/>
        <w:keepLines w:val="0"/>
        <w:widowControl w:val="0"/>
        <w:suppressLineNumbers w:val="0"/>
        <w:spacing w:before="0" w:beforeAutospacing="0" w:after="0" w:afterAutospacing="0"/>
        <w:ind w:left="0" w:right="0"/>
        <w:jc w:val="both"/>
        <w:rPr>
          <w:rFonts w:hint="eastAsia" w:ascii="Calibri" w:hAnsi="Calibri" w:eastAsia="宋体" w:cs="Times New Roman"/>
          <w:color w:val="auto"/>
          <w:kern w:val="2"/>
          <w:sz w:val="21"/>
          <w:szCs w:val="21"/>
          <w:highlight w:val="none"/>
        </w:rPr>
      </w:pPr>
      <w:r>
        <w:rPr>
          <w:rFonts w:hint="eastAsia" w:ascii="Calibri" w:hAnsi="Calibri" w:eastAsia="宋体" w:cs="Times New Roman"/>
          <w:color w:val="auto"/>
          <w:kern w:val="2"/>
          <w:sz w:val="21"/>
          <w:szCs w:val="21"/>
          <w:highlight w:val="none"/>
          <w:lang w:val="en-US" w:eastAsia="zh-CN" w:bidi="ar"/>
        </w:rPr>
        <w:t xml:space="preserve"> </w:t>
      </w:r>
    </w:p>
    <w:p w14:paraId="75F9EAD6">
      <w:pPr>
        <w:keepNext w:val="0"/>
        <w:keepLines w:val="0"/>
        <w:widowControl w:val="0"/>
        <w:suppressLineNumbers w:val="0"/>
        <w:spacing w:before="0" w:beforeAutospacing="0" w:after="0" w:afterAutospacing="0"/>
        <w:ind w:left="0" w:right="0"/>
        <w:jc w:val="both"/>
        <w:rPr>
          <w:rFonts w:hint="eastAsia" w:ascii="Calibri" w:hAnsi="Calibri" w:eastAsia="宋体" w:cs="Times New Roman"/>
          <w:color w:val="auto"/>
          <w:kern w:val="2"/>
          <w:sz w:val="21"/>
          <w:szCs w:val="21"/>
          <w:highlight w:val="none"/>
        </w:rPr>
      </w:pPr>
      <w:r>
        <w:rPr>
          <w:rFonts w:hint="eastAsia" w:ascii="Calibri" w:hAnsi="Calibri" w:eastAsia="宋体" w:cs="Times New Roman"/>
          <w:color w:val="auto"/>
          <w:kern w:val="2"/>
          <w:sz w:val="21"/>
          <w:szCs w:val="21"/>
          <w:highlight w:val="none"/>
          <w:lang w:val="en-US" w:eastAsia="zh-CN" w:bidi="ar"/>
        </w:rPr>
        <w:t xml:space="preserve"> </w:t>
      </w:r>
    </w:p>
    <w:p w14:paraId="46CD8F5D">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14:paraId="442E3ECB">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14:paraId="1AB12E2B">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14:paraId="692B5EE9">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14:paraId="48DBD723">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14:paraId="357E8F05">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14:paraId="7A288620">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14:paraId="191AB9AE">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14:paraId="0E6C0D6D">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14:paraId="2DF1ABD8">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14:paraId="0BACCD33">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14:paraId="467A69EC">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14:paraId="62AA32B8">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14:paraId="3A70F14E">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14:paraId="0A738BC3">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14:paraId="468BF67B">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14:paraId="10220CDC">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14:paraId="04A637A9">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p>
    <w:p w14:paraId="3B70CAC2">
      <w:pPr>
        <w:rPr>
          <w:color w:val="auto"/>
          <w:highlight w:val="none"/>
        </w:rPr>
      </w:pPr>
    </w:p>
    <w:p w14:paraId="0CC805ED">
      <w:pPr>
        <w:rPr>
          <w:color w:val="auto"/>
          <w:highlight w:val="none"/>
        </w:rPr>
      </w:pPr>
    </w:p>
    <w:p w14:paraId="0A855F94">
      <w:pPr>
        <w:rPr>
          <w:color w:val="auto"/>
          <w:highlight w:val="none"/>
        </w:rPr>
      </w:pPr>
    </w:p>
    <w:p w14:paraId="2B13342A">
      <w:pPr>
        <w:keepNext w:val="0"/>
        <w:keepLines w:val="0"/>
        <w:widowControl w:val="0"/>
        <w:suppressLineNumbers w:val="0"/>
        <w:spacing w:before="0" w:beforeAutospacing="0" w:after="0" w:afterAutospacing="0"/>
        <w:ind w:left="0" w:right="0" w:firstLine="480" w:firstLineChars="200"/>
        <w:jc w:val="both"/>
        <w:rPr>
          <w:rFonts w:hint="eastAsia" w:ascii="宋体" w:hAnsi="宋体" w:eastAsia="宋体" w:cs="宋体"/>
          <w:color w:val="auto"/>
          <w:kern w:val="2"/>
          <w:sz w:val="24"/>
          <w:szCs w:val="24"/>
          <w:highlight w:val="none"/>
          <w:u w:val="single"/>
          <w:lang w:val="en-US" w:eastAsia="zh-CN" w:bidi="ar"/>
        </w:rPr>
      </w:pPr>
    </w:p>
    <w:p w14:paraId="49696BB4">
      <w:pPr>
        <w:rPr>
          <w:color w:val="auto"/>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Calisto MT">
    <w:panose1 w:val="02040603050505030304"/>
    <w:charset w:val="00"/>
    <w:family w:val="auto"/>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EuroRoman">
    <w:altName w:val="Arial"/>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B9D1F">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CEEEF9">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DCEEEF9">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B957B">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AFE075"/>
    <w:multiLevelType w:val="multilevel"/>
    <w:tmpl w:val="9FAFE075"/>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
    <w:nsid w:val="A7FCF048"/>
    <w:multiLevelType w:val="multilevel"/>
    <w:tmpl w:val="A7FCF048"/>
    <w:lvl w:ilvl="0" w:tentative="0">
      <w:start w:val="1"/>
      <w:numFmt w:val="decimal"/>
      <w:lvlText w:val="（%1）"/>
      <w:lvlJc w:val="left"/>
      <w:pPr>
        <w:ind w:left="1080" w:hanging="720"/>
      </w:pPr>
      <w:rPr>
        <w:rFonts w:hint="default" w:ascii="Times New Roman" w:hAnsi="Times New Roman" w:cs="Times New Roman"/>
        <w:color w:val="000000"/>
      </w:rPr>
    </w:lvl>
    <w:lvl w:ilvl="1" w:tentative="0">
      <w:start w:val="1"/>
      <w:numFmt w:val="lowerLetter"/>
      <w:lvlText w:val="%2)"/>
      <w:lvlJc w:val="left"/>
      <w:pPr>
        <w:ind w:left="1200" w:hanging="420"/>
      </w:pPr>
      <w:rPr>
        <w:rFonts w:hint="default" w:ascii="Times New Roman" w:hAnsi="Times New Roman" w:cs="Times New Roman"/>
      </w:rPr>
    </w:lvl>
    <w:lvl w:ilvl="2" w:tentative="0">
      <w:start w:val="1"/>
      <w:numFmt w:val="lowerRoman"/>
      <w:lvlText w:val="%3."/>
      <w:lvlJc w:val="right"/>
      <w:pPr>
        <w:ind w:left="1620" w:hanging="420"/>
      </w:pPr>
      <w:rPr>
        <w:rFonts w:hint="default" w:ascii="Times New Roman" w:hAnsi="Times New Roman" w:cs="Times New Roman"/>
      </w:rPr>
    </w:lvl>
    <w:lvl w:ilvl="3" w:tentative="0">
      <w:start w:val="1"/>
      <w:numFmt w:val="decimal"/>
      <w:lvlText w:val="%4."/>
      <w:lvlJc w:val="left"/>
      <w:pPr>
        <w:ind w:left="2040" w:hanging="420"/>
      </w:pPr>
      <w:rPr>
        <w:rFonts w:hint="default" w:ascii="Times New Roman" w:hAnsi="Times New Roman" w:cs="Times New Roman"/>
      </w:rPr>
    </w:lvl>
    <w:lvl w:ilvl="4" w:tentative="0">
      <w:start w:val="1"/>
      <w:numFmt w:val="lowerLetter"/>
      <w:lvlText w:val="%5)"/>
      <w:lvlJc w:val="left"/>
      <w:pPr>
        <w:ind w:left="2460" w:hanging="420"/>
      </w:pPr>
      <w:rPr>
        <w:rFonts w:hint="default" w:ascii="Times New Roman" w:hAnsi="Times New Roman" w:cs="Times New Roman"/>
      </w:rPr>
    </w:lvl>
    <w:lvl w:ilvl="5" w:tentative="0">
      <w:start w:val="1"/>
      <w:numFmt w:val="lowerRoman"/>
      <w:lvlText w:val="%6."/>
      <w:lvlJc w:val="right"/>
      <w:pPr>
        <w:ind w:left="2880" w:hanging="420"/>
      </w:pPr>
      <w:rPr>
        <w:rFonts w:hint="default" w:ascii="Times New Roman" w:hAnsi="Times New Roman" w:cs="Times New Roman"/>
      </w:rPr>
    </w:lvl>
    <w:lvl w:ilvl="6" w:tentative="0">
      <w:start w:val="1"/>
      <w:numFmt w:val="decimal"/>
      <w:lvlText w:val="%7."/>
      <w:lvlJc w:val="left"/>
      <w:pPr>
        <w:ind w:left="3300" w:hanging="420"/>
      </w:pPr>
      <w:rPr>
        <w:rFonts w:hint="default" w:ascii="Times New Roman" w:hAnsi="Times New Roman" w:cs="Times New Roman"/>
      </w:rPr>
    </w:lvl>
    <w:lvl w:ilvl="7" w:tentative="0">
      <w:start w:val="1"/>
      <w:numFmt w:val="lowerLetter"/>
      <w:lvlText w:val="%8)"/>
      <w:lvlJc w:val="left"/>
      <w:pPr>
        <w:ind w:left="3720" w:hanging="420"/>
      </w:pPr>
      <w:rPr>
        <w:rFonts w:hint="default" w:ascii="Times New Roman" w:hAnsi="Times New Roman" w:cs="Times New Roman"/>
      </w:rPr>
    </w:lvl>
    <w:lvl w:ilvl="8" w:tentative="0">
      <w:start w:val="1"/>
      <w:numFmt w:val="lowerRoman"/>
      <w:lvlText w:val="%9."/>
      <w:lvlJc w:val="right"/>
      <w:pPr>
        <w:ind w:left="4140" w:hanging="420"/>
      </w:pPr>
      <w:rPr>
        <w:rFonts w:hint="default" w:ascii="Times New Roman" w:hAnsi="Times New Roman" w:cs="Times New Roman"/>
      </w:rPr>
    </w:lvl>
  </w:abstractNum>
  <w:abstractNum w:abstractNumId="2">
    <w:nsid w:val="B79D63CE"/>
    <w:multiLevelType w:val="multilevel"/>
    <w:tmpl w:val="B79D63CE"/>
    <w:lvl w:ilvl="0" w:tentative="0">
      <w:start w:val="3"/>
      <w:numFmt w:val="decimal"/>
      <w:suff w:val="nothing"/>
      <w:lvlText w:val="（%1）"/>
      <w:lvlJc w:val="left"/>
      <w:pPr>
        <w:tabs>
          <w:tab w:val="left" w:pos="0"/>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
    <w:nsid w:val="F7EF232A"/>
    <w:multiLevelType w:val="multilevel"/>
    <w:tmpl w:val="F7EF232A"/>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4">
    <w:nsid w:val="00000010"/>
    <w:multiLevelType w:val="singleLevel"/>
    <w:tmpl w:val="00000010"/>
    <w:lvl w:ilvl="0" w:tentative="0">
      <w:start w:val="1"/>
      <w:numFmt w:val="decimal"/>
      <w:suff w:val="nothing"/>
      <w:lvlText w:val="%1、"/>
      <w:lvlJc w:val="left"/>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trackRevisions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1ZmYyZjUzMzIwYWYxYWIwZDcyOWNiNjUyYWYxMTAifQ=="/>
  </w:docVars>
  <w:rsids>
    <w:rsidRoot w:val="00000000"/>
    <w:rsid w:val="026305F6"/>
    <w:rsid w:val="02E62FD5"/>
    <w:rsid w:val="03DB240E"/>
    <w:rsid w:val="04131BA8"/>
    <w:rsid w:val="04CB51CB"/>
    <w:rsid w:val="05C27046"/>
    <w:rsid w:val="0BD41C42"/>
    <w:rsid w:val="0CA7072F"/>
    <w:rsid w:val="0D023D6A"/>
    <w:rsid w:val="0D7A4A46"/>
    <w:rsid w:val="0E1409F6"/>
    <w:rsid w:val="10FC6997"/>
    <w:rsid w:val="19524AC9"/>
    <w:rsid w:val="1A8D42CF"/>
    <w:rsid w:val="1BCA6B98"/>
    <w:rsid w:val="1DD6673E"/>
    <w:rsid w:val="1EFD1033"/>
    <w:rsid w:val="1F7100CA"/>
    <w:rsid w:val="1FAFB3BB"/>
    <w:rsid w:val="258C4E7D"/>
    <w:rsid w:val="25A27BFE"/>
    <w:rsid w:val="29483920"/>
    <w:rsid w:val="29AD09AA"/>
    <w:rsid w:val="2BA60AC2"/>
    <w:rsid w:val="2BFC07F2"/>
    <w:rsid w:val="2D6B22BD"/>
    <w:rsid w:val="2D7D232B"/>
    <w:rsid w:val="30B11C7D"/>
    <w:rsid w:val="32FD11AA"/>
    <w:rsid w:val="33723946"/>
    <w:rsid w:val="35DE6465"/>
    <w:rsid w:val="36FF8DBB"/>
    <w:rsid w:val="3735112C"/>
    <w:rsid w:val="373C26BB"/>
    <w:rsid w:val="37EF8D26"/>
    <w:rsid w:val="3A81766A"/>
    <w:rsid w:val="3ADFA92E"/>
    <w:rsid w:val="3B9D352A"/>
    <w:rsid w:val="3BA78837"/>
    <w:rsid w:val="3CE9745B"/>
    <w:rsid w:val="3EBF17B4"/>
    <w:rsid w:val="3EF9919B"/>
    <w:rsid w:val="3F3D7C40"/>
    <w:rsid w:val="3F7D39ED"/>
    <w:rsid w:val="3F9776FD"/>
    <w:rsid w:val="3FB72A9F"/>
    <w:rsid w:val="3FEF771B"/>
    <w:rsid w:val="3FFC8986"/>
    <w:rsid w:val="3FFF38B4"/>
    <w:rsid w:val="4023022C"/>
    <w:rsid w:val="4209671C"/>
    <w:rsid w:val="439E4B02"/>
    <w:rsid w:val="44057F37"/>
    <w:rsid w:val="46264083"/>
    <w:rsid w:val="47115E70"/>
    <w:rsid w:val="48455804"/>
    <w:rsid w:val="4DF23BA9"/>
    <w:rsid w:val="4FD81147"/>
    <w:rsid w:val="51254295"/>
    <w:rsid w:val="515A1D17"/>
    <w:rsid w:val="519126B9"/>
    <w:rsid w:val="51D1B8F1"/>
    <w:rsid w:val="55DA564E"/>
    <w:rsid w:val="56BB794E"/>
    <w:rsid w:val="57650023"/>
    <w:rsid w:val="595219A0"/>
    <w:rsid w:val="5B7E63A9"/>
    <w:rsid w:val="5BD75D65"/>
    <w:rsid w:val="5E0E2BE8"/>
    <w:rsid w:val="5EB6652D"/>
    <w:rsid w:val="5EEB3842"/>
    <w:rsid w:val="5F058FB5"/>
    <w:rsid w:val="5F92011E"/>
    <w:rsid w:val="5FDFF7A3"/>
    <w:rsid w:val="5FF63074"/>
    <w:rsid w:val="61C96577"/>
    <w:rsid w:val="62C95C4A"/>
    <w:rsid w:val="633B5253"/>
    <w:rsid w:val="63412D97"/>
    <w:rsid w:val="6497295D"/>
    <w:rsid w:val="67CF5C87"/>
    <w:rsid w:val="692C7B17"/>
    <w:rsid w:val="69C7D94C"/>
    <w:rsid w:val="6A1E15B1"/>
    <w:rsid w:val="6AD70C9E"/>
    <w:rsid w:val="6BC41717"/>
    <w:rsid w:val="6BD3071E"/>
    <w:rsid w:val="6F42656F"/>
    <w:rsid w:val="6F6F4C02"/>
    <w:rsid w:val="6F77D8FA"/>
    <w:rsid w:val="6F7E4CCA"/>
    <w:rsid w:val="6FEFA673"/>
    <w:rsid w:val="6FF3D5A1"/>
    <w:rsid w:val="705F4C76"/>
    <w:rsid w:val="71B7463E"/>
    <w:rsid w:val="71BAB339"/>
    <w:rsid w:val="73F6F31B"/>
    <w:rsid w:val="74DF180C"/>
    <w:rsid w:val="763224E5"/>
    <w:rsid w:val="77FD8A4D"/>
    <w:rsid w:val="79D27F63"/>
    <w:rsid w:val="79EE2DCB"/>
    <w:rsid w:val="79F99821"/>
    <w:rsid w:val="7A911ED0"/>
    <w:rsid w:val="7BAF8715"/>
    <w:rsid w:val="7BDFCCF5"/>
    <w:rsid w:val="7CEBFCC1"/>
    <w:rsid w:val="7CF32F4E"/>
    <w:rsid w:val="7D3F00B7"/>
    <w:rsid w:val="7D76A200"/>
    <w:rsid w:val="7DDE0A90"/>
    <w:rsid w:val="7E661C09"/>
    <w:rsid w:val="7E778CB9"/>
    <w:rsid w:val="7E962DCA"/>
    <w:rsid w:val="7ED94418"/>
    <w:rsid w:val="7EDF566C"/>
    <w:rsid w:val="7EFB5E02"/>
    <w:rsid w:val="7F7A0812"/>
    <w:rsid w:val="7F7FA18F"/>
    <w:rsid w:val="7F7FA7E0"/>
    <w:rsid w:val="7FA51D6B"/>
    <w:rsid w:val="7FBF4D98"/>
    <w:rsid w:val="7FDE1D9F"/>
    <w:rsid w:val="7FE0FB20"/>
    <w:rsid w:val="7FE3BFA0"/>
    <w:rsid w:val="7FE3F799"/>
    <w:rsid w:val="7FF669C1"/>
    <w:rsid w:val="7FFEB350"/>
    <w:rsid w:val="7FFFA9FC"/>
    <w:rsid w:val="8BDE6E48"/>
    <w:rsid w:val="9AAF9CF4"/>
    <w:rsid w:val="9F937BA1"/>
    <w:rsid w:val="9FC73691"/>
    <w:rsid w:val="AFFBE366"/>
    <w:rsid w:val="B7DFEA27"/>
    <w:rsid w:val="BB1EA742"/>
    <w:rsid w:val="BBDD931B"/>
    <w:rsid w:val="BDBFBA0C"/>
    <w:rsid w:val="BEE6117B"/>
    <w:rsid w:val="BEFF1E14"/>
    <w:rsid w:val="BF9FEF96"/>
    <w:rsid w:val="BFB7E4CC"/>
    <w:rsid w:val="CE5793C3"/>
    <w:rsid w:val="CF54F156"/>
    <w:rsid w:val="D5E7C495"/>
    <w:rsid w:val="DCFBFF6C"/>
    <w:rsid w:val="DD3FD58B"/>
    <w:rsid w:val="DD74A7A8"/>
    <w:rsid w:val="DDD73140"/>
    <w:rsid w:val="DFB3F0BF"/>
    <w:rsid w:val="DFBF3FB3"/>
    <w:rsid w:val="DFEFDF2D"/>
    <w:rsid w:val="E71F7F45"/>
    <w:rsid w:val="EBF10F6A"/>
    <w:rsid w:val="EEDFC4F8"/>
    <w:rsid w:val="EF951A98"/>
    <w:rsid w:val="EFDE5AB9"/>
    <w:rsid w:val="EFFB2255"/>
    <w:rsid w:val="F32F8363"/>
    <w:rsid w:val="F4FDA00E"/>
    <w:rsid w:val="F63F8141"/>
    <w:rsid w:val="F6EEA7CC"/>
    <w:rsid w:val="F77B2C9A"/>
    <w:rsid w:val="F7DF750D"/>
    <w:rsid w:val="F7EC5923"/>
    <w:rsid w:val="FBB827D4"/>
    <w:rsid w:val="FBFEE182"/>
    <w:rsid w:val="FD7DA832"/>
    <w:rsid w:val="FD8914D9"/>
    <w:rsid w:val="FDBFA23B"/>
    <w:rsid w:val="FDDF4E06"/>
    <w:rsid w:val="FDED8EAE"/>
    <w:rsid w:val="FDFBFC7C"/>
    <w:rsid w:val="FE46DEA5"/>
    <w:rsid w:val="FE9FA14A"/>
    <w:rsid w:val="FEBE2C6B"/>
    <w:rsid w:val="FF7F3E45"/>
    <w:rsid w:val="FF7F86E1"/>
    <w:rsid w:val="FFDA1A04"/>
    <w:rsid w:val="FFE51864"/>
    <w:rsid w:val="FFF672A8"/>
    <w:rsid w:val="FFFE9F1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qFormat="1" w:uiPriority="39"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name="Date"/>
    <w:lsdException w:qFormat="1" w:uiPriority="99" w:name="Body Text First Indent"/>
    <w:lsdException w:qFormat="1" w:uiPriority="99" w:name="Body Text First Indent 2"/>
    <w:lsdException w:unhideWhenUsed="0" w:uiPriority="0" w:semiHidden="0" w:name="Note Heading"/>
    <w:lsdException w:qFormat="1" w:uiPriority="99"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next w:val="1"/>
    <w:qFormat/>
    <w:uiPriority w:val="9"/>
    <w:pPr>
      <w:keepNext/>
      <w:keepLines/>
      <w:widowControl w:val="0"/>
      <w:suppressLineNumbers w:val="0"/>
      <w:spacing w:before="120" w:beforeAutospacing="0" w:after="120" w:afterAutospacing="0" w:line="360" w:lineRule="auto"/>
      <w:jc w:val="center"/>
      <w:outlineLvl w:val="0"/>
    </w:pPr>
    <w:rPr>
      <w:rFonts w:hint="default" w:ascii="Arial" w:hAnsi="Arial" w:eastAsia="宋体" w:cs="Times New Roman"/>
      <w:b/>
      <w:kern w:val="44"/>
      <w:sz w:val="28"/>
      <w:szCs w:val="28"/>
      <w:lang w:val="en-US" w:eastAsia="zh-CN" w:bidi="ar"/>
    </w:rPr>
  </w:style>
  <w:style w:type="paragraph" w:styleId="3">
    <w:name w:val="heading 2"/>
    <w:basedOn w:val="1"/>
    <w:next w:val="1"/>
    <w:semiHidden/>
    <w:unhideWhenUsed/>
    <w:qFormat/>
    <w:uiPriority w:val="9"/>
    <w:pPr>
      <w:keepNext/>
      <w:keepLines/>
      <w:widowControl w:val="0"/>
      <w:suppressLineNumbers w:val="0"/>
      <w:spacing w:before="120" w:beforeAutospacing="0" w:after="120" w:afterAutospacing="0" w:line="412" w:lineRule="auto"/>
      <w:ind w:left="454"/>
      <w:jc w:val="center"/>
      <w:outlineLvl w:val="1"/>
    </w:pPr>
    <w:rPr>
      <w:rFonts w:hint="default" w:ascii="Arial" w:hAnsi="Arial" w:eastAsia="宋体" w:cs="Times New Roman"/>
      <w:b/>
      <w:color w:val="000000"/>
      <w:kern w:val="2"/>
      <w:sz w:val="24"/>
      <w:szCs w:val="24"/>
      <w:lang w:val="en-US" w:eastAsia="zh-CN" w:bidi="ar"/>
    </w:rPr>
  </w:style>
  <w:style w:type="paragraph" w:styleId="4">
    <w:name w:val="heading 3"/>
    <w:basedOn w:val="1"/>
    <w:next w:val="1"/>
    <w:semiHidden/>
    <w:unhideWhenUsed/>
    <w:qFormat/>
    <w:uiPriority w:val="9"/>
    <w:pPr>
      <w:keepNext w:val="0"/>
      <w:keepLines w:val="0"/>
      <w:widowControl/>
      <w:suppressLineNumbers w:val="0"/>
      <w:spacing w:before="0" w:beforeAutospacing="1" w:after="0" w:afterAutospacing="1"/>
      <w:jc w:val="left"/>
      <w:outlineLvl w:val="2"/>
    </w:pPr>
    <w:rPr>
      <w:rFonts w:hint="eastAsia" w:ascii="宋体" w:hAnsi="宋体" w:eastAsia="宋体" w:cs="宋体"/>
      <w:b/>
      <w:kern w:val="0"/>
      <w:sz w:val="27"/>
      <w:szCs w:val="27"/>
      <w:lang w:val="en-US" w:eastAsia="zh-CN" w:bidi="ar"/>
    </w:rPr>
  </w:style>
  <w:style w:type="character" w:default="1" w:styleId="19">
    <w:name w:val="Default Paragraph Font"/>
    <w:semiHidden/>
    <w:qFormat/>
    <w:uiPriority w:val="0"/>
  </w:style>
  <w:style w:type="table" w:default="1" w:styleId="17">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qFormat/>
    <w:uiPriority w:val="0"/>
    <w:pPr>
      <w:ind w:firstLine="420"/>
    </w:pPr>
    <w:rPr>
      <w:rFonts w:ascii="Times New Roman" w:hAnsi="Times New Roman"/>
      <w:szCs w:val="20"/>
    </w:rPr>
  </w:style>
  <w:style w:type="paragraph" w:styleId="6">
    <w:name w:val="Body Text"/>
    <w:basedOn w:val="1"/>
    <w:semiHidden/>
    <w:unhideWhenUsed/>
    <w:qFormat/>
    <w:uiPriority w:val="99"/>
    <w:pPr>
      <w:keepNext w:val="0"/>
      <w:keepLines w:val="0"/>
      <w:widowControl w:val="0"/>
      <w:suppressLineNumbers w:val="0"/>
      <w:spacing w:after="120" w:afterAutospacing="0"/>
      <w:jc w:val="both"/>
    </w:pPr>
    <w:rPr>
      <w:rFonts w:hint="default" w:ascii="Times New Roman" w:hAnsi="Times New Roman" w:eastAsia="宋体" w:cs="Times New Roman"/>
      <w:kern w:val="2"/>
      <w:sz w:val="21"/>
      <w:szCs w:val="21"/>
      <w:lang w:val="en-US" w:eastAsia="zh-CN" w:bidi="ar"/>
    </w:rPr>
  </w:style>
  <w:style w:type="paragraph" w:styleId="7">
    <w:name w:val="Plain Text"/>
    <w:basedOn w:val="1"/>
    <w:semiHidden/>
    <w:unhideWhenUsed/>
    <w:qFormat/>
    <w:uiPriority w:val="99"/>
    <w:pPr>
      <w:keepNext w:val="0"/>
      <w:keepLines w:val="0"/>
      <w:widowControl w:val="0"/>
      <w:suppressLineNumbers w:val="0"/>
      <w:spacing w:before="0" w:beforeAutospacing="0" w:after="0" w:afterAutospacing="0"/>
      <w:ind w:left="0" w:right="0"/>
      <w:jc w:val="both"/>
    </w:pPr>
    <w:rPr>
      <w:rFonts w:hint="eastAsia" w:ascii="宋体" w:hAnsi="Courier New" w:eastAsia="宋体" w:cs="Times New Roman"/>
      <w:kern w:val="2"/>
      <w:sz w:val="21"/>
      <w:szCs w:val="21"/>
      <w:lang w:val="en-US" w:eastAsia="zh-CN" w:bidi="ar"/>
    </w:rPr>
  </w:style>
  <w:style w:type="paragraph" w:styleId="8">
    <w:name w:val="Date"/>
    <w:basedOn w:val="1"/>
    <w:next w:val="1"/>
    <w:semiHidden/>
    <w:unhideWhenUsed/>
    <w:qFormat/>
    <w:uiPriority w:val="99"/>
    <w:pPr>
      <w:keepNext w:val="0"/>
      <w:keepLines w:val="0"/>
      <w:widowControl w:val="0"/>
      <w:suppressLineNumbers w:val="0"/>
      <w:spacing w:before="0" w:beforeAutospacing="0" w:after="0" w:afterAutospacing="0"/>
      <w:ind w:left="0" w:right="0"/>
      <w:jc w:val="both"/>
    </w:pPr>
    <w:rPr>
      <w:rFonts w:hint="default" w:ascii="Times New Roman" w:hAnsi="Times New Roman" w:eastAsia="宋体" w:cs="Times New Roman"/>
      <w:kern w:val="2"/>
      <w:sz w:val="21"/>
      <w:szCs w:val="21"/>
      <w:lang w:val="en-US" w:eastAsia="zh-CN" w:bidi="ar"/>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semiHidden/>
    <w:unhideWhenUsed/>
    <w:qFormat/>
    <w:uiPriority w:val="39"/>
    <w:pPr>
      <w:keepNext w:val="0"/>
      <w:keepLines w:val="0"/>
      <w:widowControl w:val="0"/>
      <w:suppressLineNumbers w:val="0"/>
      <w:adjustRightInd w:val="0"/>
      <w:snapToGrid w:val="0"/>
      <w:spacing w:before="0" w:beforeAutospacing="0" w:after="0" w:afterAutospacing="0" w:line="360" w:lineRule="auto"/>
      <w:ind w:left="0" w:right="0"/>
      <w:jc w:val="left"/>
      <w:textAlignment w:val="baseline"/>
    </w:pPr>
    <w:rPr>
      <w:rFonts w:hint="eastAsia" w:ascii="宋体" w:hAnsi="宋体" w:eastAsia="宋体" w:cs="Times New Roman"/>
      <w:caps/>
      <w:kern w:val="0"/>
      <w:sz w:val="24"/>
      <w:szCs w:val="24"/>
      <w:lang w:val="en-US" w:eastAsia="zh-CN" w:bidi="ar"/>
    </w:rPr>
  </w:style>
  <w:style w:type="paragraph" w:styleId="12">
    <w:name w:val="toc 2"/>
    <w:basedOn w:val="1"/>
    <w:next w:val="1"/>
    <w:semiHidden/>
    <w:unhideWhenUsed/>
    <w:qFormat/>
    <w:uiPriority w:val="39"/>
    <w:pPr>
      <w:keepNext w:val="0"/>
      <w:keepLines w:val="0"/>
      <w:widowControl w:val="0"/>
      <w:suppressLineNumbers w:val="0"/>
      <w:snapToGrid w:val="0"/>
      <w:spacing w:line="360" w:lineRule="auto"/>
      <w:ind w:left="420" w:leftChars="200"/>
      <w:jc w:val="left"/>
    </w:pPr>
    <w:rPr>
      <w:rFonts w:hint="default" w:ascii="Times New Roman" w:hAnsi="Times New Roman" w:eastAsia="宋体" w:cs="Times New Roman"/>
      <w:kern w:val="2"/>
      <w:sz w:val="24"/>
      <w:szCs w:val="24"/>
      <w:lang w:val="en-US" w:eastAsia="zh-CN" w:bidi="ar"/>
    </w:rPr>
  </w:style>
  <w:style w:type="paragraph" w:styleId="13">
    <w:name w:val="Body Text 2"/>
    <w:basedOn w:val="1"/>
    <w:semiHidden/>
    <w:unhideWhenUsed/>
    <w:qFormat/>
    <w:uiPriority w:val="99"/>
    <w:pPr>
      <w:keepNext w:val="0"/>
      <w:keepLines w:val="0"/>
      <w:widowControl w:val="0"/>
      <w:suppressLineNumbers w:val="0"/>
      <w:spacing w:before="0" w:beforeAutospacing="0" w:after="0" w:afterAutospacing="0"/>
      <w:ind w:left="0" w:right="0"/>
      <w:jc w:val="both"/>
    </w:pPr>
    <w:rPr>
      <w:rFonts w:hint="eastAsia" w:ascii="宋体" w:hAnsi="宋体" w:eastAsia="宋体" w:cs="Times New Roman"/>
      <w:kern w:val="2"/>
      <w:sz w:val="21"/>
      <w:szCs w:val="21"/>
      <w:u w:val="single"/>
      <w:lang w:val="en-US" w:eastAsia="zh-CN" w:bidi="ar"/>
    </w:rPr>
  </w:style>
  <w:style w:type="paragraph" w:styleId="14">
    <w:name w:val="Normal (Web)"/>
    <w:basedOn w:val="1"/>
    <w:semiHidden/>
    <w:unhideWhenUsed/>
    <w:qFormat/>
    <w:uiPriority w:val="99"/>
    <w:pPr>
      <w:keepNext w:val="0"/>
      <w:keepLines w:val="0"/>
      <w:widowControl/>
      <w:suppressLineNumbers w:val="0"/>
      <w:spacing w:before="0" w:beforeAutospacing="1" w:after="0" w:afterAutospacing="1"/>
      <w:jc w:val="left"/>
    </w:pPr>
    <w:rPr>
      <w:rFonts w:hint="eastAsia" w:ascii="宋体" w:hAnsi="宋体" w:eastAsia="宋体" w:cs="Times New Roman"/>
      <w:kern w:val="0"/>
      <w:sz w:val="24"/>
      <w:szCs w:val="24"/>
      <w:lang w:val="en-US" w:eastAsia="zh-CN" w:bidi="ar"/>
    </w:rPr>
  </w:style>
  <w:style w:type="paragraph" w:styleId="15">
    <w:name w:val="Body Text First Indent"/>
    <w:semiHidden/>
    <w:unhideWhenUsed/>
    <w:qFormat/>
    <w:uiPriority w:val="99"/>
    <w:pPr>
      <w:keepNext w:val="0"/>
      <w:keepLines w:val="0"/>
      <w:widowControl w:val="0"/>
      <w:suppressLineNumbers w:val="0"/>
      <w:spacing w:after="120" w:afterAutospacing="0"/>
      <w:ind w:firstLine="420"/>
      <w:jc w:val="both"/>
    </w:pPr>
    <w:rPr>
      <w:rFonts w:hint="default" w:ascii="Times New Roman" w:hAnsi="Times New Roman" w:eastAsia="宋体" w:cs="Times New Roman"/>
      <w:kern w:val="2"/>
      <w:sz w:val="21"/>
      <w:szCs w:val="21"/>
      <w:lang w:val="en-US" w:eastAsia="zh-CN" w:bidi="ar"/>
    </w:rPr>
  </w:style>
  <w:style w:type="paragraph" w:styleId="16">
    <w:name w:val="Body Text First Indent 2"/>
    <w:semiHidden/>
    <w:unhideWhenUsed/>
    <w:qFormat/>
    <w:uiPriority w:val="99"/>
    <w:pPr>
      <w:keepNext w:val="0"/>
      <w:keepLines w:val="0"/>
      <w:widowControl w:val="0"/>
      <w:suppressLineNumbers w:val="0"/>
      <w:spacing w:after="120" w:afterAutospacing="0"/>
      <w:ind w:left="200" w:leftChars="200" w:firstLine="200" w:firstLineChars="200"/>
      <w:jc w:val="both"/>
    </w:pPr>
    <w:rPr>
      <w:rFonts w:hint="default" w:ascii="Calibri" w:hAnsi="Calibri" w:eastAsia="宋体" w:cs="Times New Roman"/>
      <w:kern w:val="2"/>
      <w:sz w:val="21"/>
      <w:szCs w:val="21"/>
      <w:lang w:val="en-US" w:eastAsia="zh-CN" w:bidi="ar"/>
    </w:rPr>
  </w:style>
  <w:style w:type="table" w:styleId="18">
    <w:name w:val="Table Grid"/>
    <w:basedOn w:val="17"/>
    <w:qFormat/>
    <w:uiPriority w:val="5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0">
    <w:name w:val="Hyperlink"/>
    <w:basedOn w:val="19"/>
    <w:semiHidden/>
    <w:unhideWhenUsed/>
    <w:uiPriority w:val="99"/>
    <w:rPr>
      <w:color w:val="0000FF"/>
      <w:u w:val="single"/>
    </w:rPr>
  </w:style>
  <w:style w:type="paragraph" w:customStyle="1" w:styleId="21">
    <w:name w:val="_Style 3"/>
    <w:basedOn w:val="1"/>
    <w:qFormat/>
    <w:uiPriority w:val="0"/>
    <w:pPr>
      <w:keepNext w:val="0"/>
      <w:keepLines w:val="0"/>
      <w:widowControl w:val="0"/>
      <w:suppressLineNumbers w:val="0"/>
      <w:spacing w:before="0" w:beforeAutospacing="0" w:after="0" w:afterAutospacing="0"/>
      <w:ind w:left="0" w:right="0"/>
      <w:jc w:val="both"/>
    </w:pPr>
    <w:rPr>
      <w:rFonts w:hint="default" w:ascii="Calibri" w:hAnsi="Calibri" w:eastAsia="宋体" w:cs="宋体"/>
      <w:kern w:val="2"/>
      <w:sz w:val="21"/>
      <w:szCs w:val="21"/>
      <w:lang w:val="en-US" w:eastAsia="zh-CN" w:bidi="ar"/>
    </w:rPr>
  </w:style>
  <w:style w:type="paragraph" w:customStyle="1" w:styleId="22">
    <w:name w:val="正题"/>
    <w:basedOn w:val="1"/>
    <w:qFormat/>
    <w:uiPriority w:val="0"/>
    <w:pPr>
      <w:keepNext w:val="0"/>
      <w:keepLines w:val="0"/>
      <w:widowControl w:val="0"/>
      <w:suppressLineNumbers w:val="0"/>
      <w:topLinePunct/>
      <w:adjustRightInd w:val="0"/>
      <w:snapToGrid w:val="0"/>
      <w:spacing w:before="0" w:beforeAutospacing="0" w:after="0" w:afterAutospacing="0" w:line="360" w:lineRule="auto"/>
      <w:ind w:left="0" w:right="0"/>
      <w:jc w:val="center"/>
    </w:pPr>
    <w:rPr>
      <w:rFonts w:hint="default" w:ascii="Times New Roman" w:hAnsi="Times New Roman" w:eastAsia="黑体" w:cs="Times New Roman"/>
      <w:b/>
      <w:spacing w:val="4"/>
      <w:kern w:val="0"/>
      <w:sz w:val="36"/>
      <w:szCs w:val="36"/>
      <w:lang w:val="en-US" w:eastAsia="zh-CN" w:bidi="ar"/>
    </w:rPr>
  </w:style>
  <w:style w:type="paragraph" w:customStyle="1" w:styleId="23">
    <w:name w:val="List Paragraph"/>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1"/>
      <w:lang w:val="en-US" w:eastAsia="zh-CN" w:bidi="ar"/>
    </w:rPr>
  </w:style>
  <w:style w:type="character" w:customStyle="1" w:styleId="24">
    <w:name w:val="10"/>
    <w:basedOn w:val="19"/>
    <w:qFormat/>
    <w:uiPriority w:val="0"/>
    <w:rPr>
      <w:rFonts w:hint="default" w:ascii="Times New Roman" w:hAnsi="Times New Roman" w:cs="Times New Roman"/>
    </w:rPr>
  </w:style>
  <w:style w:type="paragraph" w:customStyle="1" w:styleId="25">
    <w:name w:val="文一"/>
    <w:basedOn w:val="1"/>
    <w:qFormat/>
    <w:uiPriority w:val="0"/>
    <w:pPr>
      <w:keepNext w:val="0"/>
      <w:keepLines w:val="0"/>
      <w:widowControl/>
      <w:suppressLineNumbers w:val="0"/>
      <w:topLinePunct/>
      <w:adjustRightInd w:val="0"/>
      <w:snapToGrid w:val="0"/>
      <w:spacing w:after="200" w:afterAutospacing="0" w:line="360" w:lineRule="auto"/>
      <w:ind w:firstLine="200" w:firstLineChars="200"/>
      <w:jc w:val="left"/>
    </w:pPr>
    <w:rPr>
      <w:rFonts w:hint="default" w:ascii="等线" w:hAnsi="等线" w:eastAsia="等线" w:cs="Times New Roman"/>
      <w:spacing w:val="4"/>
      <w:kern w:val="0"/>
      <w:sz w:val="24"/>
      <w:szCs w:val="24"/>
      <w:lang w:val="en-US" w:eastAsia="zh-CN" w:bidi="ar"/>
    </w:rPr>
  </w:style>
  <w:style w:type="paragraph" w:customStyle="1" w:styleId="26">
    <w:name w:val="Body text|1"/>
    <w:basedOn w:val="1"/>
    <w:qFormat/>
    <w:uiPriority w:val="0"/>
    <w:pPr>
      <w:keepNext w:val="0"/>
      <w:keepLines w:val="0"/>
      <w:widowControl w:val="0"/>
      <w:suppressLineNumbers w:val="0"/>
      <w:spacing w:before="0" w:beforeAutospacing="0" w:after="0" w:afterAutospacing="0" w:line="439" w:lineRule="auto"/>
      <w:ind w:left="0" w:right="0" w:firstLine="400"/>
      <w:jc w:val="left"/>
    </w:pPr>
    <w:rPr>
      <w:rFonts w:hint="eastAsia" w:ascii="宋体" w:hAnsi="宋体" w:eastAsia="宋体" w:cs="宋体"/>
      <w:color w:val="000000"/>
      <w:kern w:val="0"/>
      <w:sz w:val="20"/>
      <w:szCs w:val="20"/>
      <w:lang w:val="en-US" w:eastAsia="zh-CN" w:bidi="ar"/>
    </w:rPr>
  </w:style>
  <w:style w:type="paragraph" w:customStyle="1" w:styleId="27">
    <w:name w:val="Table Paragraph"/>
    <w:basedOn w:val="1"/>
    <w:qFormat/>
    <w:uiPriority w:val="0"/>
    <w:pPr>
      <w:keepNext w:val="0"/>
      <w:keepLines w:val="0"/>
      <w:widowControl w:val="0"/>
      <w:suppressLineNumbers w:val="0"/>
      <w:autoSpaceDE w:val="0"/>
      <w:autoSpaceDN w:val="0"/>
      <w:spacing w:before="0" w:beforeAutospacing="0" w:after="0" w:afterAutospacing="0"/>
      <w:ind w:left="0" w:right="0"/>
      <w:jc w:val="left"/>
    </w:pPr>
    <w:rPr>
      <w:rFonts w:hint="eastAsia" w:ascii="宋体" w:hAnsi="宋体" w:eastAsia="宋体" w:cs="宋体"/>
      <w:kern w:val="0"/>
      <w:sz w:val="22"/>
      <w:szCs w:val="22"/>
      <w:lang w:val="en-US" w:eastAsia="zh-CN" w:bidi="ar"/>
    </w:rPr>
  </w:style>
  <w:style w:type="paragraph" w:customStyle="1" w:styleId="28">
    <w:name w:val="文二"/>
    <w:basedOn w:val="1"/>
    <w:qFormat/>
    <w:uiPriority w:val="0"/>
    <w:pPr>
      <w:keepNext w:val="0"/>
      <w:keepLines w:val="0"/>
      <w:widowControl w:val="0"/>
      <w:suppressLineNumbers w:val="0"/>
      <w:spacing w:before="0" w:beforeAutospacing="0" w:after="0" w:afterAutospacing="0"/>
      <w:ind w:left="0" w:right="0"/>
      <w:jc w:val="left"/>
    </w:pPr>
    <w:rPr>
      <w:rFonts w:hint="eastAsia" w:ascii="宋体" w:hAnsi="宋体" w:eastAsia="宋体" w:cs="Times New Roman"/>
      <w:kern w:val="2"/>
      <w:sz w:val="21"/>
      <w:szCs w:val="21"/>
      <w:lang w:val="en-US" w:eastAsia="zh-CN" w:bidi="ar"/>
    </w:rPr>
  </w:style>
  <w:style w:type="paragraph" w:customStyle="1" w:styleId="29">
    <w:name w:val="公文正文"/>
    <w:basedOn w:val="1"/>
    <w:qFormat/>
    <w:uiPriority w:val="0"/>
    <w:pPr>
      <w:keepNext w:val="0"/>
      <w:keepLines w:val="0"/>
      <w:widowControl w:val="0"/>
      <w:suppressLineNumbers w:val="0"/>
      <w:spacing w:before="0" w:beforeAutospacing="0" w:after="0" w:afterAutospacing="0" w:line="360" w:lineRule="auto"/>
      <w:ind w:left="0" w:right="0" w:firstLine="629"/>
      <w:jc w:val="both"/>
    </w:pPr>
    <w:rPr>
      <w:rFonts w:hint="eastAsia" w:ascii="仿宋_GB2312" w:hAnsi="Calisto MT" w:eastAsia="仿宋_GB2312" w:cs="Times New Roman"/>
      <w:color w:val="000000"/>
      <w:kern w:val="0"/>
      <w:sz w:val="32"/>
      <w:szCs w:val="32"/>
      <w:lang w:val="en-US" w:eastAsia="zh-CN" w:bidi="ar"/>
    </w:rPr>
  </w:style>
  <w:style w:type="paragraph" w:customStyle="1" w:styleId="30">
    <w:name w:val="发文落款"/>
    <w:basedOn w:val="29"/>
    <w:qFormat/>
    <w:uiPriority w:val="0"/>
    <w:pPr>
      <w:keepNext w:val="0"/>
      <w:keepLines w:val="0"/>
      <w:widowControl w:val="0"/>
      <w:suppressLineNumbers w:val="0"/>
      <w:spacing w:line="360" w:lineRule="auto"/>
      <w:ind w:left="4094" w:right="607" w:firstLine="0"/>
      <w:jc w:val="center"/>
    </w:pPr>
    <w:rPr>
      <w:rFonts w:hint="eastAsia" w:ascii="仿宋_GB2312" w:hAnsi="Calisto MT" w:eastAsia="仿宋_GB2312" w:cs="Times New Roman"/>
      <w:color w:val="000000"/>
      <w:kern w:val="0"/>
      <w:sz w:val="32"/>
      <w:szCs w:val="3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198</Pages>
  <Words>122526</Words>
  <Characters>127669</Characters>
  <Lines>1</Lines>
  <Paragraphs>1</Paragraphs>
  <TotalTime>8</TotalTime>
  <ScaleCrop>false</ScaleCrop>
  <LinksUpToDate>false</LinksUpToDate>
  <CharactersWithSpaces>133235</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2024-05-27T09:41:00Z</dcterms:created>
  <dc:creator>SHERRY</dc:creator>
  <cp:lastModifiedBy>.</cp:lastModifiedBy>
  <dcterms:modified xsi:type="dcterms:W3CDTF">2024-09-05T12:41:03Z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3227BBC9A2054F4DAE12962428F53147_12</vt:lpwstr>
  </property>
</Properties>
</file>