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adjustRightInd w:val="0"/>
        <w:snapToGrid w:val="0"/>
        <w:spacing w:line="560" w:lineRule="exact"/>
        <w:ind w:firstLine="1680"/>
        <w:jc w:val="center"/>
        <w:rPr>
          <w:rFonts w:ascii="Times New Roman" w:hAnsi="Times New Roman"/>
          <w:sz w:val="84"/>
        </w:rPr>
      </w:pPr>
    </w:p>
    <w:p>
      <w:pPr>
        <w:pStyle w:val="14"/>
        <w:adjustRightInd w:val="0"/>
        <w:snapToGrid w:val="0"/>
        <w:spacing w:line="560" w:lineRule="exact"/>
        <w:ind w:firstLine="1680"/>
        <w:jc w:val="center"/>
        <w:rPr>
          <w:rFonts w:ascii="Times New Roman" w:hAnsi="Times New Roman"/>
          <w:sz w:val="84"/>
        </w:rPr>
      </w:pPr>
    </w:p>
    <w:p>
      <w:pPr>
        <w:pStyle w:val="14"/>
        <w:adjustRightInd w:val="0"/>
        <w:snapToGrid w:val="0"/>
        <w:jc w:val="center"/>
        <w:rPr>
          <w:rFonts w:ascii="Times New Roman" w:hAnsi="Times New Roman"/>
          <w:b/>
          <w:sz w:val="84"/>
        </w:rPr>
      </w:pPr>
    </w:p>
    <w:p>
      <w:pPr>
        <w:pStyle w:val="14"/>
        <w:adjustRightInd w:val="0"/>
        <w:snapToGrid w:val="0"/>
        <w:jc w:val="center"/>
        <w:rPr>
          <w:rFonts w:ascii="黑体" w:hAnsi="黑体" w:eastAsia="黑体"/>
          <w:b/>
          <w:bCs/>
          <w:sz w:val="28"/>
        </w:rPr>
      </w:pPr>
      <w:r>
        <w:rPr>
          <w:rFonts w:hint="eastAsia" w:ascii="黑体" w:hAnsi="黑体" w:eastAsia="黑体"/>
          <w:b/>
          <w:sz w:val="72"/>
        </w:rPr>
        <w:t>建设工程监测合同</w:t>
      </w: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pStyle w:val="14"/>
        <w:adjustRightInd w:val="0"/>
        <w:snapToGrid w:val="0"/>
        <w:spacing w:line="560" w:lineRule="exact"/>
        <w:ind w:firstLine="723"/>
        <w:rPr>
          <w:rFonts w:ascii="Times New Roman" w:hAnsi="Times New Roman"/>
          <w:b/>
          <w:bCs/>
          <w:sz w:val="36"/>
        </w:rPr>
      </w:pPr>
    </w:p>
    <w:p>
      <w:pPr>
        <w:adjustRightInd w:val="0"/>
        <w:snapToGrid w:val="0"/>
        <w:spacing w:line="560" w:lineRule="exact"/>
        <w:rPr>
          <w:rFonts w:ascii="Times New Roman" w:hAnsi="Times New Roman" w:eastAsia="宋体"/>
          <w:sz w:val="28"/>
          <w:szCs w:val="28"/>
          <w:u w:val="single"/>
        </w:rPr>
      </w:pPr>
    </w:p>
    <w:p>
      <w:pPr>
        <w:tabs>
          <w:tab w:val="left" w:pos="8222"/>
        </w:tabs>
        <w:adjustRightInd w:val="0"/>
        <w:snapToGrid w:val="0"/>
        <w:spacing w:line="360" w:lineRule="auto"/>
        <w:ind w:left="2693" w:leftChars="414" w:right="710" w:rightChars="296" w:hanging="1699" w:hangingChars="607"/>
        <w:rPr>
          <w:rFonts w:ascii="宋体" w:hAnsi="宋体" w:eastAsia="宋体"/>
          <w:sz w:val="28"/>
          <w:szCs w:val="28"/>
        </w:rPr>
      </w:pPr>
      <w:r>
        <w:rPr>
          <w:rFonts w:hint="eastAsia" w:ascii="宋体" w:hAnsi="宋体" w:eastAsia="宋体"/>
          <w:sz w:val="28"/>
          <w:szCs w:val="28"/>
        </w:rPr>
        <w:t>工程名称</w:t>
      </w:r>
      <w:r>
        <w:rPr>
          <w:rFonts w:ascii="宋体" w:hAnsi="宋体" w:eastAsia="宋体"/>
          <w:sz w:val="28"/>
          <w:szCs w:val="28"/>
        </w:rPr>
        <w:t>：</w:t>
      </w:r>
      <w:r>
        <w:rPr>
          <w:rFonts w:hint="eastAsia" w:ascii="宋体" w:hAnsi="宋体" w:eastAsia="宋体"/>
          <w:sz w:val="28"/>
          <w:szCs w:val="28"/>
          <w:u w:val="single"/>
        </w:rPr>
        <w:t>秀全外国语学校改扩建项目地铁保护监测服务</w:t>
      </w:r>
    </w:p>
    <w:p>
      <w:pPr>
        <w:adjustRightInd w:val="0"/>
        <w:snapToGrid w:val="0"/>
        <w:spacing w:line="360" w:lineRule="auto"/>
        <w:ind w:left="2693" w:leftChars="414" w:hanging="1699" w:hangingChars="607"/>
        <w:rPr>
          <w:rFonts w:ascii="宋体" w:hAnsi="宋体" w:eastAsia="宋体"/>
          <w:sz w:val="28"/>
          <w:szCs w:val="28"/>
        </w:rPr>
      </w:pPr>
      <w:r>
        <w:rPr>
          <w:rFonts w:hint="eastAsia" w:ascii="宋体" w:hAnsi="宋体" w:eastAsia="宋体"/>
          <w:sz w:val="28"/>
          <w:szCs w:val="28"/>
        </w:rPr>
        <w:t>发</w:t>
      </w:r>
      <w:r>
        <w:rPr>
          <w:rFonts w:ascii="宋体" w:hAnsi="宋体" w:eastAsia="宋体"/>
          <w:sz w:val="28"/>
          <w:szCs w:val="28"/>
        </w:rPr>
        <w:t xml:space="preserve"> </w:t>
      </w:r>
      <w:r>
        <w:rPr>
          <w:rFonts w:hint="eastAsia" w:ascii="宋体" w:hAnsi="宋体" w:eastAsia="宋体"/>
          <w:sz w:val="28"/>
          <w:szCs w:val="28"/>
        </w:rPr>
        <w:t>包</w:t>
      </w:r>
      <w:r>
        <w:rPr>
          <w:rFonts w:ascii="宋体" w:hAnsi="宋体" w:eastAsia="宋体"/>
          <w:sz w:val="28"/>
          <w:szCs w:val="28"/>
        </w:rPr>
        <w:t xml:space="preserve"> 人（甲方）：</w:t>
      </w:r>
      <w:r>
        <w:rPr>
          <w:rFonts w:ascii="宋体" w:hAnsi="宋体" w:eastAsia="宋体"/>
          <w:sz w:val="28"/>
          <w:szCs w:val="28"/>
          <w:u w:val="single"/>
        </w:rPr>
        <w:t>广州市花都区公共建设项目管理中心</w:t>
      </w:r>
    </w:p>
    <w:p>
      <w:pPr>
        <w:adjustRightInd w:val="0"/>
        <w:snapToGrid w:val="0"/>
        <w:spacing w:line="360" w:lineRule="auto"/>
        <w:ind w:left="2693" w:leftChars="414" w:hanging="1699" w:hangingChars="607"/>
        <w:rPr>
          <w:rFonts w:ascii="宋体" w:hAnsi="宋体" w:eastAsia="宋体"/>
          <w:sz w:val="28"/>
          <w:szCs w:val="28"/>
        </w:rPr>
      </w:pPr>
      <w:r>
        <w:rPr>
          <w:rFonts w:hint="eastAsia" w:ascii="宋体" w:hAnsi="宋体" w:eastAsia="宋体"/>
          <w:sz w:val="28"/>
          <w:szCs w:val="28"/>
        </w:rPr>
        <w:t>承</w:t>
      </w:r>
      <w:r>
        <w:rPr>
          <w:rFonts w:ascii="宋体" w:hAnsi="宋体" w:eastAsia="宋体"/>
          <w:sz w:val="28"/>
          <w:szCs w:val="28"/>
        </w:rPr>
        <w:t xml:space="preserve"> </w:t>
      </w:r>
      <w:r>
        <w:rPr>
          <w:rFonts w:hint="eastAsia" w:ascii="宋体" w:hAnsi="宋体" w:eastAsia="宋体"/>
          <w:sz w:val="28"/>
          <w:szCs w:val="28"/>
        </w:rPr>
        <w:t>包</w:t>
      </w:r>
      <w:r>
        <w:rPr>
          <w:rFonts w:ascii="宋体" w:hAnsi="宋体" w:eastAsia="宋体"/>
          <w:sz w:val="28"/>
          <w:szCs w:val="28"/>
        </w:rPr>
        <w:t xml:space="preserve"> 人（</w:t>
      </w:r>
      <w:r>
        <w:rPr>
          <w:rFonts w:hint="eastAsia" w:ascii="宋体" w:hAnsi="宋体" w:eastAsia="宋体"/>
          <w:sz w:val="28"/>
          <w:szCs w:val="28"/>
        </w:rPr>
        <w:t>乙</w:t>
      </w:r>
      <w:r>
        <w:rPr>
          <w:rFonts w:ascii="宋体" w:hAnsi="宋体" w:eastAsia="宋体"/>
          <w:sz w:val="28"/>
          <w:szCs w:val="28"/>
        </w:rPr>
        <w:t>方）：</w:t>
      </w:r>
      <w:r>
        <w:rPr>
          <w:rFonts w:ascii="宋体" w:hAnsi="宋体" w:eastAsia="宋体"/>
          <w:sz w:val="28"/>
          <w:szCs w:val="28"/>
          <w:u w:val="single"/>
        </w:rPr>
        <w:t xml:space="preserve">                                </w:t>
      </w:r>
    </w:p>
    <w:p>
      <w:pPr>
        <w:jc w:val="center"/>
        <w:rPr>
          <w:rFonts w:ascii="宋体" w:hAnsi="宋体" w:eastAsia="宋体"/>
          <w:sz w:val="28"/>
          <w:szCs w:val="28"/>
        </w:rPr>
      </w:pPr>
    </w:p>
    <w:p>
      <w:pPr>
        <w:spacing w:line="480" w:lineRule="auto"/>
        <w:ind w:firstLine="1"/>
        <w:jc w:val="center"/>
        <w:rPr>
          <w:rFonts w:ascii="Times New Roman" w:hAnsi="Times New Roman" w:eastAsia="宋体"/>
          <w:sz w:val="28"/>
          <w:szCs w:val="28"/>
        </w:rPr>
      </w:pPr>
      <w:r>
        <w:rPr>
          <w:rFonts w:ascii="Times New Roman" w:hAnsi="Times New Roman" w:eastAsia="宋体"/>
          <w:sz w:val="28"/>
          <w:szCs w:val="28"/>
        </w:rPr>
        <w:t>签订日期：2024年  月   日</w:t>
      </w:r>
    </w:p>
    <w:p>
      <w:pPr>
        <w:rPr>
          <w:rFonts w:ascii="Times New Roman" w:hAnsi="Times New Roman" w:eastAsiaTheme="minorEastAsia"/>
          <w:sz w:val="28"/>
          <w:szCs w:val="28"/>
        </w:rPr>
        <w:sectPr>
          <w:headerReference r:id="rId3" w:type="first"/>
          <w:footerReference r:id="rId5" w:type="first"/>
          <w:footerReference r:id="rId4" w:type="default"/>
          <w:pgSz w:w="11906" w:h="16838"/>
          <w:pgMar w:top="1134" w:right="1418" w:bottom="1134" w:left="1418" w:header="851" w:footer="485" w:gutter="0"/>
          <w:pgNumType w:start="1"/>
          <w:cols w:space="720" w:num="1"/>
          <w:titlePg/>
          <w:docGrid w:type="lines" w:linePitch="312" w:charSpace="0"/>
        </w:sectPr>
      </w:pPr>
      <w:r>
        <w:rPr>
          <w:rFonts w:ascii="Times New Roman" w:hAnsi="Times New Roman" w:eastAsiaTheme="minorEastAsia"/>
          <w:sz w:val="28"/>
          <w:szCs w:val="28"/>
        </w:rPr>
        <w:br w:type="page"/>
      </w:r>
    </w:p>
    <w:p>
      <w:pPr>
        <w:rPr>
          <w:rFonts w:ascii="Times New Roman" w:hAnsi="Times New Roman" w:eastAsiaTheme="minorEastAsia"/>
          <w:sz w:val="28"/>
          <w:szCs w:val="28"/>
        </w:rPr>
      </w:pPr>
      <w:r>
        <w:rPr>
          <w:rFonts w:ascii="Times New Roman" w:hAnsi="Times New Roman" w:eastAsiaTheme="minorEastAsia"/>
          <w:sz w:val="28"/>
          <w:szCs w:val="28"/>
        </w:rPr>
        <w:br w:type="page"/>
      </w:r>
    </w:p>
    <w:p>
      <w:pPr>
        <w:adjustRightInd w:val="0"/>
        <w:snapToGrid w:val="0"/>
        <w:spacing w:line="560" w:lineRule="exact"/>
        <w:jc w:val="center"/>
        <w:rPr>
          <w:rFonts w:ascii="Times New Roman" w:hAnsi="Times New Roman" w:eastAsia="宋体"/>
          <w:b/>
          <w:bCs/>
          <w:sz w:val="44"/>
          <w:szCs w:val="44"/>
        </w:rPr>
        <w:sectPr>
          <w:type w:val="continuous"/>
          <w:pgSz w:w="11906" w:h="16838"/>
          <w:pgMar w:top="1134" w:right="1418" w:bottom="1134" w:left="1418" w:header="851" w:footer="485" w:gutter="0"/>
          <w:pgNumType w:start="1"/>
          <w:cols w:space="720" w:num="1"/>
          <w:titlePg/>
          <w:docGrid w:type="lines" w:linePitch="312" w:charSpace="0"/>
        </w:sectPr>
      </w:pPr>
    </w:p>
    <w:p>
      <w:pPr>
        <w:adjustRightInd w:val="0"/>
        <w:snapToGrid w:val="0"/>
        <w:spacing w:line="560" w:lineRule="exact"/>
        <w:jc w:val="center"/>
        <w:rPr>
          <w:rFonts w:ascii="Times New Roman" w:hAnsi="Times New Roman" w:eastAsia="宋体"/>
          <w:b/>
          <w:bCs/>
          <w:sz w:val="44"/>
          <w:szCs w:val="44"/>
        </w:rPr>
        <w:sectPr>
          <w:footerReference r:id="rId6" w:type="first"/>
          <w:type w:val="continuous"/>
          <w:pgSz w:w="11906" w:h="16838"/>
          <w:pgMar w:top="1134" w:right="1418" w:bottom="1134" w:left="1418" w:header="851" w:footer="680" w:gutter="0"/>
          <w:pgNumType w:start="1"/>
          <w:cols w:space="720" w:num="1"/>
          <w:titlePg/>
          <w:docGrid w:type="lines" w:linePitch="326" w:charSpace="0"/>
        </w:sectPr>
      </w:pPr>
    </w:p>
    <w:p>
      <w:pPr>
        <w:adjustRightInd w:val="0"/>
        <w:snapToGrid w:val="0"/>
        <w:spacing w:line="560" w:lineRule="exact"/>
        <w:jc w:val="center"/>
        <w:rPr>
          <w:rFonts w:ascii="Times New Roman" w:hAnsi="Times New Roman" w:eastAsia="宋体"/>
          <w:sz w:val="48"/>
          <w:szCs w:val="44"/>
        </w:rPr>
      </w:pPr>
      <w:r>
        <w:rPr>
          <w:rFonts w:hint="eastAsia" w:ascii="Times New Roman" w:hAnsi="Times New Roman" w:eastAsia="宋体"/>
          <w:b/>
          <w:bCs/>
          <w:sz w:val="48"/>
          <w:szCs w:val="44"/>
        </w:rPr>
        <w:t>建设工程监测合同书</w:t>
      </w:r>
    </w:p>
    <w:p>
      <w:pPr>
        <w:adjustRightInd w:val="0"/>
        <w:snapToGrid w:val="0"/>
        <w:spacing w:line="560" w:lineRule="exact"/>
        <w:jc w:val="center"/>
        <w:rPr>
          <w:rFonts w:ascii="Times New Roman" w:hAnsi="Times New Roman" w:eastAsia="宋体"/>
        </w:rPr>
      </w:pPr>
    </w:p>
    <w:p>
      <w:pPr>
        <w:adjustRightInd w:val="0"/>
        <w:snapToGrid w:val="0"/>
        <w:spacing w:line="500" w:lineRule="exact"/>
        <w:rPr>
          <w:rFonts w:ascii="Times New Roman" w:hAnsi="Times New Roman" w:eastAsia="宋体"/>
          <w:b/>
          <w:bCs/>
        </w:rPr>
      </w:pPr>
      <w:r>
        <w:rPr>
          <w:rFonts w:hint="eastAsia" w:ascii="Times New Roman" w:hAnsi="Times New Roman" w:eastAsia="宋体"/>
          <w:b/>
          <w:bCs/>
        </w:rPr>
        <w:t>发包人（甲方）：</w:t>
      </w:r>
      <w:r>
        <w:rPr>
          <w:rFonts w:hint="eastAsia" w:ascii="Times New Roman" w:hAnsi="Times New Roman" w:eastAsia="宋体"/>
          <w:b/>
          <w:bCs/>
          <w:u w:val="single"/>
        </w:rPr>
        <w:t>广州市花都区公共建设项目管理中心</w:t>
      </w:r>
    </w:p>
    <w:p>
      <w:pPr>
        <w:adjustRightInd w:val="0"/>
        <w:snapToGrid w:val="0"/>
        <w:spacing w:line="500" w:lineRule="exact"/>
        <w:rPr>
          <w:rFonts w:ascii="Times New Roman" w:hAnsi="Times New Roman" w:eastAsia="宋体"/>
          <w:b/>
          <w:bCs/>
        </w:rPr>
      </w:pPr>
      <w:r>
        <w:rPr>
          <w:rFonts w:hint="eastAsia" w:ascii="Times New Roman" w:hAnsi="Times New Roman" w:eastAsia="宋体"/>
          <w:b/>
          <w:bCs/>
        </w:rPr>
        <w:t>承包人（乙方）：</w:t>
      </w:r>
      <w:r>
        <w:rPr>
          <w:rFonts w:hint="eastAsia" w:ascii="宋体" w:hAnsi="宋体" w:eastAsia="宋体"/>
          <w:b/>
          <w:bCs/>
          <w:u w:val="single"/>
        </w:rPr>
        <w:t xml:space="preserve"> </w:t>
      </w:r>
      <w:r>
        <w:rPr>
          <w:rFonts w:ascii="宋体" w:hAnsi="宋体" w:eastAsia="宋体"/>
          <w:b/>
          <w:bCs/>
          <w:u w:val="single"/>
        </w:rPr>
        <w:t xml:space="preserve">                      </w:t>
      </w:r>
      <w:r>
        <w:rPr>
          <w:rFonts w:hint="eastAsia" w:ascii="宋体" w:hAnsi="宋体" w:eastAsia="宋体"/>
          <w:b/>
          <w:bCs/>
          <w:u w:val="single"/>
        </w:rPr>
        <w:t xml:space="preserve"> </w:t>
      </w:r>
      <w:r>
        <w:rPr>
          <w:rFonts w:ascii="宋体" w:hAnsi="宋体" w:eastAsia="宋体"/>
          <w:b/>
          <w:bCs/>
          <w:u w:val="single"/>
        </w:rPr>
        <w:t xml:space="preserve">       </w:t>
      </w:r>
    </w:p>
    <w:p>
      <w:pPr>
        <w:adjustRightInd w:val="0"/>
        <w:snapToGrid w:val="0"/>
        <w:spacing w:line="500" w:lineRule="exact"/>
        <w:rPr>
          <w:rFonts w:ascii="Times New Roman" w:hAnsi="Times New Roman" w:eastAsia="宋体"/>
          <w:b/>
          <w:bCs/>
        </w:rPr>
      </w:pPr>
    </w:p>
    <w:p>
      <w:pPr>
        <w:adjustRightInd w:val="0"/>
        <w:snapToGrid w:val="0"/>
        <w:spacing w:line="500" w:lineRule="exact"/>
        <w:ind w:firstLine="424" w:firstLineChars="177"/>
        <w:jc w:val="both"/>
        <w:rPr>
          <w:rFonts w:ascii="宋体" w:hAnsi="宋体"/>
          <w:b/>
          <w:bCs/>
          <w:snapToGrid w:val="0"/>
          <w:sz w:val="28"/>
          <w:szCs w:val="28"/>
          <w:u w:val="single"/>
        </w:rPr>
      </w:pPr>
      <w:r>
        <w:rPr>
          <w:rFonts w:hint="eastAsia" w:ascii="Times New Roman" w:hAnsi="Times New Roman" w:eastAsia="宋体"/>
        </w:rPr>
        <w:t xml:space="preserve"> 根据《中华人民共和国民法典》和《建设工程勘察设计管理条例》等法律法规的规定，发包人委托承包人承担</w:t>
      </w:r>
      <w:r>
        <w:rPr>
          <w:rFonts w:hint="eastAsia" w:ascii="Times New Roman" w:hAnsi="Times New Roman" w:eastAsia="宋体"/>
          <w:b/>
          <w:u w:val="single"/>
        </w:rPr>
        <w:t>秀全外国语学校改扩建项目地铁保护监测服务</w:t>
      </w:r>
      <w:r>
        <w:rPr>
          <w:rFonts w:hint="eastAsia" w:ascii="Times New Roman" w:hAnsi="Times New Roman" w:eastAsia="宋体"/>
        </w:rPr>
        <w:t>任务。为明确权责，保护合同各方的合法权利，经协商一致，签订本合同。</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第一条</w:t>
      </w:r>
      <w:r>
        <w:rPr>
          <w:rFonts w:ascii="Times New Roman" w:hAnsi="Times New Roman" w:eastAsia="宋体"/>
          <w:sz w:val="28"/>
          <w:szCs w:val="24"/>
        </w:rPr>
        <w:t xml:space="preserve"> </w:t>
      </w:r>
      <w:r>
        <w:rPr>
          <w:rFonts w:hint="eastAsia" w:ascii="Times New Roman" w:hAnsi="Times New Roman" w:eastAsia="宋体"/>
          <w:sz w:val="28"/>
          <w:szCs w:val="24"/>
        </w:rPr>
        <w:t>工程名称、地点、规模、特征</w:t>
      </w:r>
    </w:p>
    <w:p>
      <w:pPr>
        <w:adjustRightInd w:val="0"/>
        <w:snapToGrid w:val="0"/>
        <w:spacing w:line="520" w:lineRule="exact"/>
        <w:jc w:val="both"/>
        <w:rPr>
          <w:rFonts w:ascii="宋体" w:hAnsi="宋体" w:eastAsia="宋体"/>
          <w:u w:val="single"/>
        </w:rPr>
      </w:pPr>
      <w:r>
        <w:rPr>
          <w:rFonts w:ascii="宋体" w:hAnsi="宋体" w:eastAsia="宋体"/>
          <w:b/>
          <w:bCs/>
        </w:rPr>
        <w:t>工程名称：</w:t>
      </w:r>
      <w:r>
        <w:rPr>
          <w:rFonts w:hint="eastAsia" w:ascii="宋体" w:hAnsi="宋体" w:eastAsia="宋体"/>
          <w:bCs/>
          <w:u w:val="single"/>
        </w:rPr>
        <w:t>秀全外国语学校改扩建项目</w:t>
      </w:r>
    </w:p>
    <w:p>
      <w:pPr>
        <w:adjustRightInd w:val="0"/>
        <w:snapToGrid w:val="0"/>
        <w:spacing w:line="520" w:lineRule="exact"/>
        <w:jc w:val="both"/>
        <w:rPr>
          <w:rFonts w:ascii="宋体" w:hAnsi="宋体" w:eastAsia="宋体"/>
          <w:u w:val="single"/>
        </w:rPr>
      </w:pPr>
      <w:r>
        <w:rPr>
          <w:rFonts w:ascii="宋体" w:hAnsi="宋体" w:eastAsia="宋体"/>
          <w:b/>
          <w:bCs/>
        </w:rPr>
        <w:t>工程地点：</w:t>
      </w:r>
      <w:r>
        <w:rPr>
          <w:rFonts w:hint="eastAsia" w:ascii="宋体" w:hAnsi="宋体" w:eastAsia="宋体" w:cs="宋体"/>
          <w:color w:val="000000" w:themeColor="text1"/>
          <w:u w:val="single"/>
          <w14:textFill>
            <w14:solidFill>
              <w14:schemeClr w14:val="tx1"/>
            </w14:solidFill>
          </w14:textFill>
        </w:rPr>
        <w:t>广州市花都区秀全大道66号秀全外国语校园内</w:t>
      </w:r>
    </w:p>
    <w:p>
      <w:pPr>
        <w:adjustRightInd w:val="0"/>
        <w:snapToGrid w:val="0"/>
        <w:spacing w:line="520" w:lineRule="exact"/>
        <w:jc w:val="both"/>
        <w:rPr>
          <w:rFonts w:ascii="Times New Roman" w:hAnsi="Times New Roman" w:eastAsia="宋体"/>
          <w:u w:val="single"/>
        </w:rPr>
      </w:pPr>
      <w:r>
        <w:rPr>
          <w:rFonts w:ascii="Times New Roman" w:hAnsi="Times New Roman" w:eastAsia="宋体"/>
          <w:b/>
          <w:bCs/>
        </w:rPr>
        <w:t>工程规模：</w:t>
      </w:r>
      <w:r>
        <w:rPr>
          <w:rFonts w:hint="eastAsia" w:ascii="Times New Roman" w:hAnsi="Times New Roman" w:eastAsia="宋体"/>
          <w:bCs/>
          <w:color w:val="000000" w:themeColor="text1"/>
          <w:u w:val="single"/>
          <w14:textFill>
            <w14:solidFill>
              <w14:schemeClr w14:val="tx1"/>
            </w14:solidFill>
          </w14:textFill>
        </w:rPr>
        <w:t>秀全外国语学校改扩建项目主要建设内容包括新建教学楼、综合楼和风雨连廊，其中教学楼建筑面积4717.64平方米,综合楼建筑面积3715.62平方米,风雨连廊建筑面积350.69平方米；拆除现有四栋宿舍楼、宿舍楼后方挡土墙、食堂和食堂附近围墙，拆除面积共计3172.3平方米；改造教学楼A的1-7层，改造面积为614.65m；改造教学楼B，改造面积为2994.5㎡；改造体育馆第2层，改造面积为649.24 ㎡；场地修整2628.65㎡。（以上建设内容和规模最终以政府主管部门和规划建设管理部门最终批复为准）。</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第二条</w:t>
      </w:r>
      <w:r>
        <w:rPr>
          <w:rFonts w:ascii="Times New Roman" w:hAnsi="Times New Roman" w:eastAsia="宋体"/>
          <w:sz w:val="28"/>
          <w:szCs w:val="24"/>
        </w:rPr>
        <w:t xml:space="preserve"> </w:t>
      </w:r>
      <w:r>
        <w:rPr>
          <w:rFonts w:hint="eastAsia" w:ascii="Times New Roman" w:hAnsi="Times New Roman" w:eastAsia="宋体"/>
          <w:sz w:val="28"/>
          <w:szCs w:val="24"/>
        </w:rPr>
        <w:t>工程监测内容及范围</w:t>
      </w:r>
    </w:p>
    <w:p>
      <w:pPr>
        <w:adjustRightInd w:val="0"/>
        <w:snapToGrid w:val="0"/>
        <w:spacing w:line="500" w:lineRule="exact"/>
        <w:rPr>
          <w:rFonts w:ascii="宋体" w:hAnsi="宋体" w:eastAsia="宋体"/>
          <w:b/>
        </w:rPr>
      </w:pPr>
      <w:r>
        <w:rPr>
          <w:rFonts w:ascii="宋体" w:hAnsi="宋体" w:eastAsia="宋体"/>
          <w:b/>
        </w:rPr>
        <w:t>1</w:t>
      </w:r>
      <w:r>
        <w:rPr>
          <w:rFonts w:hint="eastAsia" w:ascii="宋体" w:hAnsi="宋体" w:eastAsia="宋体"/>
          <w:b/>
        </w:rPr>
        <w:t>、监测内容：</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对本工程的</w:t>
      </w:r>
      <w:r>
        <w:rPr>
          <w:rFonts w:hint="eastAsia" w:ascii="Times New Roman" w:hAnsi="Times New Roman" w:eastAsia="宋体"/>
          <w:b/>
          <w:u w:val="single"/>
        </w:rPr>
        <w:t>秀全外国语学校改扩建项目建设期间地铁（九号线）保护范围的监测服务，以便为安全施工及工程验收提供依据，包括但不限于以下内容：监测点材料供应及安装（包括但不限于全站仪支架材料及安装、隧道监测点材料及安装、基准点材料及安装、其它材料费及安装等）；变形监测（包括但不限于水平位移、垂直位移、隧道断面尺寸</w:t>
      </w:r>
      <w:r>
        <w:rPr>
          <w:rFonts w:hint="eastAsia" w:ascii="Times New Roman" w:hAnsi="Times New Roman" w:eastAsia="宋体"/>
          <w:b/>
          <w:u w:val="single"/>
          <w:lang w:eastAsia="zh-CN"/>
        </w:rPr>
        <w:t>）</w:t>
      </w:r>
      <w:r>
        <w:rPr>
          <w:rFonts w:hint="eastAsia" w:ascii="Times New Roman" w:hAnsi="Times New Roman" w:eastAsia="宋体"/>
          <w:b/>
          <w:u w:val="single"/>
        </w:rPr>
        <w:t>等国家规范要求的内容，</w:t>
      </w:r>
      <w:bookmarkStart w:id="0" w:name="_GoBack"/>
      <w:r>
        <w:rPr>
          <w:rFonts w:hint="eastAsia" w:ascii="Times New Roman" w:hAnsi="Times New Roman" w:eastAsia="宋体"/>
          <w:b/>
          <w:u w:val="single"/>
        </w:rPr>
        <w:t>具</w:t>
      </w:r>
      <w:bookmarkEnd w:id="0"/>
      <w:r>
        <w:rPr>
          <w:rFonts w:hint="eastAsia" w:ascii="Times New Roman" w:hAnsi="Times New Roman" w:eastAsia="宋体"/>
          <w:b/>
          <w:u w:val="single"/>
        </w:rPr>
        <w:t>体内容以工程量清单为准。</w:t>
      </w:r>
      <w:r>
        <w:rPr>
          <w:rFonts w:hint="eastAsia" w:ascii="Times New Roman" w:hAnsi="Times New Roman" w:eastAsia="宋体"/>
          <w:bCs/>
        </w:rPr>
        <w:t>并进</w:t>
      </w:r>
      <w:r>
        <w:rPr>
          <w:rFonts w:hint="eastAsia" w:ascii="Times New Roman" w:hAnsi="Times New Roman" w:eastAsia="宋体"/>
        </w:rPr>
        <w:t>行监测及相关申报监测技术成果审批服务，以便为安全施工及工程验收提供依据，具体内容以招标文件、工程量清单及招标图纸为准。承包人应对该分包内容的监测结果负责，并需满足相应管理部门的规定要求。</w:t>
      </w:r>
    </w:p>
    <w:p>
      <w:pPr>
        <w:adjustRightInd w:val="0"/>
        <w:snapToGrid w:val="0"/>
        <w:spacing w:line="500" w:lineRule="exact"/>
        <w:rPr>
          <w:rFonts w:ascii="宋体" w:hAnsi="宋体" w:eastAsia="宋体"/>
          <w:b/>
        </w:rPr>
      </w:pPr>
      <w:r>
        <w:rPr>
          <w:rFonts w:ascii="宋体" w:hAnsi="宋体" w:eastAsia="宋体"/>
          <w:b/>
        </w:rPr>
        <w:t>2</w:t>
      </w:r>
      <w:r>
        <w:rPr>
          <w:rFonts w:hint="eastAsia" w:ascii="宋体" w:hAnsi="宋体" w:eastAsia="宋体"/>
          <w:b/>
        </w:rPr>
        <w:t>、服务范围：</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承包人根据工程进度，按照监理工程师、发包人确认的监测方案或监理工程师、发包人的安排进行观测，并整理资料。发包人根据工程实际情况，有权对承包人的承包范围及内容进行适当调整，双方协商一致后实施。除以上工程监测工作外，还包括：</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（1）乙方的监测、观测工作必须满足国家、广东省、广州市相关监测、观测规范、强制性标准。</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2）结合项目实际情况，编制、申报监测及观测方案（方案应包括本项目地铁监测项目、监测方法及精度要求，监测点的具体布置图（平面图、断面图）、监测周期、监测频率、监测预警值和控制值、工程数量等），并确保监测、观测方案符合有关规范要求及通过工程所在行政区域的相关建设行政主管部门和监督部门的审批，保证技术成果能够通过相关部门认可，确保不因监测、观测工作影响本工程项目的建设进度和竣工验收。</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（3）乙方除按要求完成服务范围内的监测及观测工作外，还完成如下工作：</w:t>
      </w:r>
    </w:p>
    <w:p>
      <w:pPr>
        <w:adjustRightInd w:val="0"/>
        <w:snapToGrid w:val="0"/>
        <w:spacing w:line="500" w:lineRule="exact"/>
        <w:ind w:firstLine="480" w:firstLineChars="200"/>
        <w:jc w:val="both"/>
        <w:rPr>
          <w:rFonts w:ascii="Times New Roman" w:hAnsi="Times New Roman" w:eastAsia="宋体"/>
        </w:rPr>
      </w:pPr>
      <w:r>
        <w:rPr>
          <w:rFonts w:hint="default" w:ascii="Calibri" w:hAnsi="Calibri" w:eastAsia="宋体" w:cs="Calibri"/>
        </w:rPr>
        <w:t>①</w:t>
      </w:r>
      <w:r>
        <w:rPr>
          <w:rFonts w:hint="eastAsia" w:ascii="Times New Roman" w:hAnsi="Times New Roman" w:eastAsia="宋体"/>
        </w:rPr>
        <w:t>与工程所在行政区域的相关建设行政主管部门和监督部门进行监测、观测工作的协调，申报监测及观测技术成果的审批。若有需要，乙方中标单位负责组织专家对编制的监测及观测方案进行论证，通过论证后协助甲方招标人向地铁保护管理部门（单位）办理方案报审手续，保证技术成果能够通过相关部门认可，确保不因监测、观测工作影响本工程项目的建设进度和竣工验收。</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②在进行监测及观测任务的过程中与该工程相关的施工单位、监理单位、设计单位、咨询单位、建设主管部门等相关单位的协调工作，乙方已在投标报价中综合考虑了该项协调工作的费用。</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③监测及观测数据的有关信息如需通过连接系统进行传输报送，乙方已在投标报价中综合考虑了该项工作的费用。</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（4）监测及建筑物沉降观测设备要求</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用于完成本项目监测、观测的仪器、设备和材料由乙方自行运输，存管。仪器、设备和材料应有产品出厂合格证，检定/校准证书，同时符合相关技术标准和检定要求。本项目应遵守广州市科学技术局（广州市建设科学技术委员会）等相关部门对本工程的相关批示及指导意见执行。</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（5）发包人根据工程实施情况，有权对承包人的承包范围及内容进行适当调整，双方协商一致后实施。</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6）乙方负责向相关单位“请点”，按监测方案在地铁隧道内布设监测点及基准点，实施图纸中所设置的地铁隧道结构监测基准点的测量工作，根据甲方和地铁保护管理部门（单位）的要求定期完成对地铁隧道结构内监测基准点的复测工作。</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7）每日监测、观测结束后及时整理资料并向甲方、监理单位、地铁保护管理部门（单位）等相关单位提供本次监测、观测成果（本次变形量、累计变形量）和分析等，同时在24小时内将监测数据上传至相关平台（如需要）。</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8）监测及观测周报采用纸质简报的方式向甲方、监理单位、地铁保护管理部门（单位）提供本周监测、观测成果（包括变形量、累计变形量）和变形分析等内容，周报包括但不限于：沉降监测成果表、水平位移监测成果表、“时间-沉降量”曲线图、“时间-位多（变形）”曲线图、本周监测结果评述。</w:t>
      </w:r>
    </w:p>
    <w:p>
      <w:pPr>
        <w:adjustRightInd w:val="0"/>
        <w:snapToGrid w:val="0"/>
        <w:spacing w:line="500" w:lineRule="exact"/>
        <w:ind w:firstLine="482" w:firstLineChars="200"/>
        <w:jc w:val="both"/>
        <w:rPr>
          <w:rFonts w:ascii="Times New Roman" w:hAnsi="Times New Roman" w:eastAsia="宋体"/>
        </w:rPr>
      </w:pPr>
      <w:r>
        <w:rPr>
          <w:rFonts w:hint="eastAsia" w:ascii="Times New Roman" w:hAnsi="Times New Roman" w:eastAsia="宋体"/>
          <w:b/>
          <w:bCs/>
        </w:rPr>
        <w:t>乙方承诺：中标后结合项目实际情况编制、申报监测方案，并确保监测方案符合有关规范要求及通过工程所在行政区域的行政主管部门和监督部门（包括但不限于广州地铁、地保办）的审核。保证技术成果能够通过相关部门（包括但不限于广州地铁、地保办）认可，确保不因监测工作影响本工程项目的安全质量和建设进度。否则自愿放弃中标资格，并同意接受相关条款处罚。</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第三条</w:t>
      </w:r>
      <w:r>
        <w:rPr>
          <w:rFonts w:ascii="Times New Roman" w:hAnsi="Times New Roman" w:eastAsia="宋体"/>
          <w:sz w:val="28"/>
          <w:szCs w:val="24"/>
        </w:rPr>
        <w:t xml:space="preserve"> </w:t>
      </w:r>
      <w:r>
        <w:rPr>
          <w:rFonts w:hint="eastAsia" w:ascii="Times New Roman" w:hAnsi="Times New Roman" w:eastAsia="宋体"/>
          <w:sz w:val="28"/>
          <w:szCs w:val="24"/>
        </w:rPr>
        <w:t>技术要求、监测和观测规范</w:t>
      </w:r>
    </w:p>
    <w:p>
      <w:pPr>
        <w:adjustRightInd w:val="0"/>
        <w:snapToGrid w:val="0"/>
        <w:spacing w:line="500" w:lineRule="exact"/>
        <w:ind w:firstLine="482" w:firstLineChars="200"/>
        <w:jc w:val="both"/>
        <w:rPr>
          <w:rFonts w:ascii="Times New Roman" w:hAnsi="Times New Roman" w:eastAsia="宋体"/>
          <w:b/>
          <w:bCs/>
        </w:rPr>
      </w:pPr>
      <w:r>
        <w:rPr>
          <w:rFonts w:hint="eastAsia" w:ascii="Times New Roman" w:hAnsi="Times New Roman" w:eastAsia="宋体"/>
          <w:b/>
          <w:bCs/>
        </w:rPr>
        <w:t>1.执行标准</w:t>
      </w:r>
    </w:p>
    <w:p>
      <w:pPr>
        <w:tabs>
          <w:tab w:val="left" w:pos="7371"/>
        </w:tabs>
        <w:spacing w:line="360" w:lineRule="auto"/>
        <w:ind w:firstLine="480" w:firstLineChars="200"/>
        <w:rPr>
          <w:rFonts w:eastAsiaTheme="minorEastAsia"/>
        </w:rPr>
      </w:pPr>
      <w:r>
        <w:rPr>
          <w:rFonts w:eastAsiaTheme="minorEastAsia"/>
        </w:rPr>
        <w:t>（1）《城市轨道交通结构安全保护技术规范》 CJJ/T 202-2013</w:t>
      </w:r>
    </w:p>
    <w:p>
      <w:pPr>
        <w:tabs>
          <w:tab w:val="left" w:pos="7371"/>
        </w:tabs>
        <w:spacing w:line="360" w:lineRule="auto"/>
        <w:ind w:firstLine="480" w:firstLineChars="200"/>
        <w:rPr>
          <w:rFonts w:eastAsiaTheme="minorEastAsia"/>
        </w:rPr>
      </w:pPr>
      <w:r>
        <w:rPr>
          <w:rFonts w:eastAsiaTheme="minorEastAsia"/>
        </w:rPr>
        <w:t>（2）《城市轨道交通既有结构保护监测技术标准》（DBJ/T 15-231-2021）</w:t>
      </w:r>
    </w:p>
    <w:p>
      <w:pPr>
        <w:tabs>
          <w:tab w:val="left" w:pos="7371"/>
        </w:tabs>
        <w:spacing w:line="360" w:lineRule="auto"/>
        <w:ind w:firstLine="480" w:firstLineChars="200"/>
        <w:rPr>
          <w:rFonts w:eastAsiaTheme="minorEastAsia"/>
        </w:rPr>
      </w:pPr>
      <w:r>
        <w:rPr>
          <w:rFonts w:eastAsiaTheme="minorEastAsia"/>
        </w:rPr>
        <w:t>（3）《广州市城市轨道交通既有结构保护监测技术标准》</w:t>
      </w:r>
    </w:p>
    <w:p>
      <w:pPr>
        <w:tabs>
          <w:tab w:val="left" w:pos="7371"/>
        </w:tabs>
        <w:spacing w:line="360" w:lineRule="auto"/>
        <w:ind w:firstLine="480" w:firstLineChars="200"/>
        <w:rPr>
          <w:rFonts w:eastAsiaTheme="minorEastAsia"/>
        </w:rPr>
      </w:pPr>
      <w:r>
        <w:rPr>
          <w:rFonts w:eastAsiaTheme="minorEastAsia"/>
        </w:rPr>
        <w:t>（Q/GZMTR-JS-JL-JG-001-2018）</w:t>
      </w:r>
    </w:p>
    <w:p>
      <w:pPr>
        <w:tabs>
          <w:tab w:val="left" w:pos="7371"/>
        </w:tabs>
        <w:spacing w:line="360" w:lineRule="auto"/>
        <w:ind w:firstLine="480" w:firstLineChars="200"/>
        <w:rPr>
          <w:rFonts w:eastAsiaTheme="minorEastAsia"/>
        </w:rPr>
      </w:pPr>
      <w:r>
        <w:rPr>
          <w:rFonts w:eastAsiaTheme="minorEastAsia"/>
        </w:rPr>
        <w:t>（4）《城市轨道交通既有线结构保护技术规范》（DBJ/T 15-120-2017）</w:t>
      </w:r>
    </w:p>
    <w:p>
      <w:pPr>
        <w:tabs>
          <w:tab w:val="left" w:pos="7371"/>
        </w:tabs>
        <w:spacing w:line="360" w:lineRule="auto"/>
        <w:ind w:firstLine="480" w:firstLineChars="200"/>
        <w:rPr>
          <w:rFonts w:eastAsiaTheme="minorEastAsia"/>
        </w:rPr>
      </w:pPr>
      <w:r>
        <w:rPr>
          <w:rFonts w:eastAsiaTheme="minorEastAsia"/>
        </w:rPr>
        <w:t>（5）《城市轨道交通工程监测技术规范》（GB 50911-2013）</w:t>
      </w:r>
    </w:p>
    <w:p>
      <w:pPr>
        <w:tabs>
          <w:tab w:val="left" w:pos="7371"/>
        </w:tabs>
        <w:spacing w:line="360" w:lineRule="auto"/>
        <w:ind w:firstLine="480" w:firstLineChars="200"/>
        <w:rPr>
          <w:rFonts w:eastAsiaTheme="minorEastAsia"/>
        </w:rPr>
      </w:pPr>
      <w:r>
        <w:rPr>
          <w:rFonts w:eastAsiaTheme="minorEastAsia"/>
        </w:rPr>
        <w:t>（6）《城市轨道交通工程测量规范》（GB/T 50308-2017）</w:t>
      </w:r>
    </w:p>
    <w:p>
      <w:pPr>
        <w:tabs>
          <w:tab w:val="left" w:pos="7371"/>
        </w:tabs>
        <w:spacing w:line="360" w:lineRule="auto"/>
        <w:ind w:firstLine="480" w:firstLineChars="200"/>
        <w:rPr>
          <w:rFonts w:eastAsiaTheme="minorEastAsia"/>
        </w:rPr>
      </w:pPr>
      <w:r>
        <w:rPr>
          <w:rFonts w:eastAsiaTheme="minorEastAsia"/>
        </w:rPr>
        <w:t>（7）《工程测量标准》GB 50026-2020</w:t>
      </w:r>
    </w:p>
    <w:p>
      <w:pPr>
        <w:tabs>
          <w:tab w:val="left" w:pos="7371"/>
        </w:tabs>
        <w:spacing w:line="360" w:lineRule="auto"/>
        <w:ind w:firstLine="480" w:firstLineChars="200"/>
        <w:rPr>
          <w:rFonts w:eastAsiaTheme="minorEastAsia"/>
        </w:rPr>
      </w:pPr>
      <w:r>
        <w:rPr>
          <w:rFonts w:eastAsiaTheme="minorEastAsia"/>
        </w:rPr>
        <w:t>（8）《建筑变形测量规范》(JGJ 8-2016)</w:t>
      </w:r>
    </w:p>
    <w:p>
      <w:pPr>
        <w:tabs>
          <w:tab w:val="left" w:pos="7371"/>
        </w:tabs>
        <w:spacing w:line="360" w:lineRule="auto"/>
        <w:ind w:firstLine="480" w:firstLineChars="200"/>
        <w:rPr>
          <w:rFonts w:eastAsiaTheme="minorEastAsia"/>
        </w:rPr>
      </w:pPr>
      <w:r>
        <w:rPr>
          <w:rFonts w:eastAsiaTheme="minorEastAsia"/>
        </w:rPr>
        <w:t>（9）《广州市城市轨道交通管理条例》</w:t>
      </w:r>
    </w:p>
    <w:p>
      <w:pPr>
        <w:adjustRightInd w:val="0"/>
        <w:snapToGrid w:val="0"/>
        <w:spacing w:line="500" w:lineRule="exact"/>
        <w:ind w:firstLine="482" w:firstLineChars="200"/>
        <w:jc w:val="both"/>
        <w:rPr>
          <w:rFonts w:ascii="Times New Roman" w:hAnsi="Times New Roman" w:eastAsia="宋体"/>
          <w:b/>
          <w:bCs/>
        </w:rPr>
      </w:pPr>
      <w:r>
        <w:rPr>
          <w:rFonts w:hint="eastAsia" w:ascii="Times New Roman" w:hAnsi="Times New Roman" w:eastAsia="宋体"/>
          <w:b/>
          <w:bCs/>
        </w:rPr>
        <w:t>3.其他要求</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（2）其它有关国家行业和地方技术规程、规范及施工验收规范等国家其它相关技术规范；</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（3）本工程设计图纸。所有监测均应有详细的书面报告。承包人须符合及执行国家、省市或行业的相关技术标准、规范及设计方提供的设计文件要求等所有内容。</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第四条</w:t>
      </w:r>
      <w:r>
        <w:rPr>
          <w:rFonts w:ascii="Times New Roman" w:hAnsi="Times New Roman" w:eastAsia="宋体"/>
          <w:sz w:val="28"/>
          <w:szCs w:val="24"/>
        </w:rPr>
        <w:t xml:space="preserve"> </w:t>
      </w:r>
      <w:r>
        <w:rPr>
          <w:rFonts w:hint="eastAsia" w:ascii="Times New Roman" w:hAnsi="Times New Roman" w:eastAsia="宋体"/>
          <w:sz w:val="28"/>
          <w:szCs w:val="24"/>
        </w:rPr>
        <w:t>服务工期及提交成果</w:t>
      </w:r>
    </w:p>
    <w:p>
      <w:pPr>
        <w:adjustRightInd w:val="0"/>
        <w:snapToGrid w:val="0"/>
        <w:spacing w:line="500" w:lineRule="exact"/>
        <w:rPr>
          <w:rFonts w:ascii="宋体" w:hAnsi="宋体" w:eastAsia="宋体"/>
          <w:b/>
        </w:rPr>
      </w:pPr>
      <w:r>
        <w:rPr>
          <w:rFonts w:ascii="宋体" w:hAnsi="宋体" w:eastAsia="宋体"/>
          <w:b/>
        </w:rPr>
        <w:t>1</w:t>
      </w:r>
      <w:r>
        <w:rPr>
          <w:rFonts w:hint="eastAsia" w:ascii="宋体" w:hAnsi="宋体" w:eastAsia="宋体"/>
          <w:b/>
        </w:rPr>
        <w:t>、监测服务期限：</w:t>
      </w:r>
    </w:p>
    <w:p>
      <w:pPr>
        <w:pStyle w:val="11"/>
        <w:adjustRightInd w:val="0"/>
        <w:snapToGrid w:val="0"/>
        <w:spacing w:line="500" w:lineRule="exact"/>
        <w:ind w:firstLine="480"/>
        <w:jc w:val="both"/>
        <w:rPr>
          <w:rFonts w:ascii="Times New Roman" w:hAnsi="Times New Roman" w:eastAsia="宋体"/>
        </w:rPr>
      </w:pPr>
      <w:r>
        <w:rPr>
          <w:rFonts w:hint="eastAsia" w:ascii="Times New Roman" w:hAnsi="Times New Roman" w:eastAsia="宋体"/>
        </w:rPr>
        <w:t>暂定235日历天，具体进场时间以招标人的通知为准，服务结束时间以招标人通知的结束日期为准。从中标单位进场至完成所有监测、观测项目且技术成果通过审批，监测、观测工作进度必须满足现场施工和招标人的要求。</w:t>
      </w:r>
    </w:p>
    <w:p>
      <w:pPr>
        <w:pStyle w:val="11"/>
        <w:adjustRightInd w:val="0"/>
        <w:snapToGrid w:val="0"/>
        <w:spacing w:line="500" w:lineRule="exact"/>
        <w:ind w:firstLine="480"/>
        <w:jc w:val="both"/>
        <w:rPr>
          <w:rFonts w:ascii="Times New Roman" w:hAnsi="Times New Roman" w:eastAsia="宋体"/>
        </w:rPr>
      </w:pPr>
      <w:r>
        <w:rPr>
          <w:rFonts w:hint="eastAsia" w:ascii="Times New Roman" w:hAnsi="Times New Roman" w:eastAsia="宋体"/>
        </w:rPr>
        <w:t>上述监测服务工期在不影响发包人工程进度的前提下，以施工进度及变形稳定情况确定。施工进度变化导致工期缩短或延长，均不作价款调整和索赔。</w:t>
      </w:r>
    </w:p>
    <w:p>
      <w:pPr>
        <w:adjustRightInd w:val="0"/>
        <w:snapToGrid w:val="0"/>
        <w:spacing w:line="500" w:lineRule="exact"/>
        <w:rPr>
          <w:rFonts w:ascii="宋体" w:hAnsi="宋体" w:eastAsia="宋体"/>
          <w:b/>
        </w:rPr>
      </w:pPr>
      <w:r>
        <w:rPr>
          <w:rFonts w:ascii="宋体" w:hAnsi="宋体" w:eastAsia="宋体"/>
          <w:b/>
        </w:rPr>
        <w:t>2</w:t>
      </w:r>
      <w:r>
        <w:rPr>
          <w:rFonts w:hint="eastAsia" w:ascii="宋体" w:hAnsi="宋体" w:eastAsia="宋体"/>
          <w:b/>
        </w:rPr>
        <w:t>、监测成果提交时间：</w:t>
      </w:r>
    </w:p>
    <w:p>
      <w:pPr>
        <w:pStyle w:val="11"/>
        <w:adjustRightInd w:val="0"/>
        <w:snapToGrid w:val="0"/>
        <w:spacing w:line="500" w:lineRule="exact"/>
        <w:ind w:firstLine="480"/>
        <w:jc w:val="both"/>
        <w:rPr>
          <w:rFonts w:ascii="Times New Roman" w:hAnsi="Times New Roman" w:eastAsia="宋体"/>
        </w:rPr>
      </w:pPr>
      <w:r>
        <w:rPr>
          <w:rFonts w:hint="eastAsia" w:ascii="Times New Roman" w:hAnsi="Times New Roman" w:eastAsia="宋体"/>
        </w:rPr>
        <w:t>每次监测完成后向甲方提交电子版监测数据，每月7号之前提交上月监测月报一式4份，；全部监测、观测完工之日起15个日历日内向甲方提交完整的监测和观测报告一式10份。</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第五条</w:t>
      </w:r>
      <w:r>
        <w:rPr>
          <w:rFonts w:ascii="Times New Roman" w:hAnsi="Times New Roman" w:eastAsia="宋体"/>
          <w:sz w:val="28"/>
          <w:szCs w:val="24"/>
        </w:rPr>
        <w:t xml:space="preserve">  </w:t>
      </w:r>
      <w:r>
        <w:rPr>
          <w:rFonts w:hint="eastAsia" w:ascii="Times New Roman" w:hAnsi="Times New Roman" w:eastAsia="宋体"/>
          <w:sz w:val="28"/>
          <w:szCs w:val="24"/>
        </w:rPr>
        <w:t>监测数量、造价、结算及付款方式</w:t>
      </w:r>
    </w:p>
    <w:p>
      <w:pPr>
        <w:adjustRightInd w:val="0"/>
        <w:snapToGrid w:val="0"/>
        <w:spacing w:line="500" w:lineRule="exact"/>
        <w:rPr>
          <w:rFonts w:ascii="宋体" w:hAnsi="宋体" w:eastAsia="宋体"/>
          <w:b/>
        </w:rPr>
      </w:pPr>
      <w:r>
        <w:rPr>
          <w:rFonts w:ascii="宋体" w:hAnsi="宋体" w:eastAsia="宋体"/>
          <w:b/>
        </w:rPr>
        <w:t>1</w:t>
      </w:r>
      <w:r>
        <w:rPr>
          <w:rFonts w:hint="eastAsia" w:ascii="宋体" w:hAnsi="宋体" w:eastAsia="宋体"/>
          <w:b/>
        </w:rPr>
        <w:t>、监测数量和费用：</w:t>
      </w:r>
    </w:p>
    <w:p>
      <w:pPr>
        <w:pStyle w:val="11"/>
        <w:adjustRightInd w:val="0"/>
        <w:snapToGrid w:val="0"/>
        <w:spacing w:line="500" w:lineRule="exact"/>
        <w:ind w:firstLine="482" w:firstLineChars="0"/>
        <w:jc w:val="both"/>
        <w:rPr>
          <w:rFonts w:ascii="Times New Roman" w:hAnsi="Times New Roman" w:eastAsia="宋体"/>
        </w:rPr>
      </w:pPr>
      <w:r>
        <w:rPr>
          <w:rFonts w:hint="eastAsia" w:ascii="宋体" w:hAnsi="宋体" w:eastAsia="宋体"/>
        </w:rPr>
        <w:t>监测数量详见图纸、工程量清单及相关资料。本合同暂定总价为￥</w:t>
      </w:r>
      <w:r>
        <w:rPr>
          <w:rFonts w:ascii="宋体" w:hAnsi="宋体" w:eastAsia="宋体"/>
          <w:b/>
          <w:u w:val="single"/>
        </w:rPr>
        <w:t xml:space="preserve">   </w:t>
      </w:r>
      <w:r>
        <w:rPr>
          <w:rFonts w:hint="eastAsia" w:ascii="宋体" w:hAnsi="宋体" w:eastAsia="宋体"/>
          <w:b/>
        </w:rPr>
        <w:t>元</w:t>
      </w:r>
      <w:r>
        <w:rPr>
          <w:rFonts w:hint="eastAsia" w:ascii="宋体" w:hAnsi="宋体" w:eastAsia="宋体"/>
        </w:rPr>
        <w:t>（</w:t>
      </w:r>
      <w:r>
        <w:rPr>
          <w:rFonts w:hint="eastAsia" w:ascii="宋体" w:hAnsi="宋体" w:eastAsia="宋体"/>
          <w:b/>
        </w:rPr>
        <w:t>大写：</w:t>
      </w:r>
      <w:r>
        <w:rPr>
          <w:rFonts w:hint="eastAsia" w:ascii="宋体" w:hAnsi="宋体" w:eastAsia="宋体"/>
          <w:b/>
          <w:u w:val="single"/>
        </w:rPr>
        <w:t xml:space="preserve"> </w:t>
      </w:r>
      <w:r>
        <w:rPr>
          <w:rFonts w:ascii="宋体" w:hAnsi="宋体" w:eastAsia="宋体"/>
          <w:b/>
          <w:u w:val="single"/>
        </w:rPr>
        <w:t xml:space="preserve">  </w:t>
      </w:r>
      <w:r>
        <w:rPr>
          <w:rFonts w:hint="eastAsia" w:ascii="宋体" w:hAnsi="宋体" w:eastAsia="宋体"/>
        </w:rPr>
        <w:t>）（包括但不限于为实施和完成本项目全部监测工作所需的材料费、劳务费、</w:t>
      </w:r>
      <w:r>
        <w:rPr>
          <w:rFonts w:hint="eastAsia" w:ascii="Times New Roman" w:hAnsi="Times New Roman" w:eastAsia="宋体"/>
        </w:rPr>
        <w:t>技术服务费、监测仪器设备使用费、机械进退场费、车辆通行费、食宿费、资料费、管理费、规费（按广州市花都区建设项目收费标准）、保险费（含建筑工程一切险和第三方责任险）、其他一切建设使用费（含驻地建设费、临时用水、用电费）、一切税费以及合同明示或暗示的所有一般风险、责任和义务等，以及为完成本项目监测的全部利润等所有的服务费用）。</w:t>
      </w:r>
      <w:r>
        <w:rPr>
          <w:rFonts w:hint="eastAsia" w:ascii="宋体" w:hAnsi="宋体" w:eastAsia="宋体" w:cs="宋体"/>
          <w:b/>
          <w:kern w:val="2"/>
          <w:lang w:bidi="ar"/>
        </w:rPr>
        <w:t>监测综合单价和预估暂定监测数量详见附件《监测费用和监测工程量清单》。</w:t>
      </w:r>
    </w:p>
    <w:p>
      <w:pPr>
        <w:adjustRightInd w:val="0"/>
        <w:snapToGrid w:val="0"/>
        <w:spacing w:line="500" w:lineRule="exact"/>
        <w:rPr>
          <w:rFonts w:ascii="宋体" w:hAnsi="宋体" w:eastAsia="宋体"/>
          <w:b/>
        </w:rPr>
      </w:pPr>
      <w:r>
        <w:rPr>
          <w:rFonts w:ascii="宋体" w:hAnsi="宋体" w:eastAsia="宋体"/>
          <w:b/>
        </w:rPr>
        <w:t>2</w:t>
      </w:r>
      <w:r>
        <w:rPr>
          <w:rFonts w:hint="eastAsia" w:ascii="宋体" w:hAnsi="宋体" w:eastAsia="宋体"/>
          <w:b/>
        </w:rPr>
        <w:t>、计费依据：</w:t>
      </w:r>
    </w:p>
    <w:p>
      <w:pPr>
        <w:pStyle w:val="11"/>
        <w:adjustRightInd w:val="0"/>
        <w:snapToGrid w:val="0"/>
        <w:spacing w:line="500" w:lineRule="exact"/>
        <w:ind w:firstLine="360" w:firstLineChars="150"/>
        <w:jc w:val="both"/>
        <w:rPr>
          <w:rFonts w:ascii="Times New Roman" w:hAnsi="Times New Roman" w:eastAsia="宋体"/>
        </w:rPr>
      </w:pPr>
      <w:r>
        <w:rPr>
          <w:rFonts w:hint="eastAsia" w:ascii="Times New Roman" w:hAnsi="Times New Roman" w:eastAsia="宋体"/>
        </w:rPr>
        <w:t>计价依据执行《广州地铁工程咨询有限公司轨道交通保护区建设项目一体化服务管理实施细则（试行版）》的通知、《工程勘察设计收费标准》（2002年修订版）、《工程勘察服务成本要素信息（2022版）》、《城市轨道交通前期咨询工作收费指导意见》、粤建检协（2015）8号文、《广州市建设工程基坑监测、变形点监测收费项目及标准指导性意见》（穗建检协字［2013］12号）等文件规定，并参考市场价格</w:t>
      </w:r>
      <w:r>
        <w:rPr>
          <w:rFonts w:ascii="Times New Roman" w:hAnsi="Times New Roman" w:eastAsia="宋体"/>
        </w:rPr>
        <w:t>。</w:t>
      </w:r>
    </w:p>
    <w:p>
      <w:pPr>
        <w:adjustRightInd w:val="0"/>
        <w:snapToGrid w:val="0"/>
        <w:spacing w:line="500" w:lineRule="exact"/>
        <w:rPr>
          <w:rFonts w:ascii="宋体" w:hAnsi="宋体" w:eastAsia="宋体"/>
          <w:b/>
        </w:rPr>
      </w:pPr>
      <w:r>
        <w:rPr>
          <w:rFonts w:ascii="宋体" w:hAnsi="宋体" w:eastAsia="宋体"/>
          <w:b/>
        </w:rPr>
        <w:t>3</w:t>
      </w:r>
      <w:r>
        <w:rPr>
          <w:rFonts w:hint="eastAsia" w:ascii="宋体" w:hAnsi="宋体" w:eastAsia="宋体"/>
          <w:b/>
        </w:rPr>
        <w:t>、付款方式：</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）承包人完成合同签订并进场监测后，承包人向发包人提交符合要求的请款资料，发包人审核合格后15个工作日内，上报申请支付合同暂定价的20%。</w:t>
      </w:r>
    </w:p>
    <w:p>
      <w:pPr>
        <w:pStyle w:val="11"/>
        <w:adjustRightInd w:val="0"/>
        <w:snapToGrid w:val="0"/>
        <w:spacing w:line="500" w:lineRule="exact"/>
        <w:ind w:firstLine="480"/>
        <w:jc w:val="both"/>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）承包人按季度根据相关要求提交符合要求的请款资料，发包人审核合格后，上报申请支付至当季度实际完成中标清单内工程量造价的80%，并且累计支付金额不超过合同暂定价的80%。</w:t>
      </w:r>
    </w:p>
    <w:p>
      <w:pPr>
        <w:pStyle w:val="11"/>
        <w:adjustRightInd w:val="0"/>
        <w:snapToGrid w:val="0"/>
        <w:spacing w:line="500" w:lineRule="exact"/>
        <w:ind w:firstLine="480"/>
        <w:jc w:val="both"/>
        <w:rPr>
          <w:rFonts w:ascii="Times New Roman" w:hAnsi="Times New Roman" w:eastAsia="宋体"/>
        </w:rPr>
      </w:pPr>
      <w:r>
        <w:rPr>
          <w:rFonts w:hint="eastAsia" w:ascii="Times New Roman" w:hAnsi="Times New Roman" w:eastAsia="宋体"/>
        </w:rPr>
        <w:t>（3）本项目的监测费待发包人委托的结算审核单位结算审定后，承包人向发包人提交符合要求的请款资料，发包人审核合格后15个工作日内，上报申请支付至监测费结算价的100%。</w:t>
      </w:r>
    </w:p>
    <w:p>
      <w:pPr>
        <w:adjustRightInd w:val="0"/>
        <w:snapToGrid w:val="0"/>
        <w:spacing w:line="480" w:lineRule="exact"/>
        <w:ind w:firstLine="480" w:firstLineChars="200"/>
        <w:jc w:val="both"/>
        <w:rPr>
          <w:rFonts w:ascii="Times New Roman" w:hAnsi="Times New Roman" w:eastAsia="宋体"/>
        </w:rPr>
      </w:pPr>
      <w:r>
        <w:rPr>
          <w:rFonts w:hint="eastAsia" w:ascii="Times New Roman" w:hAnsi="Times New Roman" w:eastAsia="宋体"/>
          <w:bCs/>
        </w:rPr>
        <w:t>（4）因</w:t>
      </w:r>
      <w:r>
        <w:rPr>
          <w:rFonts w:hint="eastAsia" w:ascii="Times New Roman" w:hAnsi="Times New Roman" w:eastAsia="宋体"/>
        </w:rPr>
        <w:t>本项目资金为财政资金，每次付款前承包人应提供等额、合法的发票。发包人收到承包人提交的发票及请款资料后</w:t>
      </w:r>
      <w:r>
        <w:rPr>
          <w:rFonts w:ascii="Times New Roman" w:hAnsi="Times New Roman" w:eastAsia="宋体"/>
        </w:rPr>
        <w:t>15</w:t>
      </w:r>
      <w:r>
        <w:rPr>
          <w:rFonts w:hint="eastAsia" w:ascii="Times New Roman" w:hAnsi="Times New Roman" w:eastAsia="宋体"/>
        </w:rPr>
        <w:t>个工作日内上报申请支付，视为发包人已履行付款义务。</w:t>
      </w:r>
    </w:p>
    <w:p>
      <w:pPr>
        <w:adjustRightInd w:val="0"/>
        <w:snapToGrid w:val="0"/>
        <w:spacing w:line="480" w:lineRule="exact"/>
        <w:ind w:firstLine="480" w:firstLineChars="200"/>
        <w:jc w:val="both"/>
        <w:rPr>
          <w:rFonts w:ascii="Times New Roman" w:hAnsi="Times New Roman" w:eastAsia="宋体"/>
        </w:rPr>
      </w:pPr>
      <w:r>
        <w:rPr>
          <w:rFonts w:hint="eastAsia" w:ascii="Times New Roman" w:hAnsi="Times New Roman" w:eastAsia="宋体"/>
        </w:rPr>
        <w:t>（5）承包人在收款时应提供等额有效的正式发票，否则发包人有权拒付款项。</w:t>
      </w:r>
    </w:p>
    <w:p>
      <w:pPr>
        <w:adjustRightInd w:val="0"/>
        <w:snapToGrid w:val="0"/>
        <w:spacing w:line="480" w:lineRule="exact"/>
        <w:ind w:firstLine="480" w:firstLineChars="200"/>
        <w:jc w:val="both"/>
        <w:rPr>
          <w:rFonts w:ascii="Times New Roman" w:hAnsi="Times New Roman" w:eastAsia="宋体"/>
        </w:rPr>
      </w:pPr>
      <w:r>
        <w:rPr>
          <w:rFonts w:hint="eastAsia" w:ascii="Times New Roman" w:hAnsi="Times New Roman" w:eastAsia="宋体"/>
        </w:rPr>
        <w:t>（6）</w:t>
      </w:r>
      <w:r>
        <w:rPr>
          <w:rFonts w:ascii="Times New Roman" w:hAnsi="Times New Roman" w:eastAsia="宋体"/>
        </w:rPr>
        <w:t>本合同酬金不论任何情况均不计算利息。</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7）发包人根据结算终审部门的要求，向承包人提出结算，如承包人不按要求提交结算资料或不配合结算审核工作以致结算迟迟不能送审、定审，且在发包人规定时间内又提不出正当理由的，则发包人有权与终审部门共同盖章确认结算审核结果。</w:t>
      </w:r>
    </w:p>
    <w:p>
      <w:pPr>
        <w:topLinePunct/>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（8）</w:t>
      </w:r>
      <w:r>
        <w:rPr>
          <w:rFonts w:ascii="Times New Roman" w:hAnsi="Times New Roman" w:eastAsia="宋体"/>
        </w:rPr>
        <w:t>本合同支付执行花财支付〔2013〕1号及花财支付〔2016〕4号，若花都区政府职能管理部门的结算、支付管理有新规定的，则按新规定执行。因项</w:t>
      </w:r>
      <w:r>
        <w:rPr>
          <w:rFonts w:hint="eastAsia" w:ascii="Times New Roman" w:hAnsi="Times New Roman" w:eastAsia="宋体"/>
        </w:rPr>
        <w:t>目使用财政资金，发包人在上述约定时间向相关部门提交付款申请手续，即视为发包人已履行付款义务。</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第六条 结算方式</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1、工程项目实施期间和结算时，非承包人原因造成的少项、漏项等由监理和招标人现场签证确认的工程项目，视为新增项目，按以下顺序确定价格：</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（1）原有已标价的监测清单中已有相同项目的综合单价，则沿用；</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（2）清单中没有的项则综合单价参照类似项目的综合单价，如类似项目的中标单价有两个以上的则按消耗量最小、管理费和利润取费最低的选择。参考监测收费指导价的单价×</w:t>
      </w:r>
      <w:r>
        <w:rPr>
          <w:rFonts w:hint="eastAsia" w:ascii="宋体" w:hAnsi="宋体" w:eastAsia="宋体"/>
          <w:kern w:val="2"/>
          <w:lang w:bidi="ar"/>
        </w:rPr>
        <w:t>80%×（1-</w:t>
      </w:r>
      <w:r>
        <w:rPr>
          <w:rFonts w:hint="eastAsia" w:ascii="Times New Roman" w:hAnsi="Times New Roman" w:eastAsia="宋体"/>
        </w:rPr>
        <w:t>中标下浮率）计算，其中中标下浮率=（招标总价控制价-投标报价）/招标总价控制价×100%。最终以符合财政规定，并有权审定的部门审核意见为准。</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（3）如相关收费标准没有的项目，其计价方式则参考市场价格收费。</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2、乙方依据甲方提供的清单工作量，以政府相关文件规定或物价局规定的监测收费标准并作相应下浮计算的综合单价（</w:t>
      </w:r>
      <w:r>
        <w:rPr>
          <w:rFonts w:hint="eastAsia" w:ascii="Times New Roman" w:hAnsi="Times New Roman" w:eastAsia="宋体"/>
          <w:b/>
        </w:rPr>
        <w:t>即附件二：监测费用及监测工程量清单</w:t>
      </w:r>
      <w:r>
        <w:rPr>
          <w:rFonts w:hint="eastAsia" w:ascii="Times New Roman" w:hAnsi="Times New Roman" w:eastAsia="宋体"/>
        </w:rPr>
        <w:t>），以该监测项目工程量乘以该综合单价计算总价。最终以符合财政规定，并以甲方委托的结算审核单位的审核意见为准。</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3</w:t>
      </w:r>
      <w:r>
        <w:rPr>
          <w:rFonts w:hint="eastAsia" w:ascii="Times New Roman" w:hAnsi="Times New Roman" w:eastAsia="宋体"/>
        </w:rPr>
        <w:t>、乙方根据项目服务范围制定监测方案，结算以确定的监测方案为依据，工程量以实际发生为准（包干项目除外）。（实际发生的监测工程量须由甲方、监理单位、乙方现场确认，否则不予结算。经设计认可，建设单位有权增加或减少计划表所列监测方法和数量，其余部份结算仍按中标单价执行）。如遇政策调整，按最新规定执行，以甲方委托的结算审核单位审定为准。</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4</w:t>
      </w:r>
      <w:r>
        <w:rPr>
          <w:rFonts w:hint="eastAsia" w:ascii="Times New Roman" w:hAnsi="Times New Roman" w:eastAsia="宋体"/>
        </w:rPr>
        <w:t>、乙方须在收到广州地铁集团停止监测复函三十个工作日内编制完整的工程结算资料及工程结算书报发包人，甲方及时将结算资料报甲方委托的结算审核单位审核。工程量按实结算，结算价最终以甲方委托的结算审核单位审定的结算价为准。</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第七条 履约担保</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1、承包人按如下约定向发包人提供履约担保：</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（1）履约担保的金额：按中标价金额的10%。</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（2）履约担保的形式：以履约保函的形式提交。</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（3）履约担保的提交时间：按招标文件要求。</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（4）</w:t>
      </w:r>
      <w:r>
        <w:rPr>
          <w:rFonts w:ascii="Times New Roman" w:hAnsi="Times New Roman" w:eastAsia="宋体"/>
        </w:rPr>
        <w:t>出具保函的担保机构：在中国境内注册的银行或</w:t>
      </w:r>
      <w:r>
        <w:rPr>
          <w:rFonts w:hint="eastAsia" w:ascii="Times New Roman" w:hAnsi="Times New Roman" w:eastAsia="宋体"/>
        </w:rPr>
        <w:t>非银行</w:t>
      </w:r>
      <w:r>
        <w:rPr>
          <w:rFonts w:ascii="Times New Roman" w:hAnsi="Times New Roman" w:eastAsia="宋体"/>
        </w:rPr>
        <w:t>金融机构。</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 xml:space="preserve">2、履约保函使用流程 </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1）发包人在对履约担保提出索赔要求之前，应书面通知承包人，说明导致此项索赔的原因，并及时向担保机构提出索赔文件。担保机构根据履约保函的承诺在担保范围内承担担保责任，无须征得承包人的同意，直接向发包人支付索赔款项。</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2）承包人不履行或不完全履行合同义务的行为导致发包人通过履约保函向担保机构索赔履约保函金额的一部分或者全部的，承包人必须在发包人规定的时间内补充提交履约保函，使得本合同履行期间有效的履约保函金额不低于本合同约定的服务费的余额，同时也不超过承包人第一次提交的履约保函金额。</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3、承包人在履行合同过程中，由于违约行为而导致发包人进行违约处罚，并根据承包人的投标承诺书动用履约担保时，承包人及承包人的履约担保方须无条件执行，且不挑剔、不争辩、不迟延，也不要求发包人出具任何证明或说明背景、理由。</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4、如果承包人不按发包人的要求提交履约担保的，视为违约，则发包人有权部分解除或解除本合同。</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5、履约担保到期后，承包人应当续期，发生承包人违约，发包人有权在发包人当期应支付服务费中扣除相应违约款项。</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6、承包人全部履行完本合同约定的全部义务时，承包人可向发包人申请退回履约保函。</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第八条</w:t>
      </w:r>
      <w:r>
        <w:rPr>
          <w:rFonts w:ascii="Times New Roman" w:hAnsi="Times New Roman" w:eastAsia="宋体"/>
          <w:sz w:val="28"/>
          <w:szCs w:val="24"/>
        </w:rPr>
        <w:t xml:space="preserve"> </w:t>
      </w:r>
      <w:r>
        <w:rPr>
          <w:rFonts w:hint="eastAsia" w:ascii="Times New Roman" w:hAnsi="Times New Roman" w:eastAsia="宋体"/>
          <w:sz w:val="28"/>
          <w:szCs w:val="24"/>
        </w:rPr>
        <w:t>发包人责任</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1</w:t>
      </w:r>
      <w:r>
        <w:rPr>
          <w:rFonts w:hint="eastAsia" w:ascii="Times New Roman" w:hAnsi="Times New Roman" w:eastAsia="宋体"/>
        </w:rPr>
        <w:t>、发包人委派专人负责行使现场管理、监督的权利，负责协调承包人与施工单位的关系，解决应由发包人解决的问题；</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2</w:t>
      </w:r>
      <w:r>
        <w:rPr>
          <w:rFonts w:hint="eastAsia" w:ascii="Times New Roman" w:hAnsi="Times New Roman" w:eastAsia="宋体"/>
        </w:rPr>
        <w:t>、负责确定受检项目的数量和位置，按监测方案做好进场监测的现场准备工作。</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3</w:t>
      </w:r>
      <w:r>
        <w:rPr>
          <w:rFonts w:hint="eastAsia" w:ascii="Times New Roman" w:hAnsi="Times New Roman" w:eastAsia="宋体"/>
        </w:rPr>
        <w:t>、及时为承包人提供并解决监测现场的工作条件和出现的问题（如拆除地上地下障碍物、平整施工现场、修好通行道路、接通电源水源），并承担其费用。</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4</w:t>
      </w:r>
      <w:r>
        <w:rPr>
          <w:rFonts w:hint="eastAsia" w:ascii="Times New Roman" w:hAnsi="Times New Roman" w:eastAsia="宋体"/>
        </w:rPr>
        <w:t>、监测人员进入场地前，按要求处理好地基基底。</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5</w:t>
      </w:r>
      <w:r>
        <w:rPr>
          <w:rFonts w:hint="eastAsia" w:ascii="Times New Roman" w:hAnsi="Times New Roman" w:eastAsia="宋体"/>
        </w:rPr>
        <w:t>、监测前应提供以下资料：工程概况、工程地质资料、施工资料、施工平面分布图及其他资料，并对其准确性、可靠性负责。</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6</w:t>
      </w:r>
      <w:r>
        <w:rPr>
          <w:rFonts w:hint="eastAsia" w:ascii="Times New Roman" w:hAnsi="Times New Roman" w:eastAsia="宋体"/>
        </w:rPr>
        <w:t>、发包人应至少提前</w:t>
      </w:r>
      <w:r>
        <w:rPr>
          <w:rFonts w:ascii="Times New Roman" w:hAnsi="Times New Roman" w:eastAsia="宋体"/>
          <w:u w:val="single"/>
        </w:rPr>
        <w:t>2</w:t>
      </w:r>
      <w:r>
        <w:rPr>
          <w:rFonts w:hint="eastAsia" w:ascii="Times New Roman" w:hAnsi="Times New Roman" w:eastAsia="宋体"/>
        </w:rPr>
        <w:t>天将监测的进度、质量要求通知承包人，特殊情况不得少于</w:t>
      </w:r>
      <w:r>
        <w:rPr>
          <w:rFonts w:ascii="Times New Roman" w:hAnsi="Times New Roman" w:eastAsia="宋体"/>
          <w:u w:val="single"/>
        </w:rPr>
        <w:t>1</w:t>
      </w:r>
      <w:r>
        <w:rPr>
          <w:rFonts w:hint="eastAsia" w:ascii="Times New Roman" w:hAnsi="Times New Roman" w:eastAsia="宋体"/>
        </w:rPr>
        <w:t>天。</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7</w:t>
      </w:r>
      <w:r>
        <w:rPr>
          <w:rFonts w:hint="eastAsia" w:ascii="Times New Roman" w:hAnsi="Times New Roman" w:eastAsia="宋体"/>
        </w:rPr>
        <w:t>、若监测进度等要求发生变化时，则应及时以书面形式通知承包人，否则承包人仍按原来要求进行施工。</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8</w:t>
      </w:r>
      <w:r>
        <w:rPr>
          <w:rFonts w:hint="eastAsia" w:ascii="Times New Roman" w:hAnsi="Times New Roman" w:eastAsia="宋体"/>
        </w:rPr>
        <w:t>、按约定的期限验收监测报告，审核结算，支付承包人应得的款项。</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第九条</w:t>
      </w:r>
      <w:r>
        <w:rPr>
          <w:rFonts w:ascii="Times New Roman" w:hAnsi="Times New Roman" w:eastAsia="宋体"/>
          <w:sz w:val="28"/>
          <w:szCs w:val="24"/>
        </w:rPr>
        <w:t xml:space="preserve"> </w:t>
      </w:r>
      <w:r>
        <w:rPr>
          <w:rFonts w:hint="eastAsia" w:ascii="Times New Roman" w:hAnsi="Times New Roman" w:eastAsia="宋体"/>
          <w:sz w:val="28"/>
          <w:szCs w:val="24"/>
        </w:rPr>
        <w:t>承包人责任</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1</w:t>
      </w:r>
      <w:r>
        <w:rPr>
          <w:rFonts w:hint="eastAsia" w:ascii="Times New Roman" w:hAnsi="Times New Roman" w:eastAsia="宋体"/>
        </w:rPr>
        <w:t>、承包人委派专人负责现场工程进度、质量和安全进行管理，协调与发包人及有关单位的关系，解决应由承包人解决的问题；</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2</w:t>
      </w:r>
      <w:r>
        <w:rPr>
          <w:rFonts w:hint="eastAsia" w:ascii="Times New Roman" w:hAnsi="Times New Roman" w:eastAsia="宋体"/>
        </w:rPr>
        <w:t>、保证监测人员具有监测资格，保证持有的监测资质满足地方管理要求，并向发包人提供相关资质复印件，备有关部门检查。</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3</w:t>
      </w:r>
      <w:r>
        <w:rPr>
          <w:rFonts w:hint="eastAsia" w:ascii="Times New Roman" w:hAnsi="Times New Roman" w:eastAsia="宋体"/>
        </w:rPr>
        <w:t>、应按合同要求，接到监测通知后，提出具体的现场监测前准备工作要求，以便发包人做好准备。</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4</w:t>
      </w:r>
      <w:r>
        <w:rPr>
          <w:rFonts w:hint="eastAsia" w:ascii="Times New Roman" w:hAnsi="Times New Roman" w:eastAsia="宋体"/>
        </w:rPr>
        <w:t>、提供监测仪器设备，负责仪器设备安装及场内中转、进退场，保证监测计量器具在计量检定有效周期内。</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5</w:t>
      </w:r>
      <w:r>
        <w:rPr>
          <w:rFonts w:hint="eastAsia" w:ascii="Times New Roman" w:hAnsi="Times New Roman" w:eastAsia="宋体"/>
        </w:rPr>
        <w:t>、现场监测过程中，发现初步监测结果异常时，需及时通知发包人、施工及监理到现场见证。</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6</w:t>
      </w:r>
      <w:r>
        <w:rPr>
          <w:rFonts w:hint="eastAsia" w:ascii="Times New Roman" w:hAnsi="Times New Roman" w:eastAsia="宋体"/>
        </w:rPr>
        <w:t>、保证监测的公正性、准确性、及时性，保证监测工作符合合同约定的规范要求。</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7</w:t>
      </w:r>
      <w:r>
        <w:rPr>
          <w:rFonts w:hint="eastAsia" w:ascii="Times New Roman" w:hAnsi="Times New Roman" w:eastAsia="宋体"/>
        </w:rPr>
        <w:t>、对技术资料有保密责任，无发包人许可不能将技术资料转让给第三方。</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第十条</w:t>
      </w:r>
      <w:r>
        <w:rPr>
          <w:rFonts w:ascii="Times New Roman" w:hAnsi="Times New Roman" w:eastAsia="宋体"/>
          <w:sz w:val="28"/>
          <w:szCs w:val="24"/>
        </w:rPr>
        <w:t xml:space="preserve"> </w:t>
      </w:r>
      <w:r>
        <w:rPr>
          <w:rFonts w:hint="eastAsia" w:ascii="Times New Roman" w:hAnsi="Times New Roman" w:eastAsia="宋体"/>
          <w:sz w:val="28"/>
          <w:szCs w:val="24"/>
        </w:rPr>
        <w:t>违约责任</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1</w:t>
      </w:r>
      <w:r>
        <w:rPr>
          <w:rFonts w:hint="eastAsia" w:ascii="Times New Roman" w:hAnsi="Times New Roman" w:eastAsia="宋体"/>
        </w:rPr>
        <w:t>、在承包人向发包人递交了符合发包人要求的完整资料后，发包人应当在约定的期限内对承包人已经完成的工作量进行确认，若超过约定的期限三十天仍不确认的，视为对承包人完成工作无异议。</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2</w:t>
      </w:r>
      <w:r>
        <w:rPr>
          <w:rFonts w:hint="eastAsia" w:ascii="Times New Roman" w:hAnsi="Times New Roman" w:eastAsia="宋体"/>
        </w:rPr>
        <w:t>、在合同期内，由于工程停建或发包人要求终止解除合同，发包人应按承包人实际完成的工作量支付监测费用。</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3</w:t>
      </w:r>
      <w:r>
        <w:rPr>
          <w:rFonts w:hint="eastAsia" w:ascii="Times New Roman" w:hAnsi="Times New Roman" w:eastAsia="宋体"/>
        </w:rPr>
        <w:t>、承包人确保监测过程中的安全生产，承担监测过程中的一切安全责任，并承担被侵权人的全部赔偿责任，如发包人已偿还被侵权人赔偿款项，则有权向承包人追偿；承包人因自身原因造成安全事故的，除按国家规定由主管部门处罚外，承包人必须依照下列约定承担违约责任：</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）发生特别重大事故，承包人按事故所造成损失金额的</w:t>
      </w:r>
      <w:r>
        <w:rPr>
          <w:rFonts w:ascii="Times New Roman" w:hAnsi="Times New Roman" w:eastAsia="宋体"/>
        </w:rPr>
        <w:t>15%</w:t>
      </w:r>
      <w:r>
        <w:rPr>
          <w:rFonts w:hint="eastAsia" w:ascii="Times New Roman" w:hAnsi="Times New Roman" w:eastAsia="宋体"/>
        </w:rPr>
        <w:t>向发包人支付违约金；</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）发生重大事故，承包人按事故所造成损失金额的</w:t>
      </w:r>
      <w:r>
        <w:rPr>
          <w:rFonts w:ascii="Times New Roman" w:hAnsi="Times New Roman" w:eastAsia="宋体"/>
        </w:rPr>
        <w:t>12%</w:t>
      </w:r>
      <w:r>
        <w:rPr>
          <w:rFonts w:hint="eastAsia" w:ascii="Times New Roman" w:hAnsi="Times New Roman" w:eastAsia="宋体"/>
        </w:rPr>
        <w:t>向发包人支付违约金；</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）发生较大事故，承包人按事故所造成损失金额的</w:t>
      </w:r>
      <w:r>
        <w:rPr>
          <w:rFonts w:ascii="Times New Roman" w:hAnsi="Times New Roman" w:eastAsia="宋体"/>
        </w:rPr>
        <w:t>10%</w:t>
      </w:r>
      <w:r>
        <w:rPr>
          <w:rFonts w:hint="eastAsia" w:ascii="Times New Roman" w:hAnsi="Times New Roman" w:eastAsia="宋体"/>
        </w:rPr>
        <w:t>向发包人支付违约金；</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）发生一般事故，承包人按事故所造成损失金额的</w:t>
      </w:r>
      <w:r>
        <w:rPr>
          <w:rFonts w:ascii="Times New Roman" w:hAnsi="Times New Roman" w:eastAsia="宋体"/>
        </w:rPr>
        <w:t>8%</w:t>
      </w:r>
      <w:r>
        <w:rPr>
          <w:rFonts w:hint="eastAsia" w:ascii="Times New Roman" w:hAnsi="Times New Roman" w:eastAsia="宋体"/>
        </w:rPr>
        <w:t>向发包人支付违约金。</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4</w:t>
      </w:r>
      <w:r>
        <w:rPr>
          <w:rFonts w:hint="eastAsia" w:ascii="Times New Roman" w:hAnsi="Times New Roman" w:eastAsia="宋体"/>
        </w:rPr>
        <w:t>、承包人依照上述约定支付违约金后，所支付的违约金不足以弥补由此给发包人造成的损失的，承包人还须补偿发包人的其他损失。</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5</w:t>
      </w:r>
      <w:r>
        <w:rPr>
          <w:rFonts w:hint="eastAsia" w:ascii="Times New Roman" w:hAnsi="Times New Roman" w:eastAsia="宋体"/>
        </w:rPr>
        <w:t>、在单项监测全部工作完成后</w:t>
      </w:r>
      <w:r>
        <w:rPr>
          <w:rFonts w:ascii="Times New Roman" w:hAnsi="Times New Roman" w:eastAsia="宋体"/>
          <w:u w:val="single"/>
        </w:rPr>
        <w:t>1</w:t>
      </w:r>
      <w:r>
        <w:rPr>
          <w:rFonts w:hint="eastAsia" w:ascii="Times New Roman" w:hAnsi="Times New Roman" w:eastAsia="宋体"/>
          <w:u w:val="single"/>
        </w:rPr>
        <w:t>5</w:t>
      </w:r>
      <w:r>
        <w:rPr>
          <w:rFonts w:hint="eastAsia" w:ascii="Times New Roman" w:hAnsi="Times New Roman" w:eastAsia="宋体"/>
        </w:rPr>
        <w:t>个工作日内，向发包人提交监测成果报告</w:t>
      </w:r>
      <w:r>
        <w:rPr>
          <w:rFonts w:hint="eastAsia" w:ascii="Times New Roman" w:hAnsi="Times New Roman" w:eastAsia="宋体"/>
          <w:b/>
          <w:u w:val="single"/>
        </w:rPr>
        <w:t>一式十份</w:t>
      </w:r>
      <w:r>
        <w:rPr>
          <w:rFonts w:hint="eastAsia" w:ascii="Times New Roman" w:hAnsi="Times New Roman" w:eastAsia="宋体"/>
        </w:rPr>
        <w:t>，盖章后的监测报告具有法律效力；如果承包人未能按时提供合格的监测报告资料给发包人，无正当理由每延迟一天，发包人扣除合同暂定价的万分之四作为罚金。因承包人自身原因，造成施工总工期延误，承包人承担相关责任并赔偿经济损失。</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6</w:t>
      </w:r>
      <w:r>
        <w:rPr>
          <w:rFonts w:hint="eastAsia" w:ascii="Times New Roman" w:hAnsi="Times New Roman" w:eastAsia="宋体"/>
        </w:rPr>
        <w:t>、承包人违反合同规定，造成发包人经济损失的，应根据其所承担的责任向发包人赔偿，并根据损失程度向发包人支付赔偿金，赔偿金为直接损失部分监测费的</w:t>
      </w:r>
      <w:r>
        <w:rPr>
          <w:rFonts w:ascii="Times New Roman" w:hAnsi="Times New Roman" w:eastAsia="宋体"/>
        </w:rPr>
        <w:t>100%</w:t>
      </w:r>
      <w:r>
        <w:rPr>
          <w:rFonts w:hint="eastAsia" w:ascii="Times New Roman" w:hAnsi="Times New Roman" w:eastAsia="宋体"/>
        </w:rPr>
        <w:t>。造成第三方损失的，由承包人承担全部法律责任。</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7</w:t>
      </w:r>
      <w:r>
        <w:rPr>
          <w:rFonts w:hint="eastAsia" w:ascii="Times New Roman" w:hAnsi="Times New Roman" w:eastAsia="宋体"/>
        </w:rPr>
        <w:t>、出现恶劣天气等不可抗力因素使或现场不具备监测条件本工程无法继续进行，工期可以顺延，发包人与承包人各自承担损失。</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第十一条</w:t>
      </w:r>
      <w:r>
        <w:rPr>
          <w:rFonts w:ascii="Times New Roman" w:hAnsi="Times New Roman" w:eastAsia="宋体"/>
          <w:sz w:val="28"/>
          <w:szCs w:val="24"/>
        </w:rPr>
        <w:t xml:space="preserve"> </w:t>
      </w:r>
      <w:r>
        <w:rPr>
          <w:rFonts w:hint="eastAsia" w:ascii="Times New Roman" w:hAnsi="Times New Roman" w:eastAsia="宋体"/>
          <w:sz w:val="28"/>
          <w:szCs w:val="24"/>
        </w:rPr>
        <w:t>争议的解决方式</w:t>
      </w:r>
    </w:p>
    <w:p>
      <w:pPr>
        <w:pStyle w:val="11"/>
        <w:adjustRightInd w:val="0"/>
        <w:snapToGrid w:val="0"/>
        <w:spacing w:line="500" w:lineRule="exact"/>
        <w:ind w:firstLine="482" w:firstLineChars="0"/>
        <w:jc w:val="both"/>
        <w:rPr>
          <w:rFonts w:ascii="Times New Roman" w:hAnsi="Times New Roman" w:eastAsia="宋体"/>
        </w:rPr>
      </w:pPr>
      <w:r>
        <w:rPr>
          <w:rFonts w:ascii="Times New Roman" w:hAnsi="Times New Roman" w:eastAsia="宋体"/>
        </w:rPr>
        <w:t>1</w:t>
      </w:r>
      <w:r>
        <w:rPr>
          <w:rFonts w:hint="eastAsia" w:ascii="Times New Roman" w:hAnsi="Times New Roman" w:eastAsia="宋体"/>
        </w:rPr>
        <w:t>、因本合同或者履行本合同所产生的争议，由发包人与承包人协商解决，经协商达成一致意见的，应签订书面协议；协商不成的，由工程所在地建设行政主管部门调解。在争议提交调解之日起</w:t>
      </w:r>
      <w:r>
        <w:rPr>
          <w:rFonts w:ascii="Times New Roman" w:hAnsi="Times New Roman" w:eastAsia="宋体"/>
        </w:rPr>
        <w:t>30</w:t>
      </w:r>
      <w:r>
        <w:rPr>
          <w:rFonts w:hint="eastAsia" w:ascii="Times New Roman" w:hAnsi="Times New Roman" w:eastAsia="宋体"/>
        </w:rPr>
        <w:t>日内，仍存有争议时，或合同任何一方不同意调解的，向广州市花都区人民法院提起诉讼。</w:t>
      </w:r>
    </w:p>
    <w:p>
      <w:pPr>
        <w:adjustRightInd w:val="0"/>
        <w:snapToGrid w:val="0"/>
        <w:spacing w:line="500" w:lineRule="exact"/>
        <w:ind w:firstLine="480" w:firstLineChars="200"/>
        <w:jc w:val="both"/>
        <w:rPr>
          <w:rFonts w:ascii="Times New Roman" w:hAnsi="Times New Roman" w:eastAsia="宋体"/>
        </w:rPr>
      </w:pPr>
      <w:r>
        <w:rPr>
          <w:rFonts w:ascii="Times New Roman" w:hAnsi="Times New Roman" w:eastAsia="宋体"/>
        </w:rPr>
        <w:t>2</w:t>
      </w:r>
      <w:r>
        <w:rPr>
          <w:rFonts w:hint="eastAsia" w:ascii="Times New Roman" w:hAnsi="Times New Roman" w:eastAsia="宋体"/>
        </w:rPr>
        <w:t>、争议发生后，承包人必须在做好现场证据保全后继续按照合同要求施工，不得以解决争议为由单方面停工或者拖延施工；在调解无效的情况下，发包人有权先行解除与承包人的合同，承包人必须在</w:t>
      </w:r>
      <w:r>
        <w:rPr>
          <w:rFonts w:ascii="Times New Roman" w:hAnsi="Times New Roman" w:eastAsia="宋体"/>
        </w:rPr>
        <w:t>7</w:t>
      </w:r>
      <w:r>
        <w:rPr>
          <w:rFonts w:hint="eastAsia" w:ascii="Times New Roman" w:hAnsi="Times New Roman" w:eastAsia="宋体"/>
        </w:rPr>
        <w:t>天内撤场。承包人的撤场不影响发包人和承包人另行解决争议和索赔的权利。合同执行过程中如有争议，应及时进行沟通和协商。协商无效时，任何一方均可向</w:t>
      </w:r>
      <w:r>
        <w:rPr>
          <w:rFonts w:hint="eastAsia" w:ascii="Times New Roman" w:hAnsi="Times New Roman" w:eastAsia="宋体"/>
          <w:u w:val="single"/>
        </w:rPr>
        <w:t>广州市花都区人民法院</w:t>
      </w:r>
      <w:r>
        <w:rPr>
          <w:rFonts w:hint="eastAsia" w:ascii="Times New Roman" w:hAnsi="Times New Roman" w:eastAsia="宋体"/>
        </w:rPr>
        <w:t>起诉。</w:t>
      </w:r>
    </w:p>
    <w:p>
      <w:pPr>
        <w:adjustRightInd w:val="0"/>
        <w:snapToGrid w:val="0"/>
        <w:spacing w:line="500" w:lineRule="exact"/>
        <w:ind w:firstLine="480" w:firstLineChars="200"/>
        <w:jc w:val="both"/>
        <w:rPr>
          <w:rFonts w:ascii="Times New Roman" w:hAnsi="Times New Roman" w:eastAsia="宋体"/>
        </w:rPr>
      </w:pPr>
      <w:r>
        <w:rPr>
          <w:rFonts w:hint="eastAsia" w:ascii="Times New Roman" w:hAnsi="Times New Roman" w:eastAsia="宋体"/>
        </w:rPr>
        <w:t>3、如人民法院/仲裁机构作出的生效判决/裁决认定发包人存在过错故意不向结算审核单位提交评审材料导致承包人无法结算的，承包人有权向发包人主张利息，利息计算约定如下：按照发包人和承包人均认可工程价款或者发包人和承包人认可的鉴定机构鉴定价款为本金、不超过合同订立时全国银行间同业拆借中心发布的一年期贷款市场报价利率，从生效判决书/裁决书确定发包人须承担责任之日起计算逾期付款利息。除此以外，承包人不得向发包人主张违约金或者利息。</w:t>
      </w:r>
    </w:p>
    <w:p>
      <w:pPr>
        <w:pStyle w:val="2"/>
        <w:adjustRightInd w:val="0"/>
        <w:snapToGrid w:val="0"/>
        <w:spacing w:before="163" w:beforeLines="50" w:after="163" w:afterLines="50" w:line="500" w:lineRule="exact"/>
        <w:rPr>
          <w:rFonts w:ascii="Times New Roman" w:hAnsi="Times New Roman" w:eastAsia="宋体"/>
          <w:sz w:val="28"/>
          <w:szCs w:val="24"/>
        </w:rPr>
      </w:pPr>
      <w:r>
        <w:rPr>
          <w:rFonts w:hint="eastAsia" w:ascii="Times New Roman" w:hAnsi="Times New Roman" w:eastAsia="宋体"/>
          <w:sz w:val="28"/>
          <w:szCs w:val="24"/>
        </w:rPr>
        <w:t>第十二条</w:t>
      </w:r>
      <w:r>
        <w:rPr>
          <w:rFonts w:ascii="Times New Roman" w:hAnsi="Times New Roman" w:eastAsia="宋体"/>
          <w:sz w:val="28"/>
          <w:szCs w:val="24"/>
        </w:rPr>
        <w:t xml:space="preserve"> </w:t>
      </w:r>
      <w:r>
        <w:rPr>
          <w:rFonts w:hint="eastAsia" w:ascii="Times New Roman" w:hAnsi="Times New Roman" w:eastAsia="宋体"/>
          <w:sz w:val="28"/>
          <w:szCs w:val="24"/>
        </w:rPr>
        <w:t>附则</w:t>
      </w:r>
    </w:p>
    <w:p>
      <w:pPr>
        <w:pStyle w:val="11"/>
        <w:adjustRightInd w:val="0"/>
        <w:snapToGrid w:val="0"/>
        <w:spacing w:line="500" w:lineRule="exact"/>
        <w:ind w:firstLine="480"/>
        <w:jc w:val="both"/>
        <w:rPr>
          <w:rFonts w:ascii="Times New Roman" w:hAnsi="Times New Roman" w:eastAsia="宋体"/>
        </w:rPr>
      </w:pPr>
      <w:r>
        <w:rPr>
          <w:rFonts w:ascii="Times New Roman" w:hAnsi="Times New Roman" w:eastAsia="宋体"/>
        </w:rPr>
        <w:t>1</w:t>
      </w:r>
      <w:r>
        <w:rPr>
          <w:rFonts w:hint="eastAsia" w:ascii="Times New Roman" w:hAnsi="Times New Roman" w:eastAsia="宋体"/>
        </w:rPr>
        <w:t>、本合同未载明事项，按《中华人民共和国民法典》及国家有关法律、法规执行。</w:t>
      </w:r>
    </w:p>
    <w:p>
      <w:pPr>
        <w:pStyle w:val="11"/>
        <w:adjustRightInd w:val="0"/>
        <w:snapToGrid w:val="0"/>
        <w:spacing w:line="500" w:lineRule="exact"/>
        <w:ind w:firstLine="480"/>
        <w:jc w:val="both"/>
        <w:rPr>
          <w:rFonts w:ascii="Times New Roman" w:hAnsi="Times New Roman" w:eastAsia="宋体"/>
        </w:rPr>
      </w:pPr>
      <w:r>
        <w:rPr>
          <w:rFonts w:ascii="Times New Roman" w:hAnsi="Times New Roman" w:eastAsia="宋体"/>
        </w:rPr>
        <w:t>2</w:t>
      </w:r>
      <w:r>
        <w:rPr>
          <w:rFonts w:hint="eastAsia" w:ascii="Times New Roman" w:hAnsi="Times New Roman" w:eastAsia="宋体"/>
        </w:rPr>
        <w:t>、本合同一式</w:t>
      </w:r>
      <w:r>
        <w:rPr>
          <w:rFonts w:ascii="Times New Roman" w:hAnsi="Times New Roman" w:eastAsia="宋体"/>
          <w:u w:val="single"/>
        </w:rPr>
        <w:t xml:space="preserve">    </w:t>
      </w:r>
      <w:r>
        <w:rPr>
          <w:rFonts w:hint="eastAsia" w:ascii="Times New Roman" w:hAnsi="Times New Roman" w:eastAsia="宋体"/>
        </w:rPr>
        <w:t>份，合同各方各执</w:t>
      </w:r>
      <w:r>
        <w:rPr>
          <w:rFonts w:ascii="Times New Roman" w:hAnsi="Times New Roman" w:eastAsia="宋体"/>
          <w:u w:val="single"/>
        </w:rPr>
        <w:t xml:space="preserve">   </w:t>
      </w:r>
      <w:r>
        <w:rPr>
          <w:rFonts w:hint="eastAsia" w:ascii="Times New Roman" w:hAnsi="Times New Roman" w:eastAsia="宋体"/>
        </w:rPr>
        <w:t>份，自合同各方法定代表人或签约代表人签字并加盖公章之日起生效。</w:t>
      </w:r>
    </w:p>
    <w:p>
      <w:pPr>
        <w:pStyle w:val="11"/>
        <w:adjustRightInd w:val="0"/>
        <w:snapToGrid w:val="0"/>
        <w:spacing w:line="500" w:lineRule="exact"/>
        <w:ind w:firstLine="482"/>
        <w:rPr>
          <w:rFonts w:ascii="Times New Roman" w:hAnsi="Times New Roman" w:eastAsia="宋体"/>
          <w:b/>
        </w:rPr>
      </w:pPr>
    </w:p>
    <w:p>
      <w:pPr>
        <w:pStyle w:val="11"/>
        <w:adjustRightInd w:val="0"/>
        <w:snapToGrid w:val="0"/>
        <w:spacing w:line="500" w:lineRule="exact"/>
        <w:ind w:firstLine="0" w:firstLineChars="0"/>
        <w:jc w:val="both"/>
        <w:rPr>
          <w:rFonts w:ascii="Times New Roman" w:hAnsi="Times New Roman" w:eastAsia="宋体"/>
          <w:b/>
        </w:rPr>
      </w:pPr>
      <w:r>
        <w:rPr>
          <w:rFonts w:hint="eastAsia" w:ascii="Times New Roman" w:hAnsi="Times New Roman" w:eastAsia="宋体"/>
          <w:b/>
        </w:rPr>
        <w:t>附件一：廉政合同</w:t>
      </w:r>
    </w:p>
    <w:p>
      <w:pPr>
        <w:pStyle w:val="11"/>
        <w:adjustRightInd w:val="0"/>
        <w:snapToGrid w:val="0"/>
        <w:spacing w:line="500" w:lineRule="exact"/>
        <w:ind w:firstLine="0" w:firstLineChars="0"/>
        <w:jc w:val="both"/>
        <w:rPr>
          <w:rFonts w:ascii="Times New Roman" w:hAnsi="Times New Roman" w:eastAsia="宋体"/>
          <w:b/>
        </w:rPr>
      </w:pPr>
      <w:r>
        <w:rPr>
          <w:rFonts w:hint="eastAsia" w:ascii="Times New Roman" w:hAnsi="Times New Roman" w:eastAsia="宋体"/>
          <w:b/>
        </w:rPr>
        <w:t>附件二：第三方监测控制价清单</w:t>
      </w:r>
    </w:p>
    <w:p>
      <w:pPr>
        <w:pStyle w:val="11"/>
        <w:adjustRightInd w:val="0"/>
        <w:snapToGrid w:val="0"/>
        <w:spacing w:line="500" w:lineRule="exact"/>
        <w:ind w:firstLine="0" w:firstLineChars="0"/>
        <w:jc w:val="both"/>
        <w:rPr>
          <w:rFonts w:ascii="Times New Roman" w:hAnsi="Times New Roman" w:eastAsia="宋体"/>
          <w:b/>
        </w:rPr>
      </w:pPr>
      <w:r>
        <w:rPr>
          <w:rFonts w:hint="eastAsia" w:ascii="Times New Roman" w:hAnsi="Times New Roman" w:eastAsia="宋体"/>
          <w:b/>
        </w:rPr>
        <w:t>附件三：中标通知书</w:t>
      </w:r>
    </w:p>
    <w:p>
      <w:pPr>
        <w:rPr>
          <w:rFonts w:ascii="Times New Roman" w:hAnsi="Times New Roman" w:eastAsia="宋体"/>
        </w:rPr>
      </w:pPr>
      <w:r>
        <w:rPr>
          <w:rFonts w:ascii="Times New Roman" w:hAnsi="Times New Roman" w:eastAsia="宋体"/>
        </w:rPr>
        <w:br w:type="page"/>
      </w:r>
    </w:p>
    <w:p/>
    <w:p/>
    <w:tbl>
      <w:tblPr>
        <w:tblStyle w:val="23"/>
        <w:tblW w:w="9736" w:type="dxa"/>
        <w:tblInd w:w="0" w:type="dxa"/>
        <w:tblLayout w:type="fixed"/>
        <w:tblCellMar>
          <w:top w:w="0" w:type="dxa"/>
          <w:left w:w="108" w:type="dxa"/>
          <w:bottom w:w="0" w:type="dxa"/>
          <w:right w:w="108" w:type="dxa"/>
        </w:tblCellMar>
      </w:tblPr>
      <w:tblGrid>
        <w:gridCol w:w="4644"/>
        <w:gridCol w:w="5092"/>
      </w:tblGrid>
      <w:tr>
        <w:tblPrEx>
          <w:tblCellMar>
            <w:top w:w="0" w:type="dxa"/>
            <w:left w:w="108" w:type="dxa"/>
            <w:bottom w:w="0" w:type="dxa"/>
            <w:right w:w="108" w:type="dxa"/>
          </w:tblCellMar>
        </w:tblPrEx>
        <w:trPr>
          <w:trHeight w:val="1109" w:hRule="exact"/>
        </w:trPr>
        <w:tc>
          <w:tcPr>
            <w:tcW w:w="4644" w:type="dxa"/>
            <w:vAlign w:val="center"/>
          </w:tcPr>
          <w:p>
            <w:pPr>
              <w:widowControl w:val="0"/>
              <w:adjustRightInd w:val="0"/>
              <w:snapToGrid w:val="0"/>
              <w:spacing w:line="360" w:lineRule="auto"/>
              <w:jc w:val="both"/>
              <w:rPr>
                <w:rFonts w:ascii="Times New Roman" w:hAnsi="Times New Roman" w:eastAsia="宋体"/>
                <w:snapToGrid w:val="0"/>
                <w:kern w:val="2"/>
                <w:sz w:val="21"/>
              </w:rPr>
            </w:pPr>
            <w:r>
              <w:rPr>
                <w:rFonts w:ascii="Times New Roman" w:hAnsi="Times New Roman" w:eastAsia="宋体"/>
                <w:snapToGrid w:val="0"/>
                <w:kern w:val="2"/>
                <w:sz w:val="21"/>
              </w:rPr>
              <w:t>发包人（甲方）：</w:t>
            </w:r>
          </w:p>
          <w:p>
            <w:pPr>
              <w:widowControl w:val="0"/>
              <w:ind w:firstLine="420" w:firstLineChars="200"/>
              <w:jc w:val="both"/>
              <w:rPr>
                <w:rFonts w:ascii="Times New Roman" w:hAnsi="Times New Roman" w:eastAsia="宋体"/>
                <w:kern w:val="2"/>
                <w:sz w:val="21"/>
              </w:rPr>
            </w:pPr>
          </w:p>
          <w:p>
            <w:pPr>
              <w:widowControl w:val="0"/>
              <w:adjustRightInd w:val="0"/>
              <w:snapToGrid w:val="0"/>
              <w:spacing w:line="360" w:lineRule="auto"/>
              <w:jc w:val="both"/>
              <w:rPr>
                <w:rFonts w:ascii="Times New Roman" w:hAnsi="Times New Roman" w:eastAsia="宋体"/>
                <w:snapToGrid w:val="0"/>
                <w:kern w:val="2"/>
                <w:sz w:val="21"/>
                <w:u w:val="single"/>
              </w:rPr>
            </w:pPr>
            <w:r>
              <w:rPr>
                <w:rFonts w:ascii="Times New Roman" w:hAnsi="Times New Roman" w:eastAsia="宋体"/>
                <w:b/>
                <w:bCs/>
                <w:snapToGrid w:val="0"/>
                <w:kern w:val="2"/>
                <w:u w:val="single"/>
              </w:rPr>
              <w:t>广州市花都区公共建设项目管理中心</w:t>
            </w:r>
          </w:p>
        </w:tc>
        <w:tc>
          <w:tcPr>
            <w:tcW w:w="5092" w:type="dxa"/>
            <w:vAlign w:val="center"/>
          </w:tcPr>
          <w:p>
            <w:pPr>
              <w:widowControl w:val="0"/>
              <w:adjustRightInd w:val="0"/>
              <w:snapToGrid w:val="0"/>
              <w:spacing w:line="360" w:lineRule="auto"/>
              <w:jc w:val="both"/>
              <w:rPr>
                <w:rFonts w:ascii="Times New Roman" w:hAnsi="Times New Roman" w:eastAsia="宋体"/>
                <w:snapToGrid w:val="0"/>
                <w:kern w:val="2"/>
                <w:sz w:val="21"/>
              </w:rPr>
            </w:pPr>
            <w:r>
              <w:rPr>
                <w:rFonts w:ascii="Times New Roman" w:hAnsi="Times New Roman" w:eastAsia="宋体"/>
                <w:snapToGrid w:val="0"/>
                <w:kern w:val="2"/>
                <w:sz w:val="21"/>
              </w:rPr>
              <w:t xml:space="preserve">承包人（乙方）： </w:t>
            </w:r>
          </w:p>
          <w:p>
            <w:pPr>
              <w:widowControl w:val="0"/>
              <w:ind w:firstLine="420" w:firstLineChars="200"/>
              <w:jc w:val="both"/>
              <w:rPr>
                <w:rFonts w:ascii="Times New Roman" w:hAnsi="Times New Roman" w:eastAsia="宋体"/>
                <w:kern w:val="2"/>
                <w:sz w:val="21"/>
              </w:rPr>
            </w:pPr>
          </w:p>
          <w:p>
            <w:pPr>
              <w:widowControl w:val="0"/>
              <w:adjustRightInd w:val="0"/>
              <w:snapToGrid w:val="0"/>
              <w:spacing w:line="360" w:lineRule="auto"/>
              <w:jc w:val="both"/>
              <w:rPr>
                <w:rFonts w:ascii="宋体" w:hAnsi="宋体" w:eastAsia="宋体"/>
                <w:kern w:val="2"/>
                <w:sz w:val="21"/>
              </w:rPr>
            </w:pPr>
            <w:r>
              <w:rPr>
                <w:rFonts w:hint="eastAsia" w:ascii="宋体" w:hAnsi="宋体" w:eastAsia="宋体"/>
                <w:b/>
                <w:bCs/>
                <w:snapToGrid w:val="0"/>
                <w:kern w:val="2"/>
                <w:u w:val="single"/>
              </w:rPr>
              <w:t xml:space="preserve"> </w:t>
            </w:r>
            <w:r>
              <w:rPr>
                <w:rFonts w:ascii="宋体" w:hAnsi="宋体" w:eastAsia="宋体"/>
                <w:b/>
                <w:bCs/>
                <w:snapToGrid w:val="0"/>
                <w:kern w:val="2"/>
                <w:u w:val="single"/>
              </w:rPr>
              <w:t xml:space="preserve">                            </w:t>
            </w:r>
          </w:p>
        </w:tc>
      </w:tr>
      <w:tr>
        <w:tblPrEx>
          <w:tblCellMar>
            <w:top w:w="0" w:type="dxa"/>
            <w:left w:w="108" w:type="dxa"/>
            <w:bottom w:w="0" w:type="dxa"/>
            <w:right w:w="108" w:type="dxa"/>
          </w:tblCellMar>
        </w:tblPrEx>
        <w:trPr>
          <w:trHeight w:val="1134" w:hRule="atLeast"/>
        </w:trPr>
        <w:tc>
          <w:tcPr>
            <w:tcW w:w="4644" w:type="dxa"/>
            <w:vAlign w:val="center"/>
          </w:tcPr>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snapToGrid w:val="0"/>
                <w:kern w:val="2"/>
                <w:sz w:val="21"/>
              </w:rPr>
              <w:t>法定代表人：</w:t>
            </w:r>
          </w:p>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kern w:val="2"/>
                <w:sz w:val="21"/>
              </w:rPr>
              <w:t>或签约代表人：</w:t>
            </w:r>
          </w:p>
        </w:tc>
        <w:tc>
          <w:tcPr>
            <w:tcW w:w="5092" w:type="dxa"/>
            <w:vAlign w:val="center"/>
          </w:tcPr>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snapToGrid w:val="0"/>
                <w:kern w:val="2"/>
                <w:sz w:val="21"/>
              </w:rPr>
              <w:t>法定代表人：</w:t>
            </w:r>
          </w:p>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kern w:val="2"/>
                <w:sz w:val="21"/>
              </w:rPr>
              <w:t>或签约代表人：</w:t>
            </w:r>
          </w:p>
        </w:tc>
      </w:tr>
      <w:tr>
        <w:tblPrEx>
          <w:tblCellMar>
            <w:top w:w="0" w:type="dxa"/>
            <w:left w:w="108" w:type="dxa"/>
            <w:bottom w:w="0" w:type="dxa"/>
            <w:right w:w="108" w:type="dxa"/>
          </w:tblCellMar>
        </w:tblPrEx>
        <w:trPr>
          <w:trHeight w:val="793"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地址：</w:t>
            </w:r>
            <w:r>
              <w:rPr>
                <w:rFonts w:hint="eastAsia" w:ascii="Times New Roman" w:hAnsi="Times New Roman" w:eastAsia="宋体"/>
                <w:snapToGrid w:val="0"/>
                <w:kern w:val="2"/>
                <w:sz w:val="21"/>
              </w:rPr>
              <w:t>广州市花都区公益路</w:t>
            </w:r>
            <w:r>
              <w:rPr>
                <w:rFonts w:ascii="Times New Roman" w:hAnsi="Times New Roman" w:eastAsia="宋体"/>
                <w:snapToGrid w:val="0"/>
                <w:kern w:val="2"/>
                <w:sz w:val="21"/>
              </w:rPr>
              <w:t>41</w:t>
            </w:r>
            <w:r>
              <w:rPr>
                <w:rFonts w:hint="eastAsia" w:ascii="Times New Roman" w:hAnsi="Times New Roman" w:eastAsia="宋体"/>
                <w:snapToGrid w:val="0"/>
                <w:kern w:val="2"/>
                <w:sz w:val="21"/>
              </w:rPr>
              <w:t>号</w:t>
            </w:r>
          </w:p>
        </w:tc>
        <w:tc>
          <w:tcPr>
            <w:tcW w:w="5092" w:type="dxa"/>
            <w:vAlign w:val="center"/>
          </w:tcPr>
          <w:p>
            <w:pPr>
              <w:widowControl w:val="0"/>
              <w:adjustRightInd w:val="0"/>
              <w:snapToGrid w:val="0"/>
              <w:ind w:left="630" w:right="475" w:rightChars="198" w:hanging="630" w:hangingChars="300"/>
              <w:jc w:val="both"/>
              <w:rPr>
                <w:rFonts w:ascii="Times New Roman" w:hAnsi="Times New Roman" w:eastAsia="宋体"/>
                <w:snapToGrid w:val="0"/>
                <w:kern w:val="2"/>
                <w:sz w:val="21"/>
              </w:rPr>
            </w:pPr>
            <w:r>
              <w:rPr>
                <w:rFonts w:ascii="Times New Roman" w:hAnsi="Times New Roman" w:eastAsia="宋体"/>
                <w:snapToGrid w:val="0"/>
                <w:kern w:val="2"/>
                <w:sz w:val="21"/>
              </w:rPr>
              <w:t>地址：</w:t>
            </w: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电话：</w:t>
            </w:r>
            <w:r>
              <w:rPr>
                <w:rFonts w:hint="eastAsia" w:ascii="Times New Roman" w:hAnsi="Times New Roman" w:eastAsia="宋体"/>
                <w:snapToGrid w:val="0"/>
                <w:kern w:val="2"/>
                <w:sz w:val="21"/>
              </w:rPr>
              <w:t>0</w:t>
            </w:r>
            <w:r>
              <w:rPr>
                <w:rFonts w:ascii="Times New Roman" w:hAnsi="Times New Roman" w:eastAsia="宋体"/>
                <w:snapToGrid w:val="0"/>
                <w:kern w:val="2"/>
                <w:sz w:val="21"/>
              </w:rPr>
              <w:t>20</w:t>
            </w:r>
            <w:r>
              <w:rPr>
                <w:rFonts w:hint="eastAsia" w:ascii="Times New Roman" w:hAnsi="Times New Roman" w:eastAsia="宋体"/>
                <w:snapToGrid w:val="0"/>
                <w:kern w:val="2"/>
                <w:sz w:val="21"/>
              </w:rPr>
              <w:t>-</w:t>
            </w:r>
            <w:r>
              <w:rPr>
                <w:rFonts w:ascii="Times New Roman" w:hAnsi="Times New Roman" w:eastAsia="宋体"/>
                <w:snapToGrid w:val="0"/>
                <w:kern w:val="2"/>
                <w:sz w:val="21"/>
              </w:rPr>
              <w:t>37760912</w:t>
            </w:r>
          </w:p>
        </w:tc>
        <w:tc>
          <w:tcPr>
            <w:tcW w:w="5092"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电话：</w:t>
            </w:r>
          </w:p>
        </w:tc>
      </w:tr>
      <w:tr>
        <w:tblPrEx>
          <w:tblCellMar>
            <w:top w:w="0" w:type="dxa"/>
            <w:left w:w="108" w:type="dxa"/>
            <w:bottom w:w="0" w:type="dxa"/>
            <w:right w:w="108" w:type="dxa"/>
          </w:tblCellMar>
        </w:tblPrEx>
        <w:trPr>
          <w:trHeight w:val="713"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统一社会信用代码：</w:t>
            </w:r>
            <w:r>
              <w:rPr>
                <w:rFonts w:hint="eastAsia" w:ascii="Times New Roman" w:hAnsi="Times New Roman" w:eastAsia="宋体"/>
                <w:snapToGrid w:val="0"/>
                <w:kern w:val="2"/>
                <w:sz w:val="21"/>
              </w:rPr>
              <w:t>12440114567901846M</w:t>
            </w:r>
          </w:p>
        </w:tc>
        <w:tc>
          <w:tcPr>
            <w:tcW w:w="5092" w:type="dxa"/>
            <w:vAlign w:val="center"/>
          </w:tcPr>
          <w:p>
            <w:pPr>
              <w:widowControl w:val="0"/>
              <w:adjustRightInd w:val="0"/>
              <w:snapToGrid w:val="0"/>
              <w:ind w:left="1056" w:right="475" w:rightChars="198" w:hanging="1056" w:hangingChars="503"/>
              <w:jc w:val="both"/>
              <w:rPr>
                <w:rFonts w:ascii="Times New Roman" w:hAnsi="Times New Roman" w:eastAsia="宋体"/>
                <w:snapToGrid w:val="0"/>
                <w:kern w:val="2"/>
                <w:sz w:val="21"/>
              </w:rPr>
            </w:pPr>
            <w:r>
              <w:rPr>
                <w:rFonts w:ascii="Times New Roman" w:hAnsi="Times New Roman" w:eastAsia="宋体"/>
                <w:snapToGrid w:val="0"/>
                <w:kern w:val="2"/>
                <w:sz w:val="21"/>
              </w:rPr>
              <w:t>开户银行：</w:t>
            </w: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银行</w:t>
            </w:r>
            <w:r>
              <w:rPr>
                <w:rFonts w:hint="eastAsia" w:ascii="Times New Roman" w:hAnsi="Times New Roman" w:eastAsia="宋体"/>
                <w:snapToGrid w:val="0"/>
                <w:kern w:val="2"/>
                <w:sz w:val="21"/>
              </w:rPr>
              <w:t>账</w:t>
            </w:r>
            <w:r>
              <w:rPr>
                <w:rFonts w:ascii="Times New Roman" w:hAnsi="Times New Roman" w:eastAsia="宋体"/>
                <w:snapToGrid w:val="0"/>
                <w:kern w:val="2"/>
                <w:sz w:val="21"/>
              </w:rPr>
              <w:t>号：</w:t>
            </w: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统一社会信用代码：</w:t>
            </w:r>
          </w:p>
        </w:tc>
      </w:tr>
      <w:tr>
        <w:tblPrEx>
          <w:tblCellMar>
            <w:top w:w="0" w:type="dxa"/>
            <w:left w:w="108" w:type="dxa"/>
            <w:bottom w:w="0" w:type="dxa"/>
            <w:right w:w="108" w:type="dxa"/>
          </w:tblCellMar>
        </w:tblPrEx>
        <w:trPr>
          <w:trHeight w:val="567" w:hRule="exact"/>
        </w:trPr>
        <w:tc>
          <w:tcPr>
            <w:tcW w:w="4644" w:type="dxa"/>
          </w:tcPr>
          <w:p>
            <w:pPr>
              <w:widowControl w:val="0"/>
              <w:adjustRightInd w:val="0"/>
              <w:snapToGrid w:val="0"/>
              <w:spacing w:line="560" w:lineRule="exact"/>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1430" w:hRule="exact"/>
        </w:trPr>
        <w:tc>
          <w:tcPr>
            <w:tcW w:w="4644" w:type="dxa"/>
            <w:vAlign w:val="center"/>
          </w:tcPr>
          <w:p>
            <w:pPr>
              <w:widowControl w:val="0"/>
              <w:adjustRightInd w:val="0"/>
              <w:snapToGrid w:val="0"/>
              <w:spacing w:line="360" w:lineRule="auto"/>
              <w:jc w:val="both"/>
              <w:rPr>
                <w:rFonts w:ascii="Times New Roman" w:hAnsi="Times New Roman" w:eastAsia="宋体"/>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1093" w:hRule="exact"/>
        </w:trPr>
        <w:tc>
          <w:tcPr>
            <w:tcW w:w="4644" w:type="dxa"/>
            <w:vAlign w:val="center"/>
          </w:tcPr>
          <w:p>
            <w:pPr>
              <w:widowControl w:val="0"/>
              <w:adjustRightInd w:val="0"/>
              <w:snapToGrid w:val="0"/>
              <w:spacing w:line="400" w:lineRule="exact"/>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tcPr>
          <w:p>
            <w:pPr>
              <w:widowControl w:val="0"/>
              <w:adjustRightInd w:val="0"/>
              <w:snapToGrid w:val="0"/>
              <w:spacing w:line="560" w:lineRule="exact"/>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9736" w:type="dxa"/>
            <w:gridSpan w:val="2"/>
            <w:vAlign w:val="center"/>
          </w:tcPr>
          <w:p>
            <w:pPr>
              <w:widowControl w:val="0"/>
              <w:jc w:val="center"/>
              <w:rPr>
                <w:rFonts w:ascii="Times New Roman" w:hAnsi="Times New Roman" w:eastAsia="宋体"/>
                <w:kern w:val="2"/>
                <w:sz w:val="21"/>
                <w:szCs w:val="21"/>
              </w:rPr>
            </w:pPr>
          </w:p>
        </w:tc>
      </w:tr>
      <w:tr>
        <w:tblPrEx>
          <w:tblCellMar>
            <w:top w:w="0" w:type="dxa"/>
            <w:left w:w="108" w:type="dxa"/>
            <w:bottom w:w="0" w:type="dxa"/>
            <w:right w:w="108" w:type="dxa"/>
          </w:tblCellMar>
        </w:tblPrEx>
        <w:trPr>
          <w:trHeight w:val="567" w:hRule="exact"/>
        </w:trPr>
        <w:tc>
          <w:tcPr>
            <w:tcW w:w="9736" w:type="dxa"/>
            <w:gridSpan w:val="2"/>
            <w:vAlign w:val="center"/>
          </w:tcPr>
          <w:p>
            <w:pPr>
              <w:widowControl w:val="0"/>
              <w:jc w:val="center"/>
              <w:rPr>
                <w:rFonts w:ascii="Times New Roman" w:hAnsi="Times New Roman" w:eastAsia="宋体"/>
                <w:vanish/>
                <w:kern w:val="2"/>
                <w:sz w:val="21"/>
                <w:szCs w:val="21"/>
              </w:rPr>
            </w:pPr>
            <w:r>
              <w:rPr>
                <w:rFonts w:ascii="Times New Roman" w:hAnsi="Times New Roman" w:eastAsia="宋体"/>
                <w:kern w:val="2"/>
                <w:sz w:val="21"/>
                <w:szCs w:val="21"/>
              </w:rPr>
              <w:t>签订日期：2024年   月   日</w:t>
            </w:r>
          </w:p>
          <w:p>
            <w:pPr>
              <w:widowControl w:val="0"/>
              <w:jc w:val="center"/>
              <w:rPr>
                <w:rFonts w:ascii="Times New Roman" w:hAnsi="Times New Roman" w:eastAsia="宋体"/>
                <w:snapToGrid w:val="0"/>
                <w:kern w:val="2"/>
                <w:sz w:val="21"/>
                <w:szCs w:val="21"/>
              </w:rPr>
            </w:pPr>
          </w:p>
        </w:tc>
      </w:tr>
    </w:tbl>
    <w:p>
      <w:pPr>
        <w:rPr>
          <w:vanish/>
        </w:rPr>
      </w:pPr>
    </w:p>
    <w:p>
      <w:pPr>
        <w:rPr>
          <w:rFonts w:ascii="Times New Roman" w:hAnsi="Times New Roman" w:eastAsia="宋体"/>
        </w:rPr>
      </w:pPr>
      <w:r>
        <w:rPr>
          <w:rFonts w:ascii="Times New Roman" w:hAnsi="Times New Roman" w:eastAsia="宋体"/>
        </w:rPr>
        <w:br w:type="page"/>
      </w:r>
    </w:p>
    <w:p>
      <w:pPr>
        <w:adjustRightInd w:val="0"/>
        <w:snapToGrid w:val="0"/>
        <w:spacing w:line="560" w:lineRule="exact"/>
        <w:rPr>
          <w:rFonts w:ascii="Times New Roman" w:hAnsi="Times New Roman" w:eastAsia="宋体"/>
          <w:b/>
        </w:rPr>
      </w:pPr>
      <w:r>
        <w:rPr>
          <w:rFonts w:hint="eastAsia" w:ascii="Times New Roman" w:hAnsi="Times New Roman" w:eastAsia="宋体"/>
          <w:b/>
          <w:bCs/>
        </w:rPr>
        <w:t>附件一：廉政合同</w:t>
      </w:r>
    </w:p>
    <w:p>
      <w:pPr>
        <w:adjustRightInd w:val="0"/>
        <w:snapToGrid w:val="0"/>
        <w:spacing w:line="560" w:lineRule="exact"/>
        <w:jc w:val="center"/>
        <w:rPr>
          <w:rFonts w:ascii="Times New Roman" w:hAnsi="Times New Roman" w:eastAsia="宋体"/>
          <w:b/>
          <w:bCs/>
          <w:sz w:val="44"/>
          <w:szCs w:val="44"/>
        </w:rPr>
      </w:pPr>
      <w:r>
        <w:rPr>
          <w:rFonts w:hint="eastAsia" w:ascii="Times New Roman" w:hAnsi="Times New Roman" w:eastAsia="宋体"/>
          <w:b/>
          <w:bCs/>
          <w:sz w:val="44"/>
          <w:szCs w:val="44"/>
        </w:rPr>
        <w:t>廉</w:t>
      </w:r>
      <w:r>
        <w:rPr>
          <w:rFonts w:ascii="Times New Roman" w:hAnsi="Times New Roman" w:eastAsia="宋体"/>
          <w:b/>
          <w:bCs/>
          <w:sz w:val="44"/>
          <w:szCs w:val="44"/>
        </w:rPr>
        <w:t xml:space="preserve"> </w:t>
      </w:r>
      <w:r>
        <w:rPr>
          <w:rFonts w:hint="eastAsia" w:ascii="Times New Roman" w:hAnsi="Times New Roman" w:eastAsia="宋体"/>
          <w:b/>
          <w:bCs/>
          <w:sz w:val="44"/>
          <w:szCs w:val="44"/>
        </w:rPr>
        <w:t>政</w:t>
      </w:r>
      <w:r>
        <w:rPr>
          <w:rFonts w:ascii="Times New Roman" w:hAnsi="Times New Roman" w:eastAsia="宋体"/>
          <w:b/>
          <w:bCs/>
          <w:sz w:val="44"/>
          <w:szCs w:val="44"/>
        </w:rPr>
        <w:t xml:space="preserve"> </w:t>
      </w:r>
      <w:r>
        <w:rPr>
          <w:rFonts w:hint="eastAsia" w:ascii="Times New Roman" w:hAnsi="Times New Roman" w:eastAsia="宋体"/>
          <w:b/>
          <w:bCs/>
          <w:sz w:val="44"/>
          <w:szCs w:val="44"/>
        </w:rPr>
        <w:t>合</w:t>
      </w:r>
      <w:r>
        <w:rPr>
          <w:rFonts w:ascii="Times New Roman" w:hAnsi="Times New Roman" w:eastAsia="宋体"/>
          <w:b/>
          <w:bCs/>
          <w:sz w:val="44"/>
          <w:szCs w:val="44"/>
        </w:rPr>
        <w:t xml:space="preserve"> </w:t>
      </w:r>
      <w:r>
        <w:rPr>
          <w:rFonts w:hint="eastAsia" w:ascii="Times New Roman" w:hAnsi="Times New Roman" w:eastAsia="宋体"/>
          <w:b/>
          <w:bCs/>
          <w:sz w:val="44"/>
          <w:szCs w:val="44"/>
        </w:rPr>
        <w:t>同</w:t>
      </w:r>
    </w:p>
    <w:p>
      <w:pPr>
        <w:pStyle w:val="11"/>
        <w:adjustRightInd w:val="0"/>
        <w:snapToGrid w:val="0"/>
        <w:spacing w:line="560" w:lineRule="exact"/>
        <w:ind w:firstLine="480"/>
        <w:rPr>
          <w:rFonts w:ascii="Times New Roman" w:hAnsi="Times New Roman" w:eastAsia="宋体"/>
        </w:rPr>
      </w:pPr>
    </w:p>
    <w:p>
      <w:pPr>
        <w:adjustRightInd w:val="0"/>
        <w:snapToGrid w:val="0"/>
        <w:spacing w:line="360" w:lineRule="auto"/>
        <w:rPr>
          <w:rFonts w:ascii="宋体" w:hAnsi="宋体" w:eastAsia="宋体"/>
          <w:b/>
        </w:rPr>
      </w:pPr>
      <w:r>
        <w:rPr>
          <w:rFonts w:hint="eastAsia" w:ascii="宋体" w:hAnsi="宋体" w:eastAsia="宋体"/>
          <w:b/>
        </w:rPr>
        <w:t>发</w:t>
      </w:r>
      <w:r>
        <w:rPr>
          <w:rFonts w:ascii="宋体" w:hAnsi="宋体" w:eastAsia="宋体"/>
          <w:b/>
        </w:rPr>
        <w:t xml:space="preserve"> </w:t>
      </w:r>
      <w:r>
        <w:rPr>
          <w:rFonts w:hint="eastAsia" w:ascii="宋体" w:hAnsi="宋体" w:eastAsia="宋体"/>
          <w:b/>
        </w:rPr>
        <w:t>包</w:t>
      </w:r>
      <w:r>
        <w:rPr>
          <w:rFonts w:ascii="宋体" w:hAnsi="宋体" w:eastAsia="宋体"/>
          <w:b/>
        </w:rPr>
        <w:t xml:space="preserve"> 人（甲方）：</w:t>
      </w:r>
      <w:r>
        <w:rPr>
          <w:rFonts w:ascii="宋体" w:hAnsi="宋体" w:eastAsia="宋体"/>
          <w:b/>
          <w:u w:val="single"/>
        </w:rPr>
        <w:t>广州市花都区公共建设项目管理中心</w:t>
      </w:r>
    </w:p>
    <w:p>
      <w:pPr>
        <w:adjustRightInd w:val="0"/>
        <w:snapToGrid w:val="0"/>
        <w:spacing w:line="360" w:lineRule="auto"/>
        <w:rPr>
          <w:rFonts w:ascii="宋体" w:hAnsi="宋体" w:eastAsia="宋体"/>
          <w:b/>
        </w:rPr>
      </w:pPr>
      <w:r>
        <w:rPr>
          <w:rFonts w:hint="eastAsia" w:ascii="宋体" w:hAnsi="宋体" w:eastAsia="宋体"/>
          <w:b/>
        </w:rPr>
        <w:t>承</w:t>
      </w:r>
      <w:r>
        <w:rPr>
          <w:rFonts w:ascii="宋体" w:hAnsi="宋体" w:eastAsia="宋体"/>
          <w:b/>
        </w:rPr>
        <w:t xml:space="preserve"> </w:t>
      </w:r>
      <w:r>
        <w:rPr>
          <w:rFonts w:hint="eastAsia" w:ascii="宋体" w:hAnsi="宋体" w:eastAsia="宋体"/>
          <w:b/>
        </w:rPr>
        <w:t xml:space="preserve">包 </w:t>
      </w:r>
      <w:r>
        <w:rPr>
          <w:rFonts w:ascii="宋体" w:hAnsi="宋体" w:eastAsia="宋体"/>
          <w:b/>
        </w:rPr>
        <w:t>人（乙方）：</w:t>
      </w:r>
      <w:r>
        <w:rPr>
          <w:rFonts w:hint="eastAsia" w:ascii="宋体" w:hAnsi="宋体" w:eastAsia="宋体"/>
          <w:b/>
          <w:u w:val="single"/>
        </w:rPr>
        <w:t xml:space="preserve"> </w:t>
      </w:r>
      <w:r>
        <w:rPr>
          <w:rFonts w:ascii="宋体" w:hAnsi="宋体" w:eastAsia="宋体"/>
          <w:b/>
          <w:u w:val="single"/>
        </w:rPr>
        <w:t xml:space="preserve">                       </w:t>
      </w:r>
      <w:r>
        <w:rPr>
          <w:rFonts w:hint="eastAsia" w:ascii="宋体" w:hAnsi="宋体" w:eastAsia="宋体"/>
          <w:b/>
          <w:u w:val="single"/>
        </w:rPr>
        <w:t xml:space="preserve"> </w:t>
      </w:r>
      <w:r>
        <w:rPr>
          <w:rFonts w:ascii="宋体" w:hAnsi="宋体" w:eastAsia="宋体"/>
          <w:b/>
          <w:u w:val="single"/>
        </w:rPr>
        <w:t xml:space="preserve">       </w:t>
      </w:r>
    </w:p>
    <w:p>
      <w:pPr>
        <w:adjustRightInd w:val="0"/>
        <w:snapToGrid w:val="0"/>
        <w:spacing w:line="560" w:lineRule="exact"/>
        <w:rPr>
          <w:rFonts w:ascii="Times New Roman" w:hAnsi="Times New Roman" w:eastAsia="宋体"/>
          <w:b/>
          <w:bCs/>
        </w:rPr>
      </w:pPr>
    </w:p>
    <w:p>
      <w:pPr>
        <w:adjustRightInd w:val="0"/>
        <w:snapToGrid w:val="0"/>
        <w:spacing w:line="560" w:lineRule="exact"/>
        <w:ind w:firstLine="480" w:firstLineChars="200"/>
        <w:jc w:val="both"/>
        <w:rPr>
          <w:rFonts w:ascii="Times New Roman" w:hAnsi="Times New Roman" w:eastAsia="宋体"/>
        </w:rPr>
      </w:pPr>
      <w:r>
        <w:rPr>
          <w:rFonts w:hint="eastAsia" w:ascii="Times New Roman" w:hAnsi="Times New Roman" w:eastAsia="宋体"/>
        </w:rPr>
        <w:t>根据国家、省有关廉政建设的规定，为做好合同工程的廉政建设，保证工程质量与施工安全，提高建设资金的有效使用和投资效益，合同各方当事人就加强合同工程的廉政建设，订立本合同。</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1 </w:t>
      </w:r>
      <w:r>
        <w:rPr>
          <w:rFonts w:hint="eastAsia" w:ascii="Times New Roman" w:hAnsi="Times New Roman" w:eastAsia="宋体"/>
          <w:b/>
          <w:bCs/>
        </w:rPr>
        <w:t>合同各方权利和义务</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1.1 </w:t>
      </w:r>
      <w:r>
        <w:rPr>
          <w:rFonts w:hint="eastAsia" w:ascii="Times New Roman" w:hAnsi="Times New Roman" w:eastAsia="宋体"/>
        </w:rPr>
        <w:t>严格遵守国家、省有关法律法规的规定。</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1.2 </w:t>
      </w:r>
      <w:r>
        <w:rPr>
          <w:rFonts w:hint="eastAsia" w:ascii="Times New Roman" w:hAnsi="Times New Roman" w:eastAsia="宋体"/>
        </w:rPr>
        <w:t>严格执行合同工程一切合同文件，自觉按合同办事。</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1.3 </w:t>
      </w:r>
      <w:r>
        <w:rPr>
          <w:rFonts w:hint="eastAsia" w:ascii="Times New Roman" w:hAnsi="Times New Roman" w:eastAsia="宋体"/>
        </w:rPr>
        <w:t>合同各方当事人的业务活动应坚持公平、公开、公正和诚信的原则（法律认定的商业秘密和合同文件另有规定除外），不得损害国家和集体利益，不得违反工程建设管理规章制度。</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1.4 </w:t>
      </w:r>
      <w:r>
        <w:rPr>
          <w:rFonts w:hint="eastAsia" w:ascii="Times New Roman" w:hAnsi="Times New Roman" w:eastAsia="宋体"/>
        </w:rPr>
        <w:t>建立健全廉政制度，开展廉政教育，设立廉政告示牌，公布举报电话，监督并认真查处违法违纪行为。</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1.5 </w:t>
      </w:r>
      <w:r>
        <w:rPr>
          <w:rFonts w:hint="eastAsia" w:ascii="Times New Roman" w:hAnsi="Times New Roman" w:eastAsia="宋体"/>
        </w:rPr>
        <w:t>发现一方在业务活动中有违反廉政建设规定的行为，应及时给予提醒和纠正。</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1.6 </w:t>
      </w:r>
      <w:r>
        <w:rPr>
          <w:rFonts w:hint="eastAsia" w:ascii="Times New Roman" w:hAnsi="Times New Roman" w:eastAsia="宋体"/>
        </w:rPr>
        <w:t>发现一方严重违反合同的行为，有向其上级部门举报、建议给予处理并要求告知处理结果的权利。</w:t>
      </w:r>
      <w:r>
        <w:rPr>
          <w:rFonts w:ascii="Times New Roman" w:hAnsi="Times New Roman" w:eastAsia="宋体"/>
        </w:rPr>
        <w:t xml:space="preserve"> </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2 </w:t>
      </w:r>
      <w:r>
        <w:rPr>
          <w:rFonts w:hint="eastAsia" w:ascii="Times New Roman" w:hAnsi="Times New Roman" w:eastAsia="宋体"/>
          <w:b/>
          <w:bCs/>
        </w:rPr>
        <w:t>发包人义务</w:t>
      </w:r>
      <w:r>
        <w:rPr>
          <w:rFonts w:ascii="Times New Roman" w:hAnsi="Times New Roman" w:eastAsia="宋体"/>
          <w:b/>
          <w:bCs/>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2 .1 </w:t>
      </w:r>
      <w:r>
        <w:rPr>
          <w:rFonts w:hint="eastAsia" w:ascii="Times New Roman" w:hAnsi="Times New Roman" w:eastAsia="宋体"/>
        </w:rPr>
        <w:t>发包人及其工作人员不得索取或接受承包人的礼金、有价证券和贵重物品，不得在承包人报销任何应由发包人或其工作人员个人支付的费用。</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2.2 </w:t>
      </w:r>
      <w:r>
        <w:rPr>
          <w:rFonts w:hint="eastAsia" w:ascii="Times New Roman" w:hAnsi="Times New Roman" w:eastAsia="宋体"/>
        </w:rPr>
        <w:t>发包人及其工作人员不得参加承包人安排的宴请（工作餐除外）和娱乐活动，不得接受承包人提供的通讯、交通工具和高档办公用品等物品。</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2.3 </w:t>
      </w:r>
      <w:r>
        <w:rPr>
          <w:rFonts w:hint="eastAsia" w:ascii="Times New Roman" w:hAnsi="Times New Roman" w:eastAsia="宋体"/>
        </w:rPr>
        <w:t>发包人及其工作人员不得要求或者接受承包人为其住房装修、婚丧嫁娶活动、配偶子女工作安排以及出国出境、旅游等提供方便。</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2 .4 </w:t>
      </w:r>
      <w:r>
        <w:rPr>
          <w:rFonts w:hint="eastAsia" w:ascii="Times New Roman" w:hAnsi="Times New Roman" w:eastAsia="宋体"/>
        </w:rPr>
        <w:t>发包人及其工作人员不得以任何理由向承包人推荐分包人、推销材料和工程设备，不得要求承包人购买合同以外的材料和工程设备。</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2.5 </w:t>
      </w:r>
      <w:r>
        <w:rPr>
          <w:rFonts w:hint="eastAsia" w:ascii="Times New Roman" w:hAnsi="Times New Roman" w:eastAsia="宋体"/>
        </w:rPr>
        <w:t>发包人及其工作人员要秉公办事，不准营私舞弊，不准利用职权私自为合同工程安排施工队伍，也不得从事与合同工程有关的各种有偿中介活动。</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2.6 </w:t>
      </w:r>
      <w:r>
        <w:rPr>
          <w:rFonts w:hint="eastAsia" w:ascii="Times New Roman" w:hAnsi="Times New Roman" w:eastAsia="宋体"/>
        </w:rPr>
        <w:t>发包人及其工作人员（含其配偶、子女）不得从事与合同工程有关的材料和工程设备供应、工程分包、劳务等经济活动。</w:t>
      </w:r>
      <w:r>
        <w:rPr>
          <w:rFonts w:ascii="Times New Roman" w:hAnsi="Times New Roman" w:eastAsia="宋体"/>
        </w:rPr>
        <w:t xml:space="preserve"> </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3 </w:t>
      </w:r>
      <w:r>
        <w:rPr>
          <w:rFonts w:hint="eastAsia" w:ascii="Times New Roman" w:hAnsi="Times New Roman" w:eastAsia="宋体"/>
          <w:b/>
          <w:bCs/>
        </w:rPr>
        <w:t>承包人义务</w:t>
      </w:r>
      <w:r>
        <w:rPr>
          <w:rFonts w:ascii="Times New Roman" w:hAnsi="Times New Roman" w:eastAsia="宋体"/>
          <w:b/>
          <w:bCs/>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3.1 </w:t>
      </w:r>
      <w:r>
        <w:rPr>
          <w:rFonts w:hint="eastAsia" w:ascii="Times New Roman" w:hAnsi="Times New Roman" w:eastAsia="宋体"/>
        </w:rPr>
        <w:t>承包人不得以任何理由向发包人及其工作人员行贿或馈赠礼金、有价证券、贵重礼品。</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3.2 </w:t>
      </w:r>
      <w:r>
        <w:rPr>
          <w:rFonts w:hint="eastAsia" w:ascii="Times New Roman" w:hAnsi="Times New Roman" w:eastAsia="宋体"/>
        </w:rPr>
        <w:t>承包人不得以任何名义为发包人及其工作人员报销应由发包人或其工作人员个人支付的任何费用。</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3.3 </w:t>
      </w:r>
      <w:r>
        <w:rPr>
          <w:rFonts w:hint="eastAsia" w:ascii="Times New Roman" w:hAnsi="Times New Roman" w:eastAsia="宋体"/>
        </w:rPr>
        <w:t>承包人不得以任何理由安排发包人及其工作人员参加宴请（工作餐除外）及娱乐活动。</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3.4 </w:t>
      </w:r>
      <w:r>
        <w:rPr>
          <w:rFonts w:hint="eastAsia" w:ascii="Times New Roman" w:hAnsi="Times New Roman" w:eastAsia="宋体"/>
        </w:rPr>
        <w:t>承包人不得为发包人和个人购置或提供通讯、交通工具和高档办公用品等物品。</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3.5 </w:t>
      </w:r>
      <w:r>
        <w:rPr>
          <w:rFonts w:hint="eastAsia" w:ascii="Times New Roman" w:hAnsi="Times New Roman" w:eastAsia="宋体"/>
        </w:rPr>
        <w:t>承包人不得为发包人及其工作人员的住房装修、婚丧嫁娶活动、配偶子女工作安排以及出国出境、旅游等提供方便。</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4 </w:t>
      </w:r>
      <w:r>
        <w:rPr>
          <w:rFonts w:hint="eastAsia" w:ascii="Times New Roman" w:hAnsi="Times New Roman" w:eastAsia="宋体"/>
          <w:b/>
          <w:bCs/>
        </w:rPr>
        <w:t>违约责任</w:t>
      </w:r>
      <w:r>
        <w:rPr>
          <w:rFonts w:ascii="Times New Roman" w:hAnsi="Times New Roman" w:eastAsia="宋体"/>
          <w:b/>
          <w:bCs/>
        </w:rPr>
        <w:t xml:space="preserve"> </w:t>
      </w: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4.1 </w:t>
      </w:r>
      <w:r>
        <w:rPr>
          <w:rFonts w:hint="eastAsia" w:ascii="Times New Roman" w:hAnsi="Times New Roman" w:eastAsia="宋体"/>
        </w:rPr>
        <w:t>发包人及其工作人员违反本合同第</w:t>
      </w:r>
      <w:r>
        <w:rPr>
          <w:rFonts w:ascii="Times New Roman" w:hAnsi="Times New Roman" w:eastAsia="宋体"/>
        </w:rPr>
        <w:t>1</w:t>
      </w:r>
      <w:r>
        <w:rPr>
          <w:rFonts w:hint="eastAsia" w:ascii="Times New Roman" w:hAnsi="Times New Roman" w:eastAsia="宋体"/>
        </w:rPr>
        <w:t>条和第</w:t>
      </w:r>
      <w:r>
        <w:rPr>
          <w:rFonts w:ascii="Times New Roman" w:hAnsi="Times New Roman" w:eastAsia="宋体"/>
        </w:rPr>
        <w:t>2</w:t>
      </w:r>
      <w:r>
        <w:rPr>
          <w:rFonts w:hint="eastAsia" w:ascii="Times New Roman" w:hAnsi="Times New Roman" w:eastAsia="宋体"/>
        </w:rPr>
        <w:t>条规定，应按照廉政建设的有关规定给予处分；涉嫌犯罪的，移交司法机关追究刑事责任；给承包人造成损失的，应予赔偿。</w:t>
      </w:r>
      <w:r>
        <w:rPr>
          <w:rFonts w:ascii="Times New Roman" w:hAnsi="Times New Roman" w:eastAsia="宋体"/>
        </w:rPr>
        <w:t xml:space="preserve"> </w:t>
      </w:r>
    </w:p>
    <w:p>
      <w:pPr>
        <w:rPr>
          <w:rFonts w:ascii="Times New Roman" w:hAnsi="Times New Roman" w:eastAsia="宋体"/>
        </w:rPr>
      </w:pPr>
      <w:r>
        <w:rPr>
          <w:rFonts w:ascii="Times New Roman" w:hAnsi="Times New Roman" w:eastAsia="宋体"/>
        </w:rPr>
        <w:br w:type="page"/>
      </w:r>
    </w:p>
    <w:p>
      <w:pPr>
        <w:adjustRightInd w:val="0"/>
        <w:snapToGrid w:val="0"/>
        <w:spacing w:line="560" w:lineRule="exact"/>
        <w:ind w:firstLine="480" w:firstLineChars="200"/>
        <w:jc w:val="both"/>
        <w:rPr>
          <w:rFonts w:ascii="Times New Roman" w:hAnsi="Times New Roman" w:eastAsia="宋体"/>
        </w:rPr>
      </w:pPr>
    </w:p>
    <w:p>
      <w:pPr>
        <w:adjustRightInd w:val="0"/>
        <w:snapToGrid w:val="0"/>
        <w:spacing w:line="560" w:lineRule="exact"/>
        <w:ind w:firstLine="480" w:firstLineChars="200"/>
        <w:jc w:val="both"/>
        <w:rPr>
          <w:rFonts w:ascii="Times New Roman" w:hAnsi="Times New Roman" w:eastAsia="宋体"/>
        </w:rPr>
      </w:pPr>
      <w:r>
        <w:rPr>
          <w:rFonts w:ascii="Times New Roman" w:hAnsi="Times New Roman" w:eastAsia="宋体"/>
        </w:rPr>
        <w:t xml:space="preserve">4.2 </w:t>
      </w:r>
      <w:r>
        <w:rPr>
          <w:rFonts w:hint="eastAsia" w:ascii="Times New Roman" w:hAnsi="Times New Roman" w:eastAsia="宋体"/>
        </w:rPr>
        <w:t>承包人及其工作人员违反本合同第</w:t>
      </w:r>
      <w:r>
        <w:rPr>
          <w:rFonts w:ascii="Times New Roman" w:hAnsi="Times New Roman" w:eastAsia="宋体"/>
        </w:rPr>
        <w:t>1</w:t>
      </w:r>
      <w:r>
        <w:rPr>
          <w:rFonts w:hint="eastAsia" w:ascii="Times New Roman" w:hAnsi="Times New Roman" w:eastAsia="宋体"/>
        </w:rPr>
        <w:t>条和第</w:t>
      </w:r>
      <w:r>
        <w:rPr>
          <w:rFonts w:ascii="Times New Roman" w:hAnsi="Times New Roman" w:eastAsia="宋体"/>
        </w:rPr>
        <w:t>3</w:t>
      </w:r>
      <w:r>
        <w:rPr>
          <w:rFonts w:hint="eastAsia" w:ascii="Times New Roman" w:hAnsi="Times New Roman" w:eastAsia="宋体"/>
        </w:rPr>
        <w:t>条规定，应按照廉政建设的有关规定给予处分；情节严重的，给予承包人</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年内不得进入工程建设市场的处罚；涉嫌犯罪的，移交司法机关追究刑事责任；给发包人造成损失的，应予赔偿；</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5 </w:t>
      </w:r>
      <w:r>
        <w:rPr>
          <w:rFonts w:hint="eastAsia" w:ascii="Times New Roman" w:hAnsi="Times New Roman" w:eastAsia="宋体"/>
          <w:b/>
          <w:bCs/>
        </w:rPr>
        <w:t>双方约定</w:t>
      </w:r>
      <w:r>
        <w:rPr>
          <w:rFonts w:ascii="Times New Roman" w:hAnsi="Times New Roman" w:eastAsia="宋体"/>
          <w:b/>
          <w:bCs/>
        </w:rPr>
        <w:t xml:space="preserve"> </w:t>
      </w:r>
    </w:p>
    <w:p>
      <w:pPr>
        <w:adjustRightInd w:val="0"/>
        <w:snapToGrid w:val="0"/>
        <w:spacing w:line="560" w:lineRule="exact"/>
        <w:ind w:firstLine="480" w:firstLineChars="200"/>
        <w:jc w:val="both"/>
        <w:rPr>
          <w:rFonts w:ascii="Times New Roman" w:hAnsi="Times New Roman" w:eastAsia="宋体"/>
        </w:rPr>
      </w:pPr>
      <w:r>
        <w:rPr>
          <w:rFonts w:hint="eastAsia" w:ascii="Times New Roman" w:hAnsi="Times New Roman" w:eastAsia="宋体"/>
        </w:rPr>
        <w:t>本合同由合同双方当事人或其上级部门负责监督执行，并由合同双方当事人或其上级部门相互约请对本合同执行情况进行检查。</w:t>
      </w:r>
      <w:r>
        <w:rPr>
          <w:rFonts w:ascii="Times New Roman" w:hAnsi="Times New Roman" w:eastAsia="宋体"/>
        </w:rPr>
        <w:t xml:space="preserve"> </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6 </w:t>
      </w:r>
      <w:r>
        <w:rPr>
          <w:rFonts w:hint="eastAsia" w:ascii="Times New Roman" w:hAnsi="Times New Roman" w:eastAsia="宋体"/>
          <w:b/>
          <w:bCs/>
        </w:rPr>
        <w:t>合同法律效力</w:t>
      </w:r>
      <w:r>
        <w:rPr>
          <w:rFonts w:ascii="Times New Roman" w:hAnsi="Times New Roman" w:eastAsia="宋体"/>
          <w:b/>
          <w:bCs/>
        </w:rPr>
        <w:t xml:space="preserve"> </w:t>
      </w:r>
    </w:p>
    <w:p>
      <w:pPr>
        <w:adjustRightInd w:val="0"/>
        <w:snapToGrid w:val="0"/>
        <w:spacing w:line="560" w:lineRule="exact"/>
        <w:ind w:firstLine="480" w:firstLineChars="200"/>
        <w:jc w:val="both"/>
        <w:rPr>
          <w:rFonts w:ascii="Times New Roman" w:hAnsi="Times New Roman" w:eastAsia="宋体"/>
        </w:rPr>
      </w:pPr>
      <w:r>
        <w:rPr>
          <w:rFonts w:hint="eastAsia" w:ascii="Times New Roman" w:hAnsi="Times New Roman" w:eastAsia="宋体"/>
        </w:rPr>
        <w:t>本合同作为</w:t>
      </w:r>
      <w:r>
        <w:rPr>
          <w:rFonts w:hint="eastAsia" w:ascii="Times New Roman" w:hAnsi="Times New Roman" w:eastAsia="宋体"/>
          <w:b/>
          <w:u w:val="single"/>
        </w:rPr>
        <w:t>秀全外国语学校改扩建项目地铁保护监测服务</w:t>
      </w:r>
      <w:r>
        <w:rPr>
          <w:rFonts w:hint="eastAsia" w:ascii="Times New Roman" w:hAnsi="Times New Roman" w:eastAsia="宋体"/>
        </w:rPr>
        <w:t>的合同的附件，具有同等的法律效力。</w:t>
      </w:r>
      <w:r>
        <w:rPr>
          <w:rFonts w:ascii="Times New Roman" w:hAnsi="Times New Roman" w:eastAsia="宋体"/>
        </w:rPr>
        <w:t xml:space="preserve"> </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7 </w:t>
      </w:r>
      <w:r>
        <w:rPr>
          <w:rFonts w:hint="eastAsia" w:ascii="Times New Roman" w:hAnsi="Times New Roman" w:eastAsia="宋体"/>
          <w:b/>
          <w:bCs/>
        </w:rPr>
        <w:t>合同生效</w:t>
      </w:r>
      <w:r>
        <w:rPr>
          <w:rFonts w:ascii="Times New Roman" w:hAnsi="Times New Roman" w:eastAsia="宋体"/>
          <w:b/>
          <w:bCs/>
        </w:rPr>
        <w:t xml:space="preserve"> </w:t>
      </w:r>
    </w:p>
    <w:p>
      <w:pPr>
        <w:adjustRightInd w:val="0"/>
        <w:snapToGrid w:val="0"/>
        <w:spacing w:line="560" w:lineRule="exact"/>
        <w:ind w:firstLine="480" w:firstLineChars="200"/>
        <w:jc w:val="both"/>
        <w:rPr>
          <w:rFonts w:ascii="Times New Roman" w:hAnsi="Times New Roman" w:eastAsia="宋体"/>
        </w:rPr>
      </w:pPr>
      <w:r>
        <w:rPr>
          <w:rFonts w:hint="eastAsia" w:ascii="Times New Roman" w:hAnsi="Times New Roman" w:eastAsia="宋体"/>
        </w:rPr>
        <w:t>本合同自合同各方当事人签署之日起生效，至合同工程竣工验收合格之日后失效。</w:t>
      </w:r>
      <w:r>
        <w:rPr>
          <w:rFonts w:ascii="Times New Roman" w:hAnsi="Times New Roman" w:eastAsia="宋体"/>
        </w:rPr>
        <w:t xml:space="preserve">  </w:t>
      </w:r>
    </w:p>
    <w:p>
      <w:pPr>
        <w:adjustRightInd w:val="0"/>
        <w:snapToGrid w:val="0"/>
        <w:spacing w:line="560" w:lineRule="exact"/>
        <w:ind w:firstLine="200"/>
        <w:jc w:val="both"/>
        <w:rPr>
          <w:rFonts w:ascii="Times New Roman" w:hAnsi="Times New Roman" w:eastAsia="宋体"/>
          <w:b/>
          <w:bCs/>
        </w:rPr>
      </w:pPr>
      <w:r>
        <w:rPr>
          <w:rFonts w:ascii="Times New Roman" w:hAnsi="Times New Roman" w:eastAsia="宋体"/>
          <w:b/>
          <w:bCs/>
        </w:rPr>
        <w:t xml:space="preserve">8 </w:t>
      </w:r>
      <w:r>
        <w:rPr>
          <w:rFonts w:hint="eastAsia" w:ascii="Times New Roman" w:hAnsi="Times New Roman" w:eastAsia="宋体"/>
          <w:b/>
          <w:bCs/>
        </w:rPr>
        <w:t>合同份数</w:t>
      </w:r>
    </w:p>
    <w:p>
      <w:pPr>
        <w:adjustRightInd w:val="0"/>
        <w:snapToGrid w:val="0"/>
        <w:spacing w:line="560" w:lineRule="exact"/>
        <w:ind w:firstLine="480" w:firstLineChars="200"/>
        <w:jc w:val="both"/>
        <w:rPr>
          <w:rFonts w:ascii="Times New Roman" w:hAnsi="Times New Roman" w:eastAsia="宋体"/>
        </w:rPr>
      </w:pPr>
      <w:r>
        <w:rPr>
          <w:rFonts w:hint="eastAsia" w:ascii="Times New Roman" w:hAnsi="Times New Roman" w:eastAsia="宋体"/>
        </w:rPr>
        <w:t>本合同一式</w:t>
      </w:r>
      <w:r>
        <w:rPr>
          <w:rFonts w:ascii="Times New Roman" w:hAnsi="Times New Roman" w:eastAsia="宋体"/>
          <w:u w:val="single"/>
        </w:rPr>
        <w:t xml:space="preserve">   </w:t>
      </w:r>
      <w:r>
        <w:rPr>
          <w:rFonts w:hint="eastAsia" w:ascii="Times New Roman" w:hAnsi="Times New Roman" w:eastAsia="宋体"/>
        </w:rPr>
        <w:t>份，合同各方各执</w:t>
      </w:r>
      <w:r>
        <w:rPr>
          <w:rFonts w:ascii="Times New Roman" w:hAnsi="Times New Roman" w:eastAsia="宋体"/>
          <w:u w:val="single"/>
        </w:rPr>
        <w:t xml:space="preserve">  </w:t>
      </w:r>
      <w:r>
        <w:rPr>
          <w:rFonts w:hint="eastAsia" w:ascii="Times New Roman" w:hAnsi="Times New Roman" w:eastAsia="宋体"/>
        </w:rPr>
        <w:t>份。</w:t>
      </w:r>
      <w:r>
        <w:rPr>
          <w:rFonts w:ascii="Times New Roman" w:hAnsi="Times New Roman" w:eastAsia="宋体"/>
        </w:rPr>
        <w:t xml:space="preserve"> </w:t>
      </w:r>
    </w:p>
    <w:p>
      <w:pPr>
        <w:adjustRightInd w:val="0"/>
        <w:snapToGrid w:val="0"/>
        <w:spacing w:line="560" w:lineRule="exact"/>
        <w:ind w:firstLine="480" w:firstLineChars="200"/>
        <w:jc w:val="both"/>
        <w:rPr>
          <w:rFonts w:ascii="Times New Roman" w:hAnsi="Times New Roman" w:eastAsia="宋体"/>
        </w:rPr>
      </w:pPr>
    </w:p>
    <w:p>
      <w:pPr>
        <w:pStyle w:val="11"/>
        <w:adjustRightInd w:val="0"/>
        <w:snapToGrid w:val="0"/>
        <w:spacing w:line="560" w:lineRule="exact"/>
        <w:ind w:left="2410" w:leftChars="1004" w:firstLine="0" w:firstLineChars="0"/>
        <w:rPr>
          <w:rFonts w:ascii="Times New Roman" w:hAnsi="Times New Roman" w:eastAsia="宋体"/>
        </w:rPr>
      </w:pPr>
    </w:p>
    <w:p>
      <w:pPr>
        <w:pStyle w:val="19"/>
        <w:widowControl w:val="0"/>
        <w:autoSpaceDE w:val="0"/>
        <w:autoSpaceDN w:val="0"/>
        <w:adjustRightInd w:val="0"/>
        <w:snapToGrid w:val="0"/>
        <w:spacing w:before="0" w:beforeAutospacing="0" w:after="0" w:afterAutospacing="0" w:line="400" w:lineRule="exact"/>
        <w:ind w:right="646" w:rightChars="269" w:firstLine="4898" w:firstLineChars="2033"/>
        <w:jc w:val="both"/>
        <w:rPr>
          <w:rFonts w:ascii="Times New Roman" w:hAnsi="Times New Roman" w:eastAsia="宋体"/>
        </w:rPr>
      </w:pPr>
      <w:r>
        <w:rPr>
          <w:rFonts w:ascii="Times New Roman" w:hAnsi="Times New Roman" w:eastAsia="宋体"/>
          <w:b/>
          <w:bCs/>
        </w:rPr>
        <w:br w:type="page"/>
      </w:r>
    </w:p>
    <w:p>
      <w:pPr>
        <w:pStyle w:val="11"/>
        <w:adjustRightInd w:val="0"/>
        <w:snapToGrid w:val="0"/>
        <w:spacing w:line="560" w:lineRule="exact"/>
        <w:ind w:firstLine="0" w:firstLineChars="0"/>
        <w:rPr>
          <w:rFonts w:ascii="Times New Roman" w:hAnsi="Times New Roman" w:eastAsia="宋体"/>
          <w:b/>
          <w:bCs/>
        </w:rPr>
      </w:pPr>
    </w:p>
    <w:tbl>
      <w:tblPr>
        <w:tblStyle w:val="23"/>
        <w:tblW w:w="9736" w:type="dxa"/>
        <w:tblInd w:w="0" w:type="dxa"/>
        <w:tblLayout w:type="fixed"/>
        <w:tblCellMar>
          <w:top w:w="0" w:type="dxa"/>
          <w:left w:w="108" w:type="dxa"/>
          <w:bottom w:w="0" w:type="dxa"/>
          <w:right w:w="108" w:type="dxa"/>
        </w:tblCellMar>
      </w:tblPr>
      <w:tblGrid>
        <w:gridCol w:w="4644"/>
        <w:gridCol w:w="5092"/>
      </w:tblGrid>
      <w:tr>
        <w:tblPrEx>
          <w:tblCellMar>
            <w:top w:w="0" w:type="dxa"/>
            <w:left w:w="108" w:type="dxa"/>
            <w:bottom w:w="0" w:type="dxa"/>
            <w:right w:w="108" w:type="dxa"/>
          </w:tblCellMar>
        </w:tblPrEx>
        <w:trPr>
          <w:trHeight w:val="1312" w:hRule="exact"/>
        </w:trPr>
        <w:tc>
          <w:tcPr>
            <w:tcW w:w="4644" w:type="dxa"/>
            <w:vAlign w:val="center"/>
          </w:tcPr>
          <w:p>
            <w:pPr>
              <w:widowControl w:val="0"/>
              <w:adjustRightInd w:val="0"/>
              <w:snapToGrid w:val="0"/>
              <w:spacing w:line="360" w:lineRule="auto"/>
              <w:jc w:val="both"/>
              <w:rPr>
                <w:rFonts w:ascii="Times New Roman" w:hAnsi="Times New Roman" w:eastAsia="宋体"/>
                <w:snapToGrid w:val="0"/>
                <w:kern w:val="2"/>
                <w:sz w:val="21"/>
              </w:rPr>
            </w:pPr>
            <w:r>
              <w:rPr>
                <w:rFonts w:ascii="Times New Roman" w:hAnsi="Times New Roman" w:eastAsia="宋体"/>
                <w:snapToGrid w:val="0"/>
                <w:kern w:val="2"/>
                <w:sz w:val="21"/>
              </w:rPr>
              <w:t>发包人（甲方）：</w:t>
            </w:r>
          </w:p>
          <w:p>
            <w:pPr>
              <w:widowControl w:val="0"/>
              <w:ind w:firstLine="420" w:firstLineChars="200"/>
              <w:jc w:val="both"/>
              <w:rPr>
                <w:rFonts w:ascii="Times New Roman" w:hAnsi="Times New Roman" w:eastAsia="宋体"/>
                <w:kern w:val="2"/>
                <w:sz w:val="21"/>
              </w:rPr>
            </w:pPr>
          </w:p>
          <w:p>
            <w:pPr>
              <w:widowControl w:val="0"/>
              <w:adjustRightInd w:val="0"/>
              <w:snapToGrid w:val="0"/>
              <w:spacing w:line="360" w:lineRule="auto"/>
              <w:jc w:val="both"/>
              <w:rPr>
                <w:rFonts w:ascii="Times New Roman" w:hAnsi="Times New Roman" w:eastAsia="宋体"/>
                <w:snapToGrid w:val="0"/>
                <w:kern w:val="2"/>
                <w:sz w:val="21"/>
                <w:u w:val="single"/>
              </w:rPr>
            </w:pPr>
            <w:r>
              <w:rPr>
                <w:rFonts w:ascii="Times New Roman" w:hAnsi="Times New Roman" w:eastAsia="宋体"/>
                <w:b/>
                <w:bCs/>
                <w:snapToGrid w:val="0"/>
                <w:kern w:val="2"/>
                <w:u w:val="single"/>
              </w:rPr>
              <w:t>广州市花都区公共建设项目管理中心</w:t>
            </w:r>
          </w:p>
        </w:tc>
        <w:tc>
          <w:tcPr>
            <w:tcW w:w="5092" w:type="dxa"/>
            <w:vAlign w:val="center"/>
          </w:tcPr>
          <w:p>
            <w:pPr>
              <w:widowControl w:val="0"/>
              <w:adjustRightInd w:val="0"/>
              <w:snapToGrid w:val="0"/>
              <w:spacing w:line="360" w:lineRule="auto"/>
              <w:jc w:val="both"/>
              <w:rPr>
                <w:rFonts w:ascii="Times New Roman" w:hAnsi="Times New Roman" w:eastAsia="宋体"/>
                <w:snapToGrid w:val="0"/>
                <w:kern w:val="2"/>
                <w:sz w:val="21"/>
              </w:rPr>
            </w:pPr>
            <w:r>
              <w:rPr>
                <w:rFonts w:ascii="Times New Roman" w:hAnsi="Times New Roman" w:eastAsia="宋体"/>
                <w:snapToGrid w:val="0"/>
                <w:kern w:val="2"/>
                <w:sz w:val="21"/>
              </w:rPr>
              <w:t xml:space="preserve">承包人（乙方）： </w:t>
            </w:r>
          </w:p>
          <w:p>
            <w:pPr>
              <w:widowControl w:val="0"/>
              <w:ind w:firstLine="420" w:firstLineChars="200"/>
              <w:jc w:val="both"/>
              <w:rPr>
                <w:rFonts w:ascii="Times New Roman" w:hAnsi="Times New Roman" w:eastAsia="宋体"/>
                <w:kern w:val="2"/>
                <w:sz w:val="21"/>
              </w:rPr>
            </w:pPr>
          </w:p>
          <w:p>
            <w:pPr>
              <w:widowControl w:val="0"/>
              <w:adjustRightInd w:val="0"/>
              <w:snapToGrid w:val="0"/>
              <w:spacing w:line="360" w:lineRule="auto"/>
              <w:jc w:val="both"/>
              <w:rPr>
                <w:rFonts w:ascii="宋体" w:hAnsi="宋体" w:eastAsia="宋体"/>
                <w:kern w:val="2"/>
                <w:sz w:val="21"/>
              </w:rPr>
            </w:pPr>
            <w:r>
              <w:rPr>
                <w:rFonts w:ascii="宋体" w:hAnsi="宋体" w:eastAsia="宋体"/>
                <w:b/>
                <w:bCs/>
                <w:snapToGrid w:val="0"/>
                <w:kern w:val="2"/>
                <w:u w:val="single"/>
              </w:rPr>
              <w:t xml:space="preserve">                               </w:t>
            </w:r>
          </w:p>
        </w:tc>
      </w:tr>
      <w:tr>
        <w:tblPrEx>
          <w:tblCellMar>
            <w:top w:w="0" w:type="dxa"/>
            <w:left w:w="108" w:type="dxa"/>
            <w:bottom w:w="0" w:type="dxa"/>
            <w:right w:w="108" w:type="dxa"/>
          </w:tblCellMar>
        </w:tblPrEx>
        <w:trPr>
          <w:trHeight w:val="1311" w:hRule="exact"/>
        </w:trPr>
        <w:tc>
          <w:tcPr>
            <w:tcW w:w="4644" w:type="dxa"/>
            <w:vAlign w:val="center"/>
          </w:tcPr>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snapToGrid w:val="0"/>
                <w:kern w:val="2"/>
                <w:sz w:val="21"/>
              </w:rPr>
              <w:t>法定代表人：</w:t>
            </w:r>
          </w:p>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kern w:val="2"/>
                <w:sz w:val="21"/>
              </w:rPr>
              <w:t>或签约代表人：</w:t>
            </w:r>
          </w:p>
        </w:tc>
        <w:tc>
          <w:tcPr>
            <w:tcW w:w="5092" w:type="dxa"/>
            <w:vAlign w:val="center"/>
          </w:tcPr>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snapToGrid w:val="0"/>
                <w:kern w:val="2"/>
                <w:sz w:val="21"/>
              </w:rPr>
              <w:t>法定代表人：</w:t>
            </w:r>
          </w:p>
          <w:p>
            <w:pPr>
              <w:widowControl w:val="0"/>
              <w:adjustRightInd w:val="0"/>
              <w:snapToGrid w:val="0"/>
              <w:spacing w:line="400" w:lineRule="exact"/>
              <w:jc w:val="both"/>
              <w:rPr>
                <w:rFonts w:ascii="Times New Roman" w:hAnsi="Times New Roman" w:eastAsia="宋体"/>
                <w:snapToGrid w:val="0"/>
                <w:kern w:val="2"/>
                <w:sz w:val="21"/>
              </w:rPr>
            </w:pPr>
            <w:r>
              <w:rPr>
                <w:rFonts w:ascii="Times New Roman" w:hAnsi="Times New Roman" w:eastAsia="宋体"/>
                <w:kern w:val="2"/>
                <w:sz w:val="21"/>
              </w:rPr>
              <w:t>或签约代表人：</w:t>
            </w: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地址：</w:t>
            </w:r>
            <w:r>
              <w:rPr>
                <w:rFonts w:hint="eastAsia" w:ascii="Times New Roman" w:hAnsi="Times New Roman" w:eastAsia="宋体"/>
                <w:snapToGrid w:val="0"/>
                <w:kern w:val="2"/>
                <w:sz w:val="21"/>
              </w:rPr>
              <w:t>广州市花都区公益路</w:t>
            </w:r>
            <w:r>
              <w:rPr>
                <w:rFonts w:ascii="Times New Roman" w:hAnsi="Times New Roman" w:eastAsia="宋体"/>
                <w:snapToGrid w:val="0"/>
                <w:kern w:val="2"/>
                <w:sz w:val="21"/>
              </w:rPr>
              <w:t>41</w:t>
            </w:r>
            <w:r>
              <w:rPr>
                <w:rFonts w:hint="eastAsia" w:ascii="Times New Roman" w:hAnsi="Times New Roman" w:eastAsia="宋体"/>
                <w:snapToGrid w:val="0"/>
                <w:kern w:val="2"/>
                <w:sz w:val="21"/>
              </w:rPr>
              <w:t>号</w:t>
            </w:r>
          </w:p>
        </w:tc>
        <w:tc>
          <w:tcPr>
            <w:tcW w:w="5092" w:type="dxa"/>
            <w:vAlign w:val="center"/>
          </w:tcPr>
          <w:p>
            <w:pPr>
              <w:widowControl w:val="0"/>
              <w:adjustRightInd w:val="0"/>
              <w:snapToGrid w:val="0"/>
              <w:ind w:left="630" w:right="475" w:rightChars="198" w:hanging="630" w:hangingChars="300"/>
              <w:jc w:val="both"/>
              <w:rPr>
                <w:rFonts w:ascii="Times New Roman" w:hAnsi="Times New Roman" w:eastAsia="宋体"/>
                <w:snapToGrid w:val="0"/>
                <w:kern w:val="2"/>
                <w:sz w:val="21"/>
              </w:rPr>
            </w:pPr>
            <w:r>
              <w:rPr>
                <w:rFonts w:ascii="Times New Roman" w:hAnsi="Times New Roman" w:eastAsia="宋体"/>
                <w:snapToGrid w:val="0"/>
                <w:kern w:val="2"/>
                <w:sz w:val="21"/>
              </w:rPr>
              <w:t>地址：</w:t>
            </w: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电话：</w:t>
            </w:r>
            <w:r>
              <w:rPr>
                <w:rFonts w:hint="eastAsia" w:ascii="Times New Roman" w:hAnsi="Times New Roman" w:eastAsia="宋体"/>
                <w:snapToGrid w:val="0"/>
                <w:kern w:val="2"/>
                <w:sz w:val="21"/>
              </w:rPr>
              <w:t>0</w:t>
            </w:r>
            <w:r>
              <w:rPr>
                <w:rFonts w:ascii="Times New Roman" w:hAnsi="Times New Roman" w:eastAsia="宋体"/>
                <w:snapToGrid w:val="0"/>
                <w:kern w:val="2"/>
                <w:sz w:val="21"/>
              </w:rPr>
              <w:t>20</w:t>
            </w:r>
            <w:r>
              <w:rPr>
                <w:rFonts w:hint="eastAsia" w:ascii="Times New Roman" w:hAnsi="Times New Roman" w:eastAsia="宋体"/>
                <w:snapToGrid w:val="0"/>
                <w:kern w:val="2"/>
                <w:sz w:val="21"/>
              </w:rPr>
              <w:t>-</w:t>
            </w:r>
            <w:r>
              <w:rPr>
                <w:rFonts w:ascii="Times New Roman" w:hAnsi="Times New Roman" w:eastAsia="宋体"/>
                <w:snapToGrid w:val="0"/>
                <w:kern w:val="2"/>
                <w:sz w:val="21"/>
              </w:rPr>
              <w:t>37760912</w:t>
            </w:r>
          </w:p>
        </w:tc>
        <w:tc>
          <w:tcPr>
            <w:tcW w:w="5092" w:type="dxa"/>
            <w:vAlign w:val="center"/>
          </w:tcPr>
          <w:p>
            <w:pPr>
              <w:widowControl w:val="0"/>
              <w:adjustRightInd w:val="0"/>
              <w:snapToGrid w:val="0"/>
              <w:jc w:val="both"/>
              <w:rPr>
                <w:rFonts w:ascii="Times New Roman" w:hAnsi="Times New Roman" w:eastAsia="宋体"/>
                <w:snapToGrid w:val="0"/>
                <w:kern w:val="2"/>
                <w:sz w:val="21"/>
              </w:rPr>
            </w:pPr>
            <w:r>
              <w:rPr>
                <w:rFonts w:ascii="Times New Roman" w:hAnsi="Times New Roman" w:eastAsia="宋体"/>
                <w:snapToGrid w:val="0"/>
                <w:kern w:val="2"/>
                <w:sz w:val="21"/>
              </w:rPr>
              <w:t>电话：</w:t>
            </w:r>
          </w:p>
        </w:tc>
      </w:tr>
      <w:tr>
        <w:tblPrEx>
          <w:tblCellMar>
            <w:top w:w="0" w:type="dxa"/>
            <w:left w:w="108" w:type="dxa"/>
            <w:bottom w:w="0" w:type="dxa"/>
            <w:right w:w="108" w:type="dxa"/>
          </w:tblCellMar>
        </w:tblPrEx>
        <w:trPr>
          <w:trHeight w:val="761"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761"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1298" w:hRule="exact"/>
        </w:trPr>
        <w:tc>
          <w:tcPr>
            <w:tcW w:w="4644" w:type="dxa"/>
            <w:vAlign w:val="center"/>
          </w:tcPr>
          <w:p>
            <w:pPr>
              <w:widowControl w:val="0"/>
              <w:adjustRightInd w:val="0"/>
              <w:snapToGrid w:val="0"/>
              <w:spacing w:line="360" w:lineRule="auto"/>
              <w:jc w:val="both"/>
              <w:rPr>
                <w:rFonts w:ascii="Times New Roman" w:hAnsi="Times New Roman" w:eastAsia="宋体"/>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1428" w:hRule="exact"/>
        </w:trPr>
        <w:tc>
          <w:tcPr>
            <w:tcW w:w="4644" w:type="dxa"/>
            <w:vAlign w:val="center"/>
          </w:tcPr>
          <w:p>
            <w:pPr>
              <w:widowControl w:val="0"/>
              <w:adjustRightInd w:val="0"/>
              <w:snapToGrid w:val="0"/>
              <w:spacing w:line="400" w:lineRule="exact"/>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4644" w:type="dxa"/>
            <w:vAlign w:val="center"/>
          </w:tcPr>
          <w:p>
            <w:pPr>
              <w:widowControl w:val="0"/>
              <w:adjustRightInd w:val="0"/>
              <w:snapToGrid w:val="0"/>
              <w:jc w:val="both"/>
              <w:rPr>
                <w:rFonts w:ascii="Times New Roman" w:hAnsi="Times New Roman" w:eastAsia="宋体"/>
                <w:snapToGrid w:val="0"/>
                <w:kern w:val="2"/>
                <w:sz w:val="21"/>
              </w:rPr>
            </w:pPr>
          </w:p>
        </w:tc>
        <w:tc>
          <w:tcPr>
            <w:tcW w:w="5092" w:type="dxa"/>
            <w:vAlign w:val="center"/>
          </w:tcPr>
          <w:p>
            <w:pPr>
              <w:widowControl w:val="0"/>
              <w:adjustRightInd w:val="0"/>
              <w:snapToGrid w:val="0"/>
              <w:jc w:val="both"/>
              <w:rPr>
                <w:rFonts w:ascii="Times New Roman" w:hAnsi="Times New Roman" w:eastAsia="宋体"/>
                <w:snapToGrid w:val="0"/>
                <w:kern w:val="2"/>
                <w:sz w:val="21"/>
              </w:rPr>
            </w:pPr>
          </w:p>
        </w:tc>
      </w:tr>
      <w:tr>
        <w:tblPrEx>
          <w:tblCellMar>
            <w:top w:w="0" w:type="dxa"/>
            <w:left w:w="108" w:type="dxa"/>
            <w:bottom w:w="0" w:type="dxa"/>
            <w:right w:w="108" w:type="dxa"/>
          </w:tblCellMar>
        </w:tblPrEx>
        <w:trPr>
          <w:trHeight w:val="567" w:hRule="exact"/>
        </w:trPr>
        <w:tc>
          <w:tcPr>
            <w:tcW w:w="9736" w:type="dxa"/>
            <w:gridSpan w:val="2"/>
            <w:vAlign w:val="center"/>
          </w:tcPr>
          <w:p>
            <w:pPr>
              <w:widowControl w:val="0"/>
              <w:jc w:val="center"/>
              <w:rPr>
                <w:rFonts w:ascii="Times New Roman" w:hAnsi="Times New Roman" w:eastAsia="宋体"/>
                <w:kern w:val="2"/>
                <w:sz w:val="21"/>
                <w:szCs w:val="21"/>
              </w:rPr>
            </w:pPr>
          </w:p>
        </w:tc>
      </w:tr>
      <w:tr>
        <w:tblPrEx>
          <w:tblCellMar>
            <w:top w:w="0" w:type="dxa"/>
            <w:left w:w="108" w:type="dxa"/>
            <w:bottom w:w="0" w:type="dxa"/>
            <w:right w:w="108" w:type="dxa"/>
          </w:tblCellMar>
        </w:tblPrEx>
        <w:trPr>
          <w:trHeight w:val="567" w:hRule="exact"/>
        </w:trPr>
        <w:tc>
          <w:tcPr>
            <w:tcW w:w="9736" w:type="dxa"/>
            <w:gridSpan w:val="2"/>
            <w:vAlign w:val="center"/>
          </w:tcPr>
          <w:p>
            <w:pPr>
              <w:widowControl w:val="0"/>
              <w:jc w:val="center"/>
              <w:rPr>
                <w:rFonts w:ascii="Times New Roman" w:hAnsi="Times New Roman" w:eastAsia="宋体"/>
                <w:vanish/>
                <w:kern w:val="2"/>
                <w:sz w:val="21"/>
                <w:szCs w:val="21"/>
              </w:rPr>
            </w:pPr>
            <w:r>
              <w:rPr>
                <w:rFonts w:ascii="Times New Roman" w:hAnsi="Times New Roman" w:eastAsia="宋体"/>
                <w:kern w:val="2"/>
                <w:sz w:val="21"/>
                <w:szCs w:val="21"/>
              </w:rPr>
              <w:t>签订日期：2024年   月   日</w:t>
            </w:r>
          </w:p>
          <w:p>
            <w:pPr>
              <w:widowControl w:val="0"/>
              <w:jc w:val="center"/>
              <w:rPr>
                <w:rFonts w:ascii="Times New Roman" w:hAnsi="Times New Roman" w:eastAsia="宋体"/>
                <w:snapToGrid w:val="0"/>
                <w:kern w:val="2"/>
                <w:sz w:val="21"/>
                <w:szCs w:val="21"/>
              </w:rPr>
            </w:pPr>
          </w:p>
        </w:tc>
      </w:tr>
    </w:tbl>
    <w:p>
      <w:pPr>
        <w:pStyle w:val="11"/>
        <w:adjustRightInd w:val="0"/>
        <w:snapToGrid w:val="0"/>
        <w:spacing w:line="560" w:lineRule="exact"/>
        <w:ind w:firstLine="0" w:firstLineChars="0"/>
        <w:rPr>
          <w:rFonts w:ascii="Times New Roman" w:hAnsi="Times New Roman" w:eastAsia="宋体"/>
          <w:b/>
          <w:bCs/>
        </w:rPr>
      </w:pPr>
    </w:p>
    <w:p>
      <w:pPr>
        <w:rPr>
          <w:rFonts w:ascii="Times New Roman" w:hAnsi="Times New Roman" w:eastAsia="宋体"/>
          <w:b/>
          <w:bCs/>
        </w:rPr>
      </w:pPr>
      <w:r>
        <w:rPr>
          <w:rFonts w:ascii="Times New Roman" w:hAnsi="Times New Roman" w:eastAsia="宋体"/>
          <w:b/>
          <w:bCs/>
        </w:rPr>
        <w:br w:type="page"/>
      </w:r>
    </w:p>
    <w:p>
      <w:pPr>
        <w:pStyle w:val="11"/>
        <w:adjustRightInd w:val="0"/>
        <w:snapToGrid w:val="0"/>
        <w:spacing w:line="560" w:lineRule="exact"/>
        <w:ind w:firstLine="0" w:firstLineChars="0"/>
        <w:rPr>
          <w:rFonts w:ascii="Times New Roman" w:hAnsi="Times New Roman" w:eastAsia="宋体"/>
          <w:b/>
          <w:bCs/>
        </w:rPr>
      </w:pPr>
      <w:r>
        <w:rPr>
          <w:rFonts w:hint="eastAsia" w:ascii="Times New Roman" w:hAnsi="Times New Roman" w:eastAsia="宋体"/>
          <w:b/>
          <w:bCs/>
        </w:rPr>
        <w:t>附件二：</w:t>
      </w:r>
      <w:r>
        <w:rPr>
          <w:rFonts w:hint="eastAsia" w:ascii="宋体" w:hAnsi="宋体" w:eastAsia="宋体" w:cs="宋体"/>
          <w:b/>
          <w:kern w:val="2"/>
          <w:lang w:bidi="ar"/>
        </w:rPr>
        <w:t>监测费用及监测工程量清单</w:t>
      </w:r>
    </w:p>
    <w:p>
      <w:pPr>
        <w:adjustRightInd w:val="0"/>
        <w:snapToGrid w:val="0"/>
        <w:spacing w:line="560" w:lineRule="exact"/>
        <w:rPr>
          <w:rFonts w:ascii="Times New Roman" w:hAnsi="Times New Roman" w:eastAsia="宋体"/>
          <w:b/>
          <w:bCs/>
        </w:rPr>
      </w:pPr>
    </w:p>
    <w:p>
      <w:pPr>
        <w:rPr>
          <w:rFonts w:ascii="Times New Roman" w:hAnsi="Times New Roman" w:eastAsia="宋体"/>
          <w:b/>
          <w:bCs/>
        </w:rPr>
      </w:pPr>
      <w:r>
        <w:rPr>
          <w:rFonts w:ascii="Times New Roman" w:hAnsi="Times New Roman" w:eastAsia="宋体"/>
          <w:b/>
          <w:bCs/>
        </w:rPr>
        <w:br w:type="page"/>
      </w:r>
    </w:p>
    <w:p>
      <w:pPr>
        <w:pStyle w:val="11"/>
        <w:adjustRightInd w:val="0"/>
        <w:snapToGrid w:val="0"/>
        <w:spacing w:line="560" w:lineRule="exact"/>
        <w:ind w:firstLine="0" w:firstLineChars="0"/>
        <w:rPr>
          <w:rFonts w:ascii="Times New Roman" w:hAnsi="Times New Roman" w:eastAsia="宋体"/>
          <w:b/>
          <w:bCs/>
        </w:rPr>
      </w:pPr>
      <w:r>
        <w:rPr>
          <w:rFonts w:hint="eastAsia" w:ascii="Times New Roman" w:hAnsi="Times New Roman" w:eastAsia="宋体"/>
          <w:b/>
          <w:bCs/>
        </w:rPr>
        <w:t>附件</w:t>
      </w:r>
      <w:r>
        <w:rPr>
          <w:rFonts w:hint="eastAsia" w:ascii="Times New Roman" w:hAnsi="Times New Roman" w:eastAsia="宋体"/>
          <w:b/>
        </w:rPr>
        <w:t>三</w:t>
      </w:r>
      <w:r>
        <w:rPr>
          <w:rFonts w:hint="eastAsia" w:ascii="Times New Roman" w:hAnsi="Times New Roman" w:eastAsia="宋体"/>
          <w:b/>
          <w:bCs/>
        </w:rPr>
        <w:t>：中标通知书</w:t>
      </w:r>
    </w:p>
    <w:p>
      <w:pPr>
        <w:pStyle w:val="11"/>
        <w:adjustRightInd w:val="0"/>
        <w:snapToGrid w:val="0"/>
        <w:spacing w:line="560" w:lineRule="exact"/>
        <w:ind w:firstLine="0" w:firstLineChars="0"/>
        <w:rPr>
          <w:rFonts w:ascii="Times New Roman" w:hAnsi="Times New Roman" w:eastAsia="宋体"/>
          <w:b/>
          <w:bCs/>
        </w:rPr>
      </w:pPr>
    </w:p>
    <w:p>
      <w:pPr>
        <w:pStyle w:val="11"/>
        <w:adjustRightInd w:val="0"/>
        <w:snapToGrid w:val="0"/>
        <w:spacing w:line="560" w:lineRule="exact"/>
        <w:ind w:firstLine="0" w:firstLineChars="0"/>
        <w:rPr>
          <w:rFonts w:ascii="Times New Roman" w:hAnsi="Times New Roman" w:eastAsia="宋体"/>
          <w:b/>
          <w:bCs/>
        </w:rPr>
      </w:pPr>
    </w:p>
    <w:p>
      <w:pPr>
        <w:pStyle w:val="11"/>
        <w:adjustRightInd w:val="0"/>
        <w:snapToGrid w:val="0"/>
        <w:spacing w:line="560" w:lineRule="exact"/>
        <w:ind w:firstLine="0" w:firstLineChars="0"/>
        <w:rPr>
          <w:rFonts w:ascii="Times New Roman" w:hAnsi="Times New Roman" w:eastAsia="宋体"/>
          <w:b/>
          <w:bCs/>
        </w:rPr>
      </w:pPr>
    </w:p>
    <w:sectPr>
      <w:type w:val="continuous"/>
      <w:pgSz w:w="11906" w:h="16838"/>
      <w:pgMar w:top="1134" w:right="1418" w:bottom="1134" w:left="1418" w:header="851" w:footer="680"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ascii="仿宋" w:hAnsi="仿宋" w:eastAsia="仿宋"/>
        <w:bCs/>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11</w:t>
    </w:r>
    <w:r>
      <w:rPr>
        <w:rFonts w:ascii="仿宋" w:hAnsi="仿宋" w:eastAsia="仿宋"/>
        <w:bCs/>
      </w:rPr>
      <w:fldChar w:fldCharType="end"/>
    </w:r>
    <w:r>
      <w:rPr>
        <w:rFonts w:hint="eastAsia" w:ascii="仿宋" w:hAnsi="仿宋" w:eastAsia="仿宋"/>
        <w:bCs/>
      </w:rPr>
      <w:t>页，共</w:t>
    </w:r>
    <w:r>
      <w:rPr>
        <w:rFonts w:ascii="仿宋" w:hAnsi="仿宋" w:eastAsia="仿宋"/>
        <w:bCs/>
      </w:rPr>
      <w:t>16</w:t>
    </w:r>
    <w:r>
      <w:rPr>
        <w:rFonts w:hint="eastAsia" w:ascii="仿宋" w:hAnsi="仿宋" w:eastAsia="仿宋"/>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 w:hAnsi="仿宋" w:eastAsia="仿宋"/>
      </w:rPr>
    </w:pPr>
    <w:r>
      <w:rPr>
        <w:rFonts w:hint="eastAsia" w:ascii="仿宋" w:hAnsi="仿宋" w:eastAsia="仿宋"/>
        <w:bCs/>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1</w:t>
    </w:r>
    <w:r>
      <w:rPr>
        <w:rFonts w:ascii="仿宋" w:hAnsi="仿宋" w:eastAsia="仿宋"/>
        <w:bCs/>
      </w:rPr>
      <w:fldChar w:fldCharType="end"/>
    </w:r>
    <w:r>
      <w:rPr>
        <w:rFonts w:hint="eastAsia" w:ascii="仿宋" w:hAnsi="仿宋" w:eastAsia="仿宋"/>
        <w:bCs/>
      </w:rPr>
      <w:t>页，共</w:t>
    </w:r>
    <w:r>
      <w:rPr>
        <w:rFonts w:ascii="仿宋" w:hAnsi="仿宋" w:eastAsia="仿宋"/>
        <w:bCs/>
      </w:rPr>
      <w:t>27</w:t>
    </w:r>
    <w:r>
      <w:rPr>
        <w:rFonts w:hint="eastAsia" w:ascii="仿宋" w:hAnsi="仿宋" w:eastAsia="仿宋"/>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2YwZTM4ZjQ3MjU0MTg2MzJkNjdkZmVlYjY0ZjgifQ=="/>
  </w:docVars>
  <w:rsids>
    <w:rsidRoot w:val="007B2603"/>
    <w:rsid w:val="0000171B"/>
    <w:rsid w:val="00001B52"/>
    <w:rsid w:val="0000308B"/>
    <w:rsid w:val="000130D4"/>
    <w:rsid w:val="000141BD"/>
    <w:rsid w:val="000166E7"/>
    <w:rsid w:val="00016B0D"/>
    <w:rsid w:val="0002032D"/>
    <w:rsid w:val="000210C4"/>
    <w:rsid w:val="0002339B"/>
    <w:rsid w:val="00024147"/>
    <w:rsid w:val="00030BC4"/>
    <w:rsid w:val="00031909"/>
    <w:rsid w:val="0003297A"/>
    <w:rsid w:val="00036B78"/>
    <w:rsid w:val="00040A26"/>
    <w:rsid w:val="0004160D"/>
    <w:rsid w:val="00041AE6"/>
    <w:rsid w:val="00042B13"/>
    <w:rsid w:val="000459EF"/>
    <w:rsid w:val="00047924"/>
    <w:rsid w:val="000505E7"/>
    <w:rsid w:val="00056094"/>
    <w:rsid w:val="00056B3F"/>
    <w:rsid w:val="00060440"/>
    <w:rsid w:val="0009276D"/>
    <w:rsid w:val="000929A3"/>
    <w:rsid w:val="000938E0"/>
    <w:rsid w:val="00095AAF"/>
    <w:rsid w:val="000A3ACA"/>
    <w:rsid w:val="000B229C"/>
    <w:rsid w:val="000B39A2"/>
    <w:rsid w:val="000B5B43"/>
    <w:rsid w:val="000B5D4E"/>
    <w:rsid w:val="000B5DF8"/>
    <w:rsid w:val="000B5F89"/>
    <w:rsid w:val="000B68A2"/>
    <w:rsid w:val="000B7EED"/>
    <w:rsid w:val="000D0D36"/>
    <w:rsid w:val="000D2392"/>
    <w:rsid w:val="000D356C"/>
    <w:rsid w:val="000D4FE7"/>
    <w:rsid w:val="000D5244"/>
    <w:rsid w:val="000E08A1"/>
    <w:rsid w:val="000E1EB9"/>
    <w:rsid w:val="000E307E"/>
    <w:rsid w:val="000E45C3"/>
    <w:rsid w:val="000E61C8"/>
    <w:rsid w:val="000F0666"/>
    <w:rsid w:val="000F4290"/>
    <w:rsid w:val="00114737"/>
    <w:rsid w:val="001158E4"/>
    <w:rsid w:val="00124334"/>
    <w:rsid w:val="001306D2"/>
    <w:rsid w:val="001353D7"/>
    <w:rsid w:val="001377BB"/>
    <w:rsid w:val="00142F3A"/>
    <w:rsid w:val="00143B32"/>
    <w:rsid w:val="001455E5"/>
    <w:rsid w:val="00147E38"/>
    <w:rsid w:val="0015547B"/>
    <w:rsid w:val="0016531C"/>
    <w:rsid w:val="00166A9C"/>
    <w:rsid w:val="00172005"/>
    <w:rsid w:val="00177CC0"/>
    <w:rsid w:val="00182031"/>
    <w:rsid w:val="001822E7"/>
    <w:rsid w:val="00185911"/>
    <w:rsid w:val="001904FD"/>
    <w:rsid w:val="00197E31"/>
    <w:rsid w:val="001A13EC"/>
    <w:rsid w:val="001A5255"/>
    <w:rsid w:val="001A7C6A"/>
    <w:rsid w:val="001B18F9"/>
    <w:rsid w:val="001B32F7"/>
    <w:rsid w:val="001B4F7C"/>
    <w:rsid w:val="001C596E"/>
    <w:rsid w:val="001C63DB"/>
    <w:rsid w:val="001C7646"/>
    <w:rsid w:val="001D2A93"/>
    <w:rsid w:val="001D4C5E"/>
    <w:rsid w:val="001D4F2B"/>
    <w:rsid w:val="001D566C"/>
    <w:rsid w:val="001D6D2F"/>
    <w:rsid w:val="001E1C48"/>
    <w:rsid w:val="001E44E8"/>
    <w:rsid w:val="001E65A6"/>
    <w:rsid w:val="001F3546"/>
    <w:rsid w:val="001F3E37"/>
    <w:rsid w:val="001F5F35"/>
    <w:rsid w:val="001F6330"/>
    <w:rsid w:val="002142F3"/>
    <w:rsid w:val="00220CB1"/>
    <w:rsid w:val="00221A9A"/>
    <w:rsid w:val="002239A1"/>
    <w:rsid w:val="00225D05"/>
    <w:rsid w:val="002302BB"/>
    <w:rsid w:val="00232F14"/>
    <w:rsid w:val="00233B0A"/>
    <w:rsid w:val="002367FE"/>
    <w:rsid w:val="00236FB0"/>
    <w:rsid w:val="002374F5"/>
    <w:rsid w:val="00237BF1"/>
    <w:rsid w:val="002566FA"/>
    <w:rsid w:val="00256B83"/>
    <w:rsid w:val="00260D2A"/>
    <w:rsid w:val="002628C6"/>
    <w:rsid w:val="00264ADF"/>
    <w:rsid w:val="0026525F"/>
    <w:rsid w:val="00267290"/>
    <w:rsid w:val="00267540"/>
    <w:rsid w:val="00270292"/>
    <w:rsid w:val="00271B12"/>
    <w:rsid w:val="00273B0E"/>
    <w:rsid w:val="00285ABD"/>
    <w:rsid w:val="00285C26"/>
    <w:rsid w:val="002871E4"/>
    <w:rsid w:val="0029181B"/>
    <w:rsid w:val="002919DE"/>
    <w:rsid w:val="00292AAE"/>
    <w:rsid w:val="00293661"/>
    <w:rsid w:val="00296931"/>
    <w:rsid w:val="00297341"/>
    <w:rsid w:val="002A0C86"/>
    <w:rsid w:val="002A2FEE"/>
    <w:rsid w:val="002A5267"/>
    <w:rsid w:val="002A5617"/>
    <w:rsid w:val="002B154C"/>
    <w:rsid w:val="002B267A"/>
    <w:rsid w:val="002B5B25"/>
    <w:rsid w:val="002C2134"/>
    <w:rsid w:val="002C45B1"/>
    <w:rsid w:val="002C4896"/>
    <w:rsid w:val="002D1BF2"/>
    <w:rsid w:val="002D57A2"/>
    <w:rsid w:val="002E5D81"/>
    <w:rsid w:val="002E718E"/>
    <w:rsid w:val="002F3113"/>
    <w:rsid w:val="002F5B7F"/>
    <w:rsid w:val="00302963"/>
    <w:rsid w:val="00304883"/>
    <w:rsid w:val="003058F2"/>
    <w:rsid w:val="003062BD"/>
    <w:rsid w:val="0031382C"/>
    <w:rsid w:val="003215A4"/>
    <w:rsid w:val="003220C2"/>
    <w:rsid w:val="00322539"/>
    <w:rsid w:val="00330F4F"/>
    <w:rsid w:val="003317B9"/>
    <w:rsid w:val="0033321E"/>
    <w:rsid w:val="00336183"/>
    <w:rsid w:val="003430B4"/>
    <w:rsid w:val="003470DF"/>
    <w:rsid w:val="003517D6"/>
    <w:rsid w:val="00354420"/>
    <w:rsid w:val="003544AE"/>
    <w:rsid w:val="00361218"/>
    <w:rsid w:val="00362E67"/>
    <w:rsid w:val="0036629F"/>
    <w:rsid w:val="0036707A"/>
    <w:rsid w:val="0036758C"/>
    <w:rsid w:val="00367D42"/>
    <w:rsid w:val="00372D03"/>
    <w:rsid w:val="0037423F"/>
    <w:rsid w:val="00380077"/>
    <w:rsid w:val="0038134C"/>
    <w:rsid w:val="00387E80"/>
    <w:rsid w:val="003964BC"/>
    <w:rsid w:val="00397167"/>
    <w:rsid w:val="003A2CA6"/>
    <w:rsid w:val="003B0206"/>
    <w:rsid w:val="003B1EDA"/>
    <w:rsid w:val="003B4A51"/>
    <w:rsid w:val="003C1B3D"/>
    <w:rsid w:val="003C1C7A"/>
    <w:rsid w:val="003C2D6F"/>
    <w:rsid w:val="003C793E"/>
    <w:rsid w:val="003D062E"/>
    <w:rsid w:val="003D1B2D"/>
    <w:rsid w:val="003D28CA"/>
    <w:rsid w:val="003D2FB2"/>
    <w:rsid w:val="003D5227"/>
    <w:rsid w:val="003E49F4"/>
    <w:rsid w:val="003E4FD1"/>
    <w:rsid w:val="003E5164"/>
    <w:rsid w:val="003F289A"/>
    <w:rsid w:val="003F4075"/>
    <w:rsid w:val="00400CA3"/>
    <w:rsid w:val="0040262C"/>
    <w:rsid w:val="0040512F"/>
    <w:rsid w:val="00407026"/>
    <w:rsid w:val="00407534"/>
    <w:rsid w:val="00411E28"/>
    <w:rsid w:val="00421313"/>
    <w:rsid w:val="004213B1"/>
    <w:rsid w:val="004218C5"/>
    <w:rsid w:val="00432922"/>
    <w:rsid w:val="00432E30"/>
    <w:rsid w:val="004338F8"/>
    <w:rsid w:val="00437F99"/>
    <w:rsid w:val="0044080C"/>
    <w:rsid w:val="00443394"/>
    <w:rsid w:val="004571B9"/>
    <w:rsid w:val="004571CC"/>
    <w:rsid w:val="0046086E"/>
    <w:rsid w:val="004709A6"/>
    <w:rsid w:val="00472480"/>
    <w:rsid w:val="00472CCC"/>
    <w:rsid w:val="00480C4B"/>
    <w:rsid w:val="00481234"/>
    <w:rsid w:val="004854A3"/>
    <w:rsid w:val="0048597E"/>
    <w:rsid w:val="00487AAE"/>
    <w:rsid w:val="004911F5"/>
    <w:rsid w:val="004A3A78"/>
    <w:rsid w:val="004A6C90"/>
    <w:rsid w:val="004B1B13"/>
    <w:rsid w:val="004C596B"/>
    <w:rsid w:val="004C7215"/>
    <w:rsid w:val="004D2437"/>
    <w:rsid w:val="004D3557"/>
    <w:rsid w:val="004D4D64"/>
    <w:rsid w:val="004D5087"/>
    <w:rsid w:val="004D722E"/>
    <w:rsid w:val="004E5E90"/>
    <w:rsid w:val="004E680B"/>
    <w:rsid w:val="004F0F8E"/>
    <w:rsid w:val="005002B0"/>
    <w:rsid w:val="00501919"/>
    <w:rsid w:val="005056EF"/>
    <w:rsid w:val="00510722"/>
    <w:rsid w:val="00510C22"/>
    <w:rsid w:val="00511474"/>
    <w:rsid w:val="00514475"/>
    <w:rsid w:val="0052328C"/>
    <w:rsid w:val="0052619A"/>
    <w:rsid w:val="0052765C"/>
    <w:rsid w:val="00530B75"/>
    <w:rsid w:val="005311C6"/>
    <w:rsid w:val="005428CE"/>
    <w:rsid w:val="0054343D"/>
    <w:rsid w:val="005467CC"/>
    <w:rsid w:val="00550F28"/>
    <w:rsid w:val="005519FC"/>
    <w:rsid w:val="00555130"/>
    <w:rsid w:val="00560CFF"/>
    <w:rsid w:val="0056242E"/>
    <w:rsid w:val="0056455D"/>
    <w:rsid w:val="00565A80"/>
    <w:rsid w:val="00574363"/>
    <w:rsid w:val="005812A6"/>
    <w:rsid w:val="005875BC"/>
    <w:rsid w:val="005A14C7"/>
    <w:rsid w:val="005A50D5"/>
    <w:rsid w:val="005B2A25"/>
    <w:rsid w:val="005C29AB"/>
    <w:rsid w:val="005C2CEB"/>
    <w:rsid w:val="005C3059"/>
    <w:rsid w:val="005C41EC"/>
    <w:rsid w:val="005C502A"/>
    <w:rsid w:val="005C547A"/>
    <w:rsid w:val="005E2C69"/>
    <w:rsid w:val="005E6BC8"/>
    <w:rsid w:val="005F0D36"/>
    <w:rsid w:val="005F397B"/>
    <w:rsid w:val="005F453B"/>
    <w:rsid w:val="005F5B6C"/>
    <w:rsid w:val="006107AD"/>
    <w:rsid w:val="00611FDE"/>
    <w:rsid w:val="006150EF"/>
    <w:rsid w:val="006329F7"/>
    <w:rsid w:val="0064199F"/>
    <w:rsid w:val="00643542"/>
    <w:rsid w:val="00645EFF"/>
    <w:rsid w:val="006500E5"/>
    <w:rsid w:val="00650CD9"/>
    <w:rsid w:val="00652CCB"/>
    <w:rsid w:val="00655479"/>
    <w:rsid w:val="006628DE"/>
    <w:rsid w:val="00666C2B"/>
    <w:rsid w:val="00670043"/>
    <w:rsid w:val="00672FBA"/>
    <w:rsid w:val="00674909"/>
    <w:rsid w:val="00677F0D"/>
    <w:rsid w:val="00680076"/>
    <w:rsid w:val="0068136A"/>
    <w:rsid w:val="00681D8B"/>
    <w:rsid w:val="00687CEC"/>
    <w:rsid w:val="00691860"/>
    <w:rsid w:val="00693F83"/>
    <w:rsid w:val="00694131"/>
    <w:rsid w:val="006974E3"/>
    <w:rsid w:val="006A2320"/>
    <w:rsid w:val="006A2B85"/>
    <w:rsid w:val="006A3AE4"/>
    <w:rsid w:val="006A5BCC"/>
    <w:rsid w:val="006A646C"/>
    <w:rsid w:val="006B2469"/>
    <w:rsid w:val="006B37C5"/>
    <w:rsid w:val="006B5DD4"/>
    <w:rsid w:val="006C0927"/>
    <w:rsid w:val="006C2AD7"/>
    <w:rsid w:val="006C4322"/>
    <w:rsid w:val="006C6115"/>
    <w:rsid w:val="006C6235"/>
    <w:rsid w:val="006C77A6"/>
    <w:rsid w:val="006D20D6"/>
    <w:rsid w:val="006D29C4"/>
    <w:rsid w:val="006D3204"/>
    <w:rsid w:val="006D52EF"/>
    <w:rsid w:val="006D578A"/>
    <w:rsid w:val="006D6C28"/>
    <w:rsid w:val="006E0C17"/>
    <w:rsid w:val="006E3341"/>
    <w:rsid w:val="006F4DF2"/>
    <w:rsid w:val="006F4FEE"/>
    <w:rsid w:val="006F5A0E"/>
    <w:rsid w:val="006F6C32"/>
    <w:rsid w:val="007000EA"/>
    <w:rsid w:val="0071054E"/>
    <w:rsid w:val="00710CB9"/>
    <w:rsid w:val="00710EC6"/>
    <w:rsid w:val="007111B2"/>
    <w:rsid w:val="007123D9"/>
    <w:rsid w:val="00714429"/>
    <w:rsid w:val="0071501C"/>
    <w:rsid w:val="0071613B"/>
    <w:rsid w:val="007165B7"/>
    <w:rsid w:val="007210E9"/>
    <w:rsid w:val="00722F49"/>
    <w:rsid w:val="00723116"/>
    <w:rsid w:val="00725344"/>
    <w:rsid w:val="00733DF3"/>
    <w:rsid w:val="007445F8"/>
    <w:rsid w:val="0074460A"/>
    <w:rsid w:val="00747639"/>
    <w:rsid w:val="00750032"/>
    <w:rsid w:val="00757954"/>
    <w:rsid w:val="007613BB"/>
    <w:rsid w:val="0076334A"/>
    <w:rsid w:val="007657B8"/>
    <w:rsid w:val="00775406"/>
    <w:rsid w:val="00775A98"/>
    <w:rsid w:val="00776C20"/>
    <w:rsid w:val="00783181"/>
    <w:rsid w:val="00786E06"/>
    <w:rsid w:val="00787428"/>
    <w:rsid w:val="007921AB"/>
    <w:rsid w:val="00793170"/>
    <w:rsid w:val="00797C56"/>
    <w:rsid w:val="007A236A"/>
    <w:rsid w:val="007A3CAB"/>
    <w:rsid w:val="007B2603"/>
    <w:rsid w:val="007B36EA"/>
    <w:rsid w:val="007B4896"/>
    <w:rsid w:val="007B4B1C"/>
    <w:rsid w:val="007C2EA9"/>
    <w:rsid w:val="007C63C0"/>
    <w:rsid w:val="007D0968"/>
    <w:rsid w:val="007D7257"/>
    <w:rsid w:val="007D73C3"/>
    <w:rsid w:val="007E26B2"/>
    <w:rsid w:val="007E4329"/>
    <w:rsid w:val="007E4F09"/>
    <w:rsid w:val="007E71A6"/>
    <w:rsid w:val="007F6699"/>
    <w:rsid w:val="007F7D05"/>
    <w:rsid w:val="00802166"/>
    <w:rsid w:val="00806D0D"/>
    <w:rsid w:val="00810696"/>
    <w:rsid w:val="00825418"/>
    <w:rsid w:val="00831D94"/>
    <w:rsid w:val="008337B7"/>
    <w:rsid w:val="0084189B"/>
    <w:rsid w:val="00841971"/>
    <w:rsid w:val="00844095"/>
    <w:rsid w:val="00846CBA"/>
    <w:rsid w:val="00853B08"/>
    <w:rsid w:val="00857334"/>
    <w:rsid w:val="00862F57"/>
    <w:rsid w:val="008652C2"/>
    <w:rsid w:val="008655D5"/>
    <w:rsid w:val="00865CD0"/>
    <w:rsid w:val="0087086E"/>
    <w:rsid w:val="00870C8E"/>
    <w:rsid w:val="008724C7"/>
    <w:rsid w:val="00872ABA"/>
    <w:rsid w:val="0087524F"/>
    <w:rsid w:val="00875E3F"/>
    <w:rsid w:val="00877CFF"/>
    <w:rsid w:val="00880377"/>
    <w:rsid w:val="0088095E"/>
    <w:rsid w:val="008852D2"/>
    <w:rsid w:val="00885889"/>
    <w:rsid w:val="00886E51"/>
    <w:rsid w:val="00892CA7"/>
    <w:rsid w:val="00893A4F"/>
    <w:rsid w:val="008949E7"/>
    <w:rsid w:val="008976B1"/>
    <w:rsid w:val="008979D3"/>
    <w:rsid w:val="008A1B08"/>
    <w:rsid w:val="008A3D39"/>
    <w:rsid w:val="008A5279"/>
    <w:rsid w:val="008A60AA"/>
    <w:rsid w:val="008B0D28"/>
    <w:rsid w:val="008B1B77"/>
    <w:rsid w:val="008B3A09"/>
    <w:rsid w:val="008B4ECA"/>
    <w:rsid w:val="008B57BC"/>
    <w:rsid w:val="008B6413"/>
    <w:rsid w:val="008B6F49"/>
    <w:rsid w:val="008B72F8"/>
    <w:rsid w:val="008C18FE"/>
    <w:rsid w:val="008C677F"/>
    <w:rsid w:val="008C679A"/>
    <w:rsid w:val="008D31D2"/>
    <w:rsid w:val="008D73B2"/>
    <w:rsid w:val="008E07A0"/>
    <w:rsid w:val="008E4AD2"/>
    <w:rsid w:val="008F3DE1"/>
    <w:rsid w:val="009008A2"/>
    <w:rsid w:val="00904894"/>
    <w:rsid w:val="00910C3D"/>
    <w:rsid w:val="00912A33"/>
    <w:rsid w:val="00920E09"/>
    <w:rsid w:val="009224C2"/>
    <w:rsid w:val="00927F09"/>
    <w:rsid w:val="00931BD4"/>
    <w:rsid w:val="009370C3"/>
    <w:rsid w:val="00940A50"/>
    <w:rsid w:val="009426A3"/>
    <w:rsid w:val="0094348F"/>
    <w:rsid w:val="00943FEA"/>
    <w:rsid w:val="009475AC"/>
    <w:rsid w:val="0095075F"/>
    <w:rsid w:val="009512EC"/>
    <w:rsid w:val="009532E5"/>
    <w:rsid w:val="009711F2"/>
    <w:rsid w:val="00974890"/>
    <w:rsid w:val="00981022"/>
    <w:rsid w:val="00981290"/>
    <w:rsid w:val="009837DB"/>
    <w:rsid w:val="00990094"/>
    <w:rsid w:val="0099491D"/>
    <w:rsid w:val="009949C0"/>
    <w:rsid w:val="00995C80"/>
    <w:rsid w:val="0099600A"/>
    <w:rsid w:val="009978CB"/>
    <w:rsid w:val="009A07D3"/>
    <w:rsid w:val="009A12A9"/>
    <w:rsid w:val="009A27CA"/>
    <w:rsid w:val="009A48BE"/>
    <w:rsid w:val="009B1849"/>
    <w:rsid w:val="009B1A3E"/>
    <w:rsid w:val="009B2459"/>
    <w:rsid w:val="009C02D2"/>
    <w:rsid w:val="009C26A7"/>
    <w:rsid w:val="009C2D56"/>
    <w:rsid w:val="009C3B44"/>
    <w:rsid w:val="009D355A"/>
    <w:rsid w:val="009D4CEB"/>
    <w:rsid w:val="009D55EA"/>
    <w:rsid w:val="009D6DFF"/>
    <w:rsid w:val="009D6F25"/>
    <w:rsid w:val="009E025D"/>
    <w:rsid w:val="009E06F0"/>
    <w:rsid w:val="009E1841"/>
    <w:rsid w:val="009E2E54"/>
    <w:rsid w:val="009F0626"/>
    <w:rsid w:val="009F12B6"/>
    <w:rsid w:val="009F1CC2"/>
    <w:rsid w:val="009F246B"/>
    <w:rsid w:val="009F3EE0"/>
    <w:rsid w:val="009F7BB5"/>
    <w:rsid w:val="00A00635"/>
    <w:rsid w:val="00A01C6F"/>
    <w:rsid w:val="00A02579"/>
    <w:rsid w:val="00A05486"/>
    <w:rsid w:val="00A105D8"/>
    <w:rsid w:val="00A11F1E"/>
    <w:rsid w:val="00A1236B"/>
    <w:rsid w:val="00A14532"/>
    <w:rsid w:val="00A15FD1"/>
    <w:rsid w:val="00A168D7"/>
    <w:rsid w:val="00A170FA"/>
    <w:rsid w:val="00A22EC3"/>
    <w:rsid w:val="00A247D0"/>
    <w:rsid w:val="00A30052"/>
    <w:rsid w:val="00A34C51"/>
    <w:rsid w:val="00A359DE"/>
    <w:rsid w:val="00A363D5"/>
    <w:rsid w:val="00A40E29"/>
    <w:rsid w:val="00A419C7"/>
    <w:rsid w:val="00A45218"/>
    <w:rsid w:val="00A4786D"/>
    <w:rsid w:val="00A52111"/>
    <w:rsid w:val="00A57AFB"/>
    <w:rsid w:val="00A600BF"/>
    <w:rsid w:val="00A6134F"/>
    <w:rsid w:val="00A619EF"/>
    <w:rsid w:val="00A61CC9"/>
    <w:rsid w:val="00A630D6"/>
    <w:rsid w:val="00A6374A"/>
    <w:rsid w:val="00A64D98"/>
    <w:rsid w:val="00A67412"/>
    <w:rsid w:val="00A72FE4"/>
    <w:rsid w:val="00A7418B"/>
    <w:rsid w:val="00A824F4"/>
    <w:rsid w:val="00A9028C"/>
    <w:rsid w:val="00A9406C"/>
    <w:rsid w:val="00A96785"/>
    <w:rsid w:val="00AA2ED1"/>
    <w:rsid w:val="00AB1A97"/>
    <w:rsid w:val="00AB6116"/>
    <w:rsid w:val="00AB720A"/>
    <w:rsid w:val="00AB7E6A"/>
    <w:rsid w:val="00AC03F9"/>
    <w:rsid w:val="00AC0F78"/>
    <w:rsid w:val="00AC2662"/>
    <w:rsid w:val="00AC5BE5"/>
    <w:rsid w:val="00AC6641"/>
    <w:rsid w:val="00AD0C38"/>
    <w:rsid w:val="00AD0C62"/>
    <w:rsid w:val="00AF2EA2"/>
    <w:rsid w:val="00AF7B0E"/>
    <w:rsid w:val="00B058FA"/>
    <w:rsid w:val="00B13CD7"/>
    <w:rsid w:val="00B15DD2"/>
    <w:rsid w:val="00B178E7"/>
    <w:rsid w:val="00B20EA1"/>
    <w:rsid w:val="00B22269"/>
    <w:rsid w:val="00B253A3"/>
    <w:rsid w:val="00B25DCB"/>
    <w:rsid w:val="00B27A87"/>
    <w:rsid w:val="00B31B14"/>
    <w:rsid w:val="00B45167"/>
    <w:rsid w:val="00B46354"/>
    <w:rsid w:val="00B52C0E"/>
    <w:rsid w:val="00B559AF"/>
    <w:rsid w:val="00B576C5"/>
    <w:rsid w:val="00B61EEA"/>
    <w:rsid w:val="00B6397A"/>
    <w:rsid w:val="00B6490C"/>
    <w:rsid w:val="00B72874"/>
    <w:rsid w:val="00B75DAD"/>
    <w:rsid w:val="00B778BA"/>
    <w:rsid w:val="00B8100B"/>
    <w:rsid w:val="00B81FA1"/>
    <w:rsid w:val="00B84BB8"/>
    <w:rsid w:val="00B97115"/>
    <w:rsid w:val="00BA0FE1"/>
    <w:rsid w:val="00BA28C8"/>
    <w:rsid w:val="00BA58AD"/>
    <w:rsid w:val="00BB0AC5"/>
    <w:rsid w:val="00BB281A"/>
    <w:rsid w:val="00BB63E1"/>
    <w:rsid w:val="00BB75F6"/>
    <w:rsid w:val="00BB7E70"/>
    <w:rsid w:val="00BC5D49"/>
    <w:rsid w:val="00BD06EC"/>
    <w:rsid w:val="00BD188E"/>
    <w:rsid w:val="00BE16BD"/>
    <w:rsid w:val="00BE327C"/>
    <w:rsid w:val="00BE37D7"/>
    <w:rsid w:val="00BF01BB"/>
    <w:rsid w:val="00BF19E7"/>
    <w:rsid w:val="00BF23DC"/>
    <w:rsid w:val="00BF2D32"/>
    <w:rsid w:val="00BF3F7F"/>
    <w:rsid w:val="00BF5026"/>
    <w:rsid w:val="00BF61BA"/>
    <w:rsid w:val="00C02746"/>
    <w:rsid w:val="00C028D3"/>
    <w:rsid w:val="00C03E0D"/>
    <w:rsid w:val="00C1074E"/>
    <w:rsid w:val="00C202C0"/>
    <w:rsid w:val="00C267B7"/>
    <w:rsid w:val="00C27B32"/>
    <w:rsid w:val="00C331F7"/>
    <w:rsid w:val="00C362F3"/>
    <w:rsid w:val="00C37A3F"/>
    <w:rsid w:val="00C413AD"/>
    <w:rsid w:val="00C423F2"/>
    <w:rsid w:val="00C46F45"/>
    <w:rsid w:val="00C47EC2"/>
    <w:rsid w:val="00C50D87"/>
    <w:rsid w:val="00C540F8"/>
    <w:rsid w:val="00C5715C"/>
    <w:rsid w:val="00C61716"/>
    <w:rsid w:val="00C61B20"/>
    <w:rsid w:val="00C62C04"/>
    <w:rsid w:val="00C6556E"/>
    <w:rsid w:val="00C66DF5"/>
    <w:rsid w:val="00C67628"/>
    <w:rsid w:val="00C73DFB"/>
    <w:rsid w:val="00C7488C"/>
    <w:rsid w:val="00C81313"/>
    <w:rsid w:val="00C82329"/>
    <w:rsid w:val="00C83077"/>
    <w:rsid w:val="00C90327"/>
    <w:rsid w:val="00C90556"/>
    <w:rsid w:val="00C90FFB"/>
    <w:rsid w:val="00C91E95"/>
    <w:rsid w:val="00C92EA8"/>
    <w:rsid w:val="00C94CD4"/>
    <w:rsid w:val="00C953C7"/>
    <w:rsid w:val="00C95A99"/>
    <w:rsid w:val="00C9738D"/>
    <w:rsid w:val="00CA33CF"/>
    <w:rsid w:val="00CA5EAE"/>
    <w:rsid w:val="00CB02DC"/>
    <w:rsid w:val="00CB4515"/>
    <w:rsid w:val="00CB5444"/>
    <w:rsid w:val="00CC124B"/>
    <w:rsid w:val="00CC257F"/>
    <w:rsid w:val="00CC43FA"/>
    <w:rsid w:val="00CC48F8"/>
    <w:rsid w:val="00CC610C"/>
    <w:rsid w:val="00CD3950"/>
    <w:rsid w:val="00CD6A2D"/>
    <w:rsid w:val="00CE0872"/>
    <w:rsid w:val="00CF0F87"/>
    <w:rsid w:val="00CF6EC1"/>
    <w:rsid w:val="00D0178F"/>
    <w:rsid w:val="00D04C15"/>
    <w:rsid w:val="00D05463"/>
    <w:rsid w:val="00D061AD"/>
    <w:rsid w:val="00D063F5"/>
    <w:rsid w:val="00D12C4E"/>
    <w:rsid w:val="00D13225"/>
    <w:rsid w:val="00D1642D"/>
    <w:rsid w:val="00D259F2"/>
    <w:rsid w:val="00D26C50"/>
    <w:rsid w:val="00D27E27"/>
    <w:rsid w:val="00D31C17"/>
    <w:rsid w:val="00D32C6D"/>
    <w:rsid w:val="00D3456B"/>
    <w:rsid w:val="00D3513B"/>
    <w:rsid w:val="00D36883"/>
    <w:rsid w:val="00D46F79"/>
    <w:rsid w:val="00D5033C"/>
    <w:rsid w:val="00D51BE7"/>
    <w:rsid w:val="00D52247"/>
    <w:rsid w:val="00D5338B"/>
    <w:rsid w:val="00D53A63"/>
    <w:rsid w:val="00D5709D"/>
    <w:rsid w:val="00D62896"/>
    <w:rsid w:val="00D6464C"/>
    <w:rsid w:val="00D65C4E"/>
    <w:rsid w:val="00D679D1"/>
    <w:rsid w:val="00D77A1E"/>
    <w:rsid w:val="00D812D0"/>
    <w:rsid w:val="00D8615D"/>
    <w:rsid w:val="00D8649D"/>
    <w:rsid w:val="00D878BE"/>
    <w:rsid w:val="00D95D57"/>
    <w:rsid w:val="00D96554"/>
    <w:rsid w:val="00DA4CDB"/>
    <w:rsid w:val="00DA781B"/>
    <w:rsid w:val="00DA7C2F"/>
    <w:rsid w:val="00DB4EBF"/>
    <w:rsid w:val="00DC2F5D"/>
    <w:rsid w:val="00DC5136"/>
    <w:rsid w:val="00DC5A8D"/>
    <w:rsid w:val="00DC5AC3"/>
    <w:rsid w:val="00DD20F4"/>
    <w:rsid w:val="00DD30CA"/>
    <w:rsid w:val="00DD4B4E"/>
    <w:rsid w:val="00DD5391"/>
    <w:rsid w:val="00DD74A6"/>
    <w:rsid w:val="00DE2C5A"/>
    <w:rsid w:val="00DE532C"/>
    <w:rsid w:val="00DE5E66"/>
    <w:rsid w:val="00DE5F0F"/>
    <w:rsid w:val="00DE611E"/>
    <w:rsid w:val="00DF45A1"/>
    <w:rsid w:val="00DF5C35"/>
    <w:rsid w:val="00DF5F87"/>
    <w:rsid w:val="00DF6B74"/>
    <w:rsid w:val="00DF745D"/>
    <w:rsid w:val="00E12342"/>
    <w:rsid w:val="00E212D1"/>
    <w:rsid w:val="00E253B6"/>
    <w:rsid w:val="00E26428"/>
    <w:rsid w:val="00E35264"/>
    <w:rsid w:val="00E35709"/>
    <w:rsid w:val="00E35C97"/>
    <w:rsid w:val="00E367D7"/>
    <w:rsid w:val="00E37EAB"/>
    <w:rsid w:val="00E4018C"/>
    <w:rsid w:val="00E43A10"/>
    <w:rsid w:val="00E444E7"/>
    <w:rsid w:val="00E44D02"/>
    <w:rsid w:val="00E44F42"/>
    <w:rsid w:val="00E4531C"/>
    <w:rsid w:val="00E51361"/>
    <w:rsid w:val="00E51AD6"/>
    <w:rsid w:val="00E53DB4"/>
    <w:rsid w:val="00E56B29"/>
    <w:rsid w:val="00E6140B"/>
    <w:rsid w:val="00E61FD9"/>
    <w:rsid w:val="00E64416"/>
    <w:rsid w:val="00E651F9"/>
    <w:rsid w:val="00E664C1"/>
    <w:rsid w:val="00E67CAC"/>
    <w:rsid w:val="00E745DD"/>
    <w:rsid w:val="00E81259"/>
    <w:rsid w:val="00E87F8D"/>
    <w:rsid w:val="00E976ED"/>
    <w:rsid w:val="00E979D1"/>
    <w:rsid w:val="00EA2E56"/>
    <w:rsid w:val="00EA7BA2"/>
    <w:rsid w:val="00EB0320"/>
    <w:rsid w:val="00EB1EF3"/>
    <w:rsid w:val="00EB6BEA"/>
    <w:rsid w:val="00EC1986"/>
    <w:rsid w:val="00ED03BB"/>
    <w:rsid w:val="00ED2A7F"/>
    <w:rsid w:val="00ED7B1D"/>
    <w:rsid w:val="00EE1EBF"/>
    <w:rsid w:val="00EE4C17"/>
    <w:rsid w:val="00EE58AD"/>
    <w:rsid w:val="00EF2720"/>
    <w:rsid w:val="00EF7CFD"/>
    <w:rsid w:val="00F0095A"/>
    <w:rsid w:val="00F00CC8"/>
    <w:rsid w:val="00F04C7E"/>
    <w:rsid w:val="00F04CCB"/>
    <w:rsid w:val="00F04E50"/>
    <w:rsid w:val="00F07FAD"/>
    <w:rsid w:val="00F156A7"/>
    <w:rsid w:val="00F20CE8"/>
    <w:rsid w:val="00F22015"/>
    <w:rsid w:val="00F221A2"/>
    <w:rsid w:val="00F22FBF"/>
    <w:rsid w:val="00F3079F"/>
    <w:rsid w:val="00F31C36"/>
    <w:rsid w:val="00F336FC"/>
    <w:rsid w:val="00F34C82"/>
    <w:rsid w:val="00F371C9"/>
    <w:rsid w:val="00F404A1"/>
    <w:rsid w:val="00F42BE6"/>
    <w:rsid w:val="00F44497"/>
    <w:rsid w:val="00F47350"/>
    <w:rsid w:val="00F50770"/>
    <w:rsid w:val="00F5249C"/>
    <w:rsid w:val="00F546EC"/>
    <w:rsid w:val="00F57B94"/>
    <w:rsid w:val="00F57E39"/>
    <w:rsid w:val="00F63729"/>
    <w:rsid w:val="00F67A55"/>
    <w:rsid w:val="00F705EF"/>
    <w:rsid w:val="00F7438B"/>
    <w:rsid w:val="00F80019"/>
    <w:rsid w:val="00F82E07"/>
    <w:rsid w:val="00F833B6"/>
    <w:rsid w:val="00F844AE"/>
    <w:rsid w:val="00F85938"/>
    <w:rsid w:val="00F9164A"/>
    <w:rsid w:val="00F91D1A"/>
    <w:rsid w:val="00F95B54"/>
    <w:rsid w:val="00F96569"/>
    <w:rsid w:val="00F97B32"/>
    <w:rsid w:val="00FA1823"/>
    <w:rsid w:val="00FA41DA"/>
    <w:rsid w:val="00FA53F3"/>
    <w:rsid w:val="00FA65E0"/>
    <w:rsid w:val="00FB05E1"/>
    <w:rsid w:val="00FB1C9D"/>
    <w:rsid w:val="00FB426A"/>
    <w:rsid w:val="00FB438D"/>
    <w:rsid w:val="00FC0B31"/>
    <w:rsid w:val="00FC45DD"/>
    <w:rsid w:val="00FC705D"/>
    <w:rsid w:val="00FD2FFE"/>
    <w:rsid w:val="00FD3D1B"/>
    <w:rsid w:val="00FD539C"/>
    <w:rsid w:val="00FE115F"/>
    <w:rsid w:val="00FE3BBE"/>
    <w:rsid w:val="00FE747D"/>
    <w:rsid w:val="00FE76DD"/>
    <w:rsid w:val="00FF2882"/>
    <w:rsid w:val="00FF52A1"/>
    <w:rsid w:val="00FF6FB7"/>
    <w:rsid w:val="01D64414"/>
    <w:rsid w:val="029B7D9B"/>
    <w:rsid w:val="04763D7B"/>
    <w:rsid w:val="05C1742C"/>
    <w:rsid w:val="08B0378C"/>
    <w:rsid w:val="09334182"/>
    <w:rsid w:val="0A7D2C6B"/>
    <w:rsid w:val="0A840F5E"/>
    <w:rsid w:val="0B0C1A07"/>
    <w:rsid w:val="0B0F2140"/>
    <w:rsid w:val="0B5C1E1A"/>
    <w:rsid w:val="0B5E57ED"/>
    <w:rsid w:val="0BA607B6"/>
    <w:rsid w:val="0BBF4E5C"/>
    <w:rsid w:val="0CE0442A"/>
    <w:rsid w:val="0D310940"/>
    <w:rsid w:val="0D5F61FF"/>
    <w:rsid w:val="0D9F26FE"/>
    <w:rsid w:val="0DE7346F"/>
    <w:rsid w:val="11827F98"/>
    <w:rsid w:val="131446F0"/>
    <w:rsid w:val="134548D4"/>
    <w:rsid w:val="13AC1A4E"/>
    <w:rsid w:val="1497558B"/>
    <w:rsid w:val="15582E8C"/>
    <w:rsid w:val="15A11C1A"/>
    <w:rsid w:val="165104ED"/>
    <w:rsid w:val="16903CAA"/>
    <w:rsid w:val="16F66999"/>
    <w:rsid w:val="1706090E"/>
    <w:rsid w:val="1710299D"/>
    <w:rsid w:val="1736417D"/>
    <w:rsid w:val="176953E1"/>
    <w:rsid w:val="17B412AD"/>
    <w:rsid w:val="17CF7D88"/>
    <w:rsid w:val="18CE1C68"/>
    <w:rsid w:val="1AD65049"/>
    <w:rsid w:val="1B034DD8"/>
    <w:rsid w:val="1BB16611"/>
    <w:rsid w:val="1C232E71"/>
    <w:rsid w:val="1C7220D2"/>
    <w:rsid w:val="1E803E86"/>
    <w:rsid w:val="1EDB22FA"/>
    <w:rsid w:val="1F16049C"/>
    <w:rsid w:val="1F933E16"/>
    <w:rsid w:val="20393D38"/>
    <w:rsid w:val="2057280C"/>
    <w:rsid w:val="2375340B"/>
    <w:rsid w:val="249C01A8"/>
    <w:rsid w:val="251E0B57"/>
    <w:rsid w:val="263B64ED"/>
    <w:rsid w:val="26A10F0F"/>
    <w:rsid w:val="26F54E68"/>
    <w:rsid w:val="27AE790A"/>
    <w:rsid w:val="282C5259"/>
    <w:rsid w:val="28447CAD"/>
    <w:rsid w:val="29533C8B"/>
    <w:rsid w:val="2AA91785"/>
    <w:rsid w:val="2B4B5BC2"/>
    <w:rsid w:val="2C7D575E"/>
    <w:rsid w:val="2D101015"/>
    <w:rsid w:val="2D1D64DD"/>
    <w:rsid w:val="2D7E5336"/>
    <w:rsid w:val="2F000D9D"/>
    <w:rsid w:val="2F4C1FA1"/>
    <w:rsid w:val="2FE66E8E"/>
    <w:rsid w:val="30677E96"/>
    <w:rsid w:val="307F4318"/>
    <w:rsid w:val="324710A4"/>
    <w:rsid w:val="3273557D"/>
    <w:rsid w:val="33227188"/>
    <w:rsid w:val="34A55F9D"/>
    <w:rsid w:val="36294234"/>
    <w:rsid w:val="38C00281"/>
    <w:rsid w:val="394A47D4"/>
    <w:rsid w:val="39D709A6"/>
    <w:rsid w:val="39E92C54"/>
    <w:rsid w:val="3ACB56B4"/>
    <w:rsid w:val="3B245E6D"/>
    <w:rsid w:val="3B536BB7"/>
    <w:rsid w:val="3C14470D"/>
    <w:rsid w:val="3C21638C"/>
    <w:rsid w:val="3D040611"/>
    <w:rsid w:val="3DEE0DCE"/>
    <w:rsid w:val="3E0C5E74"/>
    <w:rsid w:val="3E3E7056"/>
    <w:rsid w:val="40775C0B"/>
    <w:rsid w:val="41357287"/>
    <w:rsid w:val="423D2A5E"/>
    <w:rsid w:val="428E4478"/>
    <w:rsid w:val="43484D71"/>
    <w:rsid w:val="436309E3"/>
    <w:rsid w:val="44FB5377"/>
    <w:rsid w:val="4541137E"/>
    <w:rsid w:val="46DC365C"/>
    <w:rsid w:val="470B1312"/>
    <w:rsid w:val="48421C15"/>
    <w:rsid w:val="484A3FCB"/>
    <w:rsid w:val="4A081F26"/>
    <w:rsid w:val="4A146FE2"/>
    <w:rsid w:val="4A1E0E35"/>
    <w:rsid w:val="4A24222A"/>
    <w:rsid w:val="4A883FC3"/>
    <w:rsid w:val="4D0F29B4"/>
    <w:rsid w:val="4E0E4BE2"/>
    <w:rsid w:val="4E2B75D8"/>
    <w:rsid w:val="4F0D2919"/>
    <w:rsid w:val="50F47D9E"/>
    <w:rsid w:val="51487C11"/>
    <w:rsid w:val="51EF6B01"/>
    <w:rsid w:val="542021B8"/>
    <w:rsid w:val="5431301F"/>
    <w:rsid w:val="54CA13DC"/>
    <w:rsid w:val="56610F0F"/>
    <w:rsid w:val="585E648F"/>
    <w:rsid w:val="58E67556"/>
    <w:rsid w:val="598C2719"/>
    <w:rsid w:val="5A181B2B"/>
    <w:rsid w:val="5B417F1E"/>
    <w:rsid w:val="5DBB1835"/>
    <w:rsid w:val="5EA92062"/>
    <w:rsid w:val="5EAE1B8C"/>
    <w:rsid w:val="5ED110D1"/>
    <w:rsid w:val="5F0149BE"/>
    <w:rsid w:val="5F6B55DA"/>
    <w:rsid w:val="5FE65C93"/>
    <w:rsid w:val="622F507C"/>
    <w:rsid w:val="63032D17"/>
    <w:rsid w:val="63AD4322"/>
    <w:rsid w:val="63D26C91"/>
    <w:rsid w:val="65050530"/>
    <w:rsid w:val="657A0974"/>
    <w:rsid w:val="658F3703"/>
    <w:rsid w:val="66137941"/>
    <w:rsid w:val="6716225F"/>
    <w:rsid w:val="67BE583A"/>
    <w:rsid w:val="67DB3C8F"/>
    <w:rsid w:val="680454AB"/>
    <w:rsid w:val="68490412"/>
    <w:rsid w:val="6A570467"/>
    <w:rsid w:val="6B325010"/>
    <w:rsid w:val="6B4E58C9"/>
    <w:rsid w:val="6B845C80"/>
    <w:rsid w:val="6C386EAB"/>
    <w:rsid w:val="6CBA3389"/>
    <w:rsid w:val="6D107750"/>
    <w:rsid w:val="6D6C4DAC"/>
    <w:rsid w:val="6DA14318"/>
    <w:rsid w:val="6DB24886"/>
    <w:rsid w:val="6DC373E8"/>
    <w:rsid w:val="6F4C589F"/>
    <w:rsid w:val="6F872F29"/>
    <w:rsid w:val="71FD4CBD"/>
    <w:rsid w:val="73260E48"/>
    <w:rsid w:val="73F97190"/>
    <w:rsid w:val="74D25A7C"/>
    <w:rsid w:val="75E67988"/>
    <w:rsid w:val="769C4123"/>
    <w:rsid w:val="77051E4D"/>
    <w:rsid w:val="778B273D"/>
    <w:rsid w:val="780E7F23"/>
    <w:rsid w:val="780F0CB3"/>
    <w:rsid w:val="78C241B3"/>
    <w:rsid w:val="7CAA58D3"/>
    <w:rsid w:val="7D3A5311"/>
    <w:rsid w:val="7EB5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等线" w:eastAsia="等线" w:cs="Times New Roman"/>
      <w:sz w:val="24"/>
      <w:szCs w:val="24"/>
      <w:lang w:val="en-US" w:eastAsia="zh-CN" w:bidi="ar-SA"/>
    </w:rPr>
  </w:style>
  <w:style w:type="paragraph" w:styleId="2">
    <w:name w:val="heading 1"/>
    <w:basedOn w:val="1"/>
    <w:next w:val="1"/>
    <w:link w:val="35"/>
    <w:qFormat/>
    <w:uiPriority w:val="99"/>
    <w:pPr>
      <w:keepNext/>
      <w:spacing w:before="240" w:after="60"/>
      <w:outlineLvl w:val="0"/>
    </w:pPr>
    <w:rPr>
      <w:rFonts w:ascii="等线 Light" w:hAnsi="等线 Light" w:eastAsia="等线 Light"/>
      <w:b/>
      <w:bCs/>
      <w:kern w:val="32"/>
      <w:sz w:val="32"/>
      <w:szCs w:val="32"/>
    </w:rPr>
  </w:style>
  <w:style w:type="paragraph" w:styleId="3">
    <w:name w:val="heading 2"/>
    <w:basedOn w:val="1"/>
    <w:next w:val="1"/>
    <w:link w:val="52"/>
    <w:qFormat/>
    <w:uiPriority w:val="99"/>
    <w:pPr>
      <w:keepNext/>
      <w:spacing w:before="240" w:after="60"/>
      <w:outlineLvl w:val="1"/>
    </w:pPr>
    <w:rPr>
      <w:rFonts w:ascii="等线 Light" w:hAnsi="等线 Light" w:eastAsia="等线 Light"/>
      <w:b/>
      <w:bCs/>
      <w:i/>
      <w:iCs/>
      <w:sz w:val="28"/>
      <w:szCs w:val="28"/>
    </w:rPr>
  </w:style>
  <w:style w:type="paragraph" w:styleId="4">
    <w:name w:val="heading 3"/>
    <w:basedOn w:val="1"/>
    <w:next w:val="1"/>
    <w:link w:val="47"/>
    <w:qFormat/>
    <w:uiPriority w:val="99"/>
    <w:pPr>
      <w:keepNext/>
      <w:spacing w:before="240" w:after="60"/>
      <w:outlineLvl w:val="2"/>
    </w:pPr>
    <w:rPr>
      <w:rFonts w:ascii="等线 Light" w:hAnsi="等线 Light" w:eastAsia="等线 Light"/>
      <w:b/>
      <w:bCs/>
      <w:sz w:val="26"/>
      <w:szCs w:val="26"/>
    </w:rPr>
  </w:style>
  <w:style w:type="paragraph" w:styleId="5">
    <w:name w:val="heading 4"/>
    <w:basedOn w:val="1"/>
    <w:next w:val="1"/>
    <w:link w:val="55"/>
    <w:qFormat/>
    <w:uiPriority w:val="99"/>
    <w:pPr>
      <w:keepNext/>
      <w:spacing w:before="240" w:after="60"/>
      <w:outlineLvl w:val="3"/>
    </w:pPr>
    <w:rPr>
      <w:b/>
      <w:bCs/>
      <w:sz w:val="28"/>
      <w:szCs w:val="28"/>
    </w:rPr>
  </w:style>
  <w:style w:type="paragraph" w:styleId="6">
    <w:name w:val="heading 5"/>
    <w:basedOn w:val="1"/>
    <w:next w:val="1"/>
    <w:link w:val="43"/>
    <w:qFormat/>
    <w:uiPriority w:val="99"/>
    <w:pPr>
      <w:spacing w:before="240" w:after="60"/>
      <w:outlineLvl w:val="4"/>
    </w:pPr>
    <w:rPr>
      <w:b/>
      <w:bCs/>
      <w:i/>
      <w:iCs/>
      <w:sz w:val="26"/>
      <w:szCs w:val="26"/>
    </w:rPr>
  </w:style>
  <w:style w:type="paragraph" w:styleId="7">
    <w:name w:val="heading 6"/>
    <w:basedOn w:val="1"/>
    <w:next w:val="1"/>
    <w:link w:val="57"/>
    <w:qFormat/>
    <w:uiPriority w:val="99"/>
    <w:pPr>
      <w:spacing w:before="240" w:after="60"/>
      <w:outlineLvl w:val="5"/>
    </w:pPr>
    <w:rPr>
      <w:b/>
      <w:bCs/>
      <w:sz w:val="22"/>
      <w:szCs w:val="22"/>
    </w:rPr>
  </w:style>
  <w:style w:type="paragraph" w:styleId="8">
    <w:name w:val="heading 7"/>
    <w:basedOn w:val="1"/>
    <w:next w:val="1"/>
    <w:link w:val="39"/>
    <w:qFormat/>
    <w:uiPriority w:val="99"/>
    <w:pPr>
      <w:spacing w:before="240" w:after="60"/>
      <w:outlineLvl w:val="6"/>
    </w:pPr>
  </w:style>
  <w:style w:type="paragraph" w:styleId="9">
    <w:name w:val="heading 8"/>
    <w:basedOn w:val="1"/>
    <w:next w:val="1"/>
    <w:link w:val="49"/>
    <w:qFormat/>
    <w:uiPriority w:val="99"/>
    <w:pPr>
      <w:spacing w:before="240" w:after="60"/>
      <w:outlineLvl w:val="7"/>
    </w:pPr>
    <w:rPr>
      <w:i/>
      <w:iCs/>
    </w:rPr>
  </w:style>
  <w:style w:type="paragraph" w:styleId="10">
    <w:name w:val="heading 9"/>
    <w:basedOn w:val="1"/>
    <w:next w:val="1"/>
    <w:link w:val="33"/>
    <w:qFormat/>
    <w:uiPriority w:val="99"/>
    <w:pPr>
      <w:spacing w:before="240" w:after="60"/>
      <w:outlineLvl w:val="8"/>
    </w:pPr>
    <w:rPr>
      <w:rFonts w:ascii="等线 Light" w:hAnsi="等线 Light" w:eastAsia="等线 Light"/>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ind w:firstLine="420" w:firstLineChars="200"/>
    </w:pPr>
  </w:style>
  <w:style w:type="paragraph" w:styleId="12">
    <w:name w:val="annotation text"/>
    <w:basedOn w:val="1"/>
    <w:link w:val="51"/>
    <w:qFormat/>
    <w:uiPriority w:val="99"/>
  </w:style>
  <w:style w:type="paragraph" w:styleId="13">
    <w:name w:val="Body Text"/>
    <w:basedOn w:val="1"/>
    <w:link w:val="46"/>
    <w:qFormat/>
    <w:uiPriority w:val="99"/>
    <w:pPr>
      <w:spacing w:after="120"/>
    </w:pPr>
    <w:rPr>
      <w:rFonts w:ascii="Times New Roman" w:hAnsi="Times New Roman" w:eastAsia="宋体"/>
      <w:kern w:val="2"/>
      <w:sz w:val="21"/>
    </w:rPr>
  </w:style>
  <w:style w:type="paragraph" w:styleId="14">
    <w:name w:val="Plain Text"/>
    <w:basedOn w:val="1"/>
    <w:link w:val="54"/>
    <w:qFormat/>
    <w:uiPriority w:val="99"/>
    <w:rPr>
      <w:rFonts w:ascii="宋体" w:hAnsi="Courier New" w:eastAsia="宋体"/>
      <w:sz w:val="20"/>
    </w:rPr>
  </w:style>
  <w:style w:type="paragraph" w:styleId="15">
    <w:name w:val="Balloon Text"/>
    <w:basedOn w:val="1"/>
    <w:link w:val="42"/>
    <w:qFormat/>
    <w:uiPriority w:val="99"/>
    <w:rPr>
      <w:rFonts w:ascii="Times New Roman" w:hAnsi="Times New Roman"/>
      <w:kern w:val="2"/>
      <w:sz w:val="18"/>
      <w:szCs w:val="18"/>
    </w:rPr>
  </w:style>
  <w:style w:type="paragraph" w:styleId="16">
    <w:name w:val="footer"/>
    <w:basedOn w:val="1"/>
    <w:link w:val="56"/>
    <w:qFormat/>
    <w:uiPriority w:val="99"/>
    <w:pPr>
      <w:tabs>
        <w:tab w:val="center" w:pos="4153"/>
        <w:tab w:val="right" w:pos="8306"/>
      </w:tabs>
      <w:snapToGrid w:val="0"/>
    </w:pPr>
    <w:rPr>
      <w:rFonts w:ascii="Times New Roman" w:hAnsi="Times New Roman" w:eastAsia="宋体"/>
      <w:sz w:val="18"/>
      <w:szCs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8">
    <w:name w:val="Subtitle"/>
    <w:basedOn w:val="1"/>
    <w:next w:val="1"/>
    <w:link w:val="48"/>
    <w:qFormat/>
    <w:uiPriority w:val="99"/>
    <w:pPr>
      <w:spacing w:after="60"/>
      <w:jc w:val="center"/>
      <w:outlineLvl w:val="1"/>
    </w:pPr>
    <w:rPr>
      <w:rFonts w:ascii="等线 Light" w:hAnsi="等线 Light" w:eastAsia="等线 Light"/>
    </w:rPr>
  </w:style>
  <w:style w:type="paragraph" w:styleId="19">
    <w:name w:val="Normal (Web)"/>
    <w:basedOn w:val="1"/>
    <w:qFormat/>
    <w:uiPriority w:val="99"/>
    <w:pPr>
      <w:spacing w:before="100" w:beforeAutospacing="1" w:after="100" w:afterAutospacing="1"/>
    </w:pPr>
    <w:rPr>
      <w:rFonts w:ascii="宋体" w:hAnsi="宋体"/>
    </w:rPr>
  </w:style>
  <w:style w:type="paragraph" w:styleId="20">
    <w:name w:val="Title"/>
    <w:basedOn w:val="1"/>
    <w:next w:val="1"/>
    <w:link w:val="32"/>
    <w:qFormat/>
    <w:uiPriority w:val="99"/>
    <w:pPr>
      <w:spacing w:before="240" w:after="60"/>
      <w:jc w:val="center"/>
      <w:outlineLvl w:val="0"/>
    </w:pPr>
    <w:rPr>
      <w:rFonts w:ascii="等线 Light" w:hAnsi="等线 Light" w:eastAsia="等线 Light"/>
      <w:b/>
      <w:bCs/>
      <w:kern w:val="28"/>
      <w:sz w:val="32"/>
      <w:szCs w:val="32"/>
    </w:rPr>
  </w:style>
  <w:style w:type="paragraph" w:styleId="21">
    <w:name w:val="annotation subject"/>
    <w:basedOn w:val="12"/>
    <w:next w:val="12"/>
    <w:link w:val="50"/>
    <w:semiHidden/>
    <w:qFormat/>
    <w:uiPriority w:val="99"/>
    <w:rPr>
      <w:b/>
      <w:bCs/>
    </w:rPr>
  </w:style>
  <w:style w:type="paragraph" w:styleId="22">
    <w:name w:val="Body Text First Indent"/>
    <w:basedOn w:val="13"/>
    <w:link w:val="53"/>
    <w:qFormat/>
    <w:uiPriority w:val="99"/>
    <w:pPr>
      <w:ind w:firstLine="420" w:firstLineChars="100"/>
    </w:p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page number"/>
    <w:basedOn w:val="25"/>
    <w:qFormat/>
    <w:uiPriority w:val="99"/>
    <w:rPr>
      <w:rFonts w:eastAsia="宋体" w:cs="Times New Roman"/>
      <w:kern w:val="2"/>
      <w:sz w:val="24"/>
      <w:lang w:val="en-US" w:eastAsia="zh-CN"/>
    </w:rPr>
  </w:style>
  <w:style w:type="character" w:styleId="28">
    <w:name w:val="FollowedHyperlink"/>
    <w:basedOn w:val="25"/>
    <w:qFormat/>
    <w:uiPriority w:val="99"/>
    <w:rPr>
      <w:rFonts w:cs="Times New Roman"/>
      <w:color w:val="003399"/>
      <w:u w:val="none"/>
    </w:rPr>
  </w:style>
  <w:style w:type="character" w:styleId="29">
    <w:name w:val="Emphasis"/>
    <w:basedOn w:val="25"/>
    <w:qFormat/>
    <w:uiPriority w:val="99"/>
    <w:rPr>
      <w:rFonts w:ascii="等线" w:eastAsia="等线" w:cs="Times New Roman"/>
      <w:b/>
      <w:i/>
      <w:iCs/>
    </w:rPr>
  </w:style>
  <w:style w:type="character" w:styleId="30">
    <w:name w:val="Hyperlink"/>
    <w:basedOn w:val="25"/>
    <w:qFormat/>
    <w:uiPriority w:val="99"/>
    <w:rPr>
      <w:rFonts w:cs="Times New Roman"/>
      <w:color w:val="0066CC"/>
      <w:u w:val="none"/>
    </w:rPr>
  </w:style>
  <w:style w:type="character" w:styleId="31">
    <w:name w:val="annotation reference"/>
    <w:basedOn w:val="25"/>
    <w:semiHidden/>
    <w:qFormat/>
    <w:uiPriority w:val="99"/>
    <w:rPr>
      <w:rFonts w:cs="Times New Roman"/>
      <w:sz w:val="21"/>
      <w:szCs w:val="21"/>
    </w:rPr>
  </w:style>
  <w:style w:type="character" w:customStyle="1" w:styleId="32">
    <w:name w:val="标题 Char"/>
    <w:basedOn w:val="25"/>
    <w:link w:val="20"/>
    <w:qFormat/>
    <w:locked/>
    <w:uiPriority w:val="99"/>
    <w:rPr>
      <w:rFonts w:ascii="等线 Light" w:hAnsi="等线 Light" w:eastAsia="等线 Light" w:cs="Times New Roman"/>
      <w:b/>
      <w:bCs/>
      <w:kern w:val="28"/>
      <w:sz w:val="32"/>
      <w:szCs w:val="32"/>
    </w:rPr>
  </w:style>
  <w:style w:type="character" w:customStyle="1" w:styleId="33">
    <w:name w:val="标题 9 Char"/>
    <w:basedOn w:val="25"/>
    <w:link w:val="10"/>
    <w:semiHidden/>
    <w:qFormat/>
    <w:locked/>
    <w:uiPriority w:val="99"/>
    <w:rPr>
      <w:rFonts w:ascii="等线 Light" w:hAnsi="等线 Light" w:eastAsia="等线 Light" w:cs="Times New Roman"/>
    </w:rPr>
  </w:style>
  <w:style w:type="character" w:customStyle="1" w:styleId="34">
    <w:name w:val="书籍标题1"/>
    <w:basedOn w:val="25"/>
    <w:qFormat/>
    <w:uiPriority w:val="99"/>
    <w:rPr>
      <w:rFonts w:ascii="等线 Light" w:hAnsi="等线 Light" w:eastAsia="等线 Light" w:cs="Times New Roman"/>
      <w:b/>
      <w:i/>
      <w:sz w:val="24"/>
      <w:szCs w:val="24"/>
    </w:rPr>
  </w:style>
  <w:style w:type="character" w:customStyle="1" w:styleId="35">
    <w:name w:val="标题 1 Char"/>
    <w:basedOn w:val="25"/>
    <w:link w:val="2"/>
    <w:qFormat/>
    <w:locked/>
    <w:uiPriority w:val="99"/>
    <w:rPr>
      <w:rFonts w:ascii="等线 Light" w:hAnsi="等线 Light" w:eastAsia="等线 Light" w:cs="Times New Roman"/>
      <w:b/>
      <w:bCs/>
      <w:kern w:val="32"/>
      <w:sz w:val="32"/>
      <w:szCs w:val="32"/>
    </w:rPr>
  </w:style>
  <w:style w:type="character" w:customStyle="1" w:styleId="36">
    <w:name w:val="Quote Char"/>
    <w:basedOn w:val="25"/>
    <w:link w:val="37"/>
    <w:qFormat/>
    <w:locked/>
    <w:uiPriority w:val="99"/>
    <w:rPr>
      <w:rFonts w:cs="Times New Roman"/>
      <w:i/>
      <w:sz w:val="24"/>
      <w:szCs w:val="24"/>
    </w:rPr>
  </w:style>
  <w:style w:type="paragraph" w:customStyle="1" w:styleId="37">
    <w:name w:val="引用1"/>
    <w:basedOn w:val="1"/>
    <w:next w:val="1"/>
    <w:link w:val="36"/>
    <w:qFormat/>
    <w:uiPriority w:val="99"/>
    <w:rPr>
      <w:i/>
    </w:rPr>
  </w:style>
  <w:style w:type="character" w:customStyle="1" w:styleId="38">
    <w:name w:val="页眉 Char"/>
    <w:basedOn w:val="25"/>
    <w:link w:val="17"/>
    <w:semiHidden/>
    <w:qFormat/>
    <w:locked/>
    <w:uiPriority w:val="99"/>
    <w:rPr>
      <w:rFonts w:ascii="Times New Roman" w:hAnsi="Times New Roman" w:eastAsia="宋体"/>
      <w:sz w:val="18"/>
    </w:rPr>
  </w:style>
  <w:style w:type="character" w:customStyle="1" w:styleId="39">
    <w:name w:val="标题 7 Char"/>
    <w:basedOn w:val="25"/>
    <w:link w:val="8"/>
    <w:semiHidden/>
    <w:qFormat/>
    <w:locked/>
    <w:uiPriority w:val="99"/>
    <w:rPr>
      <w:rFonts w:cs="Times New Roman"/>
      <w:sz w:val="24"/>
      <w:szCs w:val="24"/>
    </w:rPr>
  </w:style>
  <w:style w:type="character" w:customStyle="1" w:styleId="40">
    <w:name w:val="不明显参考1"/>
    <w:basedOn w:val="25"/>
    <w:qFormat/>
    <w:uiPriority w:val="99"/>
    <w:rPr>
      <w:rFonts w:cs="Times New Roman"/>
      <w:sz w:val="24"/>
      <w:szCs w:val="24"/>
      <w:u w:val="single"/>
    </w:rPr>
  </w:style>
  <w:style w:type="character" w:customStyle="1" w:styleId="41">
    <w:name w:val="legend"/>
    <w:qFormat/>
    <w:uiPriority w:val="99"/>
    <w:rPr>
      <w:rFonts w:ascii="Arial" w:hAnsi="Arial"/>
      <w:b/>
      <w:color w:val="73B304"/>
      <w:sz w:val="21"/>
      <w:shd w:val="clear" w:color="auto" w:fill="FFFFFF"/>
    </w:rPr>
  </w:style>
  <w:style w:type="character" w:customStyle="1" w:styleId="42">
    <w:name w:val="批注框文本 Char"/>
    <w:basedOn w:val="25"/>
    <w:link w:val="15"/>
    <w:semiHidden/>
    <w:qFormat/>
    <w:locked/>
    <w:uiPriority w:val="99"/>
    <w:rPr>
      <w:rFonts w:ascii="Times New Roman" w:hAnsi="Times New Roman"/>
      <w:kern w:val="2"/>
      <w:sz w:val="18"/>
    </w:rPr>
  </w:style>
  <w:style w:type="character" w:customStyle="1" w:styleId="43">
    <w:name w:val="标题 5 Char"/>
    <w:basedOn w:val="25"/>
    <w:link w:val="6"/>
    <w:semiHidden/>
    <w:qFormat/>
    <w:locked/>
    <w:uiPriority w:val="99"/>
    <w:rPr>
      <w:rFonts w:cs="Times New Roman"/>
      <w:b/>
      <w:bCs/>
      <w:i/>
      <w:iCs/>
      <w:sz w:val="26"/>
      <w:szCs w:val="26"/>
    </w:rPr>
  </w:style>
  <w:style w:type="character" w:customStyle="1" w:styleId="44">
    <w:name w:val="不明显强调1"/>
    <w:qFormat/>
    <w:uiPriority w:val="99"/>
    <w:rPr>
      <w:i/>
      <w:color w:val="595959"/>
    </w:rPr>
  </w:style>
  <w:style w:type="character" w:customStyle="1" w:styleId="45">
    <w:name w:val="正文首行缩进 Char"/>
    <w:qFormat/>
    <w:uiPriority w:val="99"/>
    <w:rPr>
      <w:kern w:val="2"/>
      <w:sz w:val="24"/>
    </w:rPr>
  </w:style>
  <w:style w:type="character" w:customStyle="1" w:styleId="46">
    <w:name w:val="正文文本 Char"/>
    <w:basedOn w:val="25"/>
    <w:link w:val="13"/>
    <w:semiHidden/>
    <w:qFormat/>
    <w:locked/>
    <w:uiPriority w:val="99"/>
    <w:rPr>
      <w:rFonts w:ascii="Times New Roman" w:hAnsi="Times New Roman" w:eastAsia="宋体"/>
      <w:kern w:val="2"/>
      <w:sz w:val="24"/>
    </w:rPr>
  </w:style>
  <w:style w:type="character" w:customStyle="1" w:styleId="47">
    <w:name w:val="标题 3 Char"/>
    <w:basedOn w:val="25"/>
    <w:link w:val="4"/>
    <w:semiHidden/>
    <w:qFormat/>
    <w:locked/>
    <w:uiPriority w:val="99"/>
    <w:rPr>
      <w:rFonts w:ascii="等线 Light" w:hAnsi="等线 Light" w:eastAsia="等线 Light" w:cs="Times New Roman"/>
      <w:b/>
      <w:bCs/>
      <w:sz w:val="26"/>
      <w:szCs w:val="26"/>
    </w:rPr>
  </w:style>
  <w:style w:type="character" w:customStyle="1" w:styleId="48">
    <w:name w:val="副标题 Char"/>
    <w:basedOn w:val="25"/>
    <w:link w:val="18"/>
    <w:qFormat/>
    <w:locked/>
    <w:uiPriority w:val="99"/>
    <w:rPr>
      <w:rFonts w:ascii="等线 Light" w:hAnsi="等线 Light" w:eastAsia="等线 Light" w:cs="Times New Roman"/>
      <w:sz w:val="24"/>
      <w:szCs w:val="24"/>
    </w:rPr>
  </w:style>
  <w:style w:type="character" w:customStyle="1" w:styleId="49">
    <w:name w:val="标题 8 Char"/>
    <w:basedOn w:val="25"/>
    <w:link w:val="9"/>
    <w:semiHidden/>
    <w:qFormat/>
    <w:locked/>
    <w:uiPriority w:val="99"/>
    <w:rPr>
      <w:rFonts w:cs="Times New Roman"/>
      <w:i/>
      <w:iCs/>
      <w:sz w:val="24"/>
      <w:szCs w:val="24"/>
    </w:rPr>
  </w:style>
  <w:style w:type="character" w:customStyle="1" w:styleId="50">
    <w:name w:val="批注主题 Char"/>
    <w:basedOn w:val="51"/>
    <w:link w:val="21"/>
    <w:semiHidden/>
    <w:qFormat/>
    <w:locked/>
    <w:uiPriority w:val="99"/>
    <w:rPr>
      <w:rFonts w:cs="Times New Roman"/>
      <w:b/>
      <w:bCs/>
      <w:sz w:val="24"/>
      <w:szCs w:val="24"/>
    </w:rPr>
  </w:style>
  <w:style w:type="character" w:customStyle="1" w:styleId="51">
    <w:name w:val="批注文字 Char"/>
    <w:basedOn w:val="25"/>
    <w:link w:val="12"/>
    <w:qFormat/>
    <w:locked/>
    <w:uiPriority w:val="99"/>
    <w:rPr>
      <w:rFonts w:cs="Times New Roman"/>
      <w:sz w:val="24"/>
      <w:szCs w:val="24"/>
    </w:rPr>
  </w:style>
  <w:style w:type="character" w:customStyle="1" w:styleId="52">
    <w:name w:val="标题 2 Char"/>
    <w:basedOn w:val="25"/>
    <w:link w:val="3"/>
    <w:qFormat/>
    <w:locked/>
    <w:uiPriority w:val="99"/>
    <w:rPr>
      <w:rFonts w:ascii="等线 Light" w:hAnsi="等线 Light" w:eastAsia="等线 Light" w:cs="Times New Roman"/>
      <w:b/>
      <w:bCs/>
      <w:i/>
      <w:iCs/>
      <w:sz w:val="28"/>
      <w:szCs w:val="28"/>
    </w:rPr>
  </w:style>
  <w:style w:type="character" w:customStyle="1" w:styleId="53">
    <w:name w:val="正文首行缩进 Char1"/>
    <w:basedOn w:val="46"/>
    <w:link w:val="22"/>
    <w:semiHidden/>
    <w:qFormat/>
    <w:locked/>
    <w:uiPriority w:val="99"/>
    <w:rPr>
      <w:rFonts w:ascii="Times New Roman" w:hAnsi="Times New Roman" w:eastAsia="宋体"/>
      <w:kern w:val="2"/>
      <w:sz w:val="24"/>
    </w:rPr>
  </w:style>
  <w:style w:type="character" w:customStyle="1" w:styleId="54">
    <w:name w:val="纯文本 Char"/>
    <w:basedOn w:val="25"/>
    <w:link w:val="14"/>
    <w:qFormat/>
    <w:locked/>
    <w:uiPriority w:val="99"/>
    <w:rPr>
      <w:rFonts w:ascii="宋体" w:hAnsi="Courier New" w:eastAsia="宋体"/>
      <w:sz w:val="24"/>
    </w:rPr>
  </w:style>
  <w:style w:type="character" w:customStyle="1" w:styleId="55">
    <w:name w:val="标题 4 Char"/>
    <w:basedOn w:val="25"/>
    <w:link w:val="5"/>
    <w:semiHidden/>
    <w:qFormat/>
    <w:locked/>
    <w:uiPriority w:val="99"/>
    <w:rPr>
      <w:rFonts w:cs="Times New Roman"/>
      <w:b/>
      <w:bCs/>
      <w:sz w:val="28"/>
      <w:szCs w:val="28"/>
    </w:rPr>
  </w:style>
  <w:style w:type="character" w:customStyle="1" w:styleId="56">
    <w:name w:val="页脚 Char"/>
    <w:basedOn w:val="25"/>
    <w:link w:val="16"/>
    <w:qFormat/>
    <w:locked/>
    <w:uiPriority w:val="99"/>
    <w:rPr>
      <w:rFonts w:ascii="Times New Roman" w:hAnsi="Times New Roman" w:eastAsia="宋体"/>
      <w:sz w:val="18"/>
    </w:rPr>
  </w:style>
  <w:style w:type="character" w:customStyle="1" w:styleId="57">
    <w:name w:val="标题 6 Char"/>
    <w:basedOn w:val="25"/>
    <w:link w:val="7"/>
    <w:semiHidden/>
    <w:qFormat/>
    <w:locked/>
    <w:uiPriority w:val="99"/>
    <w:rPr>
      <w:rFonts w:cs="Times New Roman"/>
      <w:b/>
      <w:bCs/>
    </w:rPr>
  </w:style>
  <w:style w:type="character" w:customStyle="1" w:styleId="58">
    <w:name w:val="Intense Quote Char"/>
    <w:basedOn w:val="25"/>
    <w:link w:val="59"/>
    <w:qFormat/>
    <w:locked/>
    <w:uiPriority w:val="99"/>
    <w:rPr>
      <w:rFonts w:cs="Times New Roman"/>
      <w:b/>
      <w:i/>
      <w:sz w:val="24"/>
    </w:rPr>
  </w:style>
  <w:style w:type="paragraph" w:customStyle="1" w:styleId="59">
    <w:name w:val="明显引用1"/>
    <w:basedOn w:val="1"/>
    <w:next w:val="1"/>
    <w:link w:val="58"/>
    <w:qFormat/>
    <w:uiPriority w:val="99"/>
    <w:pPr>
      <w:ind w:left="720" w:right="720"/>
    </w:pPr>
    <w:rPr>
      <w:b/>
      <w:i/>
      <w:szCs w:val="22"/>
    </w:rPr>
  </w:style>
  <w:style w:type="character" w:customStyle="1" w:styleId="60">
    <w:name w:val="明显强调1"/>
    <w:basedOn w:val="25"/>
    <w:qFormat/>
    <w:uiPriority w:val="99"/>
    <w:rPr>
      <w:rFonts w:cs="Times New Roman"/>
      <w:b/>
      <w:i/>
      <w:sz w:val="24"/>
      <w:szCs w:val="24"/>
      <w:u w:val="single"/>
    </w:rPr>
  </w:style>
  <w:style w:type="character" w:customStyle="1" w:styleId="61">
    <w:name w:val="明显参考1"/>
    <w:basedOn w:val="25"/>
    <w:qFormat/>
    <w:uiPriority w:val="99"/>
    <w:rPr>
      <w:rFonts w:cs="Times New Roman"/>
      <w:b/>
      <w:sz w:val="24"/>
      <w:u w:val="single"/>
    </w:rPr>
  </w:style>
  <w:style w:type="paragraph" w:customStyle="1" w:styleId="62">
    <w:name w:val="Char"/>
    <w:basedOn w:val="1"/>
    <w:qFormat/>
    <w:uiPriority w:val="99"/>
    <w:rPr>
      <w:rFonts w:ascii="Calibri" w:hAnsi="Calibri" w:eastAsia="楷体_GB2312"/>
      <w:szCs w:val="22"/>
    </w:rPr>
  </w:style>
  <w:style w:type="paragraph" w:customStyle="1" w:styleId="63">
    <w:name w:val="xl76"/>
    <w:basedOn w:val="1"/>
    <w:qFormat/>
    <w:uiPriority w:val="99"/>
    <w:pPr>
      <w:spacing w:before="100" w:beforeAutospacing="1" w:after="100" w:afterAutospacing="1"/>
      <w:jc w:val="center"/>
    </w:pPr>
    <w:rPr>
      <w:rFonts w:ascii="宋体" w:hAnsi="宋体" w:cs="宋体"/>
    </w:rPr>
  </w:style>
  <w:style w:type="paragraph" w:customStyle="1" w:styleId="64">
    <w:name w:val="xl11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65">
    <w:name w:val="xl96"/>
    <w:basedOn w:val="1"/>
    <w:qFormat/>
    <w:uiPriority w:val="99"/>
    <w:pPr>
      <w:pBdr>
        <w:top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66">
    <w:name w:val="xl73"/>
    <w:basedOn w:val="1"/>
    <w:qFormat/>
    <w:uiPriority w:val="99"/>
    <w:pPr>
      <w:spacing w:before="100" w:beforeAutospacing="1" w:after="100" w:afterAutospacing="1"/>
      <w:jc w:val="center"/>
      <w:textAlignment w:val="bottom"/>
    </w:pPr>
    <w:rPr>
      <w:rFonts w:ascii="宋体" w:hAnsi="宋体" w:cs="宋体"/>
      <w:sz w:val="16"/>
      <w:szCs w:val="16"/>
    </w:rPr>
  </w:style>
  <w:style w:type="paragraph" w:customStyle="1" w:styleId="67">
    <w:name w:val="xl113"/>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16"/>
      <w:szCs w:val="16"/>
    </w:rPr>
  </w:style>
  <w:style w:type="paragraph" w:customStyle="1" w:styleId="68">
    <w:name w:val="xl8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6"/>
      <w:szCs w:val="16"/>
    </w:rPr>
  </w:style>
  <w:style w:type="paragraph" w:customStyle="1" w:styleId="69">
    <w:name w:val="font5"/>
    <w:basedOn w:val="1"/>
    <w:qFormat/>
    <w:uiPriority w:val="99"/>
    <w:pPr>
      <w:spacing w:before="100" w:beforeAutospacing="1" w:after="100" w:afterAutospacing="1"/>
    </w:pPr>
    <w:rPr>
      <w:rFonts w:ascii="宋体" w:hAnsi="宋体" w:cs="宋体"/>
      <w:sz w:val="18"/>
      <w:szCs w:val="18"/>
    </w:rPr>
  </w:style>
  <w:style w:type="paragraph" w:customStyle="1" w:styleId="70">
    <w:name w:val="xl103"/>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71">
    <w:name w:val="xl10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72">
    <w:name w:val="xl89"/>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73">
    <w:name w:val="xl104"/>
    <w:basedOn w:val="1"/>
    <w:qFormat/>
    <w:uiPriority w:val="99"/>
    <w:pPr>
      <w:pBdr>
        <w:top w:val="single" w:color="auto" w:sz="4" w:space="0"/>
        <w:left w:val="single" w:color="auto" w:sz="4" w:space="0"/>
      </w:pBdr>
      <w:spacing w:before="100" w:beforeAutospacing="1" w:after="100" w:afterAutospacing="1"/>
      <w:jc w:val="center"/>
    </w:pPr>
    <w:rPr>
      <w:rFonts w:ascii="宋体" w:hAnsi="宋体" w:cs="宋体"/>
      <w:sz w:val="16"/>
      <w:szCs w:val="16"/>
    </w:rPr>
  </w:style>
  <w:style w:type="paragraph" w:customStyle="1" w:styleId="74">
    <w:name w:val="xl108"/>
    <w:basedOn w:val="1"/>
    <w:qFormat/>
    <w:uiPriority w:val="99"/>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75">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76">
    <w:name w:val="xl90"/>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77">
    <w:name w:val="xl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78">
    <w:name w:val="xl88"/>
    <w:basedOn w:val="1"/>
    <w:qFormat/>
    <w:uiPriority w:val="99"/>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79">
    <w:name w:val="xl79"/>
    <w:basedOn w:val="1"/>
    <w:qFormat/>
    <w:uiPriority w:val="99"/>
    <w:pPr>
      <w:spacing w:before="100" w:beforeAutospacing="1" w:after="100" w:afterAutospacing="1"/>
      <w:jc w:val="center"/>
      <w:textAlignment w:val="bottom"/>
    </w:pPr>
    <w:rPr>
      <w:rFonts w:ascii="宋体" w:hAnsi="宋体" w:cs="宋体"/>
      <w:sz w:val="20"/>
      <w:szCs w:val="20"/>
    </w:rPr>
  </w:style>
  <w:style w:type="paragraph" w:customStyle="1" w:styleId="80">
    <w:name w:val="xl8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6"/>
      <w:szCs w:val="16"/>
    </w:rPr>
  </w:style>
  <w:style w:type="paragraph" w:customStyle="1" w:styleId="81">
    <w:name w:val="xl11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82">
    <w:name w:val="xl9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83">
    <w:name w:val="xl74"/>
    <w:basedOn w:val="1"/>
    <w:qFormat/>
    <w:uiPriority w:val="99"/>
    <w:pPr>
      <w:spacing w:before="100" w:beforeAutospacing="1" w:after="100" w:afterAutospacing="1"/>
      <w:jc w:val="center"/>
      <w:textAlignment w:val="bottom"/>
    </w:pPr>
    <w:rPr>
      <w:rFonts w:ascii="宋体" w:hAnsi="宋体" w:cs="宋体"/>
      <w:sz w:val="16"/>
      <w:szCs w:val="16"/>
    </w:rPr>
  </w:style>
  <w:style w:type="paragraph" w:customStyle="1" w:styleId="84">
    <w:name w:val="xl94"/>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b/>
      <w:bCs/>
      <w:sz w:val="28"/>
      <w:szCs w:val="28"/>
      <w:u w:val="single"/>
    </w:rPr>
  </w:style>
  <w:style w:type="paragraph" w:customStyle="1" w:styleId="85">
    <w:name w:val="xl97"/>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86">
    <w:name w:val="xl102"/>
    <w:basedOn w:val="1"/>
    <w:qFormat/>
    <w:uiPriority w:val="99"/>
    <w:pPr>
      <w:pBdr>
        <w:bottom w:val="single" w:color="auto" w:sz="4" w:space="0"/>
      </w:pBdr>
      <w:spacing w:before="100" w:beforeAutospacing="1" w:after="100" w:afterAutospacing="1"/>
      <w:jc w:val="center"/>
    </w:pPr>
    <w:rPr>
      <w:rFonts w:ascii="宋体" w:hAnsi="宋体" w:cs="宋体"/>
      <w:sz w:val="16"/>
      <w:szCs w:val="16"/>
    </w:rPr>
  </w:style>
  <w:style w:type="paragraph" w:customStyle="1" w:styleId="87">
    <w:name w:val="xl86"/>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88">
    <w:name w:val="xl101"/>
    <w:basedOn w:val="1"/>
    <w:qFormat/>
    <w:uiPriority w:val="99"/>
    <w:pPr>
      <w:pBdr>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89">
    <w:name w:val="xl77"/>
    <w:basedOn w:val="1"/>
    <w:qFormat/>
    <w:uiPriority w:val="99"/>
    <w:pPr>
      <w:spacing w:before="100" w:beforeAutospacing="1" w:after="100" w:afterAutospacing="1"/>
      <w:jc w:val="center"/>
    </w:pPr>
    <w:rPr>
      <w:rFonts w:ascii="宋体" w:hAnsi="宋体" w:cs="宋体"/>
      <w:color w:val="FF0000"/>
    </w:rPr>
  </w:style>
  <w:style w:type="paragraph" w:customStyle="1" w:styleId="90">
    <w:name w:val="xl106"/>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91">
    <w:name w:val="xl100"/>
    <w:basedOn w:val="1"/>
    <w:qFormat/>
    <w:uiPriority w:val="99"/>
    <w:pPr>
      <w:pBdr>
        <w:right w:val="single" w:color="auto" w:sz="4" w:space="0"/>
      </w:pBdr>
      <w:spacing w:before="100" w:beforeAutospacing="1" w:after="100" w:afterAutospacing="1"/>
      <w:jc w:val="center"/>
    </w:pPr>
    <w:rPr>
      <w:rFonts w:ascii="宋体" w:hAnsi="宋体" w:cs="宋体"/>
      <w:sz w:val="16"/>
      <w:szCs w:val="16"/>
    </w:rPr>
  </w:style>
  <w:style w:type="paragraph" w:customStyle="1" w:styleId="92">
    <w:name w:val="xl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93">
    <w:name w:val="xl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94">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6"/>
      <w:szCs w:val="16"/>
    </w:rPr>
  </w:style>
  <w:style w:type="paragraph" w:customStyle="1" w:styleId="95">
    <w:name w:val="xl9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96">
    <w:name w:val="xl112"/>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97">
    <w:name w:val="xl87"/>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98">
    <w:name w:val="xl78"/>
    <w:basedOn w:val="1"/>
    <w:qFormat/>
    <w:uiPriority w:val="99"/>
    <w:pPr>
      <w:spacing w:before="100" w:beforeAutospacing="1" w:after="100" w:afterAutospacing="1"/>
      <w:jc w:val="center"/>
      <w:textAlignment w:val="bottom"/>
    </w:pPr>
    <w:rPr>
      <w:rFonts w:ascii="宋体" w:hAnsi="宋体" w:cs="宋体"/>
      <w:sz w:val="18"/>
      <w:szCs w:val="18"/>
    </w:rPr>
  </w:style>
  <w:style w:type="paragraph" w:customStyle="1" w:styleId="99">
    <w:name w:val="xl99"/>
    <w:basedOn w:val="1"/>
    <w:qFormat/>
    <w:uiPriority w:val="99"/>
    <w:pPr>
      <w:spacing w:before="100" w:beforeAutospacing="1" w:after="100" w:afterAutospacing="1"/>
      <w:jc w:val="center"/>
    </w:pPr>
    <w:rPr>
      <w:rFonts w:ascii="宋体" w:hAnsi="宋体" w:cs="宋体"/>
      <w:sz w:val="16"/>
      <w:szCs w:val="16"/>
    </w:rPr>
  </w:style>
  <w:style w:type="paragraph" w:customStyle="1" w:styleId="100">
    <w:name w:val="xl98"/>
    <w:basedOn w:val="1"/>
    <w:qFormat/>
    <w:uiPriority w:val="99"/>
    <w:pPr>
      <w:pBdr>
        <w:left w:val="single" w:color="auto" w:sz="4" w:space="0"/>
      </w:pBdr>
      <w:spacing w:before="100" w:beforeAutospacing="1" w:after="100" w:afterAutospacing="1"/>
      <w:jc w:val="center"/>
    </w:pPr>
    <w:rPr>
      <w:rFonts w:ascii="宋体" w:hAnsi="宋体" w:cs="宋体"/>
      <w:sz w:val="16"/>
      <w:szCs w:val="16"/>
    </w:rPr>
  </w:style>
  <w:style w:type="paragraph" w:customStyle="1" w:styleId="101">
    <w:name w:val="xl105"/>
    <w:basedOn w:val="1"/>
    <w:qFormat/>
    <w:uiPriority w:val="99"/>
    <w:pPr>
      <w:pBdr>
        <w:top w:val="single" w:color="auto" w:sz="4" w:space="0"/>
      </w:pBdr>
      <w:spacing w:before="100" w:beforeAutospacing="1" w:after="100" w:afterAutospacing="1"/>
      <w:jc w:val="center"/>
    </w:pPr>
    <w:rPr>
      <w:rFonts w:ascii="宋体" w:hAnsi="宋体" w:cs="宋体"/>
      <w:sz w:val="16"/>
      <w:szCs w:val="16"/>
    </w:rPr>
  </w:style>
  <w:style w:type="paragraph" w:customStyle="1" w:styleId="102">
    <w:name w:val="xl93"/>
    <w:basedOn w:val="1"/>
    <w:qFormat/>
    <w:uiPriority w:val="99"/>
    <w:pPr>
      <w:pBdr>
        <w:top w:val="single" w:color="auto" w:sz="4" w:space="0"/>
      </w:pBdr>
      <w:spacing w:before="100" w:beforeAutospacing="1" w:after="100" w:afterAutospacing="1"/>
      <w:jc w:val="center"/>
    </w:pPr>
    <w:rPr>
      <w:rFonts w:ascii="宋体" w:hAnsi="宋体" w:cs="宋体"/>
      <w:b/>
      <w:bCs/>
      <w:sz w:val="28"/>
      <w:szCs w:val="28"/>
      <w:u w:val="single"/>
    </w:rPr>
  </w:style>
  <w:style w:type="paragraph" w:customStyle="1" w:styleId="103">
    <w:name w:val="无间隔1"/>
    <w:basedOn w:val="1"/>
    <w:qFormat/>
    <w:uiPriority w:val="99"/>
    <w:rPr>
      <w:szCs w:val="32"/>
    </w:rPr>
  </w:style>
  <w:style w:type="paragraph" w:customStyle="1" w:styleId="104">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105">
    <w:name w:val="TOC 标题1"/>
    <w:basedOn w:val="2"/>
    <w:next w:val="1"/>
    <w:semiHidden/>
    <w:qFormat/>
    <w:uiPriority w:val="99"/>
    <w:pPr>
      <w:outlineLvl w:val="9"/>
    </w:pPr>
  </w:style>
  <w:style w:type="paragraph" w:customStyle="1" w:styleId="106">
    <w:name w:val="xl109"/>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07">
    <w:name w:val="xl83"/>
    <w:basedOn w:val="1"/>
    <w:qFormat/>
    <w:uiPriority w:val="99"/>
    <w:pPr>
      <w:spacing w:before="100" w:beforeAutospacing="1" w:after="100" w:afterAutospacing="1"/>
      <w:jc w:val="center"/>
    </w:pPr>
    <w:rPr>
      <w:rFonts w:ascii="宋体" w:hAnsi="宋体" w:cs="宋体"/>
      <w:b/>
      <w:bCs/>
    </w:rPr>
  </w:style>
  <w:style w:type="paragraph" w:customStyle="1" w:styleId="108">
    <w:name w:val="列出段落1"/>
    <w:basedOn w:val="1"/>
    <w:qFormat/>
    <w:uiPriority w:val="99"/>
    <w:pPr>
      <w:ind w:left="720"/>
      <w:contextualSpacing/>
    </w:pPr>
  </w:style>
  <w:style w:type="paragraph" w:customStyle="1" w:styleId="109">
    <w:name w:val="xl75"/>
    <w:basedOn w:val="1"/>
    <w:qFormat/>
    <w:uiPriority w:val="99"/>
    <w:pPr>
      <w:spacing w:before="100" w:beforeAutospacing="1" w:after="100" w:afterAutospacing="1"/>
      <w:jc w:val="center"/>
      <w:textAlignment w:val="bottom"/>
    </w:pPr>
    <w:rPr>
      <w:rFonts w:ascii="宋体" w:hAnsi="宋体" w:cs="宋体"/>
      <w:sz w:val="16"/>
      <w:szCs w:val="16"/>
    </w:rPr>
  </w:style>
  <w:style w:type="paragraph" w:customStyle="1" w:styleId="110">
    <w:name w:val="xl92"/>
    <w:basedOn w:val="1"/>
    <w:qFormat/>
    <w:uiPriority w:val="99"/>
    <w:pPr>
      <w:pBdr>
        <w:top w:val="single" w:color="auto" w:sz="4" w:space="0"/>
        <w:left w:val="single" w:color="auto" w:sz="4" w:space="0"/>
      </w:pBdr>
      <w:spacing w:before="100" w:beforeAutospacing="1" w:after="100" w:afterAutospacing="1"/>
      <w:jc w:val="center"/>
    </w:pPr>
    <w:rPr>
      <w:rFonts w:ascii="宋体" w:hAnsi="宋体" w:cs="宋体"/>
      <w:b/>
      <w:bCs/>
      <w:sz w:val="28"/>
      <w:szCs w:val="28"/>
      <w:u w:val="single"/>
    </w:rPr>
  </w:style>
  <w:style w:type="table" w:customStyle="1" w:styleId="111">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2">
    <w:name w:val="Char Char Char Char Char Char Char Char1 Char"/>
    <w:basedOn w:val="1"/>
    <w:qFormat/>
    <w:uiPriority w:val="0"/>
    <w:pPr>
      <w:widowControl w:val="0"/>
      <w:jc w:val="both"/>
    </w:pPr>
    <w:rPr>
      <w:rFonts w:ascii="Tahoma" w:hAnsi="Tahoma" w:eastAsia="宋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DD428-9969-4A7C-9389-7A3F17F6F9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1534</Words>
  <Characters>8747</Characters>
  <Lines>72</Lines>
  <Paragraphs>20</Paragraphs>
  <TotalTime>0</TotalTime>
  <ScaleCrop>false</ScaleCrop>
  <LinksUpToDate>false</LinksUpToDate>
  <CharactersWithSpaces>10261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2024-08-21T07:56:00Z</dcterms:created>
  <dc:creator>User</dc:creator>
  <cp:lastModifiedBy>RAO</cp:lastModifiedBy>
  <cp:lastPrinted>2023-09-18T07:09:00Z</cp:lastPrinted>
  <dcterms:modified xsi:type="dcterms:W3CDTF">2024-08-21T08:20:53Z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61F94F8180CD47AAAABBE6E8A5DD1617</vt:lpwstr>
  </property>
</Properties>
</file>