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color w:val="auto"/>
          <w:w w:val="100"/>
          <w:sz w:val="32"/>
          <w:szCs w:val="32"/>
          <w:highlight w:val="none"/>
          <w:lang w:eastAsia="zh-CN"/>
        </w:rPr>
      </w:pPr>
    </w:p>
    <w:p>
      <w:pPr>
        <w:jc w:val="center"/>
        <w:rPr>
          <w:rFonts w:hint="eastAsia" w:eastAsia="黑体" w:cs="Times New Roman"/>
          <w:b w:val="0"/>
          <w:bCs/>
          <w:color w:val="auto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w w:val="100"/>
          <w:sz w:val="32"/>
          <w:szCs w:val="32"/>
          <w:highlight w:val="none"/>
          <w:lang w:eastAsia="zh-CN"/>
        </w:rPr>
        <w:t>2024</w:t>
      </w:r>
      <w:r>
        <w:rPr>
          <w:rFonts w:hint="default" w:ascii="Times New Roman" w:hAnsi="Times New Roman" w:eastAsia="黑体" w:cs="Times New Roman"/>
          <w:b w:val="0"/>
          <w:bCs/>
          <w:color w:val="auto"/>
          <w:w w:val="100"/>
          <w:sz w:val="32"/>
          <w:szCs w:val="32"/>
          <w:highlight w:val="none"/>
          <w:lang w:eastAsia="zh-CN"/>
        </w:rPr>
        <w:t>年度阳江市阳春市三甲镇高标准农田改造提升建设项目（</w:t>
      </w:r>
      <w:r>
        <w:rPr>
          <w:rFonts w:hint="eastAsia" w:eastAsia="黑体" w:cs="Times New Roman"/>
          <w:b w:val="0"/>
          <w:bCs/>
          <w:color w:val="auto"/>
          <w:w w:val="100"/>
          <w:sz w:val="32"/>
          <w:szCs w:val="32"/>
          <w:highlight w:val="none"/>
          <w:lang w:val="en-US" w:eastAsia="zh-CN"/>
        </w:rPr>
        <w:t>示范</w:t>
      </w:r>
      <w:r>
        <w:rPr>
          <w:rFonts w:hint="default" w:ascii="Times New Roman" w:hAnsi="Times New Roman" w:eastAsia="黑体" w:cs="Times New Roman"/>
          <w:b w:val="0"/>
          <w:bCs/>
          <w:color w:val="auto"/>
          <w:w w:val="1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黑体" w:cs="Times New Roman"/>
          <w:b w:val="0"/>
          <w:bCs/>
          <w:color w:val="auto"/>
          <w:w w:val="90"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/>
          <w:color w:val="auto"/>
          <w:sz w:val="72"/>
          <w:szCs w:val="72"/>
          <w:highlight w:val="none"/>
          <w:lang w:val="en-US" w:eastAsia="zh-CN"/>
        </w:rPr>
        <w:t xml:space="preserve"> </w:t>
      </w:r>
    </w:p>
    <w:p>
      <w:pPr>
        <w:jc w:val="center"/>
        <w:rPr>
          <w:rFonts w:hint="eastAsia" w:eastAsia="黑体" w:cs="Times New Roman"/>
          <w:b w:val="0"/>
          <w:bCs/>
          <w:color w:val="auto"/>
          <w:sz w:val="84"/>
          <w:szCs w:val="8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bookmarkStart w:id="1" w:name="_GoBack"/>
      <w:bookmarkEnd w:id="1"/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default" w:ascii="Times New Roman" w:hAnsi="Times New Roman" w:eastAsia="黑体" w:cs="Times New Roman"/>
          <w:b w:val="0"/>
          <w:bCs/>
          <w:color w:val="auto"/>
          <w:sz w:val="52"/>
          <w:szCs w:val="52"/>
          <w:highlight w:val="none"/>
          <w:lang w:eastAsia="zh-CN"/>
        </w:rPr>
      </w:pPr>
      <w:r>
        <w:rPr>
          <w:rFonts w:hint="eastAsia" w:eastAsia="黑体" w:cs="Times New Roman"/>
          <w:b w:val="0"/>
          <w:bCs/>
          <w:color w:val="auto"/>
          <w:sz w:val="52"/>
          <w:szCs w:val="52"/>
          <w:highlight w:val="none"/>
          <w:lang w:val="en-US" w:eastAsia="zh-CN"/>
        </w:rPr>
        <w:t xml:space="preserve">初步设计  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52"/>
          <w:szCs w:val="52"/>
          <w:highlight w:val="none"/>
          <w:lang w:eastAsia="zh-CN"/>
        </w:rPr>
        <w:t>图册</w:t>
      </w:r>
    </w:p>
    <w:p>
      <w:pPr>
        <w:tabs>
          <w:tab w:val="left" w:pos="4914"/>
        </w:tabs>
        <w:spacing w:line="360" w:lineRule="auto"/>
        <w:ind w:left="2233" w:hanging="2233" w:hangingChars="695"/>
        <w:jc w:val="left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pStyle w:val="2"/>
        <w:rPr>
          <w:rFonts w:hint="default"/>
        </w:rPr>
      </w:pPr>
      <w:r>
        <w:rPr>
          <w:rFonts w:hint="eastAsia" w:ascii="Times New Roman" w:hAnsi="Times New Roman" w:eastAsia="仿宋" w:cs="Times New Roman"/>
          <w:b/>
          <w:color w:val="auto"/>
          <w:sz w:val="30"/>
          <w:szCs w:val="30"/>
          <w:highlight w:val="none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334645</wp:posOffset>
            </wp:positionV>
            <wp:extent cx="1200150" cy="1200150"/>
            <wp:effectExtent l="0" t="0" r="0" b="0"/>
            <wp:wrapNone/>
            <wp:docPr id="1" name="图片 1" descr="高标准农田标识牌和公示牌图案-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高标准农田标识牌和公示牌图案-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914"/>
        </w:tabs>
        <w:spacing w:line="360" w:lineRule="auto"/>
        <w:ind w:left="2233" w:hanging="2233" w:hangingChars="695"/>
        <w:jc w:val="left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4914"/>
        </w:tabs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4914"/>
        </w:tabs>
        <w:spacing w:line="360" w:lineRule="auto"/>
        <w:jc w:val="left"/>
        <w:rPr>
          <w:rFonts w:hint="eastAsia" w:ascii="Times New Roman" w:hAnsi="Times New Roman" w:eastAsia="仿宋" w:cs="Times New Roman"/>
          <w:b/>
          <w:color w:val="auto"/>
          <w:sz w:val="30"/>
          <w:szCs w:val="30"/>
          <w:highlight w:val="none"/>
          <w:lang w:eastAsia="zh-CN"/>
        </w:rPr>
      </w:pPr>
    </w:p>
    <w:p>
      <w:pPr>
        <w:tabs>
          <w:tab w:val="left" w:pos="4914"/>
        </w:tabs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sz w:val="30"/>
          <w:szCs w:val="30"/>
          <w:highlight w:val="none"/>
        </w:rPr>
      </w:pPr>
    </w:p>
    <w:p>
      <w:pPr>
        <w:pStyle w:val="2"/>
        <w:rPr>
          <w:rFonts w:hint="default"/>
        </w:rPr>
      </w:pPr>
    </w:p>
    <w:p>
      <w:pPr>
        <w:spacing w:line="700" w:lineRule="exact"/>
        <w:ind w:left="7350" w:leftChars="35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highlight w:val="none"/>
        </w:rPr>
      </w:pPr>
      <w:bookmarkStart w:id="0" w:name="_Toc8527"/>
    </w:p>
    <w:p>
      <w:pPr>
        <w:pStyle w:val="2"/>
        <w:rPr>
          <w:rFonts w:hint="default"/>
        </w:rPr>
      </w:pPr>
    </w:p>
    <w:p>
      <w:pPr>
        <w:spacing w:line="700" w:lineRule="exact"/>
        <w:ind w:firstLine="1800" w:firstLineChars="600"/>
        <w:jc w:val="left"/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  <w:t>建设单位：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  <w:lang w:val="en-US" w:eastAsia="zh-CN"/>
        </w:rPr>
        <w:t>阳春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  <w:t>市农业农村局</w:t>
      </w:r>
    </w:p>
    <w:p>
      <w:pPr>
        <w:spacing w:line="700" w:lineRule="exact"/>
        <w:ind w:firstLine="1800" w:firstLineChars="600"/>
        <w:jc w:val="left"/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  <w:t>编制单位：广东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  <w:lang w:val="en-US" w:eastAsia="zh-CN"/>
        </w:rPr>
        <w:t>粤水电勘测设计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  <w:t>有限公司</w:t>
      </w:r>
    </w:p>
    <w:p>
      <w:pPr>
        <w:spacing w:line="700" w:lineRule="exact"/>
        <w:ind w:firstLine="1800" w:firstLineChars="600"/>
        <w:jc w:val="both"/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  <w:t>编制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  <w:lang w:eastAsia="zh-CN"/>
        </w:rPr>
        <w:t>日期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  <w:t>：二〇二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  <w:t>年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highlight w:val="none"/>
        </w:rPr>
        <w:t>月</w:t>
      </w:r>
      <w:bookmarkEnd w:id="0"/>
    </w:p>
    <w:p>
      <w:pPr>
        <w:rPr>
          <w:sz w:val="32"/>
          <w:szCs w:val="32"/>
        </w:rPr>
      </w:pP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mMTM5NTIzOTM2YjI1ZTIzYmYwZjUzODIwNzZlYjgifQ=="/>
  </w:docVars>
  <w:rsids>
    <w:rsidRoot w:val="6F783DE8"/>
    <w:rsid w:val="01840284"/>
    <w:rsid w:val="10A43910"/>
    <w:rsid w:val="5B1C45A9"/>
    <w:rsid w:val="60963707"/>
    <w:rsid w:val="65685C85"/>
    <w:rsid w:val="6D752DA1"/>
    <w:rsid w:val="6F78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line="480" w:lineRule="auto"/>
      <w:ind w:firstLine="0" w:firstLineChars="0"/>
      <w:jc w:val="both"/>
      <w:outlineLvl w:val="1"/>
    </w:pPr>
    <w:rPr>
      <w:rFonts w:eastAsia="黑体"/>
      <w:color w:val="000000"/>
      <w:sz w:val="30"/>
      <w:szCs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81</Characters>
  <Lines>0</Lines>
  <Paragraphs>0</Paragraphs>
  <TotalTime>5</TotalTime>
  <ScaleCrop>false</ScaleCrop>
  <LinksUpToDate>false</LinksUpToDate>
  <CharactersWithSpaces>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2023-11-20T13:18:00Z</dcterms:created>
  <dc:creator>www</dc:creator>
  <cp:lastModifiedBy>www</cp:lastModifiedBy>
  <cp:lastPrinted>2024-04-19T03:08:01Z</cp:lastPrinted>
  <dcterms:modified xsi:type="dcterms:W3CDTF">2024-04-19T03:08:26Z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E8B0486AEAE14A66BAA657D984E78BB4_13</vt:lpwstr>
  </property>
</Properties>
</file>