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bCs/>
          <w:color w:val="auto"/>
          <w:sz w:val="48"/>
          <w:szCs w:val="48"/>
          <w:highlight w:val="none"/>
          <w:lang w:val="en-US" w:eastAsia="zh-CN"/>
        </w:rPr>
      </w:pPr>
      <w:r>
        <w:rPr>
          <w:rFonts w:hint="eastAsia"/>
          <w:bCs/>
          <w:color w:val="auto"/>
          <w:sz w:val="44"/>
          <w:szCs w:val="44"/>
          <w:highlight w:val="none"/>
          <w:lang w:eastAsia="zh-CN"/>
        </w:rPr>
        <w:t>广州市海珠区滨江街小港路片区基础设施升级改造工程全过程工程咨询服务（工程监理、工程造价咨询）</w:t>
      </w:r>
    </w:p>
    <w:p>
      <w:pPr>
        <w:jc w:val="center"/>
        <w:rPr>
          <w:b/>
          <w:bCs/>
          <w:color w:val="auto"/>
          <w:sz w:val="72"/>
          <w:szCs w:val="72"/>
          <w:highlight w:val="none"/>
          <w:lang w:val="en-US"/>
        </w:rPr>
      </w:pPr>
    </w:p>
    <w:p>
      <w:pPr>
        <w:jc w:val="center"/>
        <w:rPr>
          <w:b/>
          <w:bCs/>
          <w:color w:val="auto"/>
          <w:sz w:val="72"/>
          <w:szCs w:val="72"/>
          <w:highlight w:val="none"/>
        </w:rPr>
      </w:pPr>
    </w:p>
    <w:p>
      <w:pPr>
        <w:spacing w:line="360" w:lineRule="auto"/>
        <w:rPr>
          <w:b/>
          <w:bCs/>
          <w:color w:val="auto"/>
          <w:sz w:val="52"/>
          <w:szCs w:val="52"/>
          <w:highlight w:val="none"/>
        </w:rPr>
      </w:pPr>
    </w:p>
    <w:p>
      <w:pPr>
        <w:spacing w:line="360" w:lineRule="auto"/>
        <w:jc w:val="center"/>
        <w:rPr>
          <w:b/>
          <w:bCs/>
          <w:color w:val="auto"/>
          <w:sz w:val="52"/>
          <w:szCs w:val="52"/>
          <w:highlight w:val="none"/>
        </w:rPr>
      </w:pPr>
      <w:r>
        <w:rPr>
          <w:rFonts w:hint="eastAsia"/>
          <w:b/>
          <w:bCs/>
          <w:color w:val="auto"/>
          <w:sz w:val="52"/>
          <w:szCs w:val="52"/>
          <w:highlight w:val="none"/>
        </w:rPr>
        <w:t>招标</w:t>
      </w:r>
      <w:r>
        <w:rPr>
          <w:rFonts w:hint="eastAsia"/>
          <w:b/>
          <w:bCs/>
          <w:color w:val="auto"/>
          <w:sz w:val="52"/>
          <w:szCs w:val="52"/>
          <w:highlight w:val="none"/>
          <w:lang w:val="en-US"/>
        </w:rPr>
        <w:t>文件</w:t>
      </w:r>
    </w:p>
    <w:p>
      <w:pPr>
        <w:jc w:val="center"/>
        <w:rPr>
          <w:b/>
          <w:bCs/>
          <w:color w:val="auto"/>
          <w:sz w:val="32"/>
          <w:szCs w:val="32"/>
          <w:highlight w:val="none"/>
        </w:rPr>
      </w:pPr>
    </w:p>
    <w:p>
      <w:pPr>
        <w:spacing w:line="400" w:lineRule="exact"/>
        <w:jc w:val="center"/>
        <w:rPr>
          <w:b/>
          <w:bCs/>
          <w:color w:val="auto"/>
          <w:highlight w:val="none"/>
        </w:rPr>
      </w:pPr>
    </w:p>
    <w:p>
      <w:pPr>
        <w:spacing w:line="400" w:lineRule="exact"/>
        <w:jc w:val="center"/>
        <w:rPr>
          <w:b/>
          <w:bCs/>
          <w:color w:val="auto"/>
          <w:highlight w:val="none"/>
        </w:rPr>
      </w:pPr>
    </w:p>
    <w:p>
      <w:pPr>
        <w:spacing w:line="400" w:lineRule="exact"/>
        <w:rPr>
          <w:b/>
          <w:bCs/>
          <w:color w:val="auto"/>
          <w:highlight w:val="none"/>
        </w:rPr>
      </w:pPr>
    </w:p>
    <w:p>
      <w:pPr>
        <w:spacing w:line="360" w:lineRule="auto"/>
        <w:ind w:firstLine="643" w:firstLineChars="200"/>
        <w:rPr>
          <w:b/>
          <w:bCs/>
          <w:color w:val="auto"/>
          <w:sz w:val="32"/>
          <w:szCs w:val="32"/>
          <w:highlight w:val="none"/>
        </w:rPr>
      </w:pPr>
    </w:p>
    <w:p>
      <w:pPr>
        <w:spacing w:line="360" w:lineRule="auto"/>
        <w:ind w:firstLine="964" w:firstLineChars="300"/>
        <w:rPr>
          <w:b/>
          <w:bCs/>
          <w:color w:val="auto"/>
          <w:sz w:val="32"/>
          <w:szCs w:val="32"/>
          <w:highlight w:val="none"/>
        </w:rPr>
      </w:pPr>
    </w:p>
    <w:p>
      <w:pPr>
        <w:spacing w:after="120"/>
        <w:ind w:left="420" w:leftChars="200" w:firstLine="420" w:firstLineChars="200"/>
        <w:rPr>
          <w:rFonts w:ascii="Calibri" w:hAnsi="Calibri"/>
          <w:color w:val="auto"/>
          <w:kern w:val="2"/>
          <w:sz w:val="21"/>
          <w:szCs w:val="24"/>
          <w:highlight w:val="none"/>
        </w:rPr>
      </w:pPr>
    </w:p>
    <w:p>
      <w:pPr>
        <w:spacing w:after="120"/>
        <w:ind w:left="420" w:leftChars="200" w:firstLine="420" w:firstLineChars="200"/>
        <w:rPr>
          <w:rFonts w:ascii="Calibri" w:hAnsi="Calibri"/>
          <w:color w:val="auto"/>
          <w:kern w:val="2"/>
          <w:sz w:val="21"/>
          <w:szCs w:val="24"/>
          <w:highlight w:val="none"/>
        </w:rPr>
      </w:pPr>
    </w:p>
    <w:p>
      <w:pPr>
        <w:spacing w:after="120"/>
        <w:ind w:left="420" w:leftChars="200" w:firstLine="420" w:firstLineChars="200"/>
        <w:rPr>
          <w:rFonts w:ascii="Calibri" w:hAnsi="Calibri"/>
          <w:color w:val="auto"/>
          <w:kern w:val="2"/>
          <w:sz w:val="21"/>
          <w:szCs w:val="24"/>
          <w:highlight w:val="none"/>
        </w:rPr>
      </w:pPr>
    </w:p>
    <w:p>
      <w:pPr>
        <w:autoSpaceDE/>
        <w:autoSpaceDN/>
        <w:spacing w:line="360" w:lineRule="auto"/>
        <w:ind w:firstLine="1059" w:firstLineChars="331"/>
        <w:rPr>
          <w:rFonts w:hint="eastAsia" w:hAnsi="Times New Roman" w:eastAsia="宋体"/>
          <w:color w:val="auto"/>
          <w:kern w:val="2"/>
          <w:sz w:val="32"/>
          <w:szCs w:val="32"/>
          <w:highlight w:val="none"/>
          <w:lang w:val="en-US" w:eastAsia="zh-CN" w:bidi="ar-SA"/>
        </w:rPr>
      </w:pPr>
      <w:r>
        <w:rPr>
          <w:rFonts w:hint="eastAsia" w:hAnsi="Times New Roman"/>
          <w:color w:val="auto"/>
          <w:kern w:val="2"/>
          <w:sz w:val="32"/>
          <w:szCs w:val="32"/>
          <w:highlight w:val="none"/>
          <w:lang w:val="en-US" w:bidi="ar-SA"/>
        </w:rPr>
        <w:t>招标人：</w:t>
      </w:r>
      <w:r>
        <w:rPr>
          <w:rFonts w:hint="eastAsia" w:hAnsi="Times New Roman"/>
          <w:color w:val="auto"/>
          <w:kern w:val="2"/>
          <w:sz w:val="32"/>
          <w:szCs w:val="32"/>
          <w:highlight w:val="none"/>
          <w:lang w:val="en-US" w:eastAsia="zh-CN" w:bidi="ar-SA"/>
        </w:rPr>
        <w:t>广州市海珠区人民政府滨江街道办事处</w:t>
      </w:r>
    </w:p>
    <w:p>
      <w:pPr>
        <w:autoSpaceDE/>
        <w:autoSpaceDN/>
        <w:spacing w:line="360" w:lineRule="auto"/>
        <w:ind w:firstLine="1059" w:firstLineChars="331"/>
        <w:rPr>
          <w:rFonts w:hint="eastAsia" w:hAnsi="Times New Roman" w:eastAsia="宋体"/>
          <w:color w:val="auto"/>
          <w:kern w:val="2"/>
          <w:sz w:val="32"/>
          <w:szCs w:val="32"/>
          <w:highlight w:val="none"/>
          <w:lang w:val="en-US" w:eastAsia="zh-CN" w:bidi="ar-SA"/>
        </w:rPr>
      </w:pPr>
      <w:r>
        <w:rPr>
          <w:rFonts w:hint="eastAsia" w:hAnsi="Times New Roman"/>
          <w:color w:val="auto"/>
          <w:kern w:val="2"/>
          <w:sz w:val="32"/>
          <w:szCs w:val="32"/>
          <w:highlight w:val="none"/>
          <w:lang w:val="en-US" w:bidi="ar-SA"/>
        </w:rPr>
        <w:t>招标代理机构：</w:t>
      </w:r>
      <w:r>
        <w:rPr>
          <w:rFonts w:hint="eastAsia" w:hAnsi="Times New Roman"/>
          <w:bCs/>
          <w:color w:val="auto"/>
          <w:kern w:val="2"/>
          <w:sz w:val="32"/>
          <w:szCs w:val="32"/>
          <w:highlight w:val="none"/>
          <w:lang w:val="en-US" w:eastAsia="zh-CN" w:bidi="ar-SA"/>
        </w:rPr>
        <w:t>广东省机电设备招标中心有限公司</w:t>
      </w:r>
    </w:p>
    <w:p>
      <w:pPr>
        <w:autoSpaceDE/>
        <w:autoSpaceDN/>
        <w:spacing w:line="360" w:lineRule="auto"/>
        <w:ind w:firstLine="1059" w:firstLineChars="331"/>
        <w:rPr>
          <w:rFonts w:hAnsi="Times New Roman"/>
          <w:color w:val="auto"/>
          <w:kern w:val="2"/>
          <w:sz w:val="32"/>
          <w:szCs w:val="32"/>
          <w:highlight w:val="none"/>
          <w:lang w:val="en-US" w:bidi="ar-SA"/>
        </w:rPr>
      </w:pPr>
      <w:r>
        <w:rPr>
          <w:rFonts w:hint="eastAsia" w:hAnsi="Times New Roman"/>
          <w:color w:val="auto"/>
          <w:kern w:val="2"/>
          <w:sz w:val="32"/>
          <w:szCs w:val="32"/>
          <w:highlight w:val="none"/>
          <w:lang w:val="en-US" w:bidi="ar-SA"/>
        </w:rPr>
        <w:t>日  期：</w:t>
      </w:r>
      <w:r>
        <w:rPr>
          <w:rFonts w:hint="eastAsia" w:hAnsi="Times New Roman"/>
          <w:bCs/>
          <w:color w:val="auto"/>
          <w:kern w:val="2"/>
          <w:sz w:val="32"/>
          <w:szCs w:val="32"/>
          <w:highlight w:val="none"/>
          <w:lang w:val="en-US" w:bidi="ar-SA"/>
        </w:rPr>
        <w:t xml:space="preserve">2024年 </w:t>
      </w:r>
      <w:r>
        <w:rPr>
          <w:rFonts w:hint="eastAsia"/>
          <w:bCs/>
          <w:color w:val="auto"/>
          <w:kern w:val="2"/>
          <w:sz w:val="32"/>
          <w:szCs w:val="32"/>
          <w:highlight w:val="none"/>
          <w:lang w:val="en-US" w:eastAsia="zh-CN" w:bidi="ar-SA"/>
        </w:rPr>
        <w:t>9</w:t>
      </w:r>
      <w:r>
        <w:rPr>
          <w:rFonts w:hint="eastAsia" w:hAnsi="Times New Roman"/>
          <w:bCs/>
          <w:color w:val="auto"/>
          <w:kern w:val="2"/>
          <w:sz w:val="32"/>
          <w:szCs w:val="32"/>
          <w:highlight w:val="none"/>
          <w:lang w:val="en-US" w:bidi="ar-SA"/>
        </w:rPr>
        <w:t>月</w:t>
      </w:r>
    </w:p>
    <w:p>
      <w:pPr>
        <w:pStyle w:val="7"/>
        <w:rPr>
          <w:color w:val="auto"/>
          <w:highlight w:val="none"/>
        </w:rPr>
      </w:pPr>
    </w:p>
    <w:p>
      <w:pPr>
        <w:pStyle w:val="7"/>
        <w:rPr>
          <w:color w:val="auto"/>
          <w:highlight w:val="none"/>
        </w:rPr>
      </w:pPr>
    </w:p>
    <w:p>
      <w:pPr>
        <w:pStyle w:val="7"/>
        <w:rPr>
          <w:color w:val="auto"/>
          <w:highlight w:val="none"/>
        </w:rPr>
      </w:pPr>
    </w:p>
    <w:p>
      <w:pPr>
        <w:pStyle w:val="7"/>
        <w:ind w:firstLine="0" w:firstLineChars="0"/>
        <w:rPr>
          <w:color w:val="auto"/>
          <w:highlight w:val="none"/>
          <w:lang w:val="en-US"/>
        </w:rPr>
        <w:sectPr>
          <w:pgSz w:w="11906" w:h="16838"/>
          <w:pgMar w:top="1440" w:right="1080" w:bottom="1440" w:left="1080" w:header="851" w:footer="992" w:gutter="0"/>
          <w:cols w:space="425" w:num="1"/>
          <w:docGrid w:type="lines" w:linePitch="312" w:charSpace="2048"/>
        </w:sectPr>
      </w:pPr>
    </w:p>
    <w:p>
      <w:pPr>
        <w:tabs>
          <w:tab w:val="left" w:pos="559"/>
        </w:tabs>
        <w:spacing w:before="39" w:line="360" w:lineRule="auto"/>
        <w:ind w:right="457"/>
        <w:jc w:val="center"/>
        <w:rPr>
          <w:b/>
          <w:bCs/>
          <w:color w:val="auto"/>
          <w:sz w:val="36"/>
          <w:szCs w:val="36"/>
          <w:highlight w:val="none"/>
        </w:rPr>
      </w:pPr>
      <w:r>
        <w:rPr>
          <w:rFonts w:hint="eastAsia"/>
          <w:b/>
          <w:bCs/>
          <w:color w:val="auto"/>
          <w:sz w:val="36"/>
          <w:szCs w:val="36"/>
          <w:highlight w:val="none"/>
        </w:rPr>
        <w:t>目</w:t>
      </w:r>
      <w:r>
        <w:rPr>
          <w:rFonts w:hint="eastAsia"/>
          <w:b/>
          <w:bCs/>
          <w:color w:val="auto"/>
          <w:sz w:val="36"/>
          <w:szCs w:val="36"/>
          <w:highlight w:val="none"/>
        </w:rPr>
        <w:tab/>
      </w:r>
      <w:r>
        <w:rPr>
          <w:rFonts w:hint="eastAsia"/>
          <w:b/>
          <w:bCs/>
          <w:color w:val="auto"/>
          <w:sz w:val="36"/>
          <w:szCs w:val="36"/>
          <w:highlight w:val="none"/>
        </w:rPr>
        <w:t>录</w:t>
      </w:r>
    </w:p>
    <w:p>
      <w:pPr>
        <w:jc w:val="center"/>
        <w:rPr>
          <w:color w:val="auto"/>
          <w:highlight w:val="none"/>
        </w:rPr>
      </w:pP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"_Toc9078" </w:instrText>
      </w:r>
      <w:r>
        <w:rPr>
          <w:color w:val="auto"/>
          <w:highlight w:val="none"/>
        </w:rPr>
        <w:fldChar w:fldCharType="separate"/>
      </w:r>
      <w:r>
        <w:rPr>
          <w:rFonts w:hint="eastAsia" w:ascii="宋体" w:hAnsi="宋体" w:cs="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_Toc9078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"_Toc19406" </w:instrText>
      </w:r>
      <w:r>
        <w:rPr>
          <w:color w:val="auto"/>
          <w:highlight w:val="none"/>
        </w:rPr>
        <w:fldChar w:fldCharType="separate"/>
      </w:r>
      <w:r>
        <w:rPr>
          <w:rFonts w:hint="eastAsia" w:ascii="Calibri" w:hAnsi="Calibri"/>
          <w:color w:val="auto"/>
          <w:kern w:val="44"/>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_Toc19406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"_Toc32062" </w:instrText>
      </w:r>
      <w:r>
        <w:rPr>
          <w:color w:val="auto"/>
          <w:highlight w:val="none"/>
        </w:rPr>
        <w:fldChar w:fldCharType="separate"/>
      </w:r>
      <w:r>
        <w:rPr>
          <w:rFonts w:hint="eastAsia" w:ascii="宋体" w:hAnsi="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_Toc32062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"_Toc757" </w:instrText>
      </w:r>
      <w:r>
        <w:rPr>
          <w:color w:val="auto"/>
          <w:highlight w:val="none"/>
        </w:rPr>
        <w:fldChar w:fldCharType="separate"/>
      </w:r>
      <w:r>
        <w:rPr>
          <w:rFonts w:hint="eastAsia"/>
          <w:color w:val="auto"/>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_Toc757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"_Toc5989" </w:instrText>
      </w:r>
      <w:r>
        <w:rPr>
          <w:color w:val="auto"/>
          <w:highlight w:val="none"/>
        </w:rPr>
        <w:fldChar w:fldCharType="separate"/>
      </w:r>
      <w:r>
        <w:rPr>
          <w:rFonts w:hint="eastAsia" w:ascii="宋体" w:hAnsi="宋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_Toc5989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"_Toc20041" </w:instrText>
      </w:r>
      <w:r>
        <w:rPr>
          <w:color w:val="auto"/>
          <w:highlight w:val="none"/>
        </w:rPr>
        <w:fldChar w:fldCharType="separate"/>
      </w:r>
      <w:r>
        <w:rPr>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_Toc20041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"_Toc24117" </w:instrText>
      </w:r>
      <w:r>
        <w:rPr>
          <w:color w:val="auto"/>
          <w:highlight w:val="none"/>
        </w:rPr>
        <w:fldChar w:fldCharType="separate"/>
      </w:r>
      <w:r>
        <w:rPr>
          <w:rFonts w:hint="eastAsia" w:ascii="宋体" w:hAnsi="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_Toc24117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"_Toc7448" </w:instrText>
      </w:r>
      <w:r>
        <w:rPr>
          <w:color w:val="auto"/>
          <w:highlight w:val="none"/>
        </w:rPr>
        <w:fldChar w:fldCharType="separate"/>
      </w:r>
      <w:r>
        <w:rPr>
          <w:rFonts w:hint="eastAsia" w:ascii="宋体" w:hAnsi="宋体" w:cs="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_Toc7448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"_Toc12073" </w:instrText>
      </w:r>
      <w:r>
        <w:rPr>
          <w:color w:val="auto"/>
          <w:highlight w:val="none"/>
        </w:rPr>
        <w:fldChar w:fldCharType="separate"/>
      </w:r>
      <w:r>
        <w:rPr>
          <w:rFonts w:hint="eastAsia" w:ascii="宋体" w:hAnsi="宋体" w:cs="宋体"/>
          <w:color w:val="auto"/>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_Toc12073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"_Toc31926" </w:instrText>
      </w:r>
      <w:r>
        <w:rPr>
          <w:color w:val="auto"/>
          <w:highlight w:val="none"/>
        </w:rPr>
        <w:fldChar w:fldCharType="separate"/>
      </w:r>
      <w:r>
        <w:rPr>
          <w:rFonts w:hint="eastAsia" w:ascii="宋体" w:hAnsi="宋体" w:cs="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_Toc31926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"_Toc30980" </w:instrText>
      </w:r>
      <w:r>
        <w:rPr>
          <w:color w:val="auto"/>
          <w:highlight w:val="none"/>
        </w:rPr>
        <w:fldChar w:fldCharType="separate"/>
      </w:r>
      <w:r>
        <w:rPr>
          <w:rFonts w:hint="eastAsia" w:ascii="宋体"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_Toc30980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2"/>
        <w:tabs>
          <w:tab w:val="left" w:leader="dot" w:pos="8526"/>
        </w:tabs>
        <w:spacing w:before="304" w:line="360" w:lineRule="auto"/>
        <w:ind w:right="704"/>
        <w:rPr>
          <w:color w:val="auto"/>
          <w:highlight w:val="none"/>
        </w:rPr>
      </w:pPr>
      <w:r>
        <w:rPr>
          <w:color w:val="auto"/>
          <w:highlight w:val="none"/>
        </w:rPr>
        <w:fldChar w:fldCharType="end"/>
      </w:r>
    </w:p>
    <w:p>
      <w:pPr>
        <w:pStyle w:val="2"/>
        <w:spacing w:line="360" w:lineRule="auto"/>
        <w:rPr>
          <w:rFonts w:ascii="宋体" w:hAnsi="宋体" w:eastAsia="宋体" w:cs="宋体"/>
          <w:color w:val="auto"/>
          <w:highlight w:val="none"/>
        </w:rPr>
        <w:sectPr>
          <w:footerReference r:id="rId3" w:type="default"/>
          <w:pgSz w:w="11906" w:h="16838"/>
          <w:pgMar w:top="1440" w:right="1080" w:bottom="1440" w:left="1080" w:header="0" w:footer="841" w:gutter="0"/>
          <w:cols w:space="720" w:num="1"/>
          <w:docGrid w:linePitch="312" w:charSpace="2048"/>
        </w:sectPr>
      </w:pPr>
    </w:p>
    <w:p>
      <w:pPr>
        <w:pStyle w:val="2"/>
        <w:spacing w:line="360" w:lineRule="auto"/>
        <w:rPr>
          <w:rFonts w:ascii="宋体" w:hAnsi="宋体" w:eastAsia="宋体" w:cs="宋体"/>
          <w:color w:val="auto"/>
          <w:highlight w:val="none"/>
        </w:rPr>
      </w:pPr>
      <w:bookmarkStart w:id="0" w:name="_Toc9078"/>
      <w:r>
        <w:rPr>
          <w:rFonts w:hint="eastAsia" w:ascii="宋体" w:hAnsi="宋体" w:eastAsia="宋体" w:cs="宋体"/>
          <w:color w:val="auto"/>
          <w:highlight w:val="none"/>
        </w:rPr>
        <w:t>第一卷</w:t>
      </w:r>
      <w:bookmarkEnd w:id="0"/>
    </w:p>
    <w:p>
      <w:pPr>
        <w:numPr>
          <w:ilvl w:val="0"/>
          <w:numId w:val="1"/>
        </w:numPr>
        <w:spacing w:line="360" w:lineRule="auto"/>
        <w:jc w:val="center"/>
        <w:outlineLvl w:val="0"/>
        <w:rPr>
          <w:rFonts w:ascii="Calibri" w:hAnsi="Calibri" w:cs="Times New Roman"/>
          <w:b/>
          <w:color w:val="auto"/>
          <w:kern w:val="44"/>
          <w:sz w:val="44"/>
          <w:szCs w:val="20"/>
          <w:highlight w:val="none"/>
          <w:lang w:val="en-US" w:bidi="ar-SA"/>
        </w:rPr>
      </w:pPr>
      <w:bookmarkStart w:id="1" w:name="_Toc19406"/>
      <w:bookmarkStart w:id="2" w:name="_Toc526786483"/>
      <w:bookmarkStart w:id="3" w:name="_Toc23825"/>
      <w:bookmarkStart w:id="4" w:name="_Toc153"/>
      <w:r>
        <w:rPr>
          <w:rFonts w:hint="eastAsia" w:ascii="Calibri" w:hAnsi="Calibri" w:cs="Times New Roman"/>
          <w:b/>
          <w:color w:val="auto"/>
          <w:kern w:val="44"/>
          <w:sz w:val="44"/>
          <w:szCs w:val="20"/>
          <w:highlight w:val="none"/>
          <w:lang w:val="en-US" w:bidi="ar-SA"/>
        </w:rPr>
        <w:t>招标公告</w:t>
      </w:r>
      <w:bookmarkEnd w:id="1"/>
      <w:bookmarkEnd w:id="2"/>
      <w:bookmarkEnd w:id="3"/>
      <w:bookmarkEnd w:id="4"/>
    </w:p>
    <w:p>
      <w:pPr>
        <w:spacing w:line="360" w:lineRule="auto"/>
        <w:jc w:val="center"/>
        <w:rPr>
          <w:rFonts w:ascii="Calibri" w:hAnsi="Calibri" w:cs="Times New Roman"/>
          <w:b/>
          <w:color w:val="auto"/>
          <w:kern w:val="44"/>
          <w:sz w:val="44"/>
          <w:szCs w:val="20"/>
          <w:highlight w:val="none"/>
          <w:lang w:val="en-US" w:bidi="ar-SA"/>
        </w:rPr>
        <w:sectPr>
          <w:footerReference r:id="rId4" w:type="default"/>
          <w:pgSz w:w="11906" w:h="16838"/>
          <w:pgMar w:top="1500" w:right="1100" w:bottom="1040" w:left="1134" w:header="0" w:footer="841" w:gutter="0"/>
          <w:pgNumType w:start="1"/>
          <w:cols w:space="720" w:num="1"/>
          <w:docGrid w:linePitch="312" w:charSpace="2048"/>
        </w:sectPr>
      </w:pPr>
      <w:r>
        <w:rPr>
          <w:rFonts w:hint="eastAsia" w:ascii="Calibri" w:hAnsi="Calibri" w:cs="Times New Roman"/>
          <w:b/>
          <w:color w:val="auto"/>
          <w:kern w:val="44"/>
          <w:sz w:val="44"/>
          <w:szCs w:val="20"/>
          <w:highlight w:val="none"/>
          <w:lang w:val="en-US" w:bidi="ar-SA"/>
        </w:rPr>
        <w:t>（另   册）</w:t>
      </w:r>
    </w:p>
    <w:p>
      <w:pPr>
        <w:pStyle w:val="2"/>
        <w:numPr>
          <w:ilvl w:val="0"/>
          <w:numId w:val="1"/>
        </w:numPr>
        <w:spacing w:line="360" w:lineRule="auto"/>
        <w:rPr>
          <w:rFonts w:ascii="宋体" w:hAnsi="宋体" w:eastAsia="宋体" w:cs="宋体"/>
          <w:color w:val="auto"/>
          <w:highlight w:val="none"/>
        </w:rPr>
      </w:pPr>
      <w:bookmarkStart w:id="5" w:name="_Toc32062"/>
      <w:r>
        <w:rPr>
          <w:rFonts w:hint="eastAsia" w:ascii="宋体" w:hAnsi="宋体" w:eastAsia="宋体" w:cs="宋体"/>
          <w:color w:val="auto"/>
          <w:highlight w:val="none"/>
        </w:rPr>
        <w:t>投标人须知</w:t>
      </w:r>
      <w:bookmarkEnd w:id="5"/>
    </w:p>
    <w:p>
      <w:pPr>
        <w:jc w:val="center"/>
        <w:rPr>
          <w:color w:val="auto"/>
          <w:highlight w:val="none"/>
        </w:rPr>
      </w:pPr>
      <w:r>
        <w:rPr>
          <w:rFonts w:hint="eastAsia"/>
          <w:bCs/>
          <w:color w:val="auto"/>
          <w:kern w:val="2"/>
          <w:sz w:val="32"/>
          <w:szCs w:val="32"/>
          <w:highlight w:val="none"/>
          <w:lang w:val="en-US" w:bidi="ar-SA"/>
        </w:rPr>
        <w:t>投标人须知前附表</w:t>
      </w:r>
    </w:p>
    <w:tbl>
      <w:tblPr>
        <w:tblStyle w:val="15"/>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360"/>
        <w:gridCol w:w="5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bookmarkStart w:id="6" w:name="_bookmark19"/>
            <w:bookmarkEnd w:id="6"/>
            <w:r>
              <w:rPr>
                <w:rFonts w:hint="eastAsia"/>
                <w:bCs/>
                <w:color w:val="auto"/>
                <w:kern w:val="2"/>
                <w:sz w:val="21"/>
                <w:szCs w:val="21"/>
                <w:highlight w:val="none"/>
                <w:lang w:val="en-US" w:bidi="ar-SA"/>
              </w:rPr>
              <w:t>条款号</w:t>
            </w:r>
          </w:p>
        </w:tc>
        <w:tc>
          <w:tcPr>
            <w:tcW w:w="3360"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条款名称</w:t>
            </w:r>
          </w:p>
        </w:tc>
        <w:tc>
          <w:tcPr>
            <w:tcW w:w="5440"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1.1.2</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u w:val="single"/>
                <w:lang w:val="en-US" w:bidi="ar-SA"/>
              </w:rPr>
            </w:pPr>
            <w:r>
              <w:rPr>
                <w:rFonts w:hint="eastAsia"/>
                <w:bCs/>
                <w:color w:val="auto"/>
                <w:kern w:val="2"/>
                <w:sz w:val="21"/>
                <w:szCs w:val="21"/>
                <w:highlight w:val="none"/>
                <w:u w:val="single"/>
                <w:lang w:val="en-US" w:bidi="ar-SA"/>
              </w:rPr>
              <w:t>招标人</w:t>
            </w:r>
          </w:p>
        </w:tc>
        <w:tc>
          <w:tcPr>
            <w:tcW w:w="5440" w:type="dxa"/>
            <w:tcBorders>
              <w:left w:val="single" w:color="000000" w:sz="4" w:space="0"/>
            </w:tcBorders>
            <w:vAlign w:val="center"/>
          </w:tcPr>
          <w:p>
            <w:pPr>
              <w:autoSpaceDE/>
              <w:autoSpaceDN/>
              <w:adjustRightInd w:val="0"/>
              <w:snapToGrid w:val="0"/>
              <w:spacing w:line="360" w:lineRule="exact"/>
              <w:ind w:left="42" w:leftChars="20" w:right="42" w:rightChars="20"/>
              <w:rPr>
                <w:rFonts w:hint="eastAsia" w:eastAsia="宋体"/>
                <w:bCs/>
                <w:color w:val="auto"/>
                <w:kern w:val="2"/>
                <w:sz w:val="21"/>
                <w:szCs w:val="21"/>
                <w:highlight w:val="none"/>
                <w:u w:val="single"/>
                <w:lang w:val="en-US" w:eastAsia="zh-CN" w:bidi="ar-SA"/>
              </w:rPr>
            </w:pPr>
            <w:r>
              <w:rPr>
                <w:rFonts w:hint="eastAsia"/>
                <w:bCs/>
                <w:color w:val="auto"/>
                <w:kern w:val="2"/>
                <w:sz w:val="21"/>
                <w:szCs w:val="21"/>
                <w:highlight w:val="none"/>
                <w:lang w:val="en-US" w:bidi="ar-SA"/>
              </w:rPr>
              <w:t>名称：</w:t>
            </w:r>
            <w:r>
              <w:rPr>
                <w:rFonts w:hint="eastAsia"/>
                <w:bCs/>
                <w:color w:val="auto"/>
                <w:kern w:val="2"/>
                <w:sz w:val="21"/>
                <w:szCs w:val="21"/>
                <w:highlight w:val="none"/>
                <w:u w:val="single"/>
                <w:lang w:val="en-US" w:eastAsia="zh-CN" w:bidi="ar-SA"/>
              </w:rPr>
              <w:t>广州市海珠区人民政府滨江街道办事处</w:t>
            </w:r>
          </w:p>
          <w:p>
            <w:pPr>
              <w:autoSpaceDE/>
              <w:autoSpaceDN/>
              <w:adjustRightInd w:val="0"/>
              <w:snapToGrid w:val="0"/>
              <w:spacing w:line="360" w:lineRule="exact"/>
              <w:ind w:left="42" w:leftChars="20" w:right="42" w:rightChars="20"/>
              <w:rPr>
                <w:bCs/>
                <w:color w:val="auto"/>
                <w:kern w:val="2"/>
                <w:sz w:val="21"/>
                <w:szCs w:val="21"/>
                <w:highlight w:val="none"/>
                <w:u w:val="single"/>
                <w:lang w:val="en-US" w:bidi="ar-SA"/>
              </w:rPr>
            </w:pPr>
            <w:r>
              <w:rPr>
                <w:rFonts w:hint="eastAsia"/>
                <w:bCs/>
                <w:color w:val="auto"/>
                <w:kern w:val="2"/>
                <w:sz w:val="21"/>
                <w:szCs w:val="21"/>
                <w:highlight w:val="none"/>
                <w:lang w:val="en-US" w:bidi="ar-SA"/>
              </w:rPr>
              <w:t>地址：</w:t>
            </w:r>
            <w:r>
              <w:rPr>
                <w:rFonts w:hint="eastAsia"/>
                <w:bCs/>
                <w:color w:val="auto"/>
                <w:kern w:val="2"/>
                <w:sz w:val="21"/>
                <w:szCs w:val="21"/>
                <w:highlight w:val="none"/>
                <w:u w:val="single"/>
                <w:lang w:val="en-US" w:eastAsia="zh-CN" w:bidi="ar-SA"/>
              </w:rPr>
              <w:t>广州市海珠区远安新街逸民里15号</w:t>
            </w:r>
          </w:p>
          <w:p>
            <w:pPr>
              <w:adjustRightInd w:val="0"/>
              <w:snapToGrid w:val="0"/>
              <w:spacing w:line="360" w:lineRule="exact"/>
              <w:ind w:left="42" w:leftChars="20" w:right="42" w:rightChars="20"/>
              <w:rPr>
                <w:bCs/>
                <w:color w:val="auto"/>
                <w:kern w:val="2"/>
                <w:sz w:val="21"/>
                <w:szCs w:val="21"/>
                <w:highlight w:val="none"/>
                <w:u w:val="single"/>
                <w:lang w:val="en-US" w:bidi="ar-SA"/>
              </w:rPr>
            </w:pPr>
            <w:r>
              <w:rPr>
                <w:rFonts w:hint="eastAsia"/>
                <w:bCs/>
                <w:color w:val="auto"/>
                <w:kern w:val="2"/>
                <w:sz w:val="21"/>
                <w:szCs w:val="21"/>
                <w:highlight w:val="none"/>
                <w:lang w:val="en-US" w:bidi="ar-SA"/>
              </w:rPr>
              <w:t>联 系 人：</w:t>
            </w:r>
            <w:r>
              <w:rPr>
                <w:rFonts w:hint="eastAsia"/>
                <w:bCs/>
                <w:color w:val="auto"/>
                <w:kern w:val="2"/>
                <w:sz w:val="21"/>
                <w:szCs w:val="21"/>
                <w:highlight w:val="none"/>
                <w:u w:val="single"/>
                <w:lang w:val="en-US" w:bidi="ar-SA"/>
              </w:rPr>
              <w:t>孙工</w:t>
            </w:r>
          </w:p>
          <w:p>
            <w:pPr>
              <w:autoSpaceDE/>
              <w:autoSpaceDN/>
              <w:adjustRightInd w:val="0"/>
              <w:snapToGrid w:val="0"/>
              <w:spacing w:line="360" w:lineRule="exact"/>
              <w:ind w:left="42" w:leftChars="20" w:right="42" w:rightChars="20"/>
              <w:rPr>
                <w:bCs/>
                <w:color w:val="auto"/>
                <w:kern w:val="2"/>
                <w:sz w:val="21"/>
                <w:szCs w:val="21"/>
                <w:highlight w:val="none"/>
                <w:u w:val="single"/>
                <w:lang w:val="en-US" w:bidi="ar-SA"/>
              </w:rPr>
            </w:pPr>
            <w:r>
              <w:rPr>
                <w:rFonts w:hint="eastAsia"/>
                <w:bCs/>
                <w:color w:val="auto"/>
                <w:kern w:val="2"/>
                <w:sz w:val="21"/>
                <w:szCs w:val="21"/>
                <w:highlight w:val="none"/>
                <w:lang w:val="en-US" w:bidi="ar-SA"/>
              </w:rPr>
              <w:t>联系电话：</w:t>
            </w:r>
            <w:r>
              <w:rPr>
                <w:rFonts w:hint="eastAsia"/>
                <w:bCs/>
                <w:color w:val="auto"/>
                <w:kern w:val="2"/>
                <w:sz w:val="21"/>
                <w:szCs w:val="21"/>
                <w:highlight w:val="none"/>
                <w:u w:val="single"/>
                <w:lang w:val="en-US" w:bidi="ar-SA"/>
              </w:rPr>
              <w:t>020-34289524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1.1.3</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招标代理机构</w:t>
            </w:r>
          </w:p>
        </w:tc>
        <w:tc>
          <w:tcPr>
            <w:tcW w:w="5440" w:type="dxa"/>
            <w:tcBorders>
              <w:left w:val="single" w:color="000000" w:sz="4" w:space="0"/>
            </w:tcBorders>
            <w:vAlign w:val="center"/>
          </w:tcPr>
          <w:p>
            <w:pPr>
              <w:adjustRightInd w:val="0"/>
              <w:snapToGrid w:val="0"/>
              <w:spacing w:line="360" w:lineRule="exact"/>
              <w:ind w:left="42" w:leftChars="20" w:right="42" w:rightChars="20"/>
              <w:rPr>
                <w:rFonts w:hint="eastAsia" w:eastAsia="宋体"/>
                <w:color w:val="auto"/>
                <w:sz w:val="21"/>
                <w:szCs w:val="21"/>
                <w:highlight w:val="none"/>
                <w:u w:val="single"/>
                <w:lang w:eastAsia="zh-CN"/>
              </w:rPr>
            </w:pPr>
            <w:r>
              <w:rPr>
                <w:rFonts w:hint="eastAsia"/>
                <w:color w:val="auto"/>
                <w:sz w:val="21"/>
                <w:szCs w:val="21"/>
                <w:highlight w:val="none"/>
              </w:rPr>
              <w:t>招标代理机构：</w:t>
            </w:r>
            <w:r>
              <w:rPr>
                <w:rFonts w:hint="eastAsia"/>
                <w:color w:val="auto"/>
                <w:sz w:val="21"/>
                <w:szCs w:val="21"/>
                <w:highlight w:val="none"/>
                <w:u w:val="single"/>
                <w:lang w:eastAsia="zh-CN"/>
              </w:rPr>
              <w:t>广东省机电设备招标中心有限公司</w:t>
            </w:r>
          </w:p>
          <w:p>
            <w:pPr>
              <w:adjustRightInd w:val="0"/>
              <w:snapToGrid w:val="0"/>
              <w:spacing w:line="360" w:lineRule="exact"/>
              <w:ind w:left="42" w:leftChars="20" w:right="42" w:rightChars="20"/>
              <w:rPr>
                <w:color w:val="auto"/>
                <w:sz w:val="21"/>
                <w:szCs w:val="21"/>
                <w:highlight w:val="none"/>
                <w:u w:val="single"/>
                <w:lang w:val="en-US"/>
              </w:rPr>
            </w:pPr>
            <w:r>
              <w:rPr>
                <w:rFonts w:hint="eastAsia"/>
                <w:color w:val="auto"/>
                <w:sz w:val="21"/>
                <w:szCs w:val="21"/>
                <w:highlight w:val="none"/>
              </w:rPr>
              <w:t>联系地址：</w:t>
            </w:r>
            <w:r>
              <w:rPr>
                <w:rFonts w:hint="eastAsia"/>
                <w:color w:val="auto"/>
                <w:sz w:val="21"/>
                <w:szCs w:val="21"/>
                <w:highlight w:val="none"/>
                <w:u w:val="single"/>
              </w:rPr>
              <w:t>广州市越秀区东风中路515号东照大厦5楼</w:t>
            </w:r>
          </w:p>
          <w:p>
            <w:pPr>
              <w:adjustRightInd w:val="0"/>
              <w:snapToGrid w:val="0"/>
              <w:spacing w:line="360" w:lineRule="exact"/>
              <w:ind w:left="42" w:leftChars="20" w:right="42" w:rightChars="20"/>
              <w:rPr>
                <w:rFonts w:hint="eastAsia" w:eastAsia="宋体"/>
                <w:color w:val="auto"/>
                <w:sz w:val="21"/>
                <w:szCs w:val="21"/>
                <w:highlight w:val="none"/>
                <w:u w:val="single"/>
                <w:lang w:eastAsia="zh-CN"/>
              </w:rPr>
            </w:pPr>
            <w:r>
              <w:rPr>
                <w:rFonts w:hint="eastAsia"/>
                <w:color w:val="auto"/>
                <w:sz w:val="21"/>
                <w:szCs w:val="21"/>
                <w:highlight w:val="none"/>
              </w:rPr>
              <w:t>联 系 人：</w:t>
            </w:r>
            <w:r>
              <w:rPr>
                <w:rFonts w:hint="eastAsia"/>
                <w:color w:val="auto"/>
                <w:sz w:val="21"/>
                <w:szCs w:val="21"/>
                <w:highlight w:val="none"/>
                <w:u w:val="single"/>
                <w:lang w:val="en-US" w:eastAsia="zh-CN"/>
              </w:rPr>
              <w:t>吴嘉鹏</w:t>
            </w:r>
          </w:p>
          <w:p>
            <w:pPr>
              <w:autoSpaceDE/>
              <w:autoSpaceDN/>
              <w:adjustRightInd w:val="0"/>
              <w:snapToGrid w:val="0"/>
              <w:spacing w:line="360" w:lineRule="exact"/>
              <w:ind w:left="42" w:leftChars="20" w:right="42" w:rightChars="20"/>
              <w:rPr>
                <w:rFonts w:eastAsia="宋体"/>
                <w:bCs/>
                <w:color w:val="auto"/>
                <w:kern w:val="2"/>
                <w:sz w:val="21"/>
                <w:szCs w:val="21"/>
                <w:highlight w:val="none"/>
                <w:lang w:val="en-US" w:eastAsia="zh-CN" w:bidi="ar-SA"/>
              </w:rPr>
            </w:pPr>
            <w:r>
              <w:rPr>
                <w:rFonts w:hint="eastAsia"/>
                <w:color w:val="auto"/>
                <w:sz w:val="21"/>
                <w:szCs w:val="21"/>
                <w:highlight w:val="none"/>
              </w:rPr>
              <w:t>联系电话：</w:t>
            </w:r>
            <w:r>
              <w:rPr>
                <w:rFonts w:hint="eastAsia"/>
                <w:color w:val="auto"/>
                <w:sz w:val="21"/>
                <w:szCs w:val="21"/>
                <w:highlight w:val="none"/>
                <w:u w:val="single"/>
                <w:lang w:val="en-US" w:eastAsia="zh-CN"/>
              </w:rPr>
              <w:t>13538893942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1.1.4</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招标项目名称</w:t>
            </w:r>
          </w:p>
        </w:tc>
        <w:tc>
          <w:tcPr>
            <w:tcW w:w="5440" w:type="dxa"/>
            <w:tcBorders>
              <w:left w:val="single" w:color="000000" w:sz="4" w:space="0"/>
            </w:tcBorders>
            <w:vAlign w:val="center"/>
          </w:tcPr>
          <w:p>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bCs/>
                <w:color w:val="auto"/>
                <w:sz w:val="21"/>
                <w:szCs w:val="21"/>
                <w:highlight w:val="none"/>
                <w:u w:val="single"/>
                <w:lang w:eastAsia="zh-CN"/>
              </w:rPr>
              <w:t>广州市海珠区滨江街小港路片区基础设施升级改造工程全过程工程咨询服务（工程监理、工程造价咨询）</w:t>
            </w:r>
            <w:r>
              <w:rPr>
                <w:rFonts w:hint="eastAsia"/>
                <w:color w:val="auto"/>
                <w:sz w:val="21"/>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1.1.5</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项目建设地点</w:t>
            </w:r>
          </w:p>
        </w:tc>
        <w:tc>
          <w:tcPr>
            <w:tcW w:w="5440" w:type="dxa"/>
            <w:tcBorders>
              <w:left w:val="single" w:color="000000" w:sz="4" w:space="0"/>
            </w:tcBorders>
            <w:vAlign w:val="center"/>
          </w:tcPr>
          <w:p>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1.1.6</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项目建设规模</w:t>
            </w:r>
          </w:p>
        </w:tc>
        <w:tc>
          <w:tcPr>
            <w:tcW w:w="5440" w:type="dxa"/>
            <w:tcBorders>
              <w:left w:val="single" w:color="000000" w:sz="4" w:space="0"/>
            </w:tcBorders>
            <w:vAlign w:val="center"/>
          </w:tcPr>
          <w:p>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1.1.7</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工程项目施工预计开工日期和建设周期</w:t>
            </w:r>
          </w:p>
        </w:tc>
        <w:tc>
          <w:tcPr>
            <w:tcW w:w="5440" w:type="dxa"/>
            <w:tcBorders>
              <w:left w:val="single" w:color="000000" w:sz="4" w:space="0"/>
            </w:tcBorders>
            <w:vAlign w:val="center"/>
          </w:tcPr>
          <w:p>
            <w:pPr>
              <w:adjustRightInd w:val="0"/>
              <w:snapToGrid w:val="0"/>
              <w:spacing w:line="360" w:lineRule="exact"/>
              <w:ind w:left="42" w:leftChars="20" w:right="42" w:rightChars="20"/>
              <w:rPr>
                <w:bCs/>
                <w:color w:val="auto"/>
                <w:kern w:val="2"/>
                <w:sz w:val="21"/>
                <w:szCs w:val="21"/>
                <w:highlight w:val="none"/>
                <w:lang w:val="en-US" w:bidi="ar-SA"/>
              </w:rPr>
            </w:pPr>
            <w:r>
              <w:rPr>
                <w:rFonts w:hint="eastAsia"/>
                <w:color w:val="auto"/>
                <w:sz w:val="21"/>
                <w:szCs w:val="21"/>
                <w:highlight w:val="none"/>
                <w:u w:val="single"/>
                <w:lang w:val="en-US"/>
              </w:rPr>
              <w:t>项目总工期约</w:t>
            </w:r>
            <w:r>
              <w:rPr>
                <w:rFonts w:hint="eastAsia"/>
                <w:color w:val="auto"/>
                <w:sz w:val="21"/>
                <w:szCs w:val="21"/>
                <w:highlight w:val="none"/>
                <w:u w:val="single"/>
                <w:lang w:val="en-US" w:eastAsia="zh-CN"/>
              </w:rPr>
              <w:t xml:space="preserve"> 490</w:t>
            </w:r>
            <w:r>
              <w:rPr>
                <w:rFonts w:hint="eastAsia"/>
                <w:color w:val="auto"/>
                <w:sz w:val="21"/>
                <w:szCs w:val="21"/>
                <w:highlight w:val="none"/>
                <w:u w:val="single"/>
                <w:lang w:val="en-US"/>
              </w:rPr>
              <w:t>日历天，从签订本项目合同之日起至本项目保修期结束并完成工程结算之日止。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1.1.8</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建筑安装工程费/工程概算</w:t>
            </w:r>
          </w:p>
        </w:tc>
        <w:tc>
          <w:tcPr>
            <w:tcW w:w="5440" w:type="dxa"/>
            <w:tcBorders>
              <w:left w:val="single" w:color="000000" w:sz="4" w:space="0"/>
            </w:tcBorders>
            <w:vAlign w:val="center"/>
          </w:tcPr>
          <w:p>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1.2.1</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资金来源及比例</w:t>
            </w:r>
          </w:p>
        </w:tc>
        <w:tc>
          <w:tcPr>
            <w:tcW w:w="5440" w:type="dxa"/>
            <w:tcBorders>
              <w:left w:val="single" w:color="000000" w:sz="4" w:space="0"/>
            </w:tcBorders>
            <w:vAlign w:val="center"/>
          </w:tcPr>
          <w:p>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1.2.2</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资金落实情况</w:t>
            </w:r>
          </w:p>
        </w:tc>
        <w:tc>
          <w:tcPr>
            <w:tcW w:w="5440" w:type="dxa"/>
            <w:tcBorders>
              <w:left w:val="single" w:color="000000" w:sz="4" w:space="0"/>
            </w:tcBorders>
            <w:vAlign w:val="center"/>
          </w:tcPr>
          <w:p>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1.3.1</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招标范围</w:t>
            </w:r>
          </w:p>
        </w:tc>
        <w:tc>
          <w:tcPr>
            <w:tcW w:w="5440" w:type="dxa"/>
            <w:tcBorders>
              <w:left w:val="single" w:color="000000" w:sz="4" w:space="0"/>
            </w:tcBorders>
            <w:vAlign w:val="center"/>
          </w:tcPr>
          <w:p>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1.3.2</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服务期限</w:t>
            </w:r>
          </w:p>
        </w:tc>
        <w:tc>
          <w:tcPr>
            <w:tcW w:w="5440" w:type="dxa"/>
            <w:tcBorders>
              <w:left w:val="single" w:color="000000" w:sz="4" w:space="0"/>
            </w:tcBorders>
            <w:vAlign w:val="center"/>
          </w:tcPr>
          <w:p>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1.3.3</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质量标准</w:t>
            </w:r>
          </w:p>
        </w:tc>
        <w:tc>
          <w:tcPr>
            <w:tcW w:w="5440" w:type="dxa"/>
            <w:tcBorders>
              <w:left w:val="single" w:color="000000" w:sz="4" w:space="0"/>
            </w:tcBorders>
            <w:vAlign w:val="center"/>
          </w:tcPr>
          <w:p>
            <w:pPr>
              <w:pStyle w:val="18"/>
              <w:topLinePunct w:val="0"/>
              <w:autoSpaceDE w:val="0"/>
              <w:autoSpaceDN w:val="0"/>
              <w:spacing w:line="360" w:lineRule="exact"/>
              <w:ind w:left="42" w:leftChars="20" w:right="42" w:rightChars="20" w:firstLine="23" w:firstLineChars="11"/>
              <w:rPr>
                <w:rFonts w:ascii="宋体" w:hAnsi="宋体" w:cs="宋体"/>
                <w:color w:val="auto"/>
                <w:spacing w:val="0"/>
                <w:sz w:val="21"/>
                <w:szCs w:val="21"/>
                <w:highlight w:val="none"/>
                <w:u w:val="single"/>
              </w:rPr>
            </w:pPr>
            <w:r>
              <w:rPr>
                <w:rFonts w:hint="eastAsia" w:ascii="宋体" w:hAnsi="宋体" w:cs="宋体"/>
                <w:color w:val="auto"/>
                <w:sz w:val="21"/>
                <w:szCs w:val="21"/>
                <w:highlight w:val="none"/>
                <w:u w:val="single"/>
              </w:rPr>
              <w:t>（1）质量控制目标</w:t>
            </w:r>
            <w:r>
              <w:rPr>
                <w:rFonts w:hint="eastAsia" w:ascii="宋体" w:hAnsi="宋体" w:cs="宋体"/>
                <w:color w:val="auto"/>
                <w:spacing w:val="0"/>
                <w:sz w:val="21"/>
                <w:szCs w:val="21"/>
                <w:highlight w:val="none"/>
                <w:u w:val="single"/>
              </w:rPr>
              <w:t>：</w:t>
            </w:r>
            <w:bookmarkStart w:id="7" w:name="_Hlk85830073"/>
            <w:r>
              <w:rPr>
                <w:rFonts w:hint="eastAsia" w:ascii="宋体" w:hAnsi="宋体" w:cs="宋体"/>
                <w:color w:val="auto"/>
                <w:spacing w:val="0"/>
                <w:sz w:val="21"/>
                <w:szCs w:val="21"/>
                <w:highlight w:val="none"/>
                <w:u w:val="single"/>
              </w:rPr>
              <w:t>合格。</w:t>
            </w:r>
            <w:bookmarkEnd w:id="7"/>
          </w:p>
          <w:p>
            <w:pPr>
              <w:pStyle w:val="18"/>
              <w:topLinePunct w:val="0"/>
              <w:autoSpaceDE w:val="0"/>
              <w:autoSpaceDN w:val="0"/>
              <w:spacing w:line="360" w:lineRule="exact"/>
              <w:ind w:left="42" w:leftChars="20" w:right="42" w:rightChars="20" w:firstLine="23" w:firstLineChars="11"/>
              <w:rPr>
                <w:color w:val="auto"/>
                <w:sz w:val="21"/>
                <w:szCs w:val="21"/>
                <w:highlight w:val="none"/>
                <w:u w:val="single"/>
              </w:rPr>
            </w:pPr>
            <w:r>
              <w:rPr>
                <w:rFonts w:hint="eastAsia"/>
                <w:color w:val="auto"/>
                <w:sz w:val="21"/>
                <w:szCs w:val="21"/>
                <w:highlight w:val="none"/>
                <w:u w:val="single"/>
              </w:rPr>
              <w:t>（2）进度控制目标：按委托人对工期的要求进行进度目标控制。</w:t>
            </w:r>
          </w:p>
          <w:p>
            <w:pPr>
              <w:pStyle w:val="18"/>
              <w:topLinePunct w:val="0"/>
              <w:autoSpaceDE w:val="0"/>
              <w:autoSpaceDN w:val="0"/>
              <w:spacing w:line="360" w:lineRule="exact"/>
              <w:ind w:left="42" w:leftChars="20" w:right="42" w:rightChars="20" w:firstLine="23" w:firstLineChars="11"/>
              <w:rPr>
                <w:color w:val="auto"/>
                <w:sz w:val="21"/>
                <w:szCs w:val="21"/>
                <w:highlight w:val="none"/>
                <w:u w:val="single"/>
              </w:rPr>
            </w:pPr>
            <w:r>
              <w:rPr>
                <w:rFonts w:hint="eastAsia"/>
                <w:color w:val="auto"/>
                <w:sz w:val="21"/>
                <w:szCs w:val="21"/>
                <w:highlight w:val="none"/>
                <w:u w:val="single"/>
              </w:rPr>
              <w:t>（3）投资控制目标：所监理的建安工程结算不超过合同价，且不超过相应的建安工程费概算批复。</w:t>
            </w:r>
          </w:p>
          <w:p>
            <w:pPr>
              <w:pStyle w:val="18"/>
              <w:topLinePunct w:val="0"/>
              <w:autoSpaceDE w:val="0"/>
              <w:autoSpaceDN w:val="0"/>
              <w:spacing w:line="360" w:lineRule="exact"/>
              <w:ind w:left="42" w:leftChars="20" w:right="42" w:rightChars="20" w:firstLine="23" w:firstLineChars="11"/>
              <w:rPr>
                <w:color w:val="auto"/>
                <w:sz w:val="21"/>
                <w:szCs w:val="21"/>
                <w:highlight w:val="none"/>
                <w:u w:val="single"/>
              </w:rPr>
            </w:pPr>
            <w:r>
              <w:rPr>
                <w:rFonts w:hint="eastAsia"/>
                <w:color w:val="auto"/>
                <w:sz w:val="21"/>
                <w:szCs w:val="21"/>
                <w:highlight w:val="none"/>
                <w:u w:val="single"/>
              </w:rPr>
              <w:t>（4）安全生产文明施工控制目标：确保工程无人员死亡事故；确保实施期内有关建设人员不违反委托人安全监管规定。</w:t>
            </w:r>
          </w:p>
          <w:p>
            <w:pPr>
              <w:pStyle w:val="18"/>
              <w:topLinePunct w:val="0"/>
              <w:autoSpaceDE w:val="0"/>
              <w:autoSpaceDN w:val="0"/>
              <w:spacing w:line="360" w:lineRule="exact"/>
              <w:ind w:left="42" w:leftChars="20" w:right="42" w:rightChars="20" w:firstLine="23" w:firstLineChars="11"/>
              <w:rPr>
                <w:color w:val="auto"/>
                <w:sz w:val="21"/>
                <w:szCs w:val="21"/>
                <w:highlight w:val="none"/>
                <w:u w:val="single"/>
              </w:rPr>
            </w:pPr>
            <w:r>
              <w:rPr>
                <w:rFonts w:hint="eastAsia"/>
                <w:color w:val="auto"/>
                <w:sz w:val="21"/>
                <w:szCs w:val="21"/>
                <w:highlight w:val="none"/>
                <w:u w:val="single"/>
              </w:rPr>
              <w:t>（5）职业健康安全管理目标：</w:t>
            </w:r>
            <w:bookmarkStart w:id="8" w:name="_Hlk85830119"/>
            <w:r>
              <w:rPr>
                <w:rFonts w:hint="eastAsia"/>
                <w:color w:val="auto"/>
                <w:sz w:val="21"/>
                <w:szCs w:val="21"/>
                <w:highlight w:val="none"/>
                <w:u w:val="single"/>
              </w:rPr>
              <w:t>杜绝发生一般事故等级以上的伤亡事故且工伤责任事故死亡人数为零。</w:t>
            </w:r>
            <w:bookmarkEnd w:id="8"/>
          </w:p>
          <w:p>
            <w:pPr>
              <w:pStyle w:val="18"/>
              <w:topLinePunct w:val="0"/>
              <w:autoSpaceDE w:val="0"/>
              <w:autoSpaceDN w:val="0"/>
              <w:spacing w:line="400" w:lineRule="exact"/>
              <w:ind w:left="42" w:leftChars="20" w:right="42" w:rightChars="20" w:firstLine="23" w:firstLineChars="11"/>
              <w:rPr>
                <w:rFonts w:ascii="仿宋" w:hAnsi="仿宋" w:eastAsia="仿宋" w:cs="仿宋"/>
                <w:b/>
                <w:bCs/>
                <w:color w:val="auto"/>
                <w:sz w:val="21"/>
                <w:szCs w:val="21"/>
                <w:highlight w:val="none"/>
              </w:rPr>
            </w:pPr>
            <w:r>
              <w:rPr>
                <w:rFonts w:hint="eastAsia"/>
                <w:color w:val="auto"/>
                <w:sz w:val="21"/>
                <w:szCs w:val="21"/>
                <w:highlight w:val="none"/>
                <w:u w:val="single"/>
              </w:rPr>
              <w:t>（</w:t>
            </w:r>
            <w:r>
              <w:rPr>
                <w:rFonts w:hint="eastAsia"/>
                <w:color w:val="auto"/>
                <w:sz w:val="21"/>
                <w:szCs w:val="21"/>
                <w:highlight w:val="none"/>
                <w:u w:val="single"/>
                <w:lang w:val="en-US"/>
              </w:rPr>
              <w:t>6</w:t>
            </w:r>
            <w:r>
              <w:rPr>
                <w:rFonts w:hint="eastAsia"/>
                <w:color w:val="auto"/>
                <w:sz w:val="21"/>
                <w:szCs w:val="21"/>
                <w:highlight w:val="none"/>
                <w:u w:val="single"/>
              </w:rPr>
              <w:t>）</w:t>
            </w:r>
            <w:r>
              <w:rPr>
                <w:rFonts w:hint="eastAsia"/>
                <w:color w:val="auto"/>
                <w:sz w:val="21"/>
                <w:szCs w:val="21"/>
                <w:highlight w:val="none"/>
                <w:u w:val="single"/>
                <w:lang w:val="en-US"/>
              </w:rPr>
              <w:t>造价咨询质量标准：合格。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1.4.1</w:t>
            </w:r>
          </w:p>
        </w:tc>
        <w:tc>
          <w:tcPr>
            <w:tcW w:w="3360" w:type="dxa"/>
            <w:tcBorders>
              <w:left w:val="single" w:color="000000" w:sz="4" w:space="0"/>
            </w:tcBorders>
            <w:vAlign w:val="center"/>
          </w:tcPr>
          <w:p>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投标人资质条件、能力、信誉</w:t>
            </w:r>
          </w:p>
        </w:tc>
        <w:tc>
          <w:tcPr>
            <w:tcW w:w="5440" w:type="dxa"/>
            <w:tcBorders>
              <w:left w:val="single" w:color="000000" w:sz="4" w:space="0"/>
            </w:tcBorders>
            <w:vAlign w:val="center"/>
          </w:tcPr>
          <w:p>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bCs/>
                <w:color w:val="auto"/>
                <w:kern w:val="2"/>
                <w:sz w:val="21"/>
                <w:szCs w:val="21"/>
                <w:highlight w:val="none"/>
                <w:lang w:val="en-US" w:bidi="ar-SA"/>
              </w:rPr>
              <w:t>（1）资质要求：</w:t>
            </w:r>
            <w:r>
              <w:rPr>
                <w:rFonts w:hint="eastAsia"/>
                <w:color w:val="auto"/>
                <w:sz w:val="21"/>
                <w:szCs w:val="21"/>
                <w:highlight w:val="none"/>
              </w:rPr>
              <w:t>见招标公告投标人资格要求。</w:t>
            </w:r>
          </w:p>
          <w:p>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bCs/>
                <w:color w:val="auto"/>
                <w:kern w:val="2"/>
                <w:sz w:val="21"/>
                <w:szCs w:val="21"/>
                <w:highlight w:val="none"/>
                <w:lang w:val="en-US" w:bidi="ar-SA"/>
              </w:rPr>
              <w:t>（2）财务要求：/</w:t>
            </w:r>
          </w:p>
          <w:p>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bCs/>
                <w:color w:val="auto"/>
                <w:kern w:val="2"/>
                <w:sz w:val="21"/>
                <w:szCs w:val="21"/>
                <w:highlight w:val="none"/>
                <w:lang w:val="en-US" w:bidi="ar-SA"/>
              </w:rPr>
              <w:t>（3）业绩要求：</w:t>
            </w:r>
            <w:r>
              <w:rPr>
                <w:rFonts w:hint="eastAsia"/>
                <w:color w:val="auto"/>
                <w:sz w:val="21"/>
                <w:szCs w:val="21"/>
                <w:highlight w:val="none"/>
                <w:lang w:val="en-US"/>
              </w:rPr>
              <w:t>/</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（4）信誉要求：/</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（5）总监理工程师及造价咨询负责人的资格要求：见招标公告投标人资格要求。</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（6）其他主要人员要求：/</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（7）试验检测仪器设备要求：/</w:t>
            </w:r>
          </w:p>
          <w:p>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（8）其他要求：见招标公告投标人资格要求。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1.4.2</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是否接受联合体投标</w:t>
            </w:r>
          </w:p>
        </w:tc>
        <w:tc>
          <w:tcPr>
            <w:tcW w:w="5440" w:type="dxa"/>
            <w:tcBorders>
              <w:left w:val="single" w:color="000000" w:sz="4" w:space="0"/>
            </w:tcBorders>
            <w:vAlign w:val="center"/>
          </w:tcPr>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w:t>
            </w:r>
            <w:r>
              <w:rPr>
                <w:rFonts w:hint="eastAsia"/>
                <w:color w:val="auto"/>
                <w:position w:val="3"/>
                <w:sz w:val="21"/>
                <w:szCs w:val="21"/>
                <w:highlight w:val="none"/>
              </w:rPr>
              <w:t>不接受</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lang w:val="en-US"/>
              </w:rPr>
              <w:t>■</w:t>
            </w:r>
            <w:r>
              <w:rPr>
                <w:rFonts w:hint="eastAsia"/>
                <w:color w:val="auto"/>
                <w:sz w:val="21"/>
                <w:szCs w:val="21"/>
                <w:highlight w:val="none"/>
              </w:rPr>
              <w:t>接受，应满足下列要求：见招标公告投标人资格要求。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1.4.3</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投标人不得存在的其他情形</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u w:val="single"/>
              </w:rPr>
            </w:pPr>
            <w:r>
              <w:rPr>
                <w:color w:val="auto"/>
                <w:sz w:val="21"/>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1.9.1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踏勘现场</w:t>
            </w:r>
          </w:p>
        </w:tc>
        <w:tc>
          <w:tcPr>
            <w:tcW w:w="5440" w:type="dxa"/>
            <w:tcBorders>
              <w:left w:val="single" w:color="000000" w:sz="4" w:space="0"/>
            </w:tcBorders>
            <w:vAlign w:val="center"/>
          </w:tcPr>
          <w:p>
            <w:pPr>
              <w:pStyle w:val="6"/>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■不组织，</w:t>
            </w:r>
            <w:r>
              <w:rPr>
                <w:rFonts w:hint="eastAsia"/>
                <w:color w:val="auto"/>
                <w:sz w:val="21"/>
                <w:szCs w:val="21"/>
                <w:highlight w:val="none"/>
                <w:u w:val="single"/>
                <w:lang w:val="en-US"/>
              </w:rPr>
              <w:t>由投标人自行现场考察。</w:t>
            </w:r>
          </w:p>
          <w:p>
            <w:pPr>
              <w:pStyle w:val="6"/>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□组织，踏勘时间：/</w:t>
            </w:r>
          </w:p>
          <w:p>
            <w:pPr>
              <w:pStyle w:val="6"/>
              <w:adjustRightInd w:val="0"/>
              <w:snapToGrid w:val="0"/>
              <w:spacing w:after="0" w:line="400" w:lineRule="exact"/>
              <w:ind w:left="42" w:leftChars="20" w:right="42" w:rightChars="20"/>
              <w:rPr>
                <w:color w:val="auto"/>
                <w:sz w:val="21"/>
                <w:szCs w:val="21"/>
                <w:highlight w:val="none"/>
              </w:rPr>
            </w:pPr>
            <w:r>
              <w:rPr>
                <w:rFonts w:hint="eastAsia"/>
                <w:color w:val="auto"/>
                <w:sz w:val="21"/>
                <w:szCs w:val="21"/>
                <w:highlight w:val="none"/>
                <w:lang w:val="en-US"/>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1.10.1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投标预备会</w:t>
            </w:r>
          </w:p>
        </w:tc>
        <w:tc>
          <w:tcPr>
            <w:tcW w:w="5440" w:type="dxa"/>
            <w:tcBorders>
              <w:left w:val="single" w:color="000000" w:sz="4" w:space="0"/>
            </w:tcBorders>
            <w:vAlign w:val="center"/>
          </w:tcPr>
          <w:p>
            <w:pPr>
              <w:pStyle w:val="6"/>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■不召开</w:t>
            </w:r>
          </w:p>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□召开，召开时间：</w:t>
            </w:r>
            <w:r>
              <w:rPr>
                <w:rFonts w:hint="eastAsia"/>
                <w:color w:val="auto"/>
                <w:sz w:val="21"/>
                <w:szCs w:val="21"/>
                <w:highlight w:val="none"/>
                <w:u w:val="single"/>
              </w:rPr>
              <w:t xml:space="preserve"> / </w:t>
            </w:r>
          </w:p>
          <w:p>
            <w:pPr>
              <w:adjustRightInd w:val="0"/>
              <w:snapToGrid w:val="0"/>
              <w:spacing w:line="400" w:lineRule="exact"/>
              <w:ind w:left="42" w:leftChars="20" w:right="42" w:rightChars="20" w:firstLine="840" w:firstLineChars="400"/>
              <w:rPr>
                <w:color w:val="auto"/>
                <w:sz w:val="21"/>
                <w:szCs w:val="21"/>
                <w:highlight w:val="none"/>
              </w:rPr>
            </w:pPr>
            <w:r>
              <w:rPr>
                <w:rFonts w:hint="eastAsia"/>
                <w:color w:val="auto"/>
                <w:sz w:val="21"/>
                <w:szCs w:val="21"/>
                <w:highlight w:val="none"/>
              </w:rPr>
              <w:t>召开地点：</w:t>
            </w: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252" w:type="dxa"/>
            <w:vMerge w:val="restart"/>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1.10.2</w:t>
            </w:r>
          </w:p>
        </w:tc>
        <w:tc>
          <w:tcPr>
            <w:tcW w:w="3360" w:type="dxa"/>
            <w:vMerge w:val="restart"/>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投标人在投标预备会前提出问题</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时间：</w:t>
            </w: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2" w:type="dxa"/>
            <w:vMerge w:val="continue"/>
            <w:vAlign w:val="center"/>
          </w:tcPr>
          <w:p>
            <w:pPr>
              <w:rPr>
                <w:color w:val="auto"/>
                <w:highlight w:val="none"/>
              </w:rPr>
            </w:pPr>
          </w:p>
        </w:tc>
        <w:tc>
          <w:tcPr>
            <w:tcW w:w="3360" w:type="dxa"/>
            <w:vMerge w:val="continue"/>
            <w:tcBorders>
              <w:left w:val="single" w:color="000000" w:sz="4" w:space="0"/>
            </w:tcBorders>
            <w:vAlign w:val="center"/>
          </w:tcPr>
          <w:p>
            <w:pPr>
              <w:rPr>
                <w:color w:val="auto"/>
                <w:highlight w:val="none"/>
              </w:rPr>
            </w:pP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形式：</w:t>
            </w: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1.10.3</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招标文件澄清发出的形式</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 xml:space="preserve"> （此为投标预备会的答疑澄清）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1.12.1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实质性要求和条件</w:t>
            </w:r>
          </w:p>
        </w:tc>
        <w:tc>
          <w:tcPr>
            <w:tcW w:w="5440" w:type="dxa"/>
            <w:tcBorders>
              <w:left w:val="single" w:color="000000" w:sz="4" w:space="0"/>
            </w:tcBorders>
            <w:vAlign w:val="center"/>
          </w:tcPr>
          <w:p>
            <w:pPr>
              <w:pStyle w:val="6"/>
              <w:adjustRightInd w:val="0"/>
              <w:snapToGrid w:val="0"/>
              <w:spacing w:after="0" w:line="400" w:lineRule="exact"/>
              <w:ind w:left="42" w:leftChars="20" w:right="42" w:rightChars="20"/>
              <w:rPr>
                <w:color w:val="auto"/>
                <w:sz w:val="21"/>
                <w:szCs w:val="21"/>
                <w:highlight w:val="none"/>
              </w:rPr>
            </w:pPr>
            <w:r>
              <w:rPr>
                <w:rFonts w:hint="eastAsia"/>
                <w:color w:val="auto"/>
                <w:sz w:val="21"/>
                <w:szCs w:val="21"/>
                <w:highlight w:val="none"/>
                <w:u w:val="singl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1.12.3</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偏差</w:t>
            </w:r>
          </w:p>
        </w:tc>
        <w:tc>
          <w:tcPr>
            <w:tcW w:w="5440" w:type="dxa"/>
            <w:tcBorders>
              <w:left w:val="single" w:color="000000" w:sz="4" w:space="0"/>
            </w:tcBorders>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■不允许</w:t>
            </w:r>
          </w:p>
          <w:p>
            <w:pPr>
              <w:pStyle w:val="6"/>
              <w:autoSpaceDE/>
              <w:autoSpaceDN/>
              <w:adjustRightInd w:val="0"/>
              <w:snapToGrid w:val="0"/>
              <w:spacing w:after="0" w:line="400" w:lineRule="exact"/>
              <w:ind w:left="42" w:leftChars="20" w:right="42" w:rightChars="20"/>
              <w:jc w:val="both"/>
              <w:rPr>
                <w:color w:val="auto"/>
                <w:kern w:val="2"/>
                <w:sz w:val="21"/>
                <w:szCs w:val="21"/>
                <w:highlight w:val="none"/>
                <w:lang w:val="en-US" w:bidi="ar-SA"/>
              </w:rPr>
            </w:pPr>
            <w:r>
              <w:rPr>
                <w:rFonts w:hint="eastAsia"/>
                <w:color w:val="auto"/>
                <w:kern w:val="2"/>
                <w:sz w:val="21"/>
                <w:szCs w:val="21"/>
                <w:highlight w:val="none"/>
                <w:lang w:val="en-US" w:bidi="ar-SA"/>
              </w:rPr>
              <w:t>□允许，偏差范围：/</w:t>
            </w:r>
          </w:p>
          <w:p>
            <w:pPr>
              <w:pStyle w:val="6"/>
              <w:autoSpaceDE/>
              <w:autoSpaceDN/>
              <w:adjustRightInd w:val="0"/>
              <w:snapToGrid w:val="0"/>
              <w:spacing w:after="0" w:line="400" w:lineRule="exact"/>
              <w:ind w:left="42" w:leftChars="20" w:right="42" w:rightChars="20"/>
              <w:jc w:val="both"/>
              <w:rPr>
                <w:color w:val="auto"/>
                <w:sz w:val="21"/>
                <w:szCs w:val="21"/>
                <w:highlight w:val="none"/>
              </w:rPr>
            </w:pPr>
            <w:r>
              <w:rPr>
                <w:rFonts w:hint="eastAsia"/>
                <w:color w:val="auto"/>
                <w:kern w:val="2"/>
                <w:sz w:val="21"/>
                <w:szCs w:val="21"/>
                <w:highlight w:val="none"/>
                <w:lang w:val="en-US" w:bidi="ar-SA"/>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构成招标文件的其他资料</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252" w:type="dxa"/>
            <w:vMerge w:val="restart"/>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2.2.1</w:t>
            </w:r>
          </w:p>
        </w:tc>
        <w:tc>
          <w:tcPr>
            <w:tcW w:w="3360" w:type="dxa"/>
            <w:vMerge w:val="restart"/>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投标人要求澄清招标文件</w:t>
            </w:r>
          </w:p>
        </w:tc>
        <w:tc>
          <w:tcPr>
            <w:tcW w:w="5440" w:type="dxa"/>
            <w:tcBorders>
              <w:bottom w:val="single" w:color="auto"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疑问提交时间：</w:t>
            </w:r>
            <w:r>
              <w:rPr>
                <w:rFonts w:hint="eastAsia"/>
                <w:color w:val="auto"/>
                <w:sz w:val="21"/>
                <w:szCs w:val="21"/>
                <w:highlight w:val="none"/>
                <w:u w:val="single"/>
                <w:lang w:val="en-US"/>
              </w:rPr>
              <w:t>开标</w:t>
            </w:r>
            <w:r>
              <w:rPr>
                <w:rFonts w:hint="eastAsia"/>
                <w:color w:val="auto"/>
                <w:sz w:val="21"/>
                <w:szCs w:val="21"/>
                <w:highlight w:val="none"/>
                <w:u w:val="single"/>
              </w:rPr>
              <w:t>前</w:t>
            </w:r>
            <w:r>
              <w:rPr>
                <w:rFonts w:hint="eastAsia"/>
                <w:color w:val="auto"/>
                <w:sz w:val="21"/>
                <w:szCs w:val="21"/>
                <w:highlight w:val="none"/>
                <w:u w:val="single"/>
                <w:lang w:val="en-US"/>
              </w:rPr>
              <w:t>18日</w:t>
            </w:r>
            <w:r>
              <w:rPr>
                <w:rFonts w:hint="eastAsia"/>
                <w:color w:val="auto"/>
                <w:sz w:val="21"/>
                <w:szCs w:val="21"/>
                <w:highlight w:val="none"/>
                <w:u w:val="single"/>
              </w:rPr>
              <w:t>(具体详见广州公共资源交易中心招投标日程安排)</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1252" w:type="dxa"/>
            <w:vMerge w:val="continue"/>
            <w:vAlign w:val="center"/>
          </w:tcPr>
          <w:p>
            <w:pPr>
              <w:rPr>
                <w:color w:val="auto"/>
                <w:highlight w:val="none"/>
              </w:rPr>
            </w:pPr>
          </w:p>
        </w:tc>
        <w:tc>
          <w:tcPr>
            <w:tcW w:w="3360" w:type="dxa"/>
            <w:vMerge w:val="continue"/>
            <w:tcBorders>
              <w:left w:val="single" w:color="000000" w:sz="4" w:space="0"/>
            </w:tcBorders>
            <w:vAlign w:val="center"/>
          </w:tcPr>
          <w:p>
            <w:pPr>
              <w:rPr>
                <w:color w:val="auto"/>
                <w:highlight w:val="none"/>
              </w:rPr>
            </w:pPr>
          </w:p>
        </w:tc>
        <w:tc>
          <w:tcPr>
            <w:tcW w:w="5440" w:type="dxa"/>
            <w:tcBorders>
              <w:top w:val="single" w:color="auto"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形式：投标人的疑问通过广州公共资源交易中心网站交易平台提交。具体要求：操作详见广州公共资源交易中心网站发布的最新版操作指引。提问一律不得署名。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2.2.2</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招标文件澄清发出的形式</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u w:val="single"/>
              </w:rPr>
            </w:pPr>
            <w:r>
              <w:rPr>
                <w:rFonts w:hint="eastAsia"/>
                <w:color w:val="auto"/>
                <w:sz w:val="21"/>
                <w:szCs w:val="21"/>
                <w:highlight w:val="none"/>
                <w:u w:val="single"/>
                <w:lang w:val="en-US"/>
              </w:rPr>
              <w:t>1、</w:t>
            </w:r>
            <w:r>
              <w:rPr>
                <w:rFonts w:hint="eastAsia"/>
                <w:color w:val="auto"/>
                <w:sz w:val="21"/>
                <w:szCs w:val="21"/>
                <w:highlight w:val="none"/>
                <w:u w:val="single"/>
              </w:rPr>
              <w:t>投标人应在递交投标文件截止时间15天前解答投标人对招标文件提出的疑问，形成答疑纪要，并在广州公共资源交易中心网站通过项目答疑专区网上公开发布。</w:t>
            </w:r>
          </w:p>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lang w:val="en-US"/>
              </w:rPr>
              <w:t>2、</w:t>
            </w:r>
            <w:r>
              <w:rPr>
                <w:rFonts w:hint="eastAsia"/>
                <w:color w:val="auto"/>
                <w:sz w:val="21"/>
                <w:szCs w:val="21"/>
                <w:highlight w:val="none"/>
                <w:u w:val="single"/>
              </w:rPr>
              <w:t>招标答疑纪要为招标文件的一部分。投标人可在广州公资源交易中心网站浏览、下载招标答疑纪要。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252" w:type="dxa"/>
            <w:vMerge w:val="restart"/>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2.2.3</w:t>
            </w:r>
          </w:p>
        </w:tc>
        <w:tc>
          <w:tcPr>
            <w:tcW w:w="3360" w:type="dxa"/>
            <w:vMerge w:val="restart"/>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投标人确认收到招标文件澄清</w:t>
            </w:r>
          </w:p>
        </w:tc>
        <w:tc>
          <w:tcPr>
            <w:tcW w:w="5440" w:type="dxa"/>
            <w:tcBorders>
              <w:bottom w:val="single" w:color="auto"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时间：发出即视作收到。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252" w:type="dxa"/>
            <w:vMerge w:val="continue"/>
            <w:vAlign w:val="center"/>
          </w:tcPr>
          <w:p>
            <w:pPr>
              <w:rPr>
                <w:color w:val="auto"/>
                <w:highlight w:val="none"/>
              </w:rPr>
            </w:pPr>
          </w:p>
        </w:tc>
        <w:tc>
          <w:tcPr>
            <w:tcW w:w="3360" w:type="dxa"/>
            <w:vMerge w:val="continue"/>
            <w:tcBorders>
              <w:left w:val="single" w:color="000000" w:sz="4" w:space="0"/>
            </w:tcBorders>
            <w:vAlign w:val="center"/>
          </w:tcPr>
          <w:p>
            <w:pPr>
              <w:rPr>
                <w:color w:val="auto"/>
                <w:highlight w:val="none"/>
              </w:rPr>
            </w:pPr>
          </w:p>
        </w:tc>
        <w:tc>
          <w:tcPr>
            <w:tcW w:w="5440" w:type="dxa"/>
            <w:tcBorders>
              <w:top w:val="single" w:color="auto"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形式：招标文件澄清（招标答疑纪要）一经在广州公共资源交易中心网站发布，视作已发放给所有投标人。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2.3.1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招标文件修改发出的形式</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以补充公告或项目答疑澄清的方式在广州公共资源交易中心网站发布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252" w:type="dxa"/>
            <w:vMerge w:val="restart"/>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2.3.2</w:t>
            </w:r>
          </w:p>
        </w:tc>
        <w:tc>
          <w:tcPr>
            <w:tcW w:w="3360" w:type="dxa"/>
            <w:vMerge w:val="restart"/>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投标人确认收到招标文件修改</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时间：发出即视作收到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252" w:type="dxa"/>
            <w:vMerge w:val="continue"/>
            <w:vAlign w:val="center"/>
          </w:tcPr>
          <w:p>
            <w:pPr>
              <w:rPr>
                <w:color w:val="auto"/>
                <w:highlight w:val="none"/>
              </w:rPr>
            </w:pPr>
          </w:p>
        </w:tc>
        <w:tc>
          <w:tcPr>
            <w:tcW w:w="3360" w:type="dxa"/>
            <w:vMerge w:val="continue"/>
            <w:tcBorders>
              <w:left w:val="single" w:color="000000" w:sz="4" w:space="0"/>
            </w:tcBorders>
            <w:vAlign w:val="center"/>
          </w:tcPr>
          <w:p>
            <w:pPr>
              <w:rPr>
                <w:color w:val="auto"/>
                <w:highlight w:val="none"/>
              </w:rPr>
            </w:pP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3.1.1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构成投标文件的其他资料</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满足本项目评审要求的其他资料。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3.2.1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增值税税金的计算方法</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3.2.3</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报价方式</w:t>
            </w:r>
          </w:p>
        </w:tc>
        <w:tc>
          <w:tcPr>
            <w:tcW w:w="5440" w:type="dxa"/>
            <w:tcBorders>
              <w:left w:val="single" w:color="000000" w:sz="4" w:space="0"/>
            </w:tcBorders>
            <w:vAlign w:val="center"/>
          </w:tcPr>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各投标单位在招标控制价内根据企业自身实力进行总价报价（以元为单位，保留两位小数，第三位小数四舍五入）,并按此计算投标下浮率[投标下浮率=1-（投标总报价/最高投标限价）×100%],保留两位小数。投标下浮率必须为固定的报价（如5%），不得存在区间值（如2～8%），</w:t>
            </w:r>
            <w:r>
              <w:rPr>
                <w:rFonts w:hint="eastAsia"/>
                <w:color w:val="auto"/>
                <w:sz w:val="21"/>
                <w:szCs w:val="21"/>
                <w:highlight w:val="none"/>
                <w:lang w:val="en-US"/>
              </w:rPr>
              <w:t>招标</w:t>
            </w:r>
            <w:r>
              <w:rPr>
                <w:rFonts w:hint="eastAsia"/>
                <w:color w:val="auto"/>
                <w:sz w:val="21"/>
                <w:szCs w:val="21"/>
                <w:highlight w:val="none"/>
              </w:rPr>
              <w:t>人不接受有任何选择的报价，投标下浮率不得为100%，不能为负数，否则被视为无效投标。</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投标下浮率和调整系数在费用结算时不予调整。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3.2.4</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最高投标限价</w:t>
            </w:r>
          </w:p>
        </w:tc>
        <w:tc>
          <w:tcPr>
            <w:tcW w:w="5440" w:type="dxa"/>
            <w:tcBorders>
              <w:left w:val="single" w:color="000000" w:sz="4" w:space="0"/>
            </w:tcBorders>
            <w:vAlign w:val="center"/>
          </w:tcPr>
          <w:p>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□无</w:t>
            </w:r>
          </w:p>
          <w:p>
            <w:pPr>
              <w:adjustRightInd w:val="0"/>
              <w:snapToGrid w:val="0"/>
              <w:spacing w:line="320" w:lineRule="exact"/>
              <w:ind w:firstLine="105" w:firstLineChars="50"/>
              <w:rPr>
                <w:color w:val="auto"/>
                <w:sz w:val="21"/>
                <w:szCs w:val="21"/>
                <w:highlight w:val="none"/>
              </w:rPr>
            </w:pPr>
            <w:r>
              <w:rPr>
                <w:rFonts w:hint="eastAsia"/>
                <w:color w:val="auto"/>
                <w:sz w:val="21"/>
                <w:szCs w:val="21"/>
                <w:highlight w:val="none"/>
              </w:rPr>
              <w:t>■有，最高投标限价：</w:t>
            </w:r>
            <w:r>
              <w:rPr>
                <w:rFonts w:hint="eastAsia"/>
                <w:color w:val="auto"/>
                <w:sz w:val="21"/>
                <w:szCs w:val="21"/>
                <w:highlight w:val="none"/>
                <w:u w:val="single"/>
                <w:lang w:val="en-US" w:eastAsia="zh-CN"/>
              </w:rPr>
              <w:t>180.77万元，其中①监理服务费最高投标限价：153.27万元②造价咨询服务费最高投标限价：27.5万元）</w:t>
            </w:r>
            <w:r>
              <w:rPr>
                <w:rFonts w:hint="eastAsia"/>
                <w:color w:val="auto"/>
                <w:sz w:val="21"/>
                <w:szCs w:val="21"/>
                <w:highlight w:val="none"/>
              </w:rPr>
              <w:t>。</w:t>
            </w:r>
          </w:p>
          <w:p>
            <w:pPr>
              <w:tabs>
                <w:tab w:val="left" w:pos="7513"/>
              </w:tabs>
              <w:adjustRightInd w:val="0"/>
              <w:snapToGrid w:val="0"/>
              <w:spacing w:line="320" w:lineRule="exact"/>
              <w:ind w:left="42" w:leftChars="20" w:right="42" w:rightChars="20"/>
              <w:rPr>
                <w:color w:val="auto"/>
                <w:sz w:val="21"/>
                <w:szCs w:val="21"/>
                <w:highlight w:val="none"/>
                <w:lang w:val="en-US"/>
              </w:rPr>
            </w:pPr>
            <w:r>
              <w:rPr>
                <w:rFonts w:hint="eastAsia"/>
                <w:color w:val="auto"/>
                <w:sz w:val="21"/>
                <w:szCs w:val="21"/>
                <w:highlight w:val="none"/>
                <w:lang w:val="en-US"/>
              </w:rPr>
              <w:t>注：投标报价不得超过最高投标限价、任何一个单项投标报价不得超过相应单项最高投标限价，否则投标无效。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3.2.5</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投标报价的其他要求</w:t>
            </w:r>
          </w:p>
        </w:tc>
        <w:tc>
          <w:tcPr>
            <w:tcW w:w="5440" w:type="dxa"/>
            <w:tcBorders>
              <w:left w:val="single" w:color="000000" w:sz="4" w:space="0"/>
            </w:tcBorders>
            <w:vAlign w:val="center"/>
          </w:tcPr>
          <w:p>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1）投标人的报价，应是其按第五章“委托人要求”完成监理工作的所有费用，包括人工费、试验、检测仪器、设备使用费、管理费和利润，以及检验检测费、保险费、合同明示或暗示的风险、责任和义务涉及费用等。</w:t>
            </w:r>
          </w:p>
          <w:p>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投标人必须详细审阅全部招标文件，充分考虑职责和义务，全面地理解招标文件对投标报价的要求，并按招标人提出的条件及内容进行报价。</w:t>
            </w:r>
          </w:p>
          <w:p>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（2）监理费结算按国家发改委、国家建设部文件（发改价格[2007]670号）执行后再乘以（1-监理费下浮率），最终以相关部门或委托人委托的第三方咨询机构审定结算为准。</w:t>
            </w:r>
          </w:p>
          <w:p>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 xml:space="preserve">调整系数：专业调整系数为 1.0 ；工程复杂程度调整系数为 </w:t>
            </w:r>
            <w:r>
              <w:rPr>
                <w:rFonts w:hint="eastAsia"/>
                <w:color w:val="auto"/>
                <w:sz w:val="21"/>
                <w:szCs w:val="21"/>
                <w:highlight w:val="none"/>
                <w:lang w:val="en-US" w:eastAsia="zh-CN"/>
              </w:rPr>
              <w:t>0.85</w:t>
            </w:r>
            <w:r>
              <w:rPr>
                <w:rFonts w:hint="eastAsia"/>
                <w:color w:val="auto"/>
                <w:sz w:val="21"/>
                <w:szCs w:val="21"/>
                <w:highlight w:val="none"/>
              </w:rPr>
              <w:t xml:space="preserve"> ；高程调整系数为1.0 。</w:t>
            </w:r>
          </w:p>
          <w:p>
            <w:pPr>
              <w:adjustRightInd w:val="0"/>
              <w:snapToGrid w:val="0"/>
              <w:spacing w:line="320" w:lineRule="exact"/>
              <w:ind w:left="42" w:leftChars="20" w:right="42" w:rightChars="20"/>
              <w:rPr>
                <w:color w:val="auto"/>
                <w:highlight w:val="none"/>
              </w:rPr>
            </w:pPr>
            <w:r>
              <w:rPr>
                <w:rFonts w:hint="eastAsia"/>
                <w:color w:val="auto"/>
                <w:sz w:val="21"/>
                <w:szCs w:val="21"/>
                <w:highlight w:val="none"/>
              </w:rPr>
              <w:t>（</w:t>
            </w:r>
            <w:r>
              <w:rPr>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lang w:val="en-US"/>
              </w:rPr>
              <w:t>造价咨询费结算按广东省物价局《关于调整我省建设工程造价咨询服务收费的复函》（粤价函【2011】742号）的相关规定，最终按行业主管部门审批的概算、施工图预算作为计费基数，按差额定率累进法和双方约定下浮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3.3.1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投标有效期</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90</w:t>
            </w:r>
            <w:r>
              <w:rPr>
                <w:rFonts w:hint="eastAsia"/>
                <w:color w:val="auto"/>
                <w:sz w:val="21"/>
                <w:szCs w:val="21"/>
                <w:highlight w:val="none"/>
              </w:rPr>
              <w:t>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3.4.1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投标保证金</w:t>
            </w:r>
          </w:p>
        </w:tc>
        <w:tc>
          <w:tcPr>
            <w:tcW w:w="5440" w:type="dxa"/>
            <w:tcBorders>
              <w:left w:val="single" w:color="000000" w:sz="4" w:space="0"/>
            </w:tcBorders>
            <w:vAlign w:val="center"/>
          </w:tcPr>
          <w:p>
            <w:pPr>
              <w:pStyle w:val="6"/>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是否要求投标人递交投标保证金：</w:t>
            </w:r>
          </w:p>
          <w:p>
            <w:pPr>
              <w:pStyle w:val="6"/>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■不要求递交投标保证金。</w:t>
            </w:r>
          </w:p>
          <w:p>
            <w:pPr>
              <w:pStyle w:val="6"/>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□要求递交投标保证金。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strike w:val="0"/>
                <w:dstrike w:val="0"/>
                <w:color w:val="auto"/>
                <w:kern w:val="2"/>
                <w:sz w:val="21"/>
                <w:szCs w:val="21"/>
                <w:highlight w:val="none"/>
                <w:lang w:val="en-US" w:bidi="ar-SA"/>
              </w:rPr>
            </w:pPr>
            <w:r>
              <w:rPr>
                <w:rFonts w:hint="eastAsia"/>
                <w:strike w:val="0"/>
                <w:dstrike w:val="0"/>
                <w:color w:val="auto"/>
                <w:sz w:val="21"/>
                <w:szCs w:val="21"/>
                <w:highlight w:val="none"/>
              </w:rPr>
              <w:t>3.4.4</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strike w:val="0"/>
                <w:dstrike w:val="0"/>
                <w:color w:val="auto"/>
                <w:kern w:val="2"/>
                <w:sz w:val="21"/>
                <w:szCs w:val="21"/>
                <w:highlight w:val="none"/>
                <w:lang w:val="en-US" w:bidi="ar-SA"/>
              </w:rPr>
            </w:pPr>
            <w:r>
              <w:rPr>
                <w:rFonts w:hint="eastAsia"/>
                <w:strike w:val="0"/>
                <w:dstrike w:val="0"/>
                <w:color w:val="auto"/>
                <w:sz w:val="21"/>
                <w:szCs w:val="21"/>
                <w:highlight w:val="none"/>
              </w:rPr>
              <w:t>其他可以不予退还投标保证金的情形</w:t>
            </w:r>
          </w:p>
        </w:tc>
        <w:tc>
          <w:tcPr>
            <w:tcW w:w="5440" w:type="dxa"/>
            <w:tcBorders>
              <w:left w:val="single" w:color="000000" w:sz="4" w:space="0"/>
            </w:tcBorders>
            <w:vAlign w:val="center"/>
          </w:tcPr>
          <w:p>
            <w:pPr>
              <w:adjustRightInd w:val="0"/>
              <w:snapToGrid w:val="0"/>
              <w:spacing w:line="400" w:lineRule="exact"/>
              <w:ind w:left="42" w:leftChars="20" w:right="42" w:rightChars="20"/>
              <w:rPr>
                <w:strike/>
                <w:dstrike w:val="0"/>
                <w:color w:val="auto"/>
                <w:sz w:val="21"/>
                <w:szCs w:val="21"/>
                <w:highlight w:val="none"/>
              </w:rPr>
            </w:pPr>
            <w:r>
              <w:rPr>
                <w:strike w:val="0"/>
                <w:dstrike w:val="0"/>
                <w:color w:val="auto"/>
                <w:sz w:val="21"/>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3.5</w:t>
            </w:r>
          </w:p>
        </w:tc>
        <w:tc>
          <w:tcPr>
            <w:tcW w:w="3360" w:type="dxa"/>
            <w:tcBorders>
              <w:left w:val="single" w:color="000000" w:sz="4" w:space="0"/>
            </w:tcBorders>
            <w:vAlign w:val="center"/>
          </w:tcPr>
          <w:p>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资格审查资料的特殊要求</w:t>
            </w:r>
          </w:p>
        </w:tc>
        <w:tc>
          <w:tcPr>
            <w:tcW w:w="5440" w:type="dxa"/>
            <w:tcBorders>
              <w:left w:val="single" w:color="000000" w:sz="4" w:space="0"/>
            </w:tcBorders>
          </w:tcPr>
          <w:p>
            <w:pPr>
              <w:pStyle w:val="19"/>
              <w:adjustRightInd w:val="0"/>
              <w:snapToGrid w:val="0"/>
              <w:spacing w:before="75" w:line="400" w:lineRule="exact"/>
              <w:ind w:left="42" w:leftChars="20" w:right="42" w:rightChars="20"/>
              <w:rPr>
                <w:color w:val="auto"/>
                <w:sz w:val="21"/>
                <w:szCs w:val="21"/>
                <w:highlight w:val="none"/>
              </w:rPr>
            </w:pPr>
            <w:r>
              <w:rPr>
                <w:rFonts w:hint="eastAsia"/>
                <w:color w:val="auto"/>
                <w:sz w:val="21"/>
                <w:szCs w:val="21"/>
                <w:highlight w:val="none"/>
                <w:lang w:val="en-US"/>
              </w:rPr>
              <w:t>■</w:t>
            </w:r>
            <w:r>
              <w:rPr>
                <w:rFonts w:hint="eastAsia"/>
                <w:color w:val="auto"/>
                <w:sz w:val="21"/>
                <w:szCs w:val="21"/>
                <w:highlight w:val="none"/>
              </w:rPr>
              <w:t>无</w:t>
            </w:r>
          </w:p>
          <w:p>
            <w:pPr>
              <w:pStyle w:val="19"/>
              <w:adjustRightInd w:val="0"/>
              <w:snapToGrid w:val="0"/>
              <w:spacing w:before="31" w:line="400" w:lineRule="exact"/>
              <w:ind w:left="42" w:leftChars="20" w:right="42" w:rightChars="20"/>
              <w:rPr>
                <w:color w:val="auto"/>
                <w:sz w:val="21"/>
                <w:szCs w:val="21"/>
                <w:highlight w:val="none"/>
              </w:rPr>
            </w:pPr>
            <w:r>
              <w:rPr>
                <w:rFonts w:hint="eastAsia"/>
                <w:color w:val="auto"/>
                <w:sz w:val="21"/>
                <w:szCs w:val="21"/>
                <w:highlight w:val="none"/>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3.5.2</w:t>
            </w:r>
          </w:p>
        </w:tc>
        <w:tc>
          <w:tcPr>
            <w:tcW w:w="3360" w:type="dxa"/>
            <w:tcBorders>
              <w:left w:val="single" w:color="000000" w:sz="4" w:space="0"/>
            </w:tcBorders>
            <w:vAlign w:val="center"/>
          </w:tcPr>
          <w:p>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近年财务状况的年份要求</w:t>
            </w:r>
          </w:p>
        </w:tc>
        <w:tc>
          <w:tcPr>
            <w:tcW w:w="5440" w:type="dxa"/>
            <w:tcBorders>
              <w:left w:val="single" w:color="000000" w:sz="4" w:space="0"/>
            </w:tcBorders>
            <w:vAlign w:val="center"/>
          </w:tcPr>
          <w:p>
            <w:pPr>
              <w:pStyle w:val="19"/>
              <w:tabs>
                <w:tab w:val="left" w:pos="664"/>
                <w:tab w:val="left" w:pos="1646"/>
              </w:tabs>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日至</w:t>
            </w: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3.5.3</w:t>
            </w:r>
          </w:p>
        </w:tc>
        <w:tc>
          <w:tcPr>
            <w:tcW w:w="3360" w:type="dxa"/>
            <w:tcBorders>
              <w:left w:val="single" w:color="000000" w:sz="4" w:space="0"/>
            </w:tcBorders>
            <w:vAlign w:val="center"/>
          </w:tcPr>
          <w:p>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近年完成的类似项目情况的时间要求</w:t>
            </w:r>
          </w:p>
        </w:tc>
        <w:tc>
          <w:tcPr>
            <w:tcW w:w="5440" w:type="dxa"/>
            <w:tcBorders>
              <w:left w:val="single" w:color="000000" w:sz="4" w:space="0"/>
            </w:tcBorders>
            <w:vAlign w:val="center"/>
          </w:tcPr>
          <w:p>
            <w:pPr>
              <w:pStyle w:val="19"/>
              <w:tabs>
                <w:tab w:val="left" w:pos="803"/>
                <w:tab w:val="left" w:pos="1574"/>
                <w:tab w:val="left" w:pos="2344"/>
              </w:tabs>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日至</w:t>
            </w: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3.5.5</w:t>
            </w:r>
          </w:p>
        </w:tc>
        <w:tc>
          <w:tcPr>
            <w:tcW w:w="3360" w:type="dxa"/>
            <w:tcBorders>
              <w:left w:val="single" w:color="000000" w:sz="4" w:space="0"/>
            </w:tcBorders>
          </w:tcPr>
          <w:p>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近年发生的诉讼及仲裁情况的时间要求</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日至</w:t>
            </w: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3.6.1</w:t>
            </w:r>
          </w:p>
        </w:tc>
        <w:tc>
          <w:tcPr>
            <w:tcW w:w="3360" w:type="dxa"/>
            <w:tcBorders>
              <w:left w:val="single" w:color="000000" w:sz="4" w:space="0"/>
            </w:tcBorders>
            <w:vAlign w:val="center"/>
          </w:tcPr>
          <w:p>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是否允许递交备选投标方案</w:t>
            </w:r>
          </w:p>
        </w:tc>
        <w:tc>
          <w:tcPr>
            <w:tcW w:w="5440" w:type="dxa"/>
            <w:tcBorders>
              <w:left w:val="single" w:color="000000" w:sz="4" w:space="0"/>
            </w:tcBorders>
            <w:vAlign w:val="center"/>
          </w:tcPr>
          <w:p>
            <w:pPr>
              <w:pStyle w:val="19"/>
              <w:adjustRightInd w:val="0"/>
              <w:snapToGrid w:val="0"/>
              <w:spacing w:before="54" w:line="400" w:lineRule="exact"/>
              <w:ind w:left="42" w:leftChars="20" w:right="42" w:rightChars="20"/>
              <w:rPr>
                <w:color w:val="auto"/>
                <w:sz w:val="21"/>
                <w:szCs w:val="21"/>
                <w:highlight w:val="none"/>
              </w:rPr>
            </w:pPr>
            <w:r>
              <w:rPr>
                <w:rFonts w:hint="eastAsia"/>
                <w:color w:val="auto"/>
                <w:sz w:val="21"/>
                <w:szCs w:val="21"/>
                <w:highlight w:val="none"/>
                <w:lang w:val="en-US"/>
              </w:rPr>
              <w:t>■</w:t>
            </w:r>
            <w:r>
              <w:rPr>
                <w:rFonts w:hint="eastAsia"/>
                <w:color w:val="auto"/>
                <w:sz w:val="21"/>
                <w:szCs w:val="21"/>
                <w:highlight w:val="none"/>
              </w:rPr>
              <w:t>不允许</w:t>
            </w:r>
          </w:p>
          <w:p>
            <w:pPr>
              <w:pStyle w:val="19"/>
              <w:adjustRightInd w:val="0"/>
              <w:snapToGrid w:val="0"/>
              <w:spacing w:before="66" w:line="400" w:lineRule="exact"/>
              <w:ind w:left="42" w:leftChars="20" w:right="42" w:rightChars="20"/>
              <w:rPr>
                <w:color w:val="auto"/>
                <w:sz w:val="21"/>
                <w:szCs w:val="21"/>
                <w:highlight w:val="none"/>
              </w:rPr>
            </w:pPr>
            <w:r>
              <w:rPr>
                <w:rFonts w:hint="eastAsia"/>
                <w:color w:val="auto"/>
                <w:sz w:val="21"/>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3.7.3（B）</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投标文件所附证书证件要求</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投标文件所附证书证件均为原件扫描件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3.7.3（B）</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投标文件签字或盖章要求</w:t>
            </w:r>
          </w:p>
        </w:tc>
        <w:tc>
          <w:tcPr>
            <w:tcW w:w="5440" w:type="dxa"/>
            <w:tcBorders>
              <w:left w:val="single" w:color="000000" w:sz="4" w:space="0"/>
            </w:tcBorders>
            <w:vAlign w:val="center"/>
          </w:tcPr>
          <w:p>
            <w:pPr>
              <w:pStyle w:val="6"/>
              <w:adjustRightInd w:val="0"/>
              <w:snapToGrid w:val="0"/>
              <w:spacing w:after="0" w:line="360" w:lineRule="exact"/>
              <w:ind w:left="42" w:leftChars="20" w:right="42" w:rightChars="20"/>
              <w:rPr>
                <w:color w:val="auto"/>
                <w:kern w:val="2"/>
                <w:sz w:val="21"/>
                <w:szCs w:val="21"/>
                <w:highlight w:val="none"/>
                <w:u w:val="single"/>
                <w:lang w:val="en-US" w:bidi="ar-SA"/>
              </w:rPr>
            </w:pPr>
            <w:r>
              <w:rPr>
                <w:color w:val="auto"/>
                <w:kern w:val="2"/>
                <w:sz w:val="21"/>
                <w:szCs w:val="21"/>
                <w:highlight w:val="none"/>
                <w:u w:val="single"/>
                <w:lang w:val="en-US" w:bidi="ar-SA"/>
              </w:rPr>
              <w:t>（1）</w:t>
            </w:r>
            <w:r>
              <w:rPr>
                <w:rFonts w:hint="eastAsia"/>
                <w:color w:val="auto"/>
                <w:kern w:val="2"/>
                <w:sz w:val="21"/>
                <w:szCs w:val="21"/>
                <w:highlight w:val="none"/>
                <w:u w:val="single"/>
                <w:lang w:val="en-US" w:bidi="ar-SA"/>
              </w:rPr>
              <w:t>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网站发布的最新版</w:t>
            </w:r>
            <w:r>
              <w:rPr>
                <w:color w:val="auto"/>
                <w:kern w:val="2"/>
                <w:sz w:val="21"/>
                <w:szCs w:val="21"/>
                <w:highlight w:val="none"/>
                <w:u w:val="single"/>
                <w:lang w:val="en-US" w:bidi="ar-SA"/>
              </w:rPr>
              <w:t>操作指引</w:t>
            </w:r>
            <w:r>
              <w:rPr>
                <w:rFonts w:hint="eastAsia"/>
                <w:color w:val="auto"/>
                <w:kern w:val="2"/>
                <w:sz w:val="21"/>
                <w:szCs w:val="21"/>
                <w:highlight w:val="none"/>
                <w:u w:val="single"/>
                <w:lang w:val="en-US" w:bidi="ar-SA"/>
              </w:rPr>
              <w:t>。</w:t>
            </w:r>
          </w:p>
          <w:p>
            <w:pPr>
              <w:pStyle w:val="6"/>
              <w:adjustRightInd w:val="0"/>
              <w:snapToGrid w:val="0"/>
              <w:spacing w:after="0" w:line="360" w:lineRule="exact"/>
              <w:ind w:left="42" w:leftChars="20" w:right="42" w:rightChars="20"/>
              <w:rPr>
                <w:color w:val="auto"/>
                <w:sz w:val="21"/>
                <w:szCs w:val="21"/>
                <w:highlight w:val="none"/>
              </w:rPr>
            </w:pPr>
            <w:r>
              <w:rPr>
                <w:rFonts w:hint="eastAsia"/>
                <w:color w:val="auto"/>
                <w:sz w:val="21"/>
                <w:szCs w:val="21"/>
                <w:highlight w:val="none"/>
              </w:rPr>
              <w:t>（2）联合体投标时，除联合体协议必须联合体各方分别按要求进行签字或盖章外，法定代表人证明书及授权委托证明书由联合体主办方出具，法定代表人证明书及授权委托证明书的“投标人名称”一栏可只填写联合体主办方名称及签字或盖章即可。投标文件封面及其他内容及落款中的“投标人”应填写联合体各方的单位全称【格式表示为：(主)XXXX公司(成)XXXX公司】，可由联合体主办方签字或盖章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4.1.1（B）</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投标文件加密要求</w:t>
            </w:r>
          </w:p>
        </w:tc>
        <w:tc>
          <w:tcPr>
            <w:tcW w:w="5440" w:type="dxa"/>
            <w:tcBorders>
              <w:left w:val="single" w:color="000000" w:sz="4" w:space="0"/>
            </w:tcBorders>
            <w:vAlign w:val="center"/>
          </w:tcPr>
          <w:p>
            <w:pPr>
              <w:pStyle w:val="6"/>
              <w:autoSpaceDE/>
              <w:autoSpaceDN/>
              <w:adjustRightInd w:val="0"/>
              <w:snapToGrid w:val="0"/>
              <w:spacing w:after="0" w:line="360" w:lineRule="exact"/>
              <w:ind w:left="42" w:leftChars="20" w:right="42" w:rightChars="20"/>
              <w:jc w:val="both"/>
              <w:rPr>
                <w:color w:val="auto"/>
                <w:sz w:val="21"/>
                <w:szCs w:val="21"/>
                <w:highlight w:val="none"/>
              </w:rPr>
            </w:pPr>
            <w:r>
              <w:rPr>
                <w:rFonts w:hint="eastAsia"/>
                <w:color w:val="auto"/>
                <w:kern w:val="2"/>
                <w:sz w:val="21"/>
                <w:szCs w:val="21"/>
                <w:highlight w:val="none"/>
                <w:lang w:val="en-US" w:bidi="ar-SA"/>
              </w:rPr>
              <w:t>网上递交的电子投标文件须进行加密。</w:t>
            </w:r>
            <w:r>
              <w:rPr>
                <w:color w:val="auto"/>
                <w:kern w:val="2"/>
                <w:sz w:val="21"/>
                <w:szCs w:val="21"/>
                <w:highlight w:val="none"/>
                <w:lang w:val="en-US" w:bidi="ar-SA"/>
              </w:rPr>
              <w:t>未按要求加密的投标文件，交易平台将予以拒收。</w:t>
            </w:r>
            <w:r>
              <w:rPr>
                <w:rFonts w:hint="eastAsia"/>
                <w:color w:val="auto"/>
                <w:kern w:val="2"/>
                <w:sz w:val="21"/>
                <w:szCs w:val="21"/>
                <w:highlight w:val="none"/>
                <w:lang w:val="en-US" w:bidi="ar-SA"/>
              </w:rPr>
              <w:t>具体操作详见广州公共资源交易中心网站发布的最新版</w:t>
            </w:r>
            <w:r>
              <w:rPr>
                <w:color w:val="auto"/>
                <w:kern w:val="2"/>
                <w:sz w:val="21"/>
                <w:szCs w:val="21"/>
                <w:highlight w:val="none"/>
                <w:lang w:val="en-US" w:bidi="ar-SA"/>
              </w:rPr>
              <w:t>操作指引</w:t>
            </w:r>
            <w:r>
              <w:rPr>
                <w:rFonts w:hint="eastAsia"/>
                <w:color w:val="auto"/>
                <w:kern w:val="2"/>
                <w:sz w:val="21"/>
                <w:szCs w:val="21"/>
                <w:highlight w:val="none"/>
                <w:lang w:val="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4.1.2</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封套上应载明的信息</w:t>
            </w:r>
          </w:p>
        </w:tc>
        <w:tc>
          <w:tcPr>
            <w:tcW w:w="5440" w:type="dxa"/>
            <w:tcBorders>
              <w:left w:val="single" w:color="000000" w:sz="4" w:space="0"/>
            </w:tcBorders>
            <w:vAlign w:val="center"/>
          </w:tcPr>
          <w:p>
            <w:pPr>
              <w:pStyle w:val="6"/>
              <w:adjustRightInd w:val="0"/>
              <w:snapToGrid w:val="0"/>
              <w:spacing w:after="0" w:line="360" w:lineRule="exact"/>
              <w:ind w:left="42" w:leftChars="20" w:right="42" w:rightChars="20"/>
              <w:rPr>
                <w:color w:val="auto"/>
                <w:sz w:val="21"/>
                <w:szCs w:val="21"/>
                <w:highlight w:val="none"/>
                <w:lang w:val="en-US"/>
              </w:rPr>
            </w:pPr>
            <w:r>
              <w:rPr>
                <w:rFonts w:hint="eastAsia"/>
                <w:color w:val="auto"/>
                <w:sz w:val="21"/>
                <w:szCs w:val="21"/>
                <w:highlight w:val="none"/>
                <w:lang w:val="en-US"/>
              </w:rPr>
              <w:t>如有提交投标文件光盘备用，封套上应注明如下信息：</w:t>
            </w:r>
          </w:p>
          <w:p>
            <w:pPr>
              <w:pStyle w:val="6"/>
              <w:adjustRightInd w:val="0"/>
              <w:snapToGrid w:val="0"/>
              <w:spacing w:after="0" w:line="360" w:lineRule="exact"/>
              <w:ind w:left="42" w:leftChars="20" w:right="42" w:rightChars="20"/>
              <w:rPr>
                <w:color w:val="auto"/>
                <w:sz w:val="21"/>
                <w:szCs w:val="21"/>
                <w:highlight w:val="none"/>
                <w:lang w:val="en-US"/>
              </w:rPr>
            </w:pPr>
            <w:r>
              <w:rPr>
                <w:rFonts w:hint="eastAsia"/>
                <w:color w:val="auto"/>
                <w:sz w:val="21"/>
                <w:szCs w:val="21"/>
                <w:highlight w:val="none"/>
                <w:lang w:val="en-US"/>
              </w:rPr>
              <w:t>招标人名称：</w:t>
            </w:r>
          </w:p>
          <w:p>
            <w:pPr>
              <w:pStyle w:val="6"/>
              <w:adjustRightInd w:val="0"/>
              <w:snapToGrid w:val="0"/>
              <w:spacing w:after="0" w:line="360" w:lineRule="exact"/>
              <w:ind w:left="42" w:leftChars="20" w:right="42" w:rightChars="20"/>
              <w:rPr>
                <w:color w:val="auto"/>
                <w:sz w:val="21"/>
                <w:szCs w:val="21"/>
                <w:highlight w:val="none"/>
                <w:lang w:val="en-US"/>
              </w:rPr>
            </w:pPr>
            <w:r>
              <w:rPr>
                <w:rFonts w:hint="eastAsia"/>
                <w:color w:val="auto"/>
                <w:sz w:val="21"/>
                <w:szCs w:val="21"/>
                <w:highlight w:val="none"/>
                <w:u w:val="single"/>
                <w:lang w:val="en-US"/>
              </w:rPr>
              <w:t xml:space="preserve">          </w:t>
            </w:r>
            <w:r>
              <w:rPr>
                <w:rFonts w:hint="eastAsia"/>
                <w:color w:val="auto"/>
                <w:sz w:val="21"/>
                <w:szCs w:val="21"/>
                <w:highlight w:val="none"/>
                <w:lang w:val="en-US"/>
              </w:rPr>
              <w:t>（项目名称）投标文件</w:t>
            </w:r>
          </w:p>
          <w:p>
            <w:pPr>
              <w:pStyle w:val="6"/>
              <w:adjustRightInd w:val="0"/>
              <w:snapToGrid w:val="0"/>
              <w:spacing w:after="0" w:line="360" w:lineRule="exact"/>
              <w:ind w:left="42" w:leftChars="20" w:right="42" w:rightChars="20"/>
              <w:rPr>
                <w:color w:val="auto"/>
                <w:sz w:val="21"/>
                <w:szCs w:val="21"/>
                <w:highlight w:val="none"/>
                <w:lang w:val="en-US"/>
              </w:rPr>
            </w:pPr>
            <w:r>
              <w:rPr>
                <w:rFonts w:hint="eastAsia"/>
                <w:color w:val="auto"/>
                <w:sz w:val="21"/>
                <w:szCs w:val="21"/>
                <w:highlight w:val="none"/>
                <w:lang w:val="en-US"/>
              </w:rPr>
              <w:t>招标项目编号：</w:t>
            </w:r>
          </w:p>
          <w:p>
            <w:pPr>
              <w:pStyle w:val="6"/>
              <w:adjustRightInd w:val="0"/>
              <w:snapToGrid w:val="0"/>
              <w:spacing w:after="0" w:line="360" w:lineRule="exact"/>
              <w:ind w:left="42" w:leftChars="20" w:right="42" w:rightChars="20"/>
              <w:rPr>
                <w:color w:val="auto"/>
                <w:sz w:val="21"/>
                <w:szCs w:val="21"/>
                <w:highlight w:val="none"/>
                <w:lang w:val="en-US"/>
              </w:rPr>
            </w:pPr>
            <w:r>
              <w:rPr>
                <w:color w:val="auto"/>
                <w:sz w:val="21"/>
                <w:szCs w:val="21"/>
                <w:highlight w:val="none"/>
                <w:lang w:val="en-US"/>
              </w:rPr>
              <w:t>投标人名称：</w:t>
            </w:r>
          </w:p>
          <w:p>
            <w:pPr>
              <w:pStyle w:val="6"/>
              <w:adjustRightInd w:val="0"/>
              <w:snapToGrid w:val="0"/>
              <w:spacing w:after="0" w:line="360" w:lineRule="exact"/>
              <w:ind w:left="42" w:leftChars="20" w:right="42" w:rightChars="20"/>
              <w:rPr>
                <w:color w:val="auto"/>
                <w:sz w:val="21"/>
                <w:szCs w:val="21"/>
                <w:highlight w:val="none"/>
              </w:rPr>
            </w:pPr>
            <w:r>
              <w:rPr>
                <w:rFonts w:hint="eastAsia"/>
                <w:color w:val="auto"/>
                <w:sz w:val="21"/>
                <w:szCs w:val="21"/>
                <w:highlight w:val="none"/>
                <w:lang w:val="en-US"/>
              </w:rPr>
              <w:t>在</w:t>
            </w:r>
            <w:r>
              <w:rPr>
                <w:rFonts w:hint="eastAsia"/>
                <w:color w:val="auto"/>
                <w:sz w:val="21"/>
                <w:szCs w:val="21"/>
                <w:highlight w:val="none"/>
                <w:u w:val="single"/>
                <w:lang w:val="en-US"/>
              </w:rPr>
              <w:t xml:space="preserve">    </w:t>
            </w:r>
            <w:r>
              <w:rPr>
                <w:rFonts w:hint="eastAsia"/>
                <w:color w:val="auto"/>
                <w:sz w:val="21"/>
                <w:szCs w:val="21"/>
                <w:highlight w:val="none"/>
                <w:lang w:val="en-US"/>
              </w:rPr>
              <w:t>年</w:t>
            </w:r>
            <w:r>
              <w:rPr>
                <w:rFonts w:hint="eastAsia"/>
                <w:color w:val="auto"/>
                <w:sz w:val="21"/>
                <w:szCs w:val="21"/>
                <w:highlight w:val="none"/>
                <w:u w:val="single"/>
                <w:lang w:val="en-US"/>
              </w:rPr>
              <w:t xml:space="preserve">    </w:t>
            </w:r>
            <w:r>
              <w:rPr>
                <w:rFonts w:hint="eastAsia"/>
                <w:color w:val="auto"/>
                <w:sz w:val="21"/>
                <w:szCs w:val="21"/>
                <w:highlight w:val="none"/>
                <w:lang w:val="en-US"/>
              </w:rPr>
              <w:t>月</w:t>
            </w:r>
            <w:r>
              <w:rPr>
                <w:rFonts w:hint="eastAsia"/>
                <w:color w:val="auto"/>
                <w:sz w:val="21"/>
                <w:szCs w:val="21"/>
                <w:highlight w:val="none"/>
                <w:u w:val="single"/>
                <w:lang w:val="en-US"/>
              </w:rPr>
              <w:t xml:space="preserve">    </w:t>
            </w:r>
            <w:r>
              <w:rPr>
                <w:rFonts w:hint="eastAsia"/>
                <w:color w:val="auto"/>
                <w:sz w:val="21"/>
                <w:szCs w:val="21"/>
                <w:highlight w:val="none"/>
                <w:lang w:val="en-US"/>
              </w:rPr>
              <w:t>日</w:t>
            </w:r>
            <w:r>
              <w:rPr>
                <w:rFonts w:hint="eastAsia"/>
                <w:color w:val="auto"/>
                <w:sz w:val="21"/>
                <w:szCs w:val="21"/>
                <w:highlight w:val="none"/>
                <w:u w:val="single"/>
                <w:lang w:val="en-US"/>
              </w:rPr>
              <w:t xml:space="preserve">    </w:t>
            </w:r>
            <w:r>
              <w:rPr>
                <w:rFonts w:hint="eastAsia"/>
                <w:color w:val="auto"/>
                <w:sz w:val="21"/>
                <w:szCs w:val="21"/>
                <w:highlight w:val="none"/>
                <w:lang w:val="en-US"/>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4.2.1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投标截止时间</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 xml:space="preserve"> 202</w:t>
            </w:r>
            <w:r>
              <w:rPr>
                <w:rFonts w:hint="eastAsia"/>
                <w:color w:val="auto"/>
                <w:sz w:val="21"/>
                <w:szCs w:val="21"/>
                <w:highlight w:val="none"/>
                <w:u w:val="single"/>
                <w:lang w:val="en-US"/>
              </w:rPr>
              <w:t>4</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r>
              <w:rPr>
                <w:rFonts w:hint="eastAsia"/>
                <w:color w:val="auto"/>
                <w:sz w:val="21"/>
                <w:szCs w:val="21"/>
                <w:highlight w:val="none"/>
                <w:u w:val="single"/>
              </w:rPr>
              <w:t xml:space="preserve">  时  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4.2.3</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投标文件是否退还</w:t>
            </w:r>
          </w:p>
        </w:tc>
        <w:tc>
          <w:tcPr>
            <w:tcW w:w="5440" w:type="dxa"/>
            <w:tcBorders>
              <w:left w:val="single" w:color="000000" w:sz="4" w:space="0"/>
            </w:tcBorders>
            <w:vAlign w:val="center"/>
          </w:tcPr>
          <w:p>
            <w:pPr>
              <w:pStyle w:val="6"/>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■否</w:t>
            </w:r>
          </w:p>
          <w:p>
            <w:pPr>
              <w:pStyle w:val="6"/>
              <w:adjustRightInd w:val="0"/>
              <w:snapToGrid w:val="0"/>
              <w:spacing w:after="0" w:line="400" w:lineRule="exact"/>
              <w:ind w:left="42" w:leftChars="20" w:right="42" w:rightChars="20"/>
              <w:rPr>
                <w:color w:val="auto"/>
                <w:sz w:val="21"/>
                <w:szCs w:val="21"/>
                <w:highlight w:val="none"/>
              </w:rPr>
            </w:pPr>
            <w:r>
              <w:rPr>
                <w:rFonts w:hint="eastAsia"/>
                <w:color w:val="auto"/>
                <w:sz w:val="21"/>
                <w:szCs w:val="21"/>
                <w:highlight w:val="none"/>
                <w:lang w:val="en-US"/>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5.1（B）</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开标时间和地点</w:t>
            </w:r>
          </w:p>
        </w:tc>
        <w:tc>
          <w:tcPr>
            <w:tcW w:w="5440" w:type="dxa"/>
            <w:tcBorders>
              <w:left w:val="single" w:color="000000" w:sz="4" w:space="0"/>
            </w:tcBorders>
            <w:vAlign w:val="center"/>
          </w:tcPr>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开标时间：同投标截止时间</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开标地点：广州公共资源交易中心第</w:t>
            </w:r>
            <w:r>
              <w:rPr>
                <w:rFonts w:hint="eastAsia"/>
                <w:color w:val="auto"/>
                <w:sz w:val="21"/>
                <w:szCs w:val="21"/>
                <w:highlight w:val="none"/>
                <w:u w:val="single"/>
              </w:rPr>
              <w:t xml:space="preserve">    </w:t>
            </w:r>
            <w:r>
              <w:rPr>
                <w:rFonts w:hint="eastAsia"/>
                <w:color w:val="auto"/>
                <w:sz w:val="21"/>
                <w:szCs w:val="21"/>
                <w:highlight w:val="none"/>
              </w:rPr>
              <w:t>开标室（广州市天河区天润路333号）</w:t>
            </w:r>
            <w:r>
              <w:rPr>
                <w:color w:val="auto"/>
                <w:sz w:val="21"/>
                <w:szCs w:val="21"/>
                <w:highlight w:val="none"/>
              </w:rPr>
              <w:t>。投标人也可选择参加在线开标，具体按照交易平台相关指南进行操作。详见：广州公共资源交易中心网站发布的最新版操作指引。</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开标时，投标人代表有权出席开标会，也可以自主决定不参加开标会。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5.2（B）</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开标程序</w:t>
            </w:r>
          </w:p>
        </w:tc>
        <w:tc>
          <w:tcPr>
            <w:tcW w:w="5440" w:type="dxa"/>
            <w:tcBorders>
              <w:left w:val="single" w:color="000000" w:sz="4" w:space="0"/>
            </w:tcBorders>
            <w:vAlign w:val="center"/>
          </w:tcPr>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电子招投标项目开标按下列程序进行：</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5.2.1主持人按下列程序进行开标：</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（1）宣布开标纪律；</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（2）公布在投标截止时间前递交投标文件的投标人名称；</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（3）宣布开标人、唱标人、记录人、监标人等有关人员姓名；</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（4）投标人通过电子招标投标交易平台对已递交的电子投标文件进行解密</w:t>
            </w:r>
            <w:r>
              <w:rPr>
                <w:color w:val="auto"/>
                <w:sz w:val="21"/>
                <w:szCs w:val="21"/>
                <w:highlight w:val="none"/>
              </w:rPr>
              <w:t>。投标人完成解密后，再由招标人进行解密。解密完成后</w:t>
            </w:r>
            <w:r>
              <w:rPr>
                <w:rFonts w:hint="eastAsia"/>
                <w:color w:val="auto"/>
                <w:sz w:val="21"/>
                <w:szCs w:val="21"/>
                <w:highlight w:val="none"/>
              </w:rPr>
              <w:t>，公布招标项目名称、投标人名称、</w:t>
            </w:r>
            <w:r>
              <w:rPr>
                <w:rFonts w:hint="eastAsia"/>
                <w:strike/>
                <w:dstrike w:val="0"/>
                <w:color w:val="auto"/>
                <w:sz w:val="21"/>
                <w:szCs w:val="21"/>
                <w:highlight w:val="none"/>
              </w:rPr>
              <w:t>投标保证金的递交情况</w:t>
            </w:r>
            <w:r>
              <w:rPr>
                <w:rFonts w:hint="eastAsia"/>
                <w:color w:val="auto"/>
                <w:sz w:val="21"/>
                <w:szCs w:val="21"/>
                <w:highlight w:val="none"/>
              </w:rPr>
              <w:t>、投标报价、服务期及其他内容，并记录在案；</w:t>
            </w:r>
            <w:r>
              <w:rPr>
                <w:color w:val="auto"/>
                <w:sz w:val="21"/>
                <w:szCs w:val="21"/>
                <w:highlight w:val="none"/>
              </w:rPr>
              <w:t>未在规定时间内解密的投标文件不参与开标、评标。</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（5）投标人代表、招标人代表、监标人、记录人等有关人员在开标记录上签字确认；若有关人员不签字的，不影响开标程序；</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（6）开标结束。</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5.2.2投标截止时间前未完成投标文件传输的或因投标人之外的原因造成投标文件未解密</w:t>
            </w:r>
            <w:r>
              <w:rPr>
                <w:color w:val="auto"/>
                <w:sz w:val="21"/>
                <w:szCs w:val="21"/>
                <w:highlight w:val="none"/>
              </w:rPr>
              <w:t>且未按要求递交备用光盘</w:t>
            </w:r>
            <w:r>
              <w:rPr>
                <w:rFonts w:hint="eastAsia"/>
                <w:color w:val="auto"/>
                <w:sz w:val="21"/>
                <w:szCs w:val="21"/>
                <w:highlight w:val="none"/>
              </w:rPr>
              <w:t>的，视为投标人撤回其投标文件。因投标人原因造成投标文件未解密的或未在投标截止时间后半小时内解密的，视为撤销其投标文件。</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5.2.3开标时，两个（含两个）以上的投标人加密打包投标文件电脑机器特征码一致的，不参与下一程序，并由评标委员会否决其投标。</w:t>
            </w:r>
          </w:p>
          <w:p>
            <w:pPr>
              <w:adjustRightInd w:val="0"/>
              <w:snapToGrid w:val="0"/>
              <w:spacing w:line="360" w:lineRule="exact"/>
              <w:ind w:left="42" w:leftChars="20" w:right="42" w:rightChars="20"/>
              <w:rPr>
                <w:color w:val="auto"/>
                <w:sz w:val="21"/>
                <w:szCs w:val="21"/>
                <w:highlight w:val="none"/>
              </w:rPr>
            </w:pPr>
            <w:r>
              <w:rPr>
                <w:color w:val="auto"/>
                <w:sz w:val="21"/>
                <w:szCs w:val="21"/>
                <w:highlight w:val="none"/>
              </w:rPr>
              <w:t>5.2.4截标后，开标开始时间因故推迟的，相关评标信息仍以原定的开标开始时间的信息为准。</w:t>
            </w:r>
          </w:p>
          <w:p>
            <w:pPr>
              <w:adjustRightInd w:val="0"/>
              <w:snapToGrid w:val="0"/>
              <w:spacing w:line="360" w:lineRule="exact"/>
              <w:ind w:left="42" w:leftChars="20" w:right="42" w:rightChars="20"/>
              <w:rPr>
                <w:color w:val="auto"/>
                <w:sz w:val="21"/>
                <w:szCs w:val="21"/>
                <w:highlight w:val="none"/>
              </w:rPr>
            </w:pPr>
            <w:r>
              <w:rPr>
                <w:color w:val="auto"/>
                <w:sz w:val="21"/>
                <w:szCs w:val="21"/>
                <w:highlight w:val="none"/>
              </w:rPr>
              <w:t>5.2.5备用光盘的读取按投标人须知前附表第9条的规定执行。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5.3</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开标异议</w:t>
            </w:r>
          </w:p>
        </w:tc>
        <w:tc>
          <w:tcPr>
            <w:tcW w:w="5440" w:type="dxa"/>
            <w:tcBorders>
              <w:left w:val="single" w:color="000000" w:sz="4" w:space="0"/>
            </w:tcBorders>
            <w:vAlign w:val="center"/>
          </w:tcPr>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开标时，投标人代表有权出席开标会，也可以自主决定不参加开标会，若投标人代表对开标过程提出异议，参加现场开标的应当在开标现场提出，同时出示本人身份证原件，招标人应当当场作出答复，并制作记录；参加在线开标的，投标人应通过交易平台在线提出，招标人应通过交易平台答复，答复后方可结束开标。</w:t>
            </w:r>
          </w:p>
          <w:p>
            <w:pPr>
              <w:adjustRightInd w:val="0"/>
              <w:snapToGrid w:val="0"/>
              <w:spacing w:line="360" w:lineRule="exact"/>
              <w:ind w:left="42" w:leftChars="20" w:right="42" w:rightChars="20"/>
              <w:rPr>
                <w:color w:val="auto"/>
                <w:sz w:val="21"/>
                <w:szCs w:val="21"/>
                <w:highlight w:val="none"/>
              </w:rPr>
            </w:pPr>
            <w:r>
              <w:rPr>
                <w:color w:val="auto"/>
                <w:sz w:val="21"/>
                <w:szCs w:val="21"/>
                <w:highlight w:val="none"/>
              </w:rPr>
              <w:t>投标人未参加开标或在规定的时间内未提出异议的，视为对开标无异议。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6.1.1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评标委员会的组建</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评标委员会由招标人依法组建</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6.3.2</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评标委员会推荐中标候选人的人数</w:t>
            </w:r>
          </w:p>
        </w:tc>
        <w:tc>
          <w:tcPr>
            <w:tcW w:w="5440" w:type="dxa"/>
            <w:tcBorders>
              <w:left w:val="single" w:color="000000" w:sz="4" w:space="0"/>
            </w:tcBorders>
            <w:vAlign w:val="center"/>
          </w:tcPr>
          <w:p>
            <w:pPr>
              <w:tabs>
                <w:tab w:val="left" w:pos="7513"/>
              </w:tabs>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推荐中标候选人数： 3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7.1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中标候选人公示媒介及期限</w:t>
            </w:r>
          </w:p>
        </w:tc>
        <w:tc>
          <w:tcPr>
            <w:tcW w:w="5440" w:type="dxa"/>
            <w:tcBorders>
              <w:left w:val="single" w:color="000000" w:sz="4" w:space="0"/>
            </w:tcBorders>
            <w:vAlign w:val="center"/>
          </w:tcPr>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公示媒介：</w:t>
            </w:r>
            <w:r>
              <w:rPr>
                <w:rFonts w:hint="eastAsia"/>
                <w:color w:val="auto"/>
                <w:sz w:val="21"/>
                <w:szCs w:val="21"/>
                <w:highlight w:val="none"/>
                <w:u w:val="single"/>
              </w:rPr>
              <w:t>中国招标投标公共服务平台、广东省招标投标监管网、广州公共资源交易中心网</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公示期限：</w:t>
            </w:r>
            <w:r>
              <w:rPr>
                <w:rFonts w:hint="eastAsia"/>
                <w:color w:val="auto"/>
                <w:sz w:val="21"/>
                <w:szCs w:val="21"/>
                <w:highlight w:val="none"/>
                <w:u w:val="single"/>
              </w:rPr>
              <w:t xml:space="preserve">  3  </w:t>
            </w:r>
            <w:r>
              <w:rPr>
                <w:rFonts w:hint="eastAsia"/>
                <w:color w:val="auto"/>
                <w:sz w:val="21"/>
                <w:szCs w:val="21"/>
                <w:highlight w:val="none"/>
              </w:rPr>
              <w:t>日</w:t>
            </w:r>
          </w:p>
          <w:p>
            <w:pPr>
              <w:adjustRightInd w:val="0"/>
              <w:snapToGrid w:val="0"/>
              <w:spacing w:line="360" w:lineRule="exact"/>
              <w:ind w:left="42" w:leftChars="20" w:right="42" w:rightChars="20"/>
              <w:rPr>
                <w:color w:val="auto"/>
                <w:sz w:val="21"/>
                <w:szCs w:val="21"/>
                <w:highlight w:val="none"/>
                <w:u w:val="single"/>
              </w:rPr>
            </w:pPr>
            <w:r>
              <w:rPr>
                <w:color w:val="auto"/>
                <w:sz w:val="21"/>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color w:val="auto"/>
                <w:sz w:val="21"/>
                <w:szCs w:val="21"/>
                <w:highlight w:val="none"/>
              </w:rPr>
            </w:pPr>
            <w:r>
              <w:rPr>
                <w:rFonts w:ascii="宋体" w:hAnsi="宋体" w:cs="宋体"/>
                <w:color w:val="auto"/>
                <w:szCs w:val="21"/>
                <w:highlight w:val="none"/>
              </w:rPr>
              <w:t>7.4</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color w:val="auto"/>
                <w:sz w:val="21"/>
                <w:szCs w:val="21"/>
                <w:highlight w:val="none"/>
              </w:rPr>
            </w:pPr>
            <w:r>
              <w:rPr>
                <w:rFonts w:hAnsi="宋体"/>
                <w:color w:val="auto"/>
                <w:sz w:val="21"/>
                <w:szCs w:val="21"/>
                <w:highlight w:val="none"/>
              </w:rPr>
              <w:t>是否授权评标委员会确定中标人</w:t>
            </w:r>
          </w:p>
        </w:tc>
        <w:tc>
          <w:tcPr>
            <w:tcW w:w="5440" w:type="dxa"/>
            <w:tcBorders>
              <w:left w:val="single" w:color="000000"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□是</w:t>
            </w:r>
          </w:p>
          <w:p>
            <w:pPr>
              <w:adjustRightInd w:val="0"/>
              <w:snapToGrid w:val="0"/>
              <w:spacing w:line="360" w:lineRule="exact"/>
              <w:ind w:left="42" w:leftChars="20" w:right="42" w:rightChars="20"/>
              <w:rPr>
                <w:color w:val="auto"/>
                <w:sz w:val="21"/>
                <w:szCs w:val="21"/>
                <w:highlight w:val="none"/>
              </w:rPr>
            </w:pPr>
            <w:r>
              <w:rPr>
                <w:rFonts w:hint="eastAsia" w:hAnsi="宋体"/>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7.6.1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履约保证金</w:t>
            </w:r>
          </w:p>
        </w:tc>
        <w:tc>
          <w:tcPr>
            <w:tcW w:w="5440" w:type="dxa"/>
            <w:tcBorders>
              <w:left w:val="single" w:color="000000" w:sz="4" w:space="0"/>
            </w:tcBorders>
            <w:vAlign w:val="center"/>
          </w:tcPr>
          <w:p>
            <w:pPr>
              <w:pStyle w:val="20"/>
              <w:adjustRightInd w:val="0"/>
              <w:snapToGrid w:val="0"/>
              <w:spacing w:line="360" w:lineRule="exact"/>
              <w:ind w:left="42" w:leftChars="20" w:right="42" w:rightChars="20"/>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是否要求中标人提交履约保证金：</w:t>
            </w:r>
          </w:p>
          <w:p>
            <w:pPr>
              <w:pStyle w:val="20"/>
              <w:adjustRightInd w:val="0"/>
              <w:snapToGrid w:val="0"/>
              <w:spacing w:line="360" w:lineRule="exact"/>
              <w:ind w:left="42" w:leftChars="20" w:right="42" w:rightChars="20"/>
              <w:rPr>
                <w:rFonts w:ascii="Times New Roman" w:hAnsi="Times New Roman"/>
                <w:color w:val="auto"/>
                <w:kern w:val="2"/>
                <w:sz w:val="21"/>
                <w:szCs w:val="21"/>
                <w:highlight w:val="none"/>
                <w:u w:val="single"/>
              </w:rPr>
            </w:pPr>
            <w:r>
              <w:rPr>
                <w:rFonts w:hint="eastAsia"/>
                <w:color w:val="auto"/>
                <w:sz w:val="21"/>
                <w:szCs w:val="21"/>
                <w:highlight w:val="none"/>
              </w:rPr>
              <w:t>□</w:t>
            </w:r>
            <w:r>
              <w:rPr>
                <w:rFonts w:hint="eastAsia" w:ascii="Times New Roman" w:hAnsi="Times New Roman"/>
                <w:color w:val="auto"/>
                <w:kern w:val="2"/>
                <w:sz w:val="21"/>
                <w:szCs w:val="21"/>
                <w:highlight w:val="none"/>
              </w:rPr>
              <w:t>要求</w:t>
            </w:r>
          </w:p>
          <w:p>
            <w:pPr>
              <w:pStyle w:val="6"/>
              <w:adjustRightInd w:val="0"/>
              <w:snapToGrid w:val="0"/>
              <w:spacing w:after="0" w:line="360" w:lineRule="exact"/>
              <w:ind w:left="42" w:leftChars="20" w:right="42" w:rightChars="20"/>
              <w:rPr>
                <w:color w:val="auto"/>
                <w:sz w:val="21"/>
                <w:szCs w:val="21"/>
                <w:highlight w:val="none"/>
              </w:rPr>
            </w:pPr>
            <w:r>
              <w:rPr>
                <w:rFonts w:hint="eastAsia" w:ascii="Times New Roman" w:hAnsi="Times New Roman"/>
                <w:color w:val="auto"/>
                <w:kern w:val="2"/>
                <w:sz w:val="21"/>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9</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是否采用电子招标投标</w:t>
            </w:r>
          </w:p>
        </w:tc>
        <w:tc>
          <w:tcPr>
            <w:tcW w:w="5440" w:type="dxa"/>
            <w:tcBorders>
              <w:left w:val="single" w:color="000000" w:sz="4" w:space="0"/>
            </w:tcBorders>
            <w:vAlign w:val="center"/>
          </w:tcPr>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□否</w:t>
            </w:r>
          </w:p>
          <w:p>
            <w:pPr>
              <w:adjustRightInd w:val="0"/>
              <w:snapToGrid w:val="0"/>
              <w:spacing w:line="360" w:lineRule="exact"/>
              <w:ind w:left="2135" w:leftChars="20" w:right="42" w:rightChars="20" w:hanging="2093" w:hangingChars="997"/>
              <w:rPr>
                <w:color w:val="auto"/>
                <w:sz w:val="21"/>
                <w:szCs w:val="21"/>
                <w:highlight w:val="none"/>
              </w:rPr>
            </w:pPr>
            <w:r>
              <w:rPr>
                <w:rFonts w:hint="eastAsia"/>
                <w:color w:val="auto"/>
                <w:sz w:val="21"/>
                <w:szCs w:val="21"/>
                <w:highlight w:val="none"/>
              </w:rPr>
              <w:t>■是，具体要求：</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1、具体操作详见</w:t>
            </w:r>
            <w:r>
              <w:rPr>
                <w:rFonts w:hint="eastAsia"/>
                <w:color w:val="auto"/>
                <w:kern w:val="2"/>
                <w:sz w:val="21"/>
                <w:szCs w:val="21"/>
                <w:highlight w:val="none"/>
                <w:lang w:val="en-US" w:bidi="ar-SA"/>
              </w:rPr>
              <w:t>广州公共资源交易中心网站发布的最新版</w:t>
            </w:r>
            <w:r>
              <w:rPr>
                <w:color w:val="auto"/>
                <w:kern w:val="2"/>
                <w:sz w:val="21"/>
                <w:szCs w:val="21"/>
                <w:highlight w:val="none"/>
                <w:lang w:val="en-US" w:bidi="ar-SA"/>
              </w:rPr>
              <w:t>操作指引</w:t>
            </w:r>
            <w:r>
              <w:rPr>
                <w:rFonts w:hint="eastAsia"/>
                <w:color w:val="auto"/>
                <w:sz w:val="21"/>
                <w:szCs w:val="21"/>
                <w:highlight w:val="none"/>
              </w:rPr>
              <w:t>。</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2、提交投标文件光盘备用</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投标人可制作非加密的电子投标文件（PDF格式）刻入光盘（1份），在规定的时间、地点提交备用。(刻录好的投标文件光盘密封在密封袋中，并在封口处加盖投标人单位公章。密封袋上应写明的内容见投标人须知前附表要求)</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3、补救方案</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（1）投标文件解密失败的补救方案：</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（2）评标时突发情况的补救方案</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若遇不可抗力发生（如：网络瘫痪、服务器损坏、交易系统故障短期无法恢复等因素），由评标委员会开启现场递交的全部投标文件光盘，并按光盘内容进行评审。</w:t>
            </w:r>
          </w:p>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（3）除发生上述情况外，开标评标均以投标人通过交易平台网上递交的电子投标文件为准。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需要补充的其他内容</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10.1</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特别提示</w:t>
            </w:r>
          </w:p>
        </w:tc>
        <w:tc>
          <w:tcPr>
            <w:tcW w:w="5440" w:type="dxa"/>
            <w:tcBorders>
              <w:left w:val="single" w:color="000000" w:sz="4" w:space="0"/>
            </w:tcBorders>
            <w:vAlign w:val="center"/>
          </w:tcPr>
          <w:p>
            <w:pPr>
              <w:widowControl/>
              <w:shd w:val="clear" w:color="auto" w:fill="FFFFFF"/>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pPr>
              <w:widowControl/>
              <w:shd w:val="clear" w:color="auto" w:fill="FFFFFF"/>
              <w:adjustRightInd w:val="0"/>
              <w:snapToGrid w:val="0"/>
              <w:spacing w:line="360" w:lineRule="exact"/>
              <w:ind w:left="42" w:leftChars="20" w:right="42" w:rightChars="20" w:firstLine="420" w:firstLineChars="200"/>
              <w:rPr>
                <w:color w:val="auto"/>
                <w:sz w:val="21"/>
                <w:szCs w:val="21"/>
                <w:highlight w:val="none"/>
              </w:rPr>
            </w:pPr>
            <w:r>
              <w:rPr>
                <w:rFonts w:hint="eastAsia"/>
                <w:color w:val="auto"/>
                <w:sz w:val="21"/>
                <w:szCs w:val="21"/>
                <w:highlight w:val="none"/>
              </w:rPr>
              <w:t>1.将中标工程转包或者违法分包的；</w:t>
            </w:r>
          </w:p>
          <w:p>
            <w:pPr>
              <w:widowControl/>
              <w:shd w:val="clear" w:color="auto" w:fill="FFFFFF"/>
              <w:adjustRightInd w:val="0"/>
              <w:snapToGrid w:val="0"/>
              <w:spacing w:line="360" w:lineRule="exact"/>
              <w:ind w:left="42" w:leftChars="20" w:right="42" w:rightChars="20" w:firstLine="420" w:firstLineChars="200"/>
              <w:rPr>
                <w:color w:val="auto"/>
                <w:sz w:val="21"/>
                <w:szCs w:val="21"/>
                <w:highlight w:val="none"/>
              </w:rPr>
            </w:pPr>
            <w:r>
              <w:rPr>
                <w:rFonts w:hint="eastAsia"/>
                <w:color w:val="auto"/>
                <w:sz w:val="21"/>
                <w:szCs w:val="21"/>
                <w:highlight w:val="none"/>
              </w:rPr>
              <w:t>2.在中标工程中不执行质量、安全生产相关规定的，造成质量或安全事故的；</w:t>
            </w:r>
          </w:p>
          <w:p>
            <w:pPr>
              <w:widowControl/>
              <w:shd w:val="clear" w:color="auto" w:fill="FFFFFF"/>
              <w:adjustRightInd w:val="0"/>
              <w:snapToGrid w:val="0"/>
              <w:spacing w:line="360" w:lineRule="exact"/>
              <w:ind w:left="42" w:leftChars="20" w:right="42" w:rightChars="20" w:firstLine="420" w:firstLineChars="200"/>
              <w:rPr>
                <w:color w:val="auto"/>
                <w:sz w:val="21"/>
                <w:szCs w:val="21"/>
                <w:highlight w:val="none"/>
              </w:rPr>
            </w:pPr>
            <w:r>
              <w:rPr>
                <w:rFonts w:hint="eastAsia"/>
                <w:color w:val="auto"/>
                <w:sz w:val="21"/>
                <w:szCs w:val="21"/>
                <w:highlight w:val="none"/>
              </w:rPr>
              <w:t>3.存在围标或串标情形的；</w:t>
            </w:r>
          </w:p>
          <w:p>
            <w:pPr>
              <w:widowControl/>
              <w:shd w:val="clear" w:color="auto" w:fill="FFFFFF"/>
              <w:adjustRightInd w:val="0"/>
              <w:snapToGrid w:val="0"/>
              <w:spacing w:line="360" w:lineRule="exact"/>
              <w:ind w:left="42" w:leftChars="20" w:right="42" w:rightChars="20" w:firstLine="420" w:firstLineChars="200"/>
              <w:rPr>
                <w:color w:val="auto"/>
                <w:sz w:val="21"/>
                <w:szCs w:val="21"/>
                <w:highlight w:val="none"/>
              </w:rPr>
            </w:pPr>
            <w:r>
              <w:rPr>
                <w:rFonts w:hint="eastAsia"/>
                <w:color w:val="auto"/>
                <w:sz w:val="21"/>
                <w:szCs w:val="21"/>
                <w:highlight w:val="none"/>
              </w:rPr>
              <w:t>4.在投标文件中提供虚假材料的。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10.2</w:t>
            </w:r>
          </w:p>
        </w:tc>
        <w:tc>
          <w:tcPr>
            <w:tcW w:w="3360" w:type="dxa"/>
            <w:tcBorders>
              <w:left w:val="single" w:color="000000" w:sz="4" w:space="0"/>
            </w:tcBorders>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送达</w:t>
            </w:r>
          </w:p>
        </w:tc>
        <w:tc>
          <w:tcPr>
            <w:tcW w:w="5440" w:type="dxa"/>
            <w:tcBorders>
              <w:left w:val="single" w:color="000000" w:sz="4" w:space="0"/>
            </w:tcBorders>
            <w:vAlign w:val="center"/>
          </w:tcPr>
          <w:p>
            <w:pPr>
              <w:widowControl/>
              <w:shd w:val="clear" w:color="auto" w:fill="FFFFFF"/>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《投诉处理决定书》和《行政处理决定书》在广州市住房和城乡建设局网站上公布的，视为送达其他与决定书有关的当事人。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10.3</w:t>
            </w:r>
          </w:p>
        </w:tc>
        <w:tc>
          <w:tcPr>
            <w:tcW w:w="3360" w:type="dxa"/>
            <w:tcBorders>
              <w:left w:val="single" w:color="000000" w:sz="4" w:space="0"/>
            </w:tcBorders>
            <w:vAlign w:val="center"/>
          </w:tcPr>
          <w:p>
            <w:pPr>
              <w:widowControl/>
              <w:shd w:val="clear" w:color="auto" w:fill="FFFFFF"/>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招标失败情形</w:t>
            </w:r>
          </w:p>
        </w:tc>
        <w:tc>
          <w:tcPr>
            <w:tcW w:w="5440" w:type="dxa"/>
            <w:tcBorders>
              <w:left w:val="single" w:color="000000" w:sz="4" w:space="0"/>
            </w:tcBorders>
            <w:vAlign w:val="center"/>
          </w:tcPr>
          <w:p>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本项目采用资格后审方式，各标段满足资格审查合格条件或通过初步评审的投标申请人不足3名时为招标失败。招标人分析招标失败原因，修正招标方案，报有关管理部门核准后，重新组织招标。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10.4</w:t>
            </w:r>
          </w:p>
        </w:tc>
        <w:tc>
          <w:tcPr>
            <w:tcW w:w="3360" w:type="dxa"/>
            <w:tcBorders>
              <w:left w:val="single" w:color="000000" w:sz="4" w:space="0"/>
            </w:tcBorders>
            <w:vAlign w:val="center"/>
          </w:tcPr>
          <w:p>
            <w:pPr>
              <w:widowControl/>
              <w:shd w:val="clear" w:color="auto" w:fill="FFFFFF"/>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中标候选人公示要求</w:t>
            </w:r>
          </w:p>
        </w:tc>
        <w:tc>
          <w:tcPr>
            <w:tcW w:w="5440" w:type="dxa"/>
            <w:tcBorders>
              <w:left w:val="single" w:color="000000" w:sz="4" w:space="0"/>
            </w:tcBorders>
            <w:vAlign w:val="center"/>
          </w:tcPr>
          <w:p>
            <w:pPr>
              <w:widowControl/>
              <w:shd w:val="clear" w:color="auto" w:fill="FFFFFF"/>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在产生中标候选人后，招标人将中标候选人的投标文件商务部分的电子版（报价清单、方案等涉及商业秘密的内容除外）在广州公共资源交易中心网站</w:t>
            </w:r>
            <w:r>
              <w:rPr>
                <w:color w:val="auto"/>
                <w:sz w:val="21"/>
                <w:szCs w:val="21"/>
                <w:highlight w:val="none"/>
              </w:rPr>
              <w:t>、广东省招标投标监管网</w:t>
            </w:r>
            <w:r>
              <w:rPr>
                <w:rFonts w:hint="eastAsia"/>
                <w:color w:val="auto"/>
                <w:sz w:val="21"/>
                <w:szCs w:val="21"/>
                <w:highlight w:val="none"/>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2" w:leftChars="20" w:right="42" w:rightChars="20"/>
              <w:jc w:val="center"/>
              <w:rPr>
                <w:rFonts w:hint="eastAsia" w:eastAsia="宋体"/>
                <w:bCs/>
                <w:color w:val="auto"/>
                <w:kern w:val="2"/>
                <w:sz w:val="21"/>
                <w:szCs w:val="21"/>
                <w:highlight w:val="none"/>
                <w:lang w:val="en-US" w:eastAsia="zh-CN" w:bidi="ar-SA"/>
              </w:rPr>
            </w:pPr>
            <w:r>
              <w:rPr>
                <w:rFonts w:hint="eastAsia"/>
                <w:color w:val="auto"/>
                <w:sz w:val="21"/>
                <w:szCs w:val="21"/>
                <w:highlight w:val="none"/>
                <w:lang w:val="en-US"/>
              </w:rPr>
              <w:t>10.</w:t>
            </w:r>
            <w:r>
              <w:rPr>
                <w:rFonts w:hint="eastAsia"/>
                <w:color w:val="auto"/>
                <w:sz w:val="21"/>
                <w:szCs w:val="21"/>
                <w:highlight w:val="none"/>
                <w:lang w:val="en-US" w:eastAsia="zh-CN"/>
              </w:rPr>
              <w:t>5</w:t>
            </w:r>
          </w:p>
        </w:tc>
        <w:tc>
          <w:tcPr>
            <w:tcW w:w="3360" w:type="dxa"/>
            <w:tcBorders>
              <w:left w:val="single" w:color="000000" w:sz="4" w:space="0"/>
            </w:tcBorders>
            <w:vAlign w:val="center"/>
          </w:tcPr>
          <w:p>
            <w:pPr>
              <w:widowControl/>
              <w:shd w:val="clear" w:color="auto" w:fill="FFFFFF"/>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其他</w:t>
            </w:r>
          </w:p>
        </w:tc>
        <w:tc>
          <w:tcPr>
            <w:tcW w:w="5440" w:type="dxa"/>
            <w:tcBorders>
              <w:left w:val="single" w:color="000000" w:sz="4" w:space="0"/>
            </w:tcBorders>
            <w:vAlign w:val="center"/>
          </w:tcPr>
          <w:p>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若发现第一中标候选人或中标人委派的总监理工程师任职数量不符合《穗建规字〔2020〕32号》等文件的规定，将取消第一中标候选人资格或中标资格。招标人可以确定排名第二的中标候选人为中标人。以此类推，如所有中标候选人均出现前款所列的情形，为招标失败，招标人依法重新招标。</w:t>
            </w:r>
          </w:p>
          <w:p>
            <w:pPr>
              <w:adjustRightInd w:val="0"/>
              <w:snapToGrid w:val="0"/>
              <w:spacing w:line="360" w:lineRule="exact"/>
              <w:ind w:left="42" w:leftChars="20" w:right="42" w:rightChars="20"/>
              <w:rPr>
                <w:color w:val="auto"/>
                <w:highlight w:val="none"/>
                <w:lang w:val="en-US"/>
              </w:rPr>
            </w:pPr>
            <w:r>
              <w:rPr>
                <w:rFonts w:hint="eastAsia"/>
                <w:color w:val="auto"/>
                <w:sz w:val="21"/>
                <w:szCs w:val="21"/>
                <w:highlight w:val="none"/>
              </w:rPr>
              <w:t>2、中标人应根据政府有关规定，向广州公共资源交易中心交纳交易服务费。</w:t>
            </w:r>
          </w:p>
        </w:tc>
      </w:tr>
    </w:tbl>
    <w:p>
      <w:pPr>
        <w:autoSpaceDE/>
        <w:autoSpaceDN/>
        <w:spacing w:line="360" w:lineRule="auto"/>
        <w:rPr>
          <w:rFonts w:cs="Times New Roman"/>
          <w:b/>
          <w:color w:val="auto"/>
          <w:kern w:val="2"/>
          <w:sz w:val="24"/>
          <w:szCs w:val="24"/>
          <w:highlight w:val="none"/>
          <w:lang w:val="en-US" w:bidi="ar-SA"/>
        </w:rPr>
      </w:pPr>
    </w:p>
    <w:p>
      <w:pPr>
        <w:widowControl/>
        <w:autoSpaceDE/>
        <w:autoSpaceDN/>
        <w:rPr>
          <w:rFonts w:cs="Times New Roman"/>
          <w:b/>
          <w:color w:val="auto"/>
          <w:kern w:val="2"/>
          <w:sz w:val="24"/>
          <w:szCs w:val="24"/>
          <w:highlight w:val="none"/>
          <w:lang w:val="en-US" w:bidi="ar-SA"/>
        </w:rPr>
      </w:pPr>
      <w:r>
        <w:rPr>
          <w:rFonts w:cs="Times New Roman"/>
          <w:b/>
          <w:color w:val="auto"/>
          <w:kern w:val="2"/>
          <w:sz w:val="24"/>
          <w:szCs w:val="24"/>
          <w:highlight w:val="none"/>
          <w:lang w:val="en-US" w:bidi="ar-SA"/>
        </w:rPr>
        <w:br w:type="page"/>
      </w:r>
    </w:p>
    <w:p>
      <w:pPr>
        <w:autoSpaceDE/>
        <w:autoSpaceDN/>
        <w:spacing w:line="360" w:lineRule="auto"/>
        <w:rPr>
          <w:rFonts w:cs="Times New Roman"/>
          <w:b/>
          <w:color w:val="auto"/>
          <w:kern w:val="2"/>
          <w:sz w:val="24"/>
          <w:szCs w:val="24"/>
          <w:highlight w:val="none"/>
          <w:lang w:val="en-US" w:bidi="ar-SA"/>
        </w:rPr>
      </w:pPr>
      <w:r>
        <w:rPr>
          <w:rFonts w:hint="eastAsia" w:cs="Times New Roman"/>
          <w:b/>
          <w:color w:val="auto"/>
          <w:kern w:val="2"/>
          <w:sz w:val="24"/>
          <w:szCs w:val="24"/>
          <w:highlight w:val="none"/>
          <w:lang w:val="en-US" w:bidi="ar-SA"/>
        </w:rPr>
        <w:t>附件</w:t>
      </w:r>
    </w:p>
    <w:p>
      <w:pPr>
        <w:autoSpaceDE/>
        <w:autoSpaceDN/>
        <w:spacing w:line="360" w:lineRule="auto"/>
        <w:ind w:firstLine="602" w:firstLineChars="200"/>
        <w:jc w:val="center"/>
        <w:rPr>
          <w:rFonts w:cs="Times New Roman"/>
          <w:b/>
          <w:color w:val="auto"/>
          <w:kern w:val="2"/>
          <w:sz w:val="30"/>
          <w:szCs w:val="30"/>
          <w:highlight w:val="none"/>
          <w:lang w:val="en-US" w:bidi="ar-SA"/>
        </w:rPr>
      </w:pPr>
      <w:r>
        <w:rPr>
          <w:rFonts w:hint="eastAsia" w:cs="Times New Roman"/>
          <w:b/>
          <w:color w:val="auto"/>
          <w:kern w:val="2"/>
          <w:sz w:val="30"/>
          <w:szCs w:val="30"/>
          <w:highlight w:val="none"/>
          <w:lang w:val="en-US" w:bidi="ar-SA"/>
        </w:rPr>
        <w:t>服务机构人员组成配备要求表</w:t>
      </w: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680"/>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751" w:type="dxa"/>
            <w:vAlign w:val="center"/>
          </w:tcPr>
          <w:p>
            <w:pPr>
              <w:autoSpaceDE/>
              <w:autoSpaceDN/>
              <w:spacing w:line="640" w:lineRule="exact"/>
              <w:jc w:val="center"/>
              <w:rPr>
                <w:rFonts w:cs="Times New Roman"/>
                <w:b/>
                <w:bCs/>
                <w:color w:val="auto"/>
                <w:kern w:val="2"/>
                <w:sz w:val="21"/>
                <w:szCs w:val="21"/>
                <w:highlight w:val="none"/>
                <w:lang w:val="en-US" w:bidi="ar-SA"/>
              </w:rPr>
            </w:pPr>
            <w:r>
              <w:rPr>
                <w:rFonts w:hint="eastAsia" w:cs="Times New Roman"/>
                <w:b/>
                <w:bCs/>
                <w:color w:val="auto"/>
                <w:kern w:val="2"/>
                <w:sz w:val="21"/>
                <w:szCs w:val="21"/>
                <w:highlight w:val="none"/>
                <w:lang w:val="en-US" w:bidi="ar-SA"/>
              </w:rPr>
              <w:t>岗位</w:t>
            </w:r>
          </w:p>
        </w:tc>
        <w:tc>
          <w:tcPr>
            <w:tcW w:w="1680" w:type="dxa"/>
            <w:vAlign w:val="center"/>
          </w:tcPr>
          <w:p>
            <w:pPr>
              <w:autoSpaceDE/>
              <w:autoSpaceDN/>
              <w:spacing w:line="640" w:lineRule="exact"/>
              <w:jc w:val="center"/>
              <w:rPr>
                <w:rFonts w:cs="Times New Roman"/>
                <w:b/>
                <w:bCs/>
                <w:color w:val="auto"/>
                <w:kern w:val="2"/>
                <w:sz w:val="21"/>
                <w:szCs w:val="21"/>
                <w:highlight w:val="none"/>
                <w:lang w:val="en-US" w:bidi="ar-SA"/>
              </w:rPr>
            </w:pPr>
            <w:r>
              <w:rPr>
                <w:rFonts w:hint="eastAsia" w:cs="Times New Roman"/>
                <w:b/>
                <w:bCs/>
                <w:color w:val="auto"/>
                <w:kern w:val="2"/>
                <w:sz w:val="21"/>
                <w:szCs w:val="21"/>
                <w:highlight w:val="none"/>
                <w:lang w:val="en-US" w:bidi="ar-SA"/>
              </w:rPr>
              <w:t>人员要求</w:t>
            </w:r>
          </w:p>
        </w:tc>
        <w:tc>
          <w:tcPr>
            <w:tcW w:w="5783" w:type="dxa"/>
            <w:vAlign w:val="center"/>
          </w:tcPr>
          <w:p>
            <w:pPr>
              <w:autoSpaceDE/>
              <w:autoSpaceDN/>
              <w:spacing w:line="640" w:lineRule="exact"/>
              <w:jc w:val="center"/>
              <w:rPr>
                <w:rFonts w:cs="Times New Roman"/>
                <w:b/>
                <w:bCs/>
                <w:color w:val="auto"/>
                <w:kern w:val="2"/>
                <w:sz w:val="21"/>
                <w:szCs w:val="21"/>
                <w:highlight w:val="none"/>
                <w:lang w:val="en-US" w:bidi="ar-SA"/>
              </w:rPr>
            </w:pPr>
            <w:r>
              <w:rPr>
                <w:rFonts w:hint="eastAsia" w:cs="Times New Roman"/>
                <w:b/>
                <w:bCs/>
                <w:color w:val="auto"/>
                <w:kern w:val="2"/>
                <w:sz w:val="21"/>
                <w:szCs w:val="21"/>
                <w:highlight w:val="none"/>
                <w:lang w:val="en-US" w:bidi="ar-SA"/>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1" w:type="dxa"/>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项目负责人（兼总监理工程师）</w:t>
            </w:r>
          </w:p>
        </w:tc>
        <w:tc>
          <w:tcPr>
            <w:tcW w:w="1680" w:type="dxa"/>
            <w:tcBorders>
              <w:left w:val="single" w:color="auto" w:sz="4" w:space="0"/>
            </w:tcBorders>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1名</w:t>
            </w:r>
          </w:p>
        </w:tc>
        <w:tc>
          <w:tcPr>
            <w:tcW w:w="5783" w:type="dxa"/>
            <w:tcBorders>
              <w:left w:val="single" w:color="auto" w:sz="4" w:space="0"/>
            </w:tcBorders>
            <w:vAlign w:val="center"/>
          </w:tcPr>
          <w:p>
            <w:pPr>
              <w:autoSpaceDE/>
              <w:autoSpaceDN/>
              <w:rPr>
                <w:rFonts w:cs="Times New Roman"/>
                <w:color w:val="auto"/>
                <w:kern w:val="2"/>
                <w:sz w:val="21"/>
                <w:szCs w:val="21"/>
                <w:highlight w:val="none"/>
                <w:lang w:val="en-US" w:bidi="ar-SA"/>
              </w:rPr>
            </w:pPr>
            <w:r>
              <w:rPr>
                <w:rFonts w:hint="eastAsia"/>
                <w:color w:val="auto"/>
                <w:highlight w:val="none"/>
              </w:rPr>
              <w:t>详见招标公告3.3条款。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51" w:type="dxa"/>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总监理工程师</w:t>
            </w:r>
          </w:p>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代表</w:t>
            </w:r>
          </w:p>
        </w:tc>
        <w:tc>
          <w:tcPr>
            <w:tcW w:w="1680" w:type="dxa"/>
            <w:tcBorders>
              <w:left w:val="single" w:color="auto" w:sz="4" w:space="0"/>
            </w:tcBorders>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1名</w:t>
            </w:r>
          </w:p>
        </w:tc>
        <w:tc>
          <w:tcPr>
            <w:tcW w:w="5783" w:type="dxa"/>
            <w:tcBorders>
              <w:left w:val="single" w:color="auto" w:sz="4" w:space="0"/>
            </w:tcBorders>
            <w:vAlign w:val="center"/>
          </w:tcPr>
          <w:p>
            <w:pPr>
              <w:autoSpaceDE/>
              <w:autoSpaceDN/>
              <w:rPr>
                <w:rFonts w:cs="Times New Roman"/>
                <w:color w:val="auto"/>
                <w:kern w:val="2"/>
                <w:sz w:val="21"/>
                <w:szCs w:val="21"/>
                <w:highlight w:val="none"/>
                <w:lang w:val="en-US" w:bidi="ar-SA"/>
              </w:rPr>
            </w:pPr>
            <w:r>
              <w:rPr>
                <w:rFonts w:ascii="宋体" w:hAnsi="宋体"/>
                <w:color w:val="auto"/>
                <w:szCs w:val="21"/>
                <w:highlight w:val="none"/>
              </w:rPr>
              <w:t>具备</w:t>
            </w:r>
            <w:r>
              <w:rPr>
                <w:rFonts w:hint="eastAsia" w:ascii="宋体" w:hAnsi="宋体"/>
                <w:color w:val="auto"/>
                <w:szCs w:val="21"/>
                <w:highlight w:val="none"/>
              </w:rPr>
              <w:t>建设部2006年4月1日后颁发的中华人民共和国注册监理工程师注册执业证书，且其注册专业为</w:t>
            </w:r>
            <w:r>
              <w:rPr>
                <w:rFonts w:hint="eastAsia"/>
                <w:color w:val="auto"/>
                <w:szCs w:val="21"/>
                <w:highlight w:val="none"/>
                <w:u w:val="none"/>
                <w:lang w:eastAsia="zh-CN"/>
              </w:rPr>
              <w:t>市政公用</w:t>
            </w:r>
            <w:r>
              <w:rPr>
                <w:rFonts w:hint="eastAsia" w:ascii="宋体" w:hAnsi="宋体"/>
                <w:color w:val="auto"/>
                <w:szCs w:val="21"/>
                <w:highlight w:val="none"/>
                <w:u w:val="none"/>
              </w:rPr>
              <w:t>工程</w:t>
            </w: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51" w:type="dxa"/>
            <w:vAlign w:val="center"/>
          </w:tcPr>
          <w:p>
            <w:pPr>
              <w:autoSpaceDE/>
              <w:autoSpaceDN/>
              <w:spacing w:line="240" w:lineRule="atLeast"/>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专业监理工程师</w:t>
            </w:r>
          </w:p>
        </w:tc>
        <w:tc>
          <w:tcPr>
            <w:tcW w:w="1680" w:type="dxa"/>
            <w:tcBorders>
              <w:left w:val="single" w:color="auto" w:sz="4" w:space="0"/>
            </w:tcBorders>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不少于</w:t>
            </w:r>
            <w:r>
              <w:rPr>
                <w:rFonts w:cs="Times New Roman"/>
                <w:color w:val="auto"/>
                <w:kern w:val="2"/>
                <w:sz w:val="21"/>
                <w:szCs w:val="21"/>
                <w:highlight w:val="none"/>
                <w:u w:val="single"/>
                <w:lang w:val="en-US" w:bidi="ar-SA"/>
              </w:rPr>
              <w:t>3</w:t>
            </w:r>
            <w:r>
              <w:rPr>
                <w:rFonts w:hint="eastAsia" w:cs="Times New Roman"/>
                <w:color w:val="auto"/>
                <w:kern w:val="2"/>
                <w:sz w:val="21"/>
                <w:szCs w:val="21"/>
                <w:highlight w:val="none"/>
                <w:lang w:val="en-US" w:bidi="ar-SA"/>
              </w:rPr>
              <w:t>名</w:t>
            </w:r>
          </w:p>
        </w:tc>
        <w:tc>
          <w:tcPr>
            <w:tcW w:w="5783" w:type="dxa"/>
            <w:tcBorders>
              <w:left w:val="single" w:color="auto" w:sz="4" w:space="0"/>
            </w:tcBorders>
            <w:vAlign w:val="center"/>
          </w:tcPr>
          <w:p>
            <w:pPr>
              <w:autoSpaceDE/>
              <w:autoSpaceDN/>
              <w:spacing w:line="240" w:lineRule="atLeast"/>
              <w:rPr>
                <w:rFonts w:hint="eastAsia"/>
                <w:color w:val="auto"/>
                <w:kern w:val="2"/>
                <w:sz w:val="21"/>
                <w:szCs w:val="21"/>
                <w:highlight w:val="none"/>
                <w:lang w:val="en-US" w:eastAsia="zh-CN" w:bidi="ar-SA"/>
              </w:rPr>
            </w:pPr>
            <w:r>
              <w:rPr>
                <w:rFonts w:hint="eastAsia"/>
                <w:color w:val="auto"/>
                <w:kern w:val="2"/>
                <w:sz w:val="21"/>
                <w:szCs w:val="21"/>
                <w:highlight w:val="none"/>
                <w:lang w:val="en-US" w:bidi="ar-SA"/>
              </w:rPr>
              <w:t>市政工程专业1名、给排水工程专业1名、机电工程专业1名</w:t>
            </w:r>
            <w:r>
              <w:rPr>
                <w:color w:val="auto"/>
                <w:kern w:val="2"/>
                <w:sz w:val="21"/>
                <w:szCs w:val="21"/>
                <w:highlight w:val="none"/>
                <w:lang w:val="en-US" w:bidi="ar-SA"/>
              </w:rPr>
              <w:t>：具备中级或以上技术职称</w:t>
            </w:r>
            <w:r>
              <w:rPr>
                <w:rFonts w:hint="eastAsia"/>
                <w:color w:val="auto"/>
                <w:kern w:val="2"/>
                <w:sz w:val="21"/>
                <w:szCs w:val="21"/>
                <w:highlight w:val="none"/>
                <w:lang w:val="en-US" w:eastAsia="zh-CN" w:bidi="ar-SA"/>
              </w:rPr>
              <w:t>。</w:t>
            </w:r>
          </w:p>
          <w:p>
            <w:pPr>
              <w:autoSpaceDE/>
              <w:autoSpaceDN/>
              <w:spacing w:line="240" w:lineRule="atLeast"/>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备注：专业以</w:t>
            </w:r>
            <w:r>
              <w:rPr>
                <w:rFonts w:cs="Times New Roman"/>
                <w:color w:val="auto"/>
                <w:kern w:val="2"/>
                <w:sz w:val="21"/>
                <w:szCs w:val="21"/>
                <w:highlight w:val="none"/>
                <w:lang w:val="en-US" w:bidi="ar-SA"/>
              </w:rPr>
              <w:t>注册</w:t>
            </w:r>
            <w:r>
              <w:rPr>
                <w:rFonts w:hint="eastAsia" w:cs="Times New Roman"/>
                <w:color w:val="auto"/>
                <w:kern w:val="2"/>
                <w:sz w:val="21"/>
                <w:szCs w:val="21"/>
                <w:highlight w:val="none"/>
                <w:lang w:val="en-US" w:bidi="ar-SA"/>
              </w:rPr>
              <w:t>监理工程师注册</w:t>
            </w:r>
            <w:r>
              <w:rPr>
                <w:rFonts w:cs="Times New Roman"/>
                <w:color w:val="auto"/>
                <w:kern w:val="2"/>
                <w:sz w:val="21"/>
                <w:szCs w:val="21"/>
                <w:highlight w:val="none"/>
                <w:lang w:val="en-US" w:bidi="ar-SA"/>
              </w:rPr>
              <w:t>执业</w:t>
            </w:r>
            <w:r>
              <w:rPr>
                <w:rFonts w:hint="eastAsia" w:cs="Times New Roman"/>
                <w:color w:val="auto"/>
                <w:kern w:val="2"/>
                <w:sz w:val="21"/>
                <w:szCs w:val="21"/>
                <w:highlight w:val="none"/>
                <w:lang w:val="en-US" w:bidi="ar-SA"/>
              </w:rPr>
              <w:t>证</w:t>
            </w:r>
            <w:r>
              <w:rPr>
                <w:rFonts w:cs="Times New Roman"/>
                <w:color w:val="auto"/>
                <w:kern w:val="2"/>
                <w:sz w:val="21"/>
                <w:szCs w:val="21"/>
                <w:highlight w:val="none"/>
                <w:lang w:val="en-US" w:bidi="ar-SA"/>
              </w:rPr>
              <w:t>书</w:t>
            </w:r>
            <w:r>
              <w:rPr>
                <w:rFonts w:hint="eastAsia" w:cs="Times New Roman"/>
                <w:color w:val="auto"/>
                <w:kern w:val="2"/>
                <w:sz w:val="21"/>
                <w:szCs w:val="21"/>
                <w:highlight w:val="none"/>
                <w:lang w:val="en-US" w:bidi="ar-SA"/>
              </w:rPr>
              <w:t>或专业监理工程师证</w:t>
            </w:r>
            <w:r>
              <w:rPr>
                <w:rFonts w:cs="Times New Roman"/>
                <w:color w:val="auto"/>
                <w:kern w:val="2"/>
                <w:sz w:val="21"/>
                <w:szCs w:val="21"/>
                <w:highlight w:val="none"/>
                <w:lang w:val="en-US" w:bidi="ar-SA"/>
              </w:rPr>
              <w:t>书</w:t>
            </w:r>
            <w:r>
              <w:rPr>
                <w:rFonts w:hint="eastAsia" w:cs="Times New Roman"/>
                <w:color w:val="auto"/>
                <w:kern w:val="2"/>
                <w:sz w:val="21"/>
                <w:szCs w:val="21"/>
                <w:highlight w:val="none"/>
                <w:lang w:val="en-US" w:bidi="ar-SA"/>
              </w:rPr>
              <w:t>或职称证或毕业证中的专业名称（含相近专业）为准；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51" w:type="dxa"/>
            <w:vAlign w:val="center"/>
          </w:tcPr>
          <w:p>
            <w:pPr>
              <w:autoSpaceDE/>
              <w:autoSpaceDN/>
              <w:jc w:val="center"/>
              <w:rPr>
                <w:rFonts w:cs="Times New Roman"/>
                <w:color w:val="auto"/>
                <w:kern w:val="2"/>
                <w:sz w:val="21"/>
                <w:szCs w:val="21"/>
                <w:highlight w:val="none"/>
                <w:lang w:val="en-US" w:bidi="ar-SA"/>
              </w:rPr>
            </w:pPr>
            <w:r>
              <w:rPr>
                <w:rFonts w:hint="eastAsia"/>
                <w:color w:val="auto"/>
                <w:sz w:val="21"/>
                <w:szCs w:val="21"/>
                <w:highlight w:val="none"/>
                <w:lang w:val="en-US"/>
              </w:rPr>
              <w:t>造价咨询负责人</w:t>
            </w:r>
          </w:p>
        </w:tc>
        <w:tc>
          <w:tcPr>
            <w:tcW w:w="1680" w:type="dxa"/>
            <w:tcBorders>
              <w:left w:val="single" w:color="auto" w:sz="4" w:space="0"/>
            </w:tcBorders>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u w:val="single"/>
                <w:lang w:val="en-US" w:bidi="ar-SA"/>
              </w:rPr>
              <w:t>1</w:t>
            </w:r>
            <w:r>
              <w:rPr>
                <w:rFonts w:hint="eastAsia" w:cs="Times New Roman"/>
                <w:color w:val="auto"/>
                <w:kern w:val="2"/>
                <w:sz w:val="21"/>
                <w:szCs w:val="21"/>
                <w:highlight w:val="none"/>
                <w:lang w:val="en-US" w:bidi="ar-SA"/>
              </w:rPr>
              <w:t>名</w:t>
            </w:r>
          </w:p>
        </w:tc>
        <w:tc>
          <w:tcPr>
            <w:tcW w:w="5783" w:type="dxa"/>
            <w:tcBorders>
              <w:left w:val="single" w:color="auto" w:sz="4" w:space="0"/>
            </w:tcBorders>
            <w:vAlign w:val="center"/>
          </w:tcPr>
          <w:p>
            <w:pPr>
              <w:autoSpaceDE/>
              <w:autoSpaceDN/>
              <w:spacing w:line="240" w:lineRule="atLeast"/>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详见招标公告3.3条款。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51" w:type="dxa"/>
            <w:vAlign w:val="center"/>
          </w:tcPr>
          <w:p>
            <w:pPr>
              <w:autoSpaceDE/>
              <w:autoSpaceDN/>
              <w:jc w:val="center"/>
              <w:rPr>
                <w:rFonts w:hint="eastAsia" w:ascii="宋体" w:hAnsi="宋体" w:eastAsia="宋体" w:cs="Times New Roman"/>
                <w:color w:val="auto"/>
                <w:kern w:val="2"/>
                <w:sz w:val="21"/>
                <w:szCs w:val="21"/>
                <w:highlight w:val="none"/>
                <w:lang w:val="en-US" w:bidi="ar-SA"/>
              </w:rPr>
            </w:pPr>
            <w:r>
              <w:rPr>
                <w:rFonts w:hint="eastAsia" w:ascii="宋体" w:hAnsi="宋体" w:eastAsia="宋体" w:cs="Times New Roman"/>
                <w:color w:val="auto"/>
                <w:kern w:val="2"/>
                <w:sz w:val="21"/>
                <w:szCs w:val="21"/>
                <w:highlight w:val="none"/>
                <w:lang w:val="en-US" w:bidi="ar-SA"/>
              </w:rPr>
              <w:t>监理员</w:t>
            </w:r>
          </w:p>
        </w:tc>
        <w:tc>
          <w:tcPr>
            <w:tcW w:w="1680" w:type="dxa"/>
            <w:tcBorders>
              <w:left w:val="single" w:color="auto" w:sz="4" w:space="0"/>
            </w:tcBorders>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u w:val="single"/>
                <w:lang w:val="en-US" w:eastAsia="zh-CN" w:bidi="ar-SA"/>
              </w:rPr>
              <w:t>3</w:t>
            </w:r>
            <w:r>
              <w:rPr>
                <w:rFonts w:hint="eastAsia" w:cs="Times New Roman"/>
                <w:color w:val="auto"/>
                <w:kern w:val="2"/>
                <w:sz w:val="21"/>
                <w:szCs w:val="21"/>
                <w:highlight w:val="none"/>
                <w:lang w:val="en-US" w:bidi="ar-SA"/>
              </w:rPr>
              <w:t>名</w:t>
            </w:r>
          </w:p>
        </w:tc>
        <w:tc>
          <w:tcPr>
            <w:tcW w:w="5783" w:type="dxa"/>
            <w:tcBorders>
              <w:left w:val="single" w:color="auto" w:sz="4" w:space="0"/>
            </w:tcBorders>
            <w:vAlign w:val="center"/>
          </w:tcPr>
          <w:p>
            <w:pPr>
              <w:autoSpaceDE/>
              <w:autoSpaceDN/>
              <w:rPr>
                <w:rFonts w:hint="eastAsia" w:ascii="宋体" w:hAnsi="宋体" w:eastAsia="宋体" w:cs="Times New Roman"/>
                <w:color w:val="auto"/>
                <w:kern w:val="2"/>
                <w:sz w:val="21"/>
                <w:szCs w:val="21"/>
                <w:highlight w:val="none"/>
                <w:lang w:val="en-US" w:bidi="ar-SA"/>
              </w:rPr>
            </w:pPr>
            <w:r>
              <w:rPr>
                <w:rFonts w:hint="eastAsia" w:ascii="宋体" w:hAnsi="宋体" w:eastAsia="宋体" w:cs="Times New Roman"/>
                <w:color w:val="auto"/>
                <w:kern w:val="2"/>
                <w:sz w:val="21"/>
                <w:szCs w:val="21"/>
                <w:highlight w:val="none"/>
                <w:lang w:val="en-US" w:bidi="ar-SA"/>
              </w:rPr>
              <w:t>具备监理员上岗证或岗位证或培训证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51" w:type="dxa"/>
            <w:vAlign w:val="center"/>
          </w:tcPr>
          <w:p>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安全员</w:t>
            </w:r>
          </w:p>
        </w:tc>
        <w:tc>
          <w:tcPr>
            <w:tcW w:w="1680" w:type="dxa"/>
            <w:tcBorders>
              <w:left w:val="single" w:color="auto" w:sz="4" w:space="0"/>
            </w:tcBorders>
            <w:vAlign w:val="center"/>
          </w:tcPr>
          <w:p>
            <w:pPr>
              <w:spacing w:line="276" w:lineRule="auto"/>
              <w:jc w:val="center"/>
              <w:rPr>
                <w:rFonts w:hint="eastAsia" w:ascii="宋体" w:hAnsi="宋体" w:eastAsia="宋体" w:cs="宋体"/>
                <w:color w:val="auto"/>
                <w:kern w:val="2"/>
                <w:sz w:val="21"/>
                <w:szCs w:val="21"/>
                <w:highlight w:val="none"/>
                <w:lang w:val="en-US" w:bidi="ar-SA"/>
              </w:rPr>
            </w:pP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rPr>
              <w:t>名</w:t>
            </w:r>
          </w:p>
        </w:tc>
        <w:tc>
          <w:tcPr>
            <w:tcW w:w="5783" w:type="dxa"/>
            <w:tcBorders>
              <w:left w:val="single" w:color="auto" w:sz="4" w:space="0"/>
            </w:tcBorders>
            <w:vAlign w:val="center"/>
          </w:tcPr>
          <w:p>
            <w:pPr>
              <w:autoSpaceDE/>
              <w:autoSpaceDN/>
              <w:rPr>
                <w:rFonts w:hint="eastAsia" w:ascii="宋体" w:hAnsi="宋体" w:eastAsia="宋体" w:cs="Times New Roman"/>
                <w:color w:val="auto"/>
                <w:kern w:val="2"/>
                <w:sz w:val="21"/>
                <w:szCs w:val="21"/>
                <w:highlight w:val="none"/>
                <w:lang w:val="en-US" w:bidi="ar-SA"/>
              </w:rPr>
            </w:pPr>
            <w:r>
              <w:rPr>
                <w:rFonts w:hint="eastAsia" w:ascii="宋体" w:hAnsi="宋体" w:eastAsia="宋体" w:cs="Times New Roman"/>
                <w:color w:val="auto"/>
                <w:kern w:val="2"/>
                <w:sz w:val="21"/>
                <w:szCs w:val="21"/>
                <w:highlight w:val="none"/>
                <w:lang w:val="en-US" w:bidi="ar-SA"/>
              </w:rPr>
              <w:t>具备市政工程相关专业中级或以上职称或注册安全工程师</w:t>
            </w:r>
            <w:r>
              <w:rPr>
                <w:rFonts w:ascii="宋体" w:hAnsi="宋体" w:eastAsia="宋体" w:cs="Times New Roman"/>
                <w:color w:val="auto"/>
                <w:kern w:val="2"/>
                <w:sz w:val="21"/>
                <w:szCs w:val="21"/>
                <w:highlight w:val="none"/>
                <w:lang w:val="en-US" w:bidi="ar-SA"/>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51" w:type="dxa"/>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总计</w:t>
            </w:r>
          </w:p>
        </w:tc>
        <w:tc>
          <w:tcPr>
            <w:tcW w:w="1680" w:type="dxa"/>
            <w:tcBorders>
              <w:left w:val="single" w:color="auto" w:sz="4" w:space="0"/>
            </w:tcBorders>
            <w:vAlign w:val="center"/>
          </w:tcPr>
          <w:p>
            <w:pPr>
              <w:autoSpaceDE/>
              <w:autoSpaceDN/>
              <w:jc w:val="center"/>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不少于</w:t>
            </w:r>
            <w:r>
              <w:rPr>
                <w:rFonts w:hint="eastAsia" w:cs="Times New Roman"/>
                <w:color w:val="auto"/>
                <w:kern w:val="2"/>
                <w:sz w:val="21"/>
                <w:szCs w:val="21"/>
                <w:highlight w:val="none"/>
                <w:u w:val="single"/>
                <w:lang w:val="en-US" w:eastAsia="zh-CN" w:bidi="ar-SA"/>
              </w:rPr>
              <w:t>11</w:t>
            </w:r>
            <w:r>
              <w:rPr>
                <w:rFonts w:hint="eastAsia" w:cs="Times New Roman"/>
                <w:color w:val="auto"/>
                <w:kern w:val="2"/>
                <w:sz w:val="21"/>
                <w:szCs w:val="21"/>
                <w:highlight w:val="none"/>
                <w:lang w:val="en-US" w:bidi="ar-SA"/>
              </w:rPr>
              <w:t>名</w:t>
            </w:r>
          </w:p>
        </w:tc>
        <w:tc>
          <w:tcPr>
            <w:tcW w:w="5783" w:type="dxa"/>
            <w:tcBorders>
              <w:left w:val="single" w:color="auto" w:sz="4" w:space="0"/>
            </w:tcBorders>
            <w:vAlign w:val="center"/>
          </w:tcPr>
          <w:p>
            <w:pPr>
              <w:autoSpaceDE/>
              <w:autoSpaceDN/>
              <w:spacing w:line="640" w:lineRule="exact"/>
              <w:jc w:val="center"/>
              <w:rPr>
                <w:rFonts w:cs="Times New Roman"/>
                <w:color w:val="auto"/>
                <w:kern w:val="2"/>
                <w:sz w:val="21"/>
                <w:szCs w:val="21"/>
                <w:highlight w:val="none"/>
                <w:lang w:val="en-US" w:bidi="ar-SA"/>
              </w:rPr>
            </w:pPr>
          </w:p>
        </w:tc>
      </w:tr>
    </w:tbl>
    <w:p>
      <w:pPr>
        <w:autoSpaceDE/>
        <w:autoSpaceDN/>
        <w:spacing w:line="360" w:lineRule="auto"/>
        <w:ind w:firstLine="420" w:firstLineChars="200"/>
        <w:jc w:val="both"/>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注：1、表中所列人员配备为最低限度要求，中标单位可根据实际工作需要及时投入人员。</w:t>
      </w:r>
    </w:p>
    <w:p>
      <w:pPr>
        <w:autoSpaceDE/>
        <w:autoSpaceDN/>
        <w:spacing w:line="360" w:lineRule="auto"/>
        <w:ind w:firstLine="840" w:firstLineChars="400"/>
        <w:jc w:val="both"/>
        <w:rPr>
          <w:rFonts w:cs="Times New Roman"/>
          <w:color w:val="auto"/>
          <w:kern w:val="2"/>
          <w:sz w:val="21"/>
          <w:szCs w:val="21"/>
          <w:highlight w:val="none"/>
          <w:lang w:val="en-US" w:bidi="ar-SA"/>
        </w:rPr>
      </w:pPr>
      <w:r>
        <w:rPr>
          <w:rFonts w:cs="Times New Roman"/>
          <w:color w:val="auto"/>
          <w:kern w:val="2"/>
          <w:sz w:val="21"/>
          <w:szCs w:val="21"/>
          <w:highlight w:val="none"/>
          <w:lang w:val="en-US" w:bidi="ar-SA"/>
        </w:rPr>
        <w:t>2</w:t>
      </w:r>
      <w:r>
        <w:rPr>
          <w:rFonts w:hint="eastAsia" w:cs="Times New Roman"/>
          <w:color w:val="auto"/>
          <w:kern w:val="2"/>
          <w:sz w:val="21"/>
          <w:szCs w:val="21"/>
          <w:highlight w:val="none"/>
          <w:lang w:val="en-US" w:bidi="ar-SA"/>
        </w:rPr>
        <w:t>、</w:t>
      </w:r>
      <w:r>
        <w:rPr>
          <w:rFonts w:hint="eastAsia" w:cs="Times New Roman"/>
          <w:bCs/>
          <w:color w:val="auto"/>
          <w:kern w:val="2"/>
          <w:sz w:val="21"/>
          <w:szCs w:val="21"/>
          <w:highlight w:val="none"/>
          <w:lang w:val="en-US" w:bidi="ar-SA"/>
        </w:rPr>
        <w:t>本表不作为形式评审、资格评审、响应性评审的审查依据</w:t>
      </w:r>
      <w:r>
        <w:rPr>
          <w:rFonts w:hint="eastAsia" w:cs="Times New Roman"/>
          <w:color w:val="auto"/>
          <w:kern w:val="2"/>
          <w:sz w:val="21"/>
          <w:szCs w:val="21"/>
          <w:highlight w:val="none"/>
          <w:lang w:val="en-US" w:bidi="ar-SA"/>
        </w:rPr>
        <w:t>。</w:t>
      </w:r>
    </w:p>
    <w:p>
      <w:pPr>
        <w:autoSpaceDE/>
        <w:autoSpaceDN/>
        <w:spacing w:line="360" w:lineRule="auto"/>
        <w:ind w:firstLine="840" w:firstLineChars="400"/>
        <w:jc w:val="both"/>
        <w:rPr>
          <w:rFonts w:cs="Times New Roman"/>
          <w:color w:val="auto"/>
          <w:kern w:val="2"/>
          <w:sz w:val="21"/>
          <w:szCs w:val="21"/>
          <w:highlight w:val="none"/>
          <w:lang w:val="en-US" w:bidi="ar-SA"/>
        </w:rPr>
      </w:pPr>
    </w:p>
    <w:p>
      <w:pPr>
        <w:widowControl/>
        <w:autoSpaceDE/>
        <w:autoSpaceDN/>
        <w:rPr>
          <w:rFonts w:cs="Times New Roman"/>
          <w:color w:val="auto"/>
          <w:kern w:val="2"/>
          <w:sz w:val="21"/>
          <w:highlight w:val="none"/>
          <w:lang w:val="en-US" w:bidi="ar-SA"/>
        </w:rPr>
      </w:pPr>
      <w:r>
        <w:rPr>
          <w:rFonts w:cs="Times New Roman"/>
          <w:color w:val="auto"/>
          <w:kern w:val="2"/>
          <w:sz w:val="21"/>
          <w:highlight w:val="none"/>
          <w:lang w:val="en-US" w:bidi="ar-SA"/>
        </w:rPr>
        <w:br w:type="page"/>
      </w:r>
    </w:p>
    <w:p>
      <w:pPr>
        <w:rPr>
          <w:color w:val="auto"/>
          <w:sz w:val="24"/>
          <w:highlight w:val="none"/>
        </w:rPr>
      </w:pPr>
    </w:p>
    <w:p>
      <w:pPr>
        <w:rPr>
          <w:rFonts w:cs="Times New Roman"/>
          <w:b/>
          <w:color w:val="auto"/>
          <w:kern w:val="2"/>
          <w:sz w:val="28"/>
          <w:szCs w:val="20"/>
          <w:highlight w:val="none"/>
          <w:lang w:val="en-US" w:bidi="ar-SA"/>
        </w:rPr>
      </w:pPr>
      <w:bookmarkStart w:id="9" w:name="_bookmark33"/>
      <w:bookmarkEnd w:id="9"/>
      <w:bookmarkStart w:id="10" w:name="_bookmark20"/>
      <w:bookmarkEnd w:id="10"/>
      <w:r>
        <w:rPr>
          <w:rFonts w:hint="eastAsia" w:cs="Times New Roman"/>
          <w:b/>
          <w:color w:val="auto"/>
          <w:kern w:val="2"/>
          <w:sz w:val="28"/>
          <w:szCs w:val="20"/>
          <w:highlight w:val="none"/>
          <w:lang w:val="en-US" w:bidi="ar-SA"/>
        </w:rPr>
        <w:t>1.总则</w:t>
      </w:r>
    </w:p>
    <w:p>
      <w:pPr>
        <w:spacing w:line="360" w:lineRule="auto"/>
        <w:rPr>
          <w:color w:val="auto"/>
          <w:highlight w:val="none"/>
        </w:rPr>
      </w:pPr>
      <w:r>
        <w:rPr>
          <w:rFonts w:hint="eastAsia" w:cs="Times New Roman"/>
          <w:b/>
          <w:bCs/>
          <w:color w:val="auto"/>
          <w:kern w:val="2"/>
          <w:sz w:val="28"/>
          <w:szCs w:val="28"/>
          <w:highlight w:val="none"/>
          <w:lang w:val="en-US" w:bidi="ar-SA"/>
        </w:rPr>
        <w:t>1.1招标项目概况</w:t>
      </w:r>
    </w:p>
    <w:p>
      <w:pPr>
        <w:spacing w:line="360" w:lineRule="auto"/>
        <w:ind w:firstLine="420" w:firstLineChars="200"/>
        <w:rPr>
          <w:color w:val="auto"/>
          <w:highlight w:val="none"/>
        </w:rPr>
      </w:pPr>
      <w:r>
        <w:rPr>
          <w:rFonts w:hint="eastAsia"/>
          <w:color w:val="auto"/>
          <w:highlight w:val="none"/>
        </w:rPr>
        <w:t>1.1.1根据《中华人民共和国招标投标法》、《中华人民共和国招标投标法实施条例》等有关法律、法规和规章的规定，本招标项目已具备招标条件，现对监理</w:t>
      </w:r>
      <w:r>
        <w:rPr>
          <w:color w:val="auto"/>
          <w:highlight w:val="none"/>
          <w:u w:val="single"/>
        </w:rPr>
        <w:t>及造价咨询</w:t>
      </w:r>
      <w:r>
        <w:rPr>
          <w:rFonts w:hint="eastAsia"/>
          <w:color w:val="auto"/>
          <w:highlight w:val="none"/>
        </w:rPr>
        <w:t>进行招标。</w:t>
      </w:r>
    </w:p>
    <w:p>
      <w:pPr>
        <w:spacing w:line="360" w:lineRule="auto"/>
        <w:ind w:firstLine="420" w:firstLineChars="200"/>
        <w:rPr>
          <w:color w:val="auto"/>
          <w:highlight w:val="none"/>
        </w:rPr>
      </w:pPr>
      <w:r>
        <w:rPr>
          <w:rFonts w:hint="eastAsia"/>
          <w:color w:val="auto"/>
          <w:highlight w:val="none"/>
        </w:rPr>
        <w:t>1.1.2招标人：见投标人须知前附表。</w:t>
      </w:r>
    </w:p>
    <w:p>
      <w:pPr>
        <w:spacing w:line="360" w:lineRule="auto"/>
        <w:ind w:firstLine="420" w:firstLineChars="200"/>
        <w:rPr>
          <w:color w:val="auto"/>
          <w:highlight w:val="none"/>
        </w:rPr>
      </w:pPr>
      <w:r>
        <w:rPr>
          <w:rFonts w:hint="eastAsia"/>
          <w:color w:val="auto"/>
          <w:highlight w:val="none"/>
        </w:rPr>
        <w:t>1.1.3招标代理机构：见投标人须知前附表。</w:t>
      </w:r>
    </w:p>
    <w:p>
      <w:pPr>
        <w:spacing w:line="360" w:lineRule="auto"/>
        <w:ind w:firstLine="420" w:firstLineChars="200"/>
        <w:rPr>
          <w:color w:val="auto"/>
          <w:highlight w:val="none"/>
        </w:rPr>
      </w:pPr>
      <w:r>
        <w:rPr>
          <w:rFonts w:hint="eastAsia"/>
          <w:color w:val="auto"/>
          <w:highlight w:val="none"/>
        </w:rPr>
        <w:t>1.1.4招标项目名称：见投标人须知前附表。</w:t>
      </w:r>
    </w:p>
    <w:p>
      <w:pPr>
        <w:spacing w:line="360" w:lineRule="auto"/>
        <w:ind w:firstLine="420" w:firstLineChars="200"/>
        <w:rPr>
          <w:color w:val="auto"/>
          <w:highlight w:val="none"/>
        </w:rPr>
      </w:pPr>
      <w:r>
        <w:rPr>
          <w:rFonts w:hint="eastAsia"/>
          <w:color w:val="auto"/>
          <w:highlight w:val="none"/>
        </w:rPr>
        <w:t>1.1.5项目建设地点：见投标人须知前附表。</w:t>
      </w:r>
    </w:p>
    <w:p>
      <w:pPr>
        <w:spacing w:line="360" w:lineRule="auto"/>
        <w:ind w:firstLine="420" w:firstLineChars="200"/>
        <w:rPr>
          <w:color w:val="auto"/>
          <w:highlight w:val="none"/>
        </w:rPr>
      </w:pPr>
      <w:r>
        <w:rPr>
          <w:rFonts w:hint="eastAsia"/>
          <w:color w:val="auto"/>
          <w:highlight w:val="none"/>
        </w:rPr>
        <w:t>1.1.6项目建设规模：见投标人须知前附表。</w:t>
      </w:r>
    </w:p>
    <w:p>
      <w:pPr>
        <w:spacing w:line="360" w:lineRule="auto"/>
        <w:ind w:firstLine="420" w:firstLineChars="200"/>
        <w:rPr>
          <w:color w:val="auto"/>
          <w:highlight w:val="none"/>
        </w:rPr>
      </w:pPr>
      <w:r>
        <w:rPr>
          <w:rFonts w:hint="eastAsia"/>
          <w:color w:val="auto"/>
          <w:highlight w:val="none"/>
        </w:rPr>
        <w:t>1.1.7工程项目施工预计开工日期和建设周期：见投标人须知前附表。</w:t>
      </w:r>
    </w:p>
    <w:p>
      <w:pPr>
        <w:spacing w:line="360" w:lineRule="auto"/>
        <w:ind w:firstLine="420" w:firstLineChars="200"/>
        <w:rPr>
          <w:color w:val="auto"/>
          <w:highlight w:val="none"/>
        </w:rPr>
      </w:pPr>
      <w:r>
        <w:rPr>
          <w:rFonts w:hint="eastAsia"/>
          <w:color w:val="auto"/>
          <w:highlight w:val="none"/>
        </w:rPr>
        <w:t>1.1.8建筑安装工程费/工程概算：见投标人须知前附表。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1.2招标项目的资金来源和落实情况</w:t>
      </w:r>
    </w:p>
    <w:p>
      <w:pPr>
        <w:spacing w:line="360" w:lineRule="auto"/>
        <w:ind w:firstLine="420" w:firstLineChars="200"/>
        <w:rPr>
          <w:color w:val="auto"/>
          <w:highlight w:val="none"/>
        </w:rPr>
      </w:pPr>
      <w:r>
        <w:rPr>
          <w:rFonts w:hint="eastAsia"/>
          <w:color w:val="auto"/>
          <w:highlight w:val="none"/>
        </w:rPr>
        <w:t>1.2.1资金来源及比例：见投标人须知前附表。</w:t>
      </w:r>
    </w:p>
    <w:p>
      <w:pPr>
        <w:spacing w:line="360" w:lineRule="auto"/>
        <w:ind w:firstLine="420" w:firstLineChars="200"/>
        <w:rPr>
          <w:color w:val="auto"/>
          <w:highlight w:val="none"/>
        </w:rPr>
      </w:pPr>
      <w:r>
        <w:rPr>
          <w:rFonts w:hint="eastAsia"/>
          <w:color w:val="auto"/>
          <w:highlight w:val="none"/>
        </w:rPr>
        <w:t>1.2.2资金落实情况：见投标人须知前附表。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1.3招标范围、服务期限和质量标准</w:t>
      </w:r>
    </w:p>
    <w:p>
      <w:pPr>
        <w:spacing w:line="360" w:lineRule="auto"/>
        <w:ind w:firstLine="420" w:firstLineChars="200"/>
        <w:rPr>
          <w:color w:val="auto"/>
          <w:highlight w:val="none"/>
        </w:rPr>
      </w:pPr>
      <w:r>
        <w:rPr>
          <w:rFonts w:hint="eastAsia"/>
          <w:color w:val="auto"/>
          <w:highlight w:val="none"/>
        </w:rPr>
        <w:t>1.3.1招标范围：见投标人须知前附表。</w:t>
      </w:r>
    </w:p>
    <w:p>
      <w:pPr>
        <w:spacing w:line="360" w:lineRule="auto"/>
        <w:ind w:firstLine="420" w:firstLineChars="200"/>
        <w:rPr>
          <w:color w:val="auto"/>
          <w:highlight w:val="none"/>
        </w:rPr>
      </w:pPr>
      <w:r>
        <w:rPr>
          <w:rFonts w:hint="eastAsia"/>
          <w:color w:val="auto"/>
          <w:highlight w:val="none"/>
        </w:rPr>
        <w:t>1.3.2服务期限：见投标人须知前附表。</w:t>
      </w:r>
    </w:p>
    <w:p>
      <w:pPr>
        <w:spacing w:line="360" w:lineRule="auto"/>
        <w:ind w:firstLine="420" w:firstLineChars="200"/>
        <w:rPr>
          <w:color w:val="auto"/>
          <w:highlight w:val="none"/>
        </w:rPr>
      </w:pPr>
      <w:r>
        <w:rPr>
          <w:rFonts w:hint="eastAsia"/>
          <w:color w:val="auto"/>
          <w:highlight w:val="none"/>
        </w:rPr>
        <w:t>1.3.3质量标准：见投标人须知前附表。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1.4投标人资格要求</w:t>
      </w:r>
    </w:p>
    <w:p>
      <w:pPr>
        <w:spacing w:line="360" w:lineRule="auto"/>
        <w:ind w:firstLine="420" w:firstLineChars="200"/>
        <w:rPr>
          <w:color w:val="auto"/>
          <w:highlight w:val="none"/>
        </w:rPr>
      </w:pPr>
      <w:r>
        <w:rPr>
          <w:rFonts w:hint="eastAsia"/>
          <w:color w:val="auto"/>
          <w:highlight w:val="none"/>
        </w:rPr>
        <w:t>1.4.1投标人应具备承担本招标项目资质条件、能力和信誉：</w:t>
      </w:r>
    </w:p>
    <w:p>
      <w:pPr>
        <w:spacing w:line="360" w:lineRule="auto"/>
        <w:ind w:firstLine="210" w:firstLineChars="100"/>
        <w:rPr>
          <w:color w:val="auto"/>
          <w:highlight w:val="none"/>
        </w:rPr>
      </w:pPr>
      <w:r>
        <w:rPr>
          <w:rFonts w:hint="eastAsia"/>
          <w:color w:val="auto"/>
          <w:highlight w:val="none"/>
        </w:rPr>
        <w:t>（1）资质要求：见投标人须知前附表；</w:t>
      </w:r>
    </w:p>
    <w:p>
      <w:pPr>
        <w:spacing w:line="360" w:lineRule="auto"/>
        <w:ind w:firstLine="210" w:firstLineChars="100"/>
        <w:rPr>
          <w:color w:val="auto"/>
          <w:highlight w:val="none"/>
        </w:rPr>
      </w:pPr>
      <w:r>
        <w:rPr>
          <w:rFonts w:hint="eastAsia"/>
          <w:color w:val="auto"/>
          <w:highlight w:val="none"/>
        </w:rPr>
        <w:t>（2）财务要求：见投标人须知前附表；</w:t>
      </w:r>
    </w:p>
    <w:p>
      <w:pPr>
        <w:spacing w:line="360" w:lineRule="auto"/>
        <w:ind w:firstLine="210" w:firstLineChars="100"/>
        <w:rPr>
          <w:color w:val="auto"/>
          <w:highlight w:val="none"/>
        </w:rPr>
      </w:pPr>
      <w:r>
        <w:rPr>
          <w:rFonts w:hint="eastAsia"/>
          <w:color w:val="auto"/>
          <w:highlight w:val="none"/>
        </w:rPr>
        <w:t>（3）业绩要求：见投标人须知前附表；</w:t>
      </w:r>
    </w:p>
    <w:p>
      <w:pPr>
        <w:spacing w:line="360" w:lineRule="auto"/>
        <w:ind w:firstLine="210" w:firstLineChars="100"/>
        <w:rPr>
          <w:color w:val="auto"/>
          <w:highlight w:val="none"/>
        </w:rPr>
      </w:pPr>
      <w:r>
        <w:rPr>
          <w:rFonts w:hint="eastAsia"/>
          <w:color w:val="auto"/>
          <w:highlight w:val="none"/>
        </w:rPr>
        <w:t>（4）信誉要求：见投标人须知前附表；</w:t>
      </w:r>
    </w:p>
    <w:p>
      <w:pPr>
        <w:spacing w:line="360" w:lineRule="auto"/>
        <w:ind w:firstLine="210" w:firstLineChars="100"/>
        <w:rPr>
          <w:color w:val="auto"/>
          <w:highlight w:val="none"/>
        </w:rPr>
      </w:pPr>
      <w:r>
        <w:rPr>
          <w:rFonts w:hint="eastAsia"/>
          <w:color w:val="auto"/>
          <w:highlight w:val="none"/>
        </w:rPr>
        <w:t>（5）总监理工程师</w:t>
      </w:r>
      <w:r>
        <w:rPr>
          <w:rFonts w:hint="eastAsia"/>
          <w:color w:val="auto"/>
          <w:highlight w:val="none"/>
          <w:u w:val="single"/>
        </w:rPr>
        <w:t>及造价咨询负责人</w:t>
      </w:r>
      <w:r>
        <w:rPr>
          <w:rFonts w:hint="eastAsia"/>
          <w:color w:val="auto"/>
          <w:highlight w:val="none"/>
        </w:rPr>
        <w:t>的资格要求：具体要求见投标人须知前附表；</w:t>
      </w:r>
    </w:p>
    <w:p>
      <w:pPr>
        <w:spacing w:line="360" w:lineRule="auto"/>
        <w:ind w:firstLine="210" w:firstLineChars="100"/>
        <w:rPr>
          <w:color w:val="auto"/>
          <w:highlight w:val="none"/>
        </w:rPr>
      </w:pPr>
      <w:r>
        <w:rPr>
          <w:rFonts w:hint="eastAsia"/>
          <w:color w:val="auto"/>
          <w:highlight w:val="none"/>
        </w:rPr>
        <w:t>（6）其他主要人员要求：见投标人须知前附表。</w:t>
      </w:r>
    </w:p>
    <w:p>
      <w:pPr>
        <w:spacing w:line="360" w:lineRule="auto"/>
        <w:ind w:firstLine="210" w:firstLineChars="100"/>
        <w:rPr>
          <w:color w:val="auto"/>
          <w:highlight w:val="none"/>
        </w:rPr>
      </w:pPr>
      <w:r>
        <w:rPr>
          <w:rFonts w:hint="eastAsia"/>
          <w:color w:val="auto"/>
          <w:highlight w:val="none"/>
        </w:rPr>
        <w:t>（7）试验检测仪器设备要求：见投标人须知前附表。</w:t>
      </w:r>
    </w:p>
    <w:p>
      <w:pPr>
        <w:spacing w:line="360" w:lineRule="auto"/>
        <w:ind w:firstLine="210" w:firstLineChars="100"/>
        <w:rPr>
          <w:color w:val="auto"/>
          <w:highlight w:val="none"/>
        </w:rPr>
      </w:pPr>
      <w:r>
        <w:rPr>
          <w:rFonts w:hint="eastAsia"/>
          <w:color w:val="auto"/>
          <w:highlight w:val="none"/>
        </w:rPr>
        <w:t>（8）其他要求：见投标人须知前附表。</w:t>
      </w:r>
    </w:p>
    <w:p>
      <w:pPr>
        <w:spacing w:line="360" w:lineRule="auto"/>
        <w:rPr>
          <w:color w:val="auto"/>
          <w:highlight w:val="none"/>
        </w:rPr>
      </w:pPr>
      <w:r>
        <w:rPr>
          <w:rFonts w:hint="eastAsia"/>
          <w:color w:val="auto"/>
          <w:highlight w:val="none"/>
        </w:rPr>
        <w:t>需要提交的相关证明材料见本章第 3.5 款的规定。</w:t>
      </w:r>
    </w:p>
    <w:p>
      <w:pPr>
        <w:spacing w:line="360" w:lineRule="auto"/>
        <w:ind w:firstLine="420" w:firstLineChars="200"/>
        <w:rPr>
          <w:color w:val="auto"/>
          <w:highlight w:val="none"/>
        </w:rPr>
      </w:pPr>
      <w:r>
        <w:rPr>
          <w:rFonts w:hint="eastAsia"/>
          <w:color w:val="auto"/>
          <w:highlight w:val="none"/>
        </w:rPr>
        <w:t>1.4.2投标人须知前附表规定接受联合体投标的，联合体除应符合本章第 1.4.1 项和投标人须知前附表的要求外，还应遵守以下规定：</w:t>
      </w:r>
    </w:p>
    <w:p>
      <w:pPr>
        <w:spacing w:line="360" w:lineRule="auto"/>
        <w:ind w:firstLine="420" w:firstLineChars="200"/>
        <w:rPr>
          <w:color w:val="auto"/>
          <w:highlight w:val="none"/>
        </w:rPr>
      </w:pPr>
      <w:r>
        <w:rPr>
          <w:rFonts w:hint="eastAsia"/>
          <w:color w:val="auto"/>
          <w:highlight w:val="none"/>
        </w:rPr>
        <w:t>（1）联合体各方应按招标文件提供的格式签订联合体协议书，明确联合体牵头人和各方权利义务，并承诺就中标项目向招标人承担连带责任；</w:t>
      </w:r>
    </w:p>
    <w:p>
      <w:pPr>
        <w:spacing w:line="360" w:lineRule="auto"/>
        <w:ind w:firstLine="420" w:firstLineChars="200"/>
        <w:rPr>
          <w:color w:val="auto"/>
          <w:highlight w:val="none"/>
        </w:rPr>
      </w:pPr>
      <w:r>
        <w:rPr>
          <w:rFonts w:hint="eastAsia"/>
          <w:color w:val="auto"/>
          <w:highlight w:val="none"/>
        </w:rPr>
        <w:t>（2）由同一专业的单位组成的联合体，按照资质等级较低的单位确定资质等级；</w:t>
      </w:r>
    </w:p>
    <w:p>
      <w:pPr>
        <w:spacing w:line="360" w:lineRule="auto"/>
        <w:ind w:firstLine="420" w:firstLineChars="200"/>
        <w:rPr>
          <w:color w:val="auto"/>
          <w:highlight w:val="none"/>
        </w:rPr>
      </w:pPr>
      <w:r>
        <w:rPr>
          <w:rFonts w:hint="eastAsia"/>
          <w:color w:val="auto"/>
          <w:highlight w:val="none"/>
        </w:rPr>
        <w:t>（3）联合体各方不得再以自己名义单独或参加其他联合体在本招标项目中投标，否则各相关投标均无效。</w:t>
      </w:r>
    </w:p>
    <w:p>
      <w:pPr>
        <w:spacing w:line="360" w:lineRule="auto"/>
        <w:ind w:firstLine="420" w:firstLineChars="200"/>
        <w:rPr>
          <w:color w:val="auto"/>
          <w:highlight w:val="none"/>
        </w:rPr>
      </w:pPr>
      <w:r>
        <w:rPr>
          <w:rFonts w:hint="eastAsia"/>
          <w:color w:val="auto"/>
          <w:highlight w:val="none"/>
        </w:rPr>
        <w:t>1.4.3投标人不得存在下列情形之一：</w:t>
      </w:r>
    </w:p>
    <w:p>
      <w:pPr>
        <w:spacing w:line="360" w:lineRule="auto"/>
        <w:ind w:firstLine="420" w:firstLineChars="200"/>
        <w:rPr>
          <w:color w:val="auto"/>
          <w:highlight w:val="none"/>
        </w:rPr>
      </w:pPr>
      <w:r>
        <w:rPr>
          <w:rFonts w:hint="eastAsia"/>
          <w:color w:val="auto"/>
          <w:highlight w:val="none"/>
        </w:rPr>
        <w:t>（1）为招标人不具有独立法人资格的附属机构（单位）；</w:t>
      </w:r>
    </w:p>
    <w:p>
      <w:pPr>
        <w:spacing w:line="360" w:lineRule="auto"/>
        <w:ind w:firstLine="420" w:firstLineChars="200"/>
        <w:rPr>
          <w:color w:val="auto"/>
          <w:highlight w:val="none"/>
        </w:rPr>
      </w:pPr>
      <w:r>
        <w:rPr>
          <w:rFonts w:hint="eastAsia"/>
          <w:color w:val="auto"/>
          <w:highlight w:val="none"/>
        </w:rPr>
        <w:t>（2）与招标人存在利害关系且可能影响招标公正性；</w:t>
      </w:r>
    </w:p>
    <w:p>
      <w:pPr>
        <w:spacing w:line="360" w:lineRule="auto"/>
        <w:ind w:firstLine="420" w:firstLineChars="200"/>
        <w:rPr>
          <w:color w:val="auto"/>
          <w:highlight w:val="none"/>
        </w:rPr>
      </w:pPr>
      <w:r>
        <w:rPr>
          <w:rFonts w:hint="eastAsia"/>
          <w:color w:val="auto"/>
          <w:highlight w:val="none"/>
        </w:rPr>
        <w:t>（3）与本招标项目的其他投标人为同一个单位负责人；</w:t>
      </w:r>
    </w:p>
    <w:p>
      <w:pPr>
        <w:spacing w:line="360" w:lineRule="auto"/>
        <w:ind w:firstLine="420" w:firstLineChars="200"/>
        <w:rPr>
          <w:color w:val="auto"/>
          <w:highlight w:val="none"/>
        </w:rPr>
      </w:pPr>
      <w:r>
        <w:rPr>
          <w:rFonts w:hint="eastAsia"/>
          <w:color w:val="auto"/>
          <w:highlight w:val="none"/>
        </w:rPr>
        <w:t>（4）与本招标项目的其他投标人存在控股、管理关系；</w:t>
      </w:r>
    </w:p>
    <w:p>
      <w:pPr>
        <w:spacing w:line="360" w:lineRule="auto"/>
        <w:ind w:firstLine="420" w:firstLineChars="200"/>
        <w:rPr>
          <w:color w:val="auto"/>
          <w:highlight w:val="none"/>
        </w:rPr>
      </w:pPr>
      <w:r>
        <w:rPr>
          <w:rFonts w:hint="eastAsia"/>
          <w:color w:val="auto"/>
          <w:highlight w:val="none"/>
        </w:rPr>
        <w:t>（5）为本招标项目的代建人；</w:t>
      </w:r>
    </w:p>
    <w:p>
      <w:pPr>
        <w:spacing w:line="360" w:lineRule="auto"/>
        <w:ind w:firstLine="420" w:firstLineChars="200"/>
        <w:rPr>
          <w:color w:val="auto"/>
          <w:highlight w:val="none"/>
        </w:rPr>
      </w:pPr>
      <w:r>
        <w:rPr>
          <w:rFonts w:hint="eastAsia"/>
          <w:color w:val="auto"/>
          <w:highlight w:val="none"/>
        </w:rPr>
        <w:t>（6）为本招标项目的招标代理机构；</w:t>
      </w:r>
    </w:p>
    <w:p>
      <w:pPr>
        <w:spacing w:line="360" w:lineRule="auto"/>
        <w:ind w:firstLine="420" w:firstLineChars="200"/>
        <w:rPr>
          <w:color w:val="auto"/>
          <w:highlight w:val="none"/>
        </w:rPr>
      </w:pPr>
      <w:r>
        <w:rPr>
          <w:rFonts w:hint="eastAsia"/>
          <w:color w:val="auto"/>
          <w:highlight w:val="none"/>
        </w:rPr>
        <w:t>（7）与本招标项目的代建人或招标代理机构同为一个法定代表人；</w:t>
      </w:r>
    </w:p>
    <w:p>
      <w:pPr>
        <w:spacing w:line="360" w:lineRule="auto"/>
        <w:ind w:firstLine="420" w:firstLineChars="200"/>
        <w:rPr>
          <w:color w:val="auto"/>
          <w:highlight w:val="none"/>
        </w:rPr>
      </w:pPr>
      <w:r>
        <w:rPr>
          <w:rFonts w:hint="eastAsia"/>
          <w:color w:val="auto"/>
          <w:highlight w:val="none"/>
        </w:rPr>
        <w:t>（8）与本招标项目的代建人或招标代理机构存在控股或参股关系；</w:t>
      </w:r>
    </w:p>
    <w:p>
      <w:pPr>
        <w:spacing w:line="360" w:lineRule="auto"/>
        <w:ind w:firstLine="420" w:firstLineChars="200"/>
        <w:rPr>
          <w:color w:val="auto"/>
          <w:highlight w:val="none"/>
        </w:rPr>
      </w:pPr>
      <w:r>
        <w:rPr>
          <w:rFonts w:hint="eastAsia"/>
          <w:color w:val="auto"/>
          <w:highlight w:val="none"/>
        </w:rPr>
        <w:t>（9）与本招标项目的施工承包人以及建筑材料、建筑构配件和设备供应商有隶属关系或者其他利害关系；</w:t>
      </w:r>
    </w:p>
    <w:p>
      <w:pPr>
        <w:spacing w:line="360" w:lineRule="auto"/>
        <w:ind w:firstLine="420" w:firstLineChars="200"/>
        <w:rPr>
          <w:color w:val="auto"/>
          <w:highlight w:val="none"/>
        </w:rPr>
      </w:pPr>
      <w:r>
        <w:rPr>
          <w:rFonts w:hint="eastAsia"/>
          <w:color w:val="auto"/>
          <w:highlight w:val="none"/>
        </w:rPr>
        <w:t>（10）被依法暂停或者取消投标资格；</w:t>
      </w:r>
      <w:r>
        <w:rPr>
          <w:color w:val="auto"/>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420" w:firstLineChars="200"/>
        <w:rPr>
          <w:color w:val="auto"/>
          <w:highlight w:val="none"/>
          <w:u w:val="single"/>
        </w:rPr>
      </w:pPr>
      <w:r>
        <w:rPr>
          <w:rFonts w:hint="eastAsia"/>
          <w:color w:val="auto"/>
          <w:highlight w:val="none"/>
        </w:rPr>
        <w:t>（11）被责令停产停业、暂扣或者吊销许可证、暂扣或者吊销执照；</w:t>
      </w:r>
      <w:r>
        <w:rPr>
          <w:color w:val="auto"/>
          <w:highlight w:val="none"/>
          <w:u w:val="single"/>
        </w:rPr>
        <w:t>（本项事实应当以根据《中华人民共和国行政处罚法》依法作出并已经生效的行政处罚决定为认定依据。）</w:t>
      </w:r>
    </w:p>
    <w:p>
      <w:pPr>
        <w:spacing w:line="360" w:lineRule="auto"/>
        <w:ind w:firstLine="420" w:firstLineChars="200"/>
        <w:rPr>
          <w:color w:val="auto"/>
          <w:highlight w:val="none"/>
        </w:rPr>
      </w:pPr>
      <w:r>
        <w:rPr>
          <w:rFonts w:hint="eastAsia"/>
          <w:color w:val="auto"/>
          <w:highlight w:val="none"/>
        </w:rPr>
        <w:t>（12）进入清算程序，或被宣告破产，或其他丧失履约能力的情形；</w:t>
      </w:r>
    </w:p>
    <w:p>
      <w:pPr>
        <w:spacing w:line="360" w:lineRule="auto"/>
        <w:ind w:firstLine="420" w:firstLineChars="200"/>
        <w:rPr>
          <w:color w:val="auto"/>
          <w:highlight w:val="none"/>
        </w:rPr>
      </w:pPr>
      <w:r>
        <w:rPr>
          <w:rFonts w:hint="eastAsia"/>
          <w:color w:val="auto"/>
          <w:highlight w:val="none"/>
        </w:rPr>
        <w:t>（13）在最近三年内发生重大监理质量问题（以相关行业主管部门的行政处罚决定或司法机关出具的有关法律文书为准；</w:t>
      </w:r>
      <w:r>
        <w:rPr>
          <w:rFonts w:hint="eastAsia"/>
          <w:color w:val="auto"/>
          <w:highlight w:val="none"/>
          <w:u w:val="single"/>
        </w:rPr>
        <w:t>“最近三年”是指从</w:t>
      </w:r>
      <w:r>
        <w:rPr>
          <w:color w:val="auto"/>
          <w:highlight w:val="none"/>
          <w:u w:val="single"/>
        </w:rPr>
        <w:t>2021年1月1日至投标截止时间止</w:t>
      </w:r>
      <w:r>
        <w:rPr>
          <w:rFonts w:hint="eastAsia"/>
          <w:color w:val="auto"/>
          <w:highlight w:val="none"/>
          <w:u w:val="single"/>
        </w:rPr>
        <w:t>，以相关行业主管部门、司法机关出具的生效文件的落款时间起计算）；</w:t>
      </w:r>
    </w:p>
    <w:p>
      <w:pPr>
        <w:spacing w:line="360" w:lineRule="auto"/>
        <w:ind w:firstLine="420" w:firstLineChars="200"/>
        <w:rPr>
          <w:color w:val="auto"/>
          <w:highlight w:val="none"/>
        </w:rPr>
      </w:pPr>
      <w:r>
        <w:rPr>
          <w:rFonts w:hint="eastAsia"/>
          <w:color w:val="auto"/>
          <w:highlight w:val="none"/>
        </w:rPr>
        <w:t>（14）法律法规或投标人须知前附表规定的其他情形。</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1.5费用承担</w:t>
      </w:r>
    </w:p>
    <w:p>
      <w:pPr>
        <w:spacing w:line="360" w:lineRule="auto"/>
        <w:ind w:firstLine="420" w:firstLineChars="200"/>
        <w:rPr>
          <w:color w:val="auto"/>
          <w:highlight w:val="none"/>
        </w:rPr>
      </w:pPr>
      <w:r>
        <w:rPr>
          <w:rFonts w:hint="eastAsia"/>
          <w:color w:val="auto"/>
          <w:highlight w:val="none"/>
        </w:rPr>
        <w:t>投标人准备和参加投标活动发生的费用自理。</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1.6保密</w:t>
      </w:r>
    </w:p>
    <w:p>
      <w:pPr>
        <w:spacing w:line="360" w:lineRule="auto"/>
        <w:ind w:firstLine="420" w:firstLineChars="200"/>
        <w:rPr>
          <w:color w:val="auto"/>
          <w:highlight w:val="none"/>
        </w:rPr>
      </w:pPr>
      <w:r>
        <w:rPr>
          <w:rFonts w:hint="eastAsia"/>
          <w:color w:val="auto"/>
          <w:highlight w:val="none"/>
        </w:rPr>
        <w:t>参与招标投标活动的各方应对招标文件和投标文件中的商业和技术等秘密保密，否则应承担相应的法律责任。</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1.7语言文字</w:t>
      </w:r>
    </w:p>
    <w:p>
      <w:pPr>
        <w:spacing w:line="360" w:lineRule="auto"/>
        <w:ind w:firstLine="420" w:firstLineChars="200"/>
        <w:rPr>
          <w:color w:val="auto"/>
          <w:highlight w:val="none"/>
        </w:rPr>
      </w:pPr>
      <w:r>
        <w:rPr>
          <w:rFonts w:hint="eastAsia"/>
          <w:color w:val="auto"/>
          <w:highlight w:val="none"/>
        </w:rPr>
        <w:t>招标投标文件使用的语言文字为中文。专用术语使用外文的，应附有中文注释。</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1.8计量单位</w:t>
      </w:r>
    </w:p>
    <w:p>
      <w:pPr>
        <w:spacing w:line="360" w:lineRule="auto"/>
        <w:ind w:firstLine="420" w:firstLineChars="200"/>
        <w:rPr>
          <w:color w:val="auto"/>
          <w:highlight w:val="none"/>
        </w:rPr>
      </w:pPr>
      <w:r>
        <w:rPr>
          <w:rFonts w:hint="eastAsia"/>
          <w:color w:val="auto"/>
          <w:highlight w:val="none"/>
        </w:rPr>
        <w:t>所有计量均采用中华人民共和国法定计量单位。</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1.9踏勘现场</w:t>
      </w:r>
    </w:p>
    <w:p>
      <w:pPr>
        <w:spacing w:line="360" w:lineRule="auto"/>
        <w:ind w:firstLine="420" w:firstLineChars="200"/>
        <w:rPr>
          <w:color w:val="auto"/>
          <w:highlight w:val="none"/>
        </w:rPr>
      </w:pPr>
      <w:r>
        <w:rPr>
          <w:rFonts w:hint="eastAsia"/>
          <w:color w:val="auto"/>
          <w:highlight w:val="none"/>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color w:val="auto"/>
          <w:highlight w:val="none"/>
        </w:rPr>
      </w:pPr>
      <w:r>
        <w:rPr>
          <w:rFonts w:hint="eastAsia"/>
          <w:color w:val="auto"/>
          <w:highlight w:val="none"/>
        </w:rPr>
        <w:t>1.9.2投标人踏勘现场发生的费用自理。</w:t>
      </w:r>
    </w:p>
    <w:p>
      <w:pPr>
        <w:spacing w:line="360" w:lineRule="auto"/>
        <w:ind w:firstLine="420" w:firstLineChars="200"/>
        <w:rPr>
          <w:color w:val="auto"/>
          <w:highlight w:val="none"/>
        </w:rPr>
      </w:pPr>
      <w:r>
        <w:rPr>
          <w:rFonts w:hint="eastAsia"/>
          <w:color w:val="auto"/>
          <w:highlight w:val="none"/>
        </w:rPr>
        <w:t>1.9.3除招标人的原因外，投标人自行负责在踏勘现场中所发生的人员伤亡和财产损失。</w:t>
      </w:r>
    </w:p>
    <w:p>
      <w:pPr>
        <w:spacing w:line="360" w:lineRule="auto"/>
        <w:ind w:firstLine="420" w:firstLineChars="200"/>
        <w:rPr>
          <w:color w:val="auto"/>
          <w:highlight w:val="none"/>
        </w:rPr>
      </w:pPr>
      <w:r>
        <w:rPr>
          <w:rFonts w:hint="eastAsia"/>
          <w:color w:val="auto"/>
          <w:highlight w:val="none"/>
        </w:rPr>
        <w:t>1.9.4招标人在踏勘现场中介绍的工程场地和相关的周边环境情况，供投标人在编制投标文件时参考，招标人不对投标人据此作出的判断和决策负责。</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1.10投标预备会</w:t>
      </w:r>
    </w:p>
    <w:p>
      <w:pPr>
        <w:spacing w:line="360" w:lineRule="auto"/>
        <w:ind w:firstLine="420" w:firstLineChars="200"/>
        <w:rPr>
          <w:color w:val="auto"/>
          <w:highlight w:val="none"/>
        </w:rPr>
      </w:pPr>
      <w:r>
        <w:rPr>
          <w:rFonts w:hint="eastAsia"/>
          <w:color w:val="auto"/>
          <w:highlight w:val="none"/>
        </w:rPr>
        <w:t>1.10.1投标人须知前附表规定召开投标预备会的，招标人按投标人须知前附表规定的时间和地点召开投标预备会，澄清投标人提出的问题。</w:t>
      </w:r>
    </w:p>
    <w:p>
      <w:pPr>
        <w:spacing w:line="360" w:lineRule="auto"/>
        <w:ind w:firstLine="420" w:firstLineChars="200"/>
        <w:rPr>
          <w:color w:val="auto"/>
          <w:highlight w:val="none"/>
        </w:rPr>
      </w:pPr>
      <w:r>
        <w:rPr>
          <w:rFonts w:hint="eastAsia"/>
          <w:color w:val="auto"/>
          <w:highlight w:val="none"/>
        </w:rPr>
        <w:t>1.10.2投标人应按投标人须知前附表规定的时间和形式将提出的问题送达招标人，以便招标人在会议期间澄清。</w:t>
      </w:r>
    </w:p>
    <w:p>
      <w:pPr>
        <w:spacing w:line="360" w:lineRule="auto"/>
        <w:ind w:firstLine="420" w:firstLineChars="200"/>
        <w:rPr>
          <w:color w:val="auto"/>
          <w:highlight w:val="none"/>
        </w:rPr>
      </w:pPr>
      <w:r>
        <w:rPr>
          <w:rFonts w:hint="eastAsia"/>
          <w:color w:val="auto"/>
          <w:highlight w:val="none"/>
        </w:rPr>
        <w:t>1.10.3投标预备会后，招标人将对投标人所提问题的澄清，以投标人须知前附表规定的形式通知所有购买招标文件的投标人。该澄清内容为招标文件的组成部分。</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1.11分包</w:t>
      </w:r>
    </w:p>
    <w:p>
      <w:pPr>
        <w:spacing w:line="360" w:lineRule="auto"/>
        <w:ind w:firstLine="420" w:firstLineChars="200"/>
        <w:rPr>
          <w:color w:val="auto"/>
          <w:highlight w:val="none"/>
        </w:rPr>
      </w:pPr>
      <w:r>
        <w:rPr>
          <w:rFonts w:hint="eastAsia"/>
          <w:color w:val="auto"/>
          <w:highlight w:val="none"/>
        </w:rPr>
        <w:t>本项目严禁分包。</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1.12响应和偏差</w:t>
      </w:r>
    </w:p>
    <w:p>
      <w:pPr>
        <w:spacing w:line="360" w:lineRule="auto"/>
        <w:ind w:firstLine="420" w:firstLineChars="200"/>
        <w:rPr>
          <w:color w:val="auto"/>
          <w:highlight w:val="none"/>
        </w:rPr>
      </w:pPr>
      <w:r>
        <w:rPr>
          <w:rFonts w:hint="eastAsia"/>
          <w:color w:val="auto"/>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color w:val="auto"/>
          <w:highlight w:val="none"/>
        </w:rPr>
      </w:pPr>
      <w:r>
        <w:rPr>
          <w:rFonts w:hint="eastAsia"/>
          <w:color w:val="auto"/>
          <w:highlight w:val="none"/>
        </w:rPr>
        <w:t>1.12.2投标人应根据招标文件的要求提供</w:t>
      </w:r>
      <w:r>
        <w:rPr>
          <w:rFonts w:hint="eastAsia"/>
          <w:color w:val="auto"/>
          <w:highlight w:val="none"/>
          <w:u w:val="single"/>
        </w:rPr>
        <w:t>投标</w:t>
      </w:r>
      <w:r>
        <w:rPr>
          <w:rFonts w:hint="eastAsia"/>
          <w:color w:val="auto"/>
          <w:highlight w:val="none"/>
          <w:u w:val="single"/>
          <w:lang w:val="en-US"/>
        </w:rPr>
        <w:t>技术服务方案</w:t>
      </w:r>
      <w:r>
        <w:rPr>
          <w:rFonts w:hint="eastAsia"/>
          <w:color w:val="auto"/>
          <w:highlight w:val="none"/>
        </w:rPr>
        <w:t>等内容以对招标文件作出响应。</w:t>
      </w:r>
    </w:p>
    <w:p>
      <w:pPr>
        <w:spacing w:line="360" w:lineRule="auto"/>
        <w:ind w:firstLine="420" w:firstLineChars="200"/>
        <w:rPr>
          <w:color w:val="auto"/>
          <w:highlight w:val="none"/>
        </w:rPr>
      </w:pPr>
      <w:r>
        <w:rPr>
          <w:rFonts w:hint="eastAsia"/>
          <w:color w:val="auto"/>
          <w:highlight w:val="none"/>
        </w:rPr>
        <w:t>1.12.3投标人须知前附表允许投标文件偏离招标文件某些要求的，偏差应当符合招标文件规定的偏差范围和幅度。</w:t>
      </w:r>
    </w:p>
    <w:p>
      <w:pPr>
        <w:spacing w:line="360" w:lineRule="auto"/>
        <w:rPr>
          <w:rFonts w:cs="Times New Roman"/>
          <w:b/>
          <w:bCs/>
          <w:color w:val="auto"/>
          <w:kern w:val="2"/>
          <w:sz w:val="28"/>
          <w:szCs w:val="28"/>
          <w:highlight w:val="none"/>
          <w:lang w:val="en-US" w:bidi="ar-SA"/>
        </w:rPr>
      </w:pPr>
      <w:bookmarkStart w:id="11" w:name="_bookmark38"/>
      <w:bookmarkEnd w:id="11"/>
      <w:r>
        <w:rPr>
          <w:rFonts w:hint="eastAsia" w:cs="Times New Roman"/>
          <w:b/>
          <w:bCs/>
          <w:color w:val="auto"/>
          <w:kern w:val="2"/>
          <w:sz w:val="28"/>
          <w:szCs w:val="28"/>
          <w:highlight w:val="none"/>
          <w:lang w:val="en-US" w:bidi="ar-SA"/>
        </w:rPr>
        <w:t>2.招标文件</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2.1招标文件的组成</w:t>
      </w:r>
    </w:p>
    <w:p>
      <w:pPr>
        <w:spacing w:line="360" w:lineRule="auto"/>
        <w:rPr>
          <w:color w:val="auto"/>
          <w:highlight w:val="none"/>
        </w:rPr>
      </w:pPr>
      <w:r>
        <w:rPr>
          <w:rFonts w:hint="eastAsia"/>
          <w:color w:val="auto"/>
          <w:highlight w:val="none"/>
        </w:rPr>
        <w:t>本招标文件包括：</w:t>
      </w:r>
    </w:p>
    <w:p>
      <w:pPr>
        <w:spacing w:line="360" w:lineRule="auto"/>
        <w:rPr>
          <w:color w:val="auto"/>
          <w:highlight w:val="none"/>
        </w:rPr>
      </w:pPr>
      <w:r>
        <w:rPr>
          <w:rFonts w:hint="eastAsia"/>
          <w:color w:val="auto"/>
          <w:highlight w:val="none"/>
        </w:rPr>
        <w:t>（1）招标公告</w:t>
      </w:r>
      <w:r>
        <w:rPr>
          <w:strike/>
          <w:dstrike w:val="0"/>
          <w:color w:val="auto"/>
          <w:highlight w:val="none"/>
        </w:rPr>
        <w:t>（或投标邀请书）</w:t>
      </w:r>
      <w:r>
        <w:rPr>
          <w:rFonts w:hint="eastAsia"/>
          <w:color w:val="auto"/>
          <w:highlight w:val="none"/>
        </w:rPr>
        <w:t>；</w:t>
      </w:r>
    </w:p>
    <w:p>
      <w:pPr>
        <w:spacing w:line="360" w:lineRule="auto"/>
        <w:rPr>
          <w:color w:val="auto"/>
          <w:highlight w:val="none"/>
        </w:rPr>
      </w:pPr>
      <w:r>
        <w:rPr>
          <w:rFonts w:hint="eastAsia"/>
          <w:color w:val="auto"/>
          <w:highlight w:val="none"/>
        </w:rPr>
        <w:t>（2）投标人须知；</w:t>
      </w:r>
    </w:p>
    <w:p>
      <w:pPr>
        <w:spacing w:line="360" w:lineRule="auto"/>
        <w:rPr>
          <w:color w:val="auto"/>
          <w:highlight w:val="none"/>
        </w:rPr>
      </w:pPr>
      <w:r>
        <w:rPr>
          <w:rFonts w:hint="eastAsia"/>
          <w:color w:val="auto"/>
          <w:highlight w:val="none"/>
        </w:rPr>
        <w:t>（3）评标办法；</w:t>
      </w:r>
    </w:p>
    <w:p>
      <w:pPr>
        <w:spacing w:line="360" w:lineRule="auto"/>
        <w:rPr>
          <w:color w:val="auto"/>
          <w:highlight w:val="none"/>
        </w:rPr>
      </w:pPr>
      <w:r>
        <w:rPr>
          <w:rFonts w:hint="eastAsia"/>
          <w:color w:val="auto"/>
          <w:highlight w:val="none"/>
        </w:rPr>
        <w:t>（4）合同条款及格式；</w:t>
      </w:r>
    </w:p>
    <w:p>
      <w:pPr>
        <w:spacing w:line="360" w:lineRule="auto"/>
        <w:rPr>
          <w:color w:val="auto"/>
          <w:highlight w:val="none"/>
        </w:rPr>
      </w:pPr>
      <w:r>
        <w:rPr>
          <w:rFonts w:hint="eastAsia"/>
          <w:color w:val="auto"/>
          <w:highlight w:val="none"/>
        </w:rPr>
        <w:t>（5）委托人要求；</w:t>
      </w:r>
    </w:p>
    <w:p>
      <w:pPr>
        <w:spacing w:line="360" w:lineRule="auto"/>
        <w:rPr>
          <w:color w:val="auto"/>
          <w:highlight w:val="none"/>
        </w:rPr>
      </w:pPr>
      <w:r>
        <w:rPr>
          <w:rFonts w:hint="eastAsia"/>
          <w:color w:val="auto"/>
          <w:highlight w:val="none"/>
        </w:rPr>
        <w:t>（6）投标文件格式；</w:t>
      </w:r>
    </w:p>
    <w:p>
      <w:pPr>
        <w:spacing w:line="360" w:lineRule="auto"/>
        <w:rPr>
          <w:color w:val="auto"/>
          <w:highlight w:val="none"/>
        </w:rPr>
      </w:pPr>
      <w:r>
        <w:rPr>
          <w:rFonts w:hint="eastAsia"/>
          <w:color w:val="auto"/>
          <w:highlight w:val="none"/>
        </w:rPr>
        <w:t>（7）投标人须知前附表规定的其他资料。</w:t>
      </w:r>
    </w:p>
    <w:p>
      <w:pPr>
        <w:spacing w:line="360" w:lineRule="auto"/>
        <w:rPr>
          <w:color w:val="auto"/>
          <w:highlight w:val="none"/>
        </w:rPr>
      </w:pPr>
      <w:r>
        <w:rPr>
          <w:rFonts w:hint="eastAsia"/>
          <w:color w:val="auto"/>
          <w:highlight w:val="none"/>
        </w:rPr>
        <w:t>根据本章第 1.10 款、第 2.2 款和第 2.3 款对招标文件所作的澄清、修改，构成招标文件的组成部分。</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2.2招标文件的澄清</w:t>
      </w:r>
    </w:p>
    <w:p>
      <w:pPr>
        <w:spacing w:line="360" w:lineRule="auto"/>
        <w:ind w:firstLine="420" w:firstLineChars="200"/>
        <w:rPr>
          <w:color w:val="auto"/>
          <w:highlight w:val="none"/>
        </w:rPr>
      </w:pPr>
      <w:r>
        <w:rPr>
          <w:rFonts w:hint="eastAsia"/>
          <w:color w:val="auto"/>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color w:val="auto"/>
          <w:highlight w:val="none"/>
        </w:rPr>
      </w:pPr>
      <w:r>
        <w:rPr>
          <w:rFonts w:hint="eastAsia"/>
          <w:color w:val="auto"/>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line="360" w:lineRule="auto"/>
        <w:ind w:firstLine="420" w:firstLineChars="200"/>
        <w:rPr>
          <w:color w:val="auto"/>
          <w:highlight w:val="none"/>
        </w:rPr>
      </w:pPr>
      <w:r>
        <w:rPr>
          <w:rFonts w:hint="eastAsia"/>
          <w:color w:val="auto"/>
          <w:highlight w:val="none"/>
        </w:rPr>
        <w:t>2.2.3投标人在收到澄清后，应按投标人须知前附表规定的时间和形式通知招标人，确认已收到该澄清。</w:t>
      </w:r>
    </w:p>
    <w:p>
      <w:pPr>
        <w:spacing w:line="360" w:lineRule="auto"/>
        <w:ind w:firstLine="420" w:firstLineChars="200"/>
        <w:rPr>
          <w:color w:val="auto"/>
          <w:highlight w:val="none"/>
        </w:rPr>
      </w:pPr>
      <w:r>
        <w:rPr>
          <w:rFonts w:hint="eastAsia"/>
          <w:color w:val="auto"/>
          <w:highlight w:val="none"/>
        </w:rPr>
        <w:t>2.2.4除非招标人认为确有必要答复，否则，招标人有权拒绝回复投标人在本章第 2.2.1 项规定的时间后的任何澄清要求。</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2.3招标文件的修改</w:t>
      </w:r>
    </w:p>
    <w:p>
      <w:pPr>
        <w:spacing w:line="360" w:lineRule="auto"/>
        <w:ind w:firstLine="420" w:firstLineChars="200"/>
        <w:rPr>
          <w:color w:val="auto"/>
          <w:highlight w:val="none"/>
        </w:rPr>
      </w:pPr>
      <w:r>
        <w:rPr>
          <w:rFonts w:hint="eastAsia"/>
          <w:color w:val="auto"/>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20" w:firstLineChars="200"/>
        <w:rPr>
          <w:color w:val="auto"/>
          <w:highlight w:val="none"/>
        </w:rPr>
      </w:pPr>
      <w:r>
        <w:rPr>
          <w:rFonts w:hint="eastAsia"/>
          <w:color w:val="auto"/>
          <w:highlight w:val="none"/>
        </w:rPr>
        <w:t>2.3.2投标人收到修改内容后，应按投标人须知前附表规定的时间和形式通知招标人，确认已收到该修改。</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2.4招标文件的异议</w:t>
      </w:r>
    </w:p>
    <w:p>
      <w:pPr>
        <w:spacing w:line="360" w:lineRule="auto"/>
        <w:ind w:firstLine="420" w:firstLineChars="200"/>
        <w:rPr>
          <w:color w:val="auto"/>
          <w:highlight w:val="none"/>
        </w:rPr>
      </w:pPr>
      <w:r>
        <w:rPr>
          <w:rFonts w:hint="eastAsia"/>
          <w:color w:val="auto"/>
          <w:highlight w:val="none"/>
        </w:rPr>
        <w:t>投标人或者其他利害关系人对招标文件有异议的，应当在投标截止时间 10 日前以书面形式提出。招标人将在收到异议之日起 3 日内作出答复；作出答复前，将暂停招标投标活动。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3.投标文件</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3.1投标文件的组成</w:t>
      </w:r>
    </w:p>
    <w:p>
      <w:pPr>
        <w:spacing w:line="360" w:lineRule="auto"/>
        <w:ind w:firstLine="420" w:firstLineChars="200"/>
        <w:rPr>
          <w:color w:val="auto"/>
          <w:highlight w:val="none"/>
        </w:rPr>
      </w:pPr>
      <w:r>
        <w:rPr>
          <w:rFonts w:hint="eastAsia"/>
          <w:color w:val="auto"/>
          <w:highlight w:val="none"/>
        </w:rPr>
        <w:t>3.1.1投标文件应包括下列内容：</w:t>
      </w:r>
    </w:p>
    <w:p>
      <w:pPr>
        <w:spacing w:line="360" w:lineRule="auto"/>
        <w:ind w:firstLine="420" w:firstLineChars="200"/>
        <w:rPr>
          <w:color w:val="auto"/>
          <w:highlight w:val="none"/>
        </w:rPr>
      </w:pPr>
      <w:r>
        <w:rPr>
          <w:rFonts w:hint="eastAsia"/>
          <w:color w:val="auto"/>
          <w:highlight w:val="none"/>
        </w:rPr>
        <w:t>（1）投标函及投标函附录；</w:t>
      </w:r>
    </w:p>
    <w:p>
      <w:pPr>
        <w:spacing w:line="360" w:lineRule="auto"/>
        <w:ind w:firstLine="420" w:firstLineChars="200"/>
        <w:rPr>
          <w:color w:val="auto"/>
          <w:highlight w:val="none"/>
        </w:rPr>
      </w:pPr>
      <w:r>
        <w:rPr>
          <w:rFonts w:hint="eastAsia"/>
          <w:color w:val="auto"/>
          <w:highlight w:val="none"/>
        </w:rPr>
        <w:t>（2）法定代表人身份证明；</w:t>
      </w:r>
    </w:p>
    <w:p>
      <w:pPr>
        <w:spacing w:line="360" w:lineRule="auto"/>
        <w:ind w:firstLine="420" w:firstLineChars="200"/>
        <w:rPr>
          <w:color w:val="auto"/>
          <w:highlight w:val="none"/>
        </w:rPr>
      </w:pPr>
      <w:r>
        <w:rPr>
          <w:rFonts w:hint="eastAsia"/>
          <w:color w:val="auto"/>
          <w:highlight w:val="none"/>
        </w:rPr>
        <w:t>（3）授权委托书；</w:t>
      </w:r>
    </w:p>
    <w:p>
      <w:pPr>
        <w:spacing w:line="360" w:lineRule="auto"/>
        <w:ind w:firstLine="420" w:firstLineChars="200"/>
        <w:rPr>
          <w:color w:val="auto"/>
          <w:highlight w:val="none"/>
        </w:rPr>
      </w:pPr>
      <w:r>
        <w:rPr>
          <w:rFonts w:hint="eastAsia"/>
          <w:color w:val="auto"/>
          <w:highlight w:val="none"/>
        </w:rPr>
        <w:t>（4）联合体协议书（如有）；</w:t>
      </w:r>
    </w:p>
    <w:p>
      <w:pPr>
        <w:spacing w:line="360" w:lineRule="auto"/>
        <w:ind w:firstLine="420" w:firstLineChars="200"/>
        <w:rPr>
          <w:color w:val="auto"/>
          <w:highlight w:val="none"/>
        </w:rPr>
      </w:pPr>
      <w:r>
        <w:rPr>
          <w:rFonts w:hint="eastAsia"/>
          <w:color w:val="auto"/>
          <w:highlight w:val="none"/>
        </w:rPr>
        <w:t>（5）报酬清单；</w:t>
      </w:r>
    </w:p>
    <w:p>
      <w:pPr>
        <w:spacing w:line="360" w:lineRule="auto"/>
        <w:ind w:firstLine="420" w:firstLineChars="200"/>
        <w:rPr>
          <w:color w:val="auto"/>
          <w:highlight w:val="none"/>
        </w:rPr>
      </w:pPr>
      <w:r>
        <w:rPr>
          <w:rFonts w:hint="eastAsia"/>
          <w:color w:val="auto"/>
          <w:highlight w:val="none"/>
        </w:rPr>
        <w:t>（6）资格审查资料；</w:t>
      </w:r>
    </w:p>
    <w:p>
      <w:pPr>
        <w:spacing w:line="360" w:lineRule="auto"/>
        <w:ind w:firstLine="420" w:firstLineChars="200"/>
        <w:rPr>
          <w:color w:val="auto"/>
          <w:highlight w:val="none"/>
        </w:rPr>
      </w:pPr>
      <w:r>
        <w:rPr>
          <w:rFonts w:hint="eastAsia"/>
          <w:color w:val="auto"/>
          <w:highlight w:val="none"/>
        </w:rPr>
        <w:t>（7）近年完成的类似项目情况表；</w:t>
      </w:r>
    </w:p>
    <w:p>
      <w:pPr>
        <w:spacing w:line="360" w:lineRule="auto"/>
        <w:ind w:firstLine="420" w:firstLineChars="200"/>
        <w:rPr>
          <w:color w:val="auto"/>
          <w:highlight w:val="none"/>
        </w:rPr>
      </w:pPr>
      <w:r>
        <w:rPr>
          <w:rFonts w:hint="eastAsia"/>
          <w:color w:val="auto"/>
          <w:highlight w:val="none"/>
        </w:rPr>
        <w:t>（8）拟委任的主要人员汇总表；</w:t>
      </w:r>
    </w:p>
    <w:p>
      <w:pPr>
        <w:spacing w:line="360" w:lineRule="auto"/>
        <w:ind w:firstLine="420" w:firstLineChars="200"/>
        <w:rPr>
          <w:color w:val="auto"/>
          <w:highlight w:val="none"/>
        </w:rPr>
      </w:pPr>
      <w:r>
        <w:rPr>
          <w:rFonts w:hint="eastAsia"/>
          <w:color w:val="auto"/>
          <w:highlight w:val="none"/>
        </w:rPr>
        <w:t>（9）拟投入的试验检测仪器设备汇总表；</w:t>
      </w:r>
    </w:p>
    <w:p>
      <w:pPr>
        <w:spacing w:line="360" w:lineRule="auto"/>
        <w:ind w:firstLine="420" w:firstLineChars="200"/>
        <w:rPr>
          <w:color w:val="auto"/>
          <w:highlight w:val="none"/>
        </w:rPr>
      </w:pPr>
      <w:r>
        <w:rPr>
          <w:rFonts w:hint="eastAsia"/>
          <w:color w:val="auto"/>
          <w:highlight w:val="none"/>
        </w:rPr>
        <w:t>（10）</w:t>
      </w:r>
      <w:r>
        <w:rPr>
          <w:rFonts w:hint="eastAsia"/>
          <w:color w:val="auto"/>
          <w:highlight w:val="none"/>
          <w:lang w:val="en-US"/>
        </w:rPr>
        <w:t>技术服务方案</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）其他资料。</w:t>
      </w:r>
    </w:p>
    <w:p>
      <w:pPr>
        <w:spacing w:line="360" w:lineRule="auto"/>
        <w:ind w:firstLine="420" w:firstLineChars="200"/>
        <w:rPr>
          <w:color w:val="auto"/>
          <w:highlight w:val="none"/>
        </w:rPr>
      </w:pPr>
      <w:r>
        <w:rPr>
          <w:rFonts w:hint="eastAsia"/>
          <w:color w:val="auto"/>
          <w:highlight w:val="none"/>
        </w:rPr>
        <w:t>投标人在评标过程中作出的符合法律法规和招标文件规定的澄清确认，构成投标文件的组成部分。</w:t>
      </w:r>
    </w:p>
    <w:p>
      <w:pPr>
        <w:spacing w:line="360" w:lineRule="auto"/>
        <w:ind w:firstLine="420" w:firstLineChars="200"/>
        <w:rPr>
          <w:color w:val="auto"/>
          <w:highlight w:val="none"/>
        </w:rPr>
      </w:pPr>
      <w:r>
        <w:rPr>
          <w:rFonts w:hint="eastAsia"/>
          <w:color w:val="auto"/>
          <w:highlight w:val="none"/>
          <w:lang w:val="en-US"/>
        </w:rPr>
        <w:t>3.1.2</w:t>
      </w:r>
      <w:r>
        <w:rPr>
          <w:rFonts w:hint="eastAsia"/>
          <w:color w:val="auto"/>
          <w:highlight w:val="none"/>
        </w:rPr>
        <w:t>投标人须知前附表规定不接受联合体投标的，或投标人没有组成联合体的，投标文件不包括本章第 3.1.1（</w:t>
      </w:r>
      <w:r>
        <w:rPr>
          <w:color w:val="auto"/>
          <w:highlight w:val="none"/>
          <w:u w:val="single"/>
        </w:rPr>
        <w:t>4</w:t>
      </w:r>
      <w:r>
        <w:rPr>
          <w:rFonts w:hint="eastAsia"/>
          <w:color w:val="auto"/>
          <w:highlight w:val="none"/>
        </w:rPr>
        <w:t>）目所指的联合体协议书。</w:t>
      </w:r>
      <w:bookmarkStart w:id="73" w:name="_GoBack"/>
      <w:bookmarkEnd w:id="73"/>
    </w:p>
    <w:p>
      <w:pPr>
        <w:spacing w:line="360" w:lineRule="auto"/>
        <w:ind w:firstLine="420" w:firstLineChars="200"/>
        <w:rPr>
          <w:strike/>
          <w:dstrike w:val="0"/>
          <w:color w:val="auto"/>
          <w:highlight w:val="none"/>
        </w:rPr>
      </w:pPr>
      <w:r>
        <w:rPr>
          <w:rFonts w:hint="eastAsia"/>
          <w:strike/>
          <w:dstrike w:val="0"/>
          <w:color w:val="auto"/>
          <w:highlight w:val="none"/>
        </w:rPr>
        <w:t>3.1.</w:t>
      </w:r>
      <w:r>
        <w:rPr>
          <w:rFonts w:hint="eastAsia"/>
          <w:strike/>
          <w:dstrike w:val="0"/>
          <w:color w:val="auto"/>
          <w:highlight w:val="none"/>
          <w:lang w:val="en-US"/>
        </w:rPr>
        <w:t>3</w:t>
      </w:r>
      <w:r>
        <w:rPr>
          <w:rFonts w:hint="eastAsia"/>
          <w:strike/>
          <w:dstrike w:val="0"/>
          <w:color w:val="auto"/>
          <w:highlight w:val="none"/>
        </w:rPr>
        <w:t>投标人须知前附表未要求提交投标保证金的，投标文件不包括本章第 3.1.1（4）目所指的投标保证金。</w:t>
      </w:r>
    </w:p>
    <w:p>
      <w:pPr>
        <w:spacing w:line="360" w:lineRule="auto"/>
        <w:rPr>
          <w:color w:val="auto"/>
          <w:highlight w:val="none"/>
        </w:rPr>
      </w:pPr>
      <w:r>
        <w:rPr>
          <w:rFonts w:hint="eastAsia" w:cs="Times New Roman"/>
          <w:b/>
          <w:bCs/>
          <w:color w:val="auto"/>
          <w:kern w:val="2"/>
          <w:sz w:val="28"/>
          <w:szCs w:val="28"/>
          <w:highlight w:val="none"/>
          <w:lang w:val="en-US" w:bidi="ar-SA"/>
        </w:rPr>
        <w:t>3.2投标报价</w:t>
      </w:r>
    </w:p>
    <w:p>
      <w:pPr>
        <w:spacing w:line="360" w:lineRule="auto"/>
        <w:ind w:firstLine="420" w:firstLineChars="200"/>
        <w:rPr>
          <w:color w:val="auto"/>
          <w:highlight w:val="none"/>
        </w:rPr>
      </w:pPr>
      <w:r>
        <w:rPr>
          <w:rFonts w:hint="eastAsia"/>
          <w:color w:val="auto"/>
          <w:highlight w:val="none"/>
        </w:rPr>
        <w:t>3.2.1投标报价应包括国家规定的增值税税金，除投标人须知前附表另有规定外，增值税税金按一般计税方法计算。投标人应按第六章“投标文件格式”的要求在投标函中进行报价并填写</w:t>
      </w:r>
      <w:r>
        <w:rPr>
          <w:rFonts w:hint="eastAsia"/>
          <w:color w:val="auto"/>
          <w:highlight w:val="none"/>
          <w:u w:val="single"/>
        </w:rPr>
        <w:t>报酬清单</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3.2.2投标人应充分了解该项目的总体情况以及影响投标报价的其他要素。</w:t>
      </w:r>
    </w:p>
    <w:p>
      <w:pPr>
        <w:spacing w:line="360" w:lineRule="auto"/>
        <w:ind w:firstLine="420" w:firstLineChars="200"/>
        <w:rPr>
          <w:color w:val="auto"/>
          <w:highlight w:val="none"/>
        </w:rPr>
      </w:pPr>
      <w:r>
        <w:rPr>
          <w:rFonts w:hint="eastAsia"/>
          <w:color w:val="auto"/>
          <w:highlight w:val="none"/>
        </w:rPr>
        <w:t>3.2.3本项目的报价方式见投标人须知前附表。投标人在投标截止时间前修改投标函中的投标报价总额，应同时修改投标文件“</w:t>
      </w:r>
      <w:r>
        <w:rPr>
          <w:rFonts w:hint="eastAsia"/>
          <w:color w:val="auto"/>
          <w:highlight w:val="none"/>
          <w:u w:val="single"/>
        </w:rPr>
        <w:t>报酬清单</w:t>
      </w:r>
      <w:r>
        <w:rPr>
          <w:rFonts w:hint="eastAsia"/>
          <w:color w:val="auto"/>
          <w:highlight w:val="none"/>
        </w:rPr>
        <w:t>”中的相应报价。此修改须符合本章第 4.3 款的有关要求。</w:t>
      </w:r>
    </w:p>
    <w:p>
      <w:pPr>
        <w:spacing w:line="360" w:lineRule="auto"/>
        <w:ind w:firstLine="420" w:firstLineChars="200"/>
        <w:rPr>
          <w:color w:val="auto"/>
          <w:highlight w:val="none"/>
        </w:rPr>
      </w:pPr>
      <w:r>
        <w:rPr>
          <w:rFonts w:hint="eastAsia"/>
          <w:color w:val="auto"/>
          <w:highlight w:val="none"/>
        </w:rPr>
        <w:t>3.2.4招标人设有最高投标限价的，投标人的投标报价不得超过最高投标限价，最高投标限价在投标人须知前附表中载明。</w:t>
      </w:r>
    </w:p>
    <w:p>
      <w:pPr>
        <w:spacing w:line="360" w:lineRule="auto"/>
        <w:ind w:firstLine="420" w:firstLineChars="200"/>
        <w:rPr>
          <w:color w:val="auto"/>
          <w:highlight w:val="none"/>
        </w:rPr>
      </w:pPr>
      <w:r>
        <w:rPr>
          <w:rFonts w:hint="eastAsia"/>
          <w:color w:val="auto"/>
          <w:highlight w:val="none"/>
        </w:rPr>
        <w:t>3.2.5投标报价的其他要求见投标人须知前附表。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3.3投标有效期</w:t>
      </w:r>
    </w:p>
    <w:p>
      <w:pPr>
        <w:spacing w:line="360" w:lineRule="auto"/>
        <w:ind w:firstLine="420" w:firstLineChars="200"/>
        <w:rPr>
          <w:color w:val="auto"/>
          <w:highlight w:val="none"/>
        </w:rPr>
      </w:pPr>
      <w:r>
        <w:rPr>
          <w:rFonts w:hint="eastAsia"/>
          <w:color w:val="auto"/>
          <w:highlight w:val="none"/>
        </w:rPr>
        <w:t>3.3.1除投标人须知前附表另有规定外，投标有效期为 90 天。</w:t>
      </w:r>
    </w:p>
    <w:p>
      <w:pPr>
        <w:spacing w:line="360" w:lineRule="auto"/>
        <w:ind w:firstLine="420" w:firstLineChars="200"/>
        <w:rPr>
          <w:color w:val="auto"/>
          <w:highlight w:val="none"/>
        </w:rPr>
      </w:pPr>
      <w:r>
        <w:rPr>
          <w:rFonts w:hint="eastAsia"/>
          <w:color w:val="auto"/>
          <w:highlight w:val="none"/>
        </w:rPr>
        <w:t>3.3.2在投标有效期内，投标人撤销投标文件的，应承担招标文件和法律规定的责任。</w:t>
      </w:r>
    </w:p>
    <w:p>
      <w:pPr>
        <w:spacing w:line="360" w:lineRule="auto"/>
        <w:ind w:firstLine="420" w:firstLineChars="200"/>
        <w:rPr>
          <w:color w:val="auto"/>
          <w:highlight w:val="none"/>
        </w:rPr>
      </w:pPr>
      <w:r>
        <w:rPr>
          <w:rFonts w:hint="eastAsia"/>
          <w:color w:val="auto"/>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3.4投标保证金</w:t>
      </w:r>
    </w:p>
    <w:p>
      <w:pPr>
        <w:spacing w:line="360" w:lineRule="auto"/>
        <w:ind w:firstLine="420" w:firstLineChars="200"/>
        <w:rPr>
          <w:strike/>
          <w:dstrike w:val="0"/>
          <w:color w:val="auto"/>
          <w:highlight w:val="none"/>
        </w:rPr>
      </w:pPr>
      <w:r>
        <w:rPr>
          <w:rFonts w:hint="eastAsia"/>
          <w:strike/>
          <w:dstrike w:val="0"/>
          <w:color w:val="auto"/>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r>
        <w:rPr>
          <w:strike/>
          <w:dstrike w:val="0"/>
          <w:color w:val="auto"/>
          <w:highlight w:val="none"/>
        </w:rPr>
        <w:t>联合体投标的，其投标保证金可以由牵头人递交，并应符合投标人须知前附表的规定。</w:t>
      </w:r>
    </w:p>
    <w:p>
      <w:pPr>
        <w:spacing w:line="360" w:lineRule="auto"/>
        <w:ind w:firstLine="420" w:firstLineChars="200"/>
        <w:rPr>
          <w:strike/>
          <w:dstrike w:val="0"/>
          <w:color w:val="auto"/>
          <w:highlight w:val="none"/>
        </w:rPr>
      </w:pPr>
      <w:r>
        <w:rPr>
          <w:rFonts w:hint="eastAsia"/>
          <w:strike/>
          <w:dstrike w:val="0"/>
          <w:color w:val="auto"/>
          <w:highlight w:val="none"/>
        </w:rPr>
        <w:t>3.4.2投标人不按本章第 3.4.1 项要求提交投标保证金的，评标委员会将否决其投标。</w:t>
      </w:r>
    </w:p>
    <w:p>
      <w:pPr>
        <w:spacing w:line="360" w:lineRule="auto"/>
        <w:ind w:firstLine="420" w:firstLineChars="200"/>
        <w:rPr>
          <w:strike/>
          <w:dstrike w:val="0"/>
          <w:color w:val="auto"/>
          <w:highlight w:val="none"/>
        </w:rPr>
      </w:pPr>
      <w:r>
        <w:rPr>
          <w:strike/>
          <w:dstrike w:val="0"/>
          <w:color w:val="auto"/>
          <w:highlight w:val="none"/>
        </w:rPr>
        <w:t>3.4.3 招标人最迟将在与中标人签订合同后5日内，向未中标的投标人和中标人退还投标保证金。投标保证金以现金或者支票形式递交的，还应退还银行同期存款利息。</w:t>
      </w:r>
    </w:p>
    <w:p>
      <w:pPr>
        <w:spacing w:line="360" w:lineRule="auto"/>
        <w:ind w:firstLine="420" w:firstLineChars="200"/>
        <w:rPr>
          <w:strike/>
          <w:dstrike w:val="0"/>
          <w:color w:val="auto"/>
          <w:highlight w:val="none"/>
        </w:rPr>
      </w:pPr>
      <w:r>
        <w:rPr>
          <w:rFonts w:hint="eastAsia"/>
          <w:strike/>
          <w:dstrike w:val="0"/>
          <w:color w:val="auto"/>
          <w:highlight w:val="none"/>
        </w:rPr>
        <w:t>3.4.4有下列情形之一的，投标保证金将不予退还：</w:t>
      </w:r>
    </w:p>
    <w:p>
      <w:pPr>
        <w:spacing w:line="360" w:lineRule="auto"/>
        <w:ind w:firstLine="420" w:firstLineChars="200"/>
        <w:rPr>
          <w:strike/>
          <w:dstrike w:val="0"/>
          <w:color w:val="auto"/>
          <w:highlight w:val="none"/>
        </w:rPr>
      </w:pPr>
      <w:r>
        <w:rPr>
          <w:rFonts w:hint="eastAsia"/>
          <w:strike/>
          <w:dstrike w:val="0"/>
          <w:color w:val="auto"/>
          <w:highlight w:val="none"/>
        </w:rPr>
        <w:t>（1）投标人在投标有效期内撤销投标文件；</w:t>
      </w:r>
    </w:p>
    <w:p>
      <w:pPr>
        <w:spacing w:line="360" w:lineRule="auto"/>
        <w:ind w:firstLine="420" w:firstLineChars="200"/>
        <w:rPr>
          <w:strike/>
          <w:dstrike w:val="0"/>
          <w:color w:val="auto"/>
          <w:highlight w:val="none"/>
        </w:rPr>
      </w:pPr>
      <w:r>
        <w:rPr>
          <w:rFonts w:hint="eastAsia"/>
          <w:strike/>
          <w:dstrike w:val="0"/>
          <w:color w:val="auto"/>
          <w:highlight w:val="none"/>
        </w:rPr>
        <w:t>（2）中标人在收到中标通知书后，无正当理由不与招标人订立合同，在签订合同时向招标人提出附加条件，或者不按照招标文件要求提交履约保证金；</w:t>
      </w:r>
    </w:p>
    <w:p>
      <w:pPr>
        <w:spacing w:line="360" w:lineRule="auto"/>
        <w:ind w:firstLine="420" w:firstLineChars="200"/>
        <w:rPr>
          <w:strike/>
          <w:dstrike w:val="0"/>
          <w:color w:val="auto"/>
          <w:highlight w:val="none"/>
        </w:rPr>
      </w:pPr>
      <w:r>
        <w:rPr>
          <w:rFonts w:hint="eastAsia"/>
          <w:strike/>
          <w:dstrike w:val="0"/>
          <w:color w:val="auto"/>
          <w:highlight w:val="none"/>
        </w:rPr>
        <w:t>（3）发生投标人须知前附表规定的其他可以不予退还投标保证金的情形。</w:t>
      </w:r>
    </w:p>
    <w:p>
      <w:pPr>
        <w:spacing w:line="360" w:lineRule="auto"/>
        <w:rPr>
          <w:color w:val="auto"/>
          <w:highlight w:val="none"/>
        </w:rPr>
      </w:pPr>
      <w:r>
        <w:rPr>
          <w:rFonts w:hint="eastAsia" w:cs="Times New Roman"/>
          <w:b/>
          <w:bCs/>
          <w:color w:val="auto"/>
          <w:kern w:val="2"/>
          <w:sz w:val="28"/>
          <w:szCs w:val="28"/>
          <w:highlight w:val="none"/>
          <w:lang w:val="en-US" w:bidi="ar-SA"/>
        </w:rPr>
        <w:t>3.5资格审查资料（适用于未进行资格预审的）</w:t>
      </w:r>
    </w:p>
    <w:p>
      <w:pPr>
        <w:spacing w:line="360" w:lineRule="auto"/>
        <w:ind w:firstLine="420" w:firstLineChars="200"/>
        <w:rPr>
          <w:color w:val="auto"/>
          <w:highlight w:val="none"/>
        </w:rPr>
      </w:pPr>
      <w:r>
        <w:rPr>
          <w:rFonts w:hint="eastAsia"/>
          <w:color w:val="auto"/>
          <w:highlight w:val="none"/>
        </w:rPr>
        <w:t>除投标人须知前附表另有规定外，投标人应按下列规定提供资格审查资料，以证明其满足本章第 1.4 款规定的资质、财务、业绩、信誉等要求。</w:t>
      </w:r>
    </w:p>
    <w:p>
      <w:pPr>
        <w:spacing w:line="360" w:lineRule="auto"/>
        <w:ind w:firstLine="420" w:firstLineChars="200"/>
        <w:rPr>
          <w:color w:val="auto"/>
          <w:highlight w:val="none"/>
        </w:rPr>
      </w:pPr>
      <w:r>
        <w:rPr>
          <w:rFonts w:hint="eastAsia"/>
          <w:color w:val="auto"/>
          <w:highlight w:val="none"/>
        </w:rPr>
        <w:t>3.5.1“投标人基本情况表”应附投标人营业执照和组织机构代码证的</w:t>
      </w:r>
      <w:r>
        <w:rPr>
          <w:color w:val="auto"/>
          <w:highlight w:val="none"/>
          <w:u w:val="single"/>
        </w:rPr>
        <w:t>扫描</w:t>
      </w:r>
      <w:r>
        <w:rPr>
          <w:rFonts w:hint="eastAsia"/>
          <w:color w:val="auto"/>
          <w:highlight w:val="none"/>
        </w:rPr>
        <w:t>件（按照“三证合一” 或“五证合一”登记制度进行登记的，可仅提供营业执照</w:t>
      </w:r>
      <w:r>
        <w:rPr>
          <w:color w:val="auto"/>
          <w:highlight w:val="none"/>
          <w:u w:val="single"/>
        </w:rPr>
        <w:t>扫描</w:t>
      </w:r>
      <w:r>
        <w:rPr>
          <w:rFonts w:hint="eastAsia"/>
          <w:color w:val="auto"/>
          <w:highlight w:val="none"/>
        </w:rPr>
        <w:t>件）、投标人监理资质证书副本等材料的</w:t>
      </w:r>
      <w:r>
        <w:rPr>
          <w:color w:val="auto"/>
          <w:highlight w:val="none"/>
          <w:u w:val="single"/>
        </w:rPr>
        <w:t>扫描</w:t>
      </w:r>
      <w:r>
        <w:rPr>
          <w:rFonts w:hint="eastAsia"/>
          <w:color w:val="auto"/>
          <w:highlight w:val="none"/>
        </w:rPr>
        <w:t>件。</w:t>
      </w:r>
    </w:p>
    <w:p>
      <w:pPr>
        <w:spacing w:line="360" w:lineRule="auto"/>
        <w:ind w:firstLine="420" w:firstLineChars="200"/>
        <w:rPr>
          <w:color w:val="auto"/>
          <w:highlight w:val="none"/>
        </w:rPr>
      </w:pPr>
      <w:r>
        <w:rPr>
          <w:rFonts w:hint="eastAsia"/>
          <w:color w:val="auto"/>
          <w:highlight w:val="none"/>
        </w:rPr>
        <w:t>3.5.</w:t>
      </w:r>
      <w:r>
        <w:rPr>
          <w:rFonts w:hint="eastAsia"/>
          <w:color w:val="auto"/>
          <w:highlight w:val="none"/>
          <w:lang w:val="en-US"/>
        </w:rPr>
        <w:t>2</w:t>
      </w:r>
      <w:r>
        <w:rPr>
          <w:rFonts w:hint="eastAsia"/>
          <w:color w:val="auto"/>
          <w:highlight w:val="none"/>
        </w:rPr>
        <w:t>“主要人员简历表”应填报满足本章第 1.4.1 项规定的项目负责人(兼总监理工程师)和其他主要人员的相关信息，“主要人员简历表”中项目负责人(兼总监理工程师)应附身份证、学历证、职称证、注册监理工程师执业证书和社保缴费证明复印件，管理过的项目业绩须附合同协议书</w:t>
      </w:r>
      <w:r>
        <w:rPr>
          <w:color w:val="auto"/>
          <w:highlight w:val="none"/>
          <w:u w:val="single"/>
        </w:rPr>
        <w:t>扫描</w:t>
      </w:r>
      <w:r>
        <w:rPr>
          <w:rFonts w:hint="eastAsia"/>
          <w:color w:val="auto"/>
          <w:highlight w:val="none"/>
        </w:rPr>
        <w:t>件；</w:t>
      </w:r>
      <w:r>
        <w:rPr>
          <w:color w:val="auto"/>
          <w:highlight w:val="none"/>
        </w:rPr>
        <w:t xml:space="preserve"> </w:t>
      </w:r>
    </w:p>
    <w:p>
      <w:pPr>
        <w:spacing w:line="360" w:lineRule="auto"/>
        <w:ind w:firstLine="420" w:firstLineChars="200"/>
        <w:rPr>
          <w:color w:val="auto"/>
          <w:highlight w:val="none"/>
        </w:rPr>
      </w:pPr>
      <w:r>
        <w:rPr>
          <w:rFonts w:hint="eastAsia"/>
          <w:color w:val="auto"/>
          <w:highlight w:val="none"/>
        </w:rPr>
        <w:t>3.5.3投标人须知前附表规定接受联合体投标的，本章第 3.5.1 项至第 3.5.2 项规定的表格和资料应包括联合体各方相关情况。</w:t>
      </w:r>
    </w:p>
    <w:p>
      <w:pPr>
        <w:spacing w:line="360" w:lineRule="auto"/>
        <w:rPr>
          <w:color w:val="auto"/>
          <w:highlight w:val="none"/>
        </w:rPr>
      </w:pPr>
      <w:r>
        <w:rPr>
          <w:rFonts w:hint="eastAsia" w:cs="Times New Roman"/>
          <w:b/>
          <w:bCs/>
          <w:color w:val="auto"/>
          <w:kern w:val="2"/>
          <w:sz w:val="28"/>
          <w:szCs w:val="28"/>
          <w:highlight w:val="none"/>
          <w:lang w:val="en-US" w:bidi="ar-SA"/>
        </w:rPr>
        <w:t>3.6备选投标方案</w:t>
      </w:r>
    </w:p>
    <w:p>
      <w:pPr>
        <w:spacing w:line="360" w:lineRule="auto"/>
        <w:ind w:firstLine="420" w:firstLineChars="200"/>
        <w:rPr>
          <w:color w:val="auto"/>
          <w:highlight w:val="none"/>
        </w:rPr>
      </w:pPr>
      <w:r>
        <w:rPr>
          <w:rFonts w:hint="eastAsia"/>
          <w:color w:val="auto"/>
          <w:highlight w:val="none"/>
        </w:rPr>
        <w:t>3.6.1除投标人须知前附表规定允许外，投标人不得递交备选投标方案，否则其投标将被否决。</w:t>
      </w:r>
    </w:p>
    <w:p>
      <w:pPr>
        <w:spacing w:line="360" w:lineRule="auto"/>
        <w:ind w:firstLine="420" w:firstLineChars="200"/>
        <w:rPr>
          <w:color w:val="auto"/>
          <w:highlight w:val="none"/>
        </w:rPr>
      </w:pPr>
      <w:r>
        <w:rPr>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color w:val="auto"/>
          <w:highlight w:val="none"/>
        </w:rPr>
      </w:pPr>
      <w:r>
        <w:rPr>
          <w:color w:val="auto"/>
          <w:highlight w:val="none"/>
        </w:rPr>
        <w:t>3.6.3 投标人提供两个或两个以上投标报价，或者在投标文件中提供一个报价，但同时提供两个或两个以上监理方案的，视为提供备选方案。</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3.7投标文件的编制</w:t>
      </w:r>
    </w:p>
    <w:p>
      <w:pPr>
        <w:spacing w:line="360" w:lineRule="auto"/>
        <w:ind w:firstLine="420" w:firstLineChars="200"/>
        <w:rPr>
          <w:color w:val="auto"/>
          <w:highlight w:val="none"/>
        </w:rPr>
      </w:pPr>
      <w:r>
        <w:rPr>
          <w:rFonts w:hint="eastAsia"/>
          <w:color w:val="auto"/>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color w:val="auto"/>
          <w:highlight w:val="none"/>
        </w:rPr>
      </w:pPr>
      <w:r>
        <w:rPr>
          <w:rFonts w:hint="eastAsia"/>
          <w:color w:val="auto"/>
          <w:highlight w:val="none"/>
        </w:rPr>
        <w:t>3.7.2投标文件应当对招标文件有关</w:t>
      </w:r>
      <w:r>
        <w:rPr>
          <w:rFonts w:hint="eastAsia"/>
          <w:color w:val="auto"/>
          <w:highlight w:val="none"/>
          <w:u w:val="single"/>
        </w:rPr>
        <w:t>服务期限</w:t>
      </w:r>
      <w:r>
        <w:rPr>
          <w:rFonts w:hint="eastAsia"/>
          <w:color w:val="auto"/>
          <w:highlight w:val="none"/>
        </w:rPr>
        <w:t>、投标有效期、委托人要求、招标范围等实质性内容作出响应。</w:t>
      </w:r>
    </w:p>
    <w:p>
      <w:pPr>
        <w:spacing w:line="360" w:lineRule="auto"/>
        <w:ind w:firstLine="420" w:firstLineChars="200"/>
        <w:rPr>
          <w:color w:val="auto"/>
          <w:highlight w:val="none"/>
        </w:rPr>
      </w:pPr>
      <w:r>
        <w:rPr>
          <w:rFonts w:hint="eastAsia"/>
          <w:color w:val="auto"/>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4.投标</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4.1投标文件的密封和标记</w:t>
      </w:r>
    </w:p>
    <w:p>
      <w:pPr>
        <w:spacing w:line="360" w:lineRule="auto"/>
        <w:ind w:firstLine="420" w:firstLineChars="200"/>
        <w:rPr>
          <w:color w:val="auto"/>
          <w:highlight w:val="none"/>
        </w:rPr>
      </w:pPr>
      <w:r>
        <w:rPr>
          <w:rFonts w:hint="eastAsia"/>
          <w:color w:val="auto"/>
          <w:highlight w:val="none"/>
        </w:rPr>
        <w:t>4.1.1（B）投标人应当按照招标文件和电子招标投标交易平台的要求加密投标文件，具体要求见投标人须知前附表。</w:t>
      </w:r>
    </w:p>
    <w:p>
      <w:pPr>
        <w:spacing w:line="360" w:lineRule="auto"/>
        <w:ind w:firstLine="420" w:firstLineChars="200"/>
        <w:rPr>
          <w:color w:val="auto"/>
          <w:highlight w:val="none"/>
        </w:rPr>
      </w:pPr>
      <w:r>
        <w:rPr>
          <w:rFonts w:hint="eastAsia"/>
          <w:color w:val="auto"/>
          <w:highlight w:val="none"/>
        </w:rPr>
        <w:t>4.1.2投标文件封套上应写明的内容见投标人须知前附表。</w:t>
      </w:r>
    </w:p>
    <w:p>
      <w:pPr>
        <w:spacing w:line="360" w:lineRule="auto"/>
        <w:ind w:firstLine="420" w:firstLineChars="200"/>
        <w:rPr>
          <w:color w:val="auto"/>
          <w:highlight w:val="none"/>
        </w:rPr>
      </w:pPr>
      <w:r>
        <w:rPr>
          <w:rFonts w:hint="eastAsia"/>
          <w:color w:val="auto"/>
          <w:highlight w:val="none"/>
        </w:rPr>
        <w:t>4.1.3未按本章第 4.1.1 项要求密封的投标文件，招标人将予以拒收。</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4.2投标文件的递交</w:t>
      </w:r>
    </w:p>
    <w:p>
      <w:pPr>
        <w:spacing w:line="360" w:lineRule="auto"/>
        <w:ind w:firstLine="420" w:firstLineChars="200"/>
        <w:rPr>
          <w:color w:val="auto"/>
          <w:highlight w:val="none"/>
        </w:rPr>
      </w:pPr>
      <w:r>
        <w:rPr>
          <w:rFonts w:hint="eastAsia"/>
          <w:color w:val="auto"/>
          <w:highlight w:val="none"/>
        </w:rPr>
        <w:t>4.2.1投标人应在投标人须知前附表规定的投标截止时间前递交投标文件。</w:t>
      </w:r>
    </w:p>
    <w:p>
      <w:pPr>
        <w:spacing w:line="360" w:lineRule="auto"/>
        <w:ind w:firstLine="420" w:firstLineChars="200"/>
        <w:rPr>
          <w:color w:val="auto"/>
          <w:highlight w:val="none"/>
        </w:rPr>
      </w:pPr>
      <w:r>
        <w:rPr>
          <w:rFonts w:hint="eastAsia"/>
          <w:color w:val="auto"/>
          <w:highlight w:val="none"/>
        </w:rPr>
        <w:t>4.2.2投标人通过下载招标文件的电子招标投标交易平台递交电子投标文件。</w:t>
      </w:r>
    </w:p>
    <w:p>
      <w:pPr>
        <w:spacing w:line="360" w:lineRule="auto"/>
        <w:ind w:firstLine="420" w:firstLineChars="200"/>
        <w:rPr>
          <w:color w:val="auto"/>
          <w:highlight w:val="none"/>
        </w:rPr>
      </w:pPr>
      <w:r>
        <w:rPr>
          <w:rFonts w:hint="eastAsia"/>
          <w:color w:val="auto"/>
          <w:highlight w:val="none"/>
        </w:rPr>
        <w:t>4.2.3除投标人须知前附表另有规定外，投标人所递交的投标文件不予退还。</w:t>
      </w:r>
    </w:p>
    <w:p>
      <w:pPr>
        <w:spacing w:line="360" w:lineRule="auto"/>
        <w:ind w:firstLine="420" w:firstLineChars="200"/>
        <w:rPr>
          <w:color w:val="auto"/>
          <w:highlight w:val="none"/>
        </w:rPr>
      </w:pPr>
      <w:r>
        <w:rPr>
          <w:rFonts w:hint="eastAsia"/>
          <w:color w:val="auto"/>
          <w:highlight w:val="none"/>
        </w:rPr>
        <w:t>4.2.4投标人完成电子投标文件上传后，电子招标投标交易平台即时向投标人发出递交回执通知。递交时间以递交回执通知载明的传输完成时间为准。</w:t>
      </w:r>
    </w:p>
    <w:p>
      <w:pPr>
        <w:spacing w:line="360" w:lineRule="auto"/>
        <w:ind w:firstLine="420" w:firstLineChars="200"/>
        <w:rPr>
          <w:color w:val="auto"/>
          <w:highlight w:val="none"/>
        </w:rPr>
      </w:pPr>
      <w:r>
        <w:rPr>
          <w:rFonts w:hint="eastAsia"/>
          <w:color w:val="auto"/>
          <w:highlight w:val="none"/>
        </w:rPr>
        <w:t>4.2.5逾期送达的投标文件，电子招标投标交易平台将予以拒收。</w:t>
      </w:r>
    </w:p>
    <w:p>
      <w:pPr>
        <w:pStyle w:val="7"/>
        <w:spacing w:line="360" w:lineRule="auto"/>
        <w:rPr>
          <w:color w:val="auto"/>
          <w:highlight w:val="none"/>
          <w:u w:val="single"/>
        </w:rPr>
      </w:pPr>
      <w:r>
        <w:rPr>
          <w:rFonts w:hint="eastAsia"/>
          <w:color w:val="auto"/>
          <w:highlight w:val="none"/>
          <w:u w:val="single"/>
        </w:rPr>
        <w:t>电子投标文件若出现以下情况之一的，招标人将否决其投标：</w:t>
      </w:r>
    </w:p>
    <w:p>
      <w:pPr>
        <w:pStyle w:val="7"/>
        <w:spacing w:line="360" w:lineRule="auto"/>
        <w:rPr>
          <w:color w:val="auto"/>
          <w:highlight w:val="none"/>
          <w:u w:val="single"/>
        </w:rPr>
      </w:pPr>
      <w:r>
        <w:rPr>
          <w:rFonts w:hint="eastAsia"/>
          <w:color w:val="auto"/>
          <w:highlight w:val="none"/>
          <w:u w:val="single"/>
        </w:rPr>
        <w:t>A.电子投标文件未在投标截止时间前成功上传并保存在交易中心数字交易平台；</w:t>
      </w:r>
    </w:p>
    <w:p>
      <w:pPr>
        <w:pStyle w:val="7"/>
        <w:spacing w:line="360" w:lineRule="auto"/>
        <w:rPr>
          <w:color w:val="auto"/>
          <w:highlight w:val="none"/>
          <w:u w:val="single"/>
        </w:rPr>
      </w:pPr>
      <w:r>
        <w:rPr>
          <w:rFonts w:hint="eastAsia"/>
          <w:color w:val="auto"/>
          <w:highlight w:val="none"/>
          <w:u w:val="single"/>
        </w:rPr>
        <w:t>B.因投标人原因造成电子投标文件未解密或逾期解密的；</w:t>
      </w:r>
    </w:p>
    <w:p>
      <w:pPr>
        <w:pStyle w:val="7"/>
        <w:spacing w:line="360" w:lineRule="auto"/>
        <w:rPr>
          <w:color w:val="auto"/>
          <w:highlight w:val="none"/>
          <w:u w:val="single"/>
        </w:rPr>
      </w:pPr>
      <w:r>
        <w:rPr>
          <w:rFonts w:hint="eastAsia"/>
          <w:color w:val="auto"/>
          <w:highlight w:val="none"/>
          <w:u w:val="single"/>
        </w:rPr>
        <w:t>C.未按招标文件要求提供投标保证金的；</w:t>
      </w:r>
    </w:p>
    <w:p>
      <w:pPr>
        <w:pStyle w:val="7"/>
        <w:spacing w:line="360" w:lineRule="auto"/>
        <w:rPr>
          <w:color w:val="auto"/>
          <w:highlight w:val="none"/>
          <w:u w:val="single"/>
        </w:rPr>
      </w:pPr>
      <w:r>
        <w:rPr>
          <w:rFonts w:hint="eastAsia"/>
          <w:color w:val="auto"/>
          <w:highlight w:val="none"/>
          <w:u w:val="single"/>
        </w:rPr>
        <w:t>D.两个（含两个）以上的投标人加密打包的电子投标文件电脑机器码一致的；</w:t>
      </w:r>
    </w:p>
    <w:p>
      <w:pPr>
        <w:pStyle w:val="7"/>
        <w:spacing w:line="360" w:lineRule="auto"/>
        <w:rPr>
          <w:color w:val="auto"/>
          <w:highlight w:val="none"/>
          <w:u w:val="single"/>
        </w:rPr>
      </w:pPr>
      <w:r>
        <w:rPr>
          <w:rFonts w:hint="eastAsia"/>
          <w:color w:val="auto"/>
          <w:highlight w:val="none"/>
          <w:u w:val="single"/>
        </w:rPr>
        <w:t>E.投标文件中的投标人、项目负责人（总监理工程师）与</w:t>
      </w:r>
      <w:bookmarkStart w:id="12" w:name="突出显示"/>
      <w:r>
        <w:rPr>
          <w:rFonts w:hint="eastAsia"/>
          <w:color w:val="auto"/>
          <w:highlight w:val="none"/>
          <w:u w:val="single"/>
        </w:rPr>
        <w:t>投标登记</w:t>
      </w:r>
      <w:bookmarkEnd w:id="12"/>
      <w:r>
        <w:rPr>
          <w:rFonts w:hint="eastAsia"/>
          <w:color w:val="auto"/>
          <w:highlight w:val="none"/>
          <w:u w:val="single"/>
        </w:rPr>
        <w:t>时的信息不一致的；</w:t>
      </w:r>
    </w:p>
    <w:p>
      <w:pPr>
        <w:pStyle w:val="7"/>
        <w:spacing w:line="360" w:lineRule="auto"/>
        <w:rPr>
          <w:color w:val="auto"/>
          <w:highlight w:val="none"/>
          <w:u w:val="single"/>
        </w:rPr>
      </w:pPr>
      <w:r>
        <w:rPr>
          <w:rFonts w:hint="eastAsia"/>
          <w:color w:val="auto"/>
          <w:highlight w:val="none"/>
          <w:u w:val="single"/>
        </w:rPr>
        <w:t>4.2.6投标文件的解密</w:t>
      </w:r>
    </w:p>
    <w:p>
      <w:pPr>
        <w:pStyle w:val="7"/>
        <w:spacing w:line="360" w:lineRule="auto"/>
        <w:rPr>
          <w:color w:val="auto"/>
          <w:highlight w:val="none"/>
          <w:u w:val="single"/>
        </w:rPr>
      </w:pPr>
      <w:r>
        <w:rPr>
          <w:rFonts w:hint="eastAsia"/>
          <w:color w:val="auto"/>
          <w:highlight w:val="none"/>
          <w:u w:val="single"/>
        </w:rPr>
        <w:t>（1）递交投标文件截止时间到达后的半小时内为投标人对电子投标文件解密时间。</w:t>
      </w:r>
    </w:p>
    <w:p>
      <w:pPr>
        <w:pStyle w:val="4"/>
        <w:spacing w:line="360" w:lineRule="auto"/>
        <w:ind w:firstLine="315" w:firstLineChars="150"/>
        <w:rPr>
          <w:color w:val="auto"/>
          <w:highlight w:val="none"/>
        </w:rPr>
      </w:pPr>
      <w:r>
        <w:rPr>
          <w:rFonts w:hint="eastAsia"/>
          <w:color w:val="auto"/>
          <w:highlight w:val="none"/>
          <w:u w:val="single"/>
        </w:rPr>
        <w:t>（2）投标人须在规定解密时间内使用制作该投标文件机构业务数字证书对投标文件进行解密。逾期未解密的电子投标文件将被否决。</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4.3投标文件的修改与撤回</w:t>
      </w:r>
    </w:p>
    <w:p>
      <w:pPr>
        <w:spacing w:line="360" w:lineRule="auto"/>
        <w:ind w:firstLine="420" w:firstLineChars="200"/>
        <w:rPr>
          <w:color w:val="auto"/>
          <w:highlight w:val="none"/>
        </w:rPr>
      </w:pPr>
      <w:r>
        <w:rPr>
          <w:rFonts w:hint="eastAsia"/>
          <w:color w:val="auto"/>
          <w:highlight w:val="none"/>
        </w:rPr>
        <w:t>4.3.1在本章第 4.2.1 项规定的投标截止时间前，投标人可以修改或撤回已递交的投标文件，但应以书面形式通知招标人。</w:t>
      </w:r>
    </w:p>
    <w:p>
      <w:pPr>
        <w:spacing w:line="360" w:lineRule="auto"/>
        <w:ind w:firstLine="420" w:firstLineChars="200"/>
        <w:rPr>
          <w:color w:val="auto"/>
          <w:highlight w:val="none"/>
        </w:rPr>
      </w:pPr>
      <w:r>
        <w:rPr>
          <w:rFonts w:hint="eastAsia"/>
          <w:color w:val="auto"/>
          <w:highlight w:val="none"/>
        </w:rPr>
        <w:t xml:space="preserve">4.3.2投标人修改或撤回已递交投标文件的通知，应按照本章第 </w:t>
      </w:r>
      <w:r>
        <w:rPr>
          <w:color w:val="auto"/>
          <w:highlight w:val="none"/>
        </w:rPr>
        <w:t>3.7.3（B）项的要求加盖电子印章。电子招标投标交易平台收到通知后，即时向投标人发出确认回执通知。</w:t>
      </w:r>
    </w:p>
    <w:p>
      <w:pPr>
        <w:spacing w:line="360" w:lineRule="auto"/>
        <w:ind w:firstLine="420" w:firstLineChars="200"/>
        <w:rPr>
          <w:color w:val="auto"/>
          <w:highlight w:val="none"/>
        </w:rPr>
      </w:pPr>
      <w:r>
        <w:rPr>
          <w:rFonts w:hint="eastAsia"/>
          <w:color w:val="auto"/>
          <w:highlight w:val="none"/>
        </w:rPr>
        <w:t>4.3.3投标人撤回投标文件的，招标人自收到投标人书面撤回通知之日起 5 日内退还已收取的投标保证金。</w:t>
      </w:r>
    </w:p>
    <w:p>
      <w:pPr>
        <w:spacing w:line="360" w:lineRule="auto"/>
        <w:ind w:firstLine="420" w:firstLineChars="200"/>
        <w:rPr>
          <w:color w:val="auto"/>
          <w:highlight w:val="none"/>
        </w:rPr>
      </w:pPr>
      <w:r>
        <w:rPr>
          <w:rFonts w:hint="eastAsia"/>
          <w:color w:val="auto"/>
          <w:highlight w:val="none"/>
        </w:rPr>
        <w:t>4.3.4修改的内容为投标文件的组成部分。修改的投标文件应按照本章第 3 条、第 4 条的规定进行编制、密封、标记和递交，并标明“修改”字样。</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5.开标</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5.1开标时间和地点（B）</w:t>
      </w:r>
    </w:p>
    <w:p>
      <w:pPr>
        <w:spacing w:line="360" w:lineRule="auto"/>
        <w:ind w:firstLine="420" w:firstLineChars="200"/>
        <w:rPr>
          <w:color w:val="auto"/>
          <w:highlight w:val="none"/>
        </w:rPr>
      </w:pPr>
      <w:r>
        <w:rPr>
          <w:rFonts w:hint="eastAsia"/>
          <w:color w:val="auto"/>
          <w:highlight w:val="none"/>
        </w:rPr>
        <w:t>招标人在本章第 4.2.1 项规定的投标截止时间（开标时间）,通过电子招标投标交易平台公开开标</w:t>
      </w:r>
      <w:r>
        <w:rPr>
          <w:color w:val="auto"/>
          <w:highlight w:val="none"/>
          <w:u w:val="single"/>
        </w:rPr>
        <w:t>和投标人须知前附表规定的地点公开开标，并邀请所有投标人的法定代表人或其委托代理人准时参加。</w:t>
      </w:r>
      <w:r>
        <w:rPr>
          <w:rFonts w:hint="eastAsia"/>
          <w:color w:val="auto"/>
          <w:highlight w:val="none"/>
          <w:u w:val="single"/>
        </w:rPr>
        <w:t>投标人</w:t>
      </w:r>
      <w:r>
        <w:rPr>
          <w:color w:val="auto"/>
          <w:highlight w:val="none"/>
          <w:u w:val="single"/>
        </w:rPr>
        <w:t>的法定代表人或其委托代理人</w:t>
      </w:r>
      <w:r>
        <w:rPr>
          <w:rFonts w:hint="eastAsia"/>
          <w:color w:val="auto"/>
          <w:highlight w:val="none"/>
          <w:u w:val="single"/>
        </w:rPr>
        <w:t>有权出席开标会，也可以自主决定不参加开标会，不参加开标会视为对开标过程无异议。</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5.2开标程序</w:t>
      </w:r>
    </w:p>
    <w:p>
      <w:pPr>
        <w:spacing w:line="360" w:lineRule="auto"/>
        <w:rPr>
          <w:color w:val="auto"/>
          <w:highlight w:val="none"/>
          <w:u w:val="single"/>
        </w:rPr>
      </w:pPr>
      <w:r>
        <w:rPr>
          <w:rFonts w:hint="eastAsia"/>
          <w:color w:val="auto"/>
          <w:highlight w:val="none"/>
          <w:u w:val="single"/>
        </w:rPr>
        <w:t>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5.3开标异议</w:t>
      </w:r>
    </w:p>
    <w:p>
      <w:pPr>
        <w:spacing w:line="360" w:lineRule="auto"/>
        <w:rPr>
          <w:color w:val="auto"/>
          <w:highlight w:val="none"/>
        </w:rPr>
      </w:pPr>
      <w:r>
        <w:rPr>
          <w:rFonts w:hint="eastAsia"/>
          <w:color w:val="auto"/>
          <w:highlight w:val="none"/>
        </w:rPr>
        <w:t>投标人对开标有异议的，应当在开标现场提出，招标人当场作出答复，并制作记录。</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6.评标</w:t>
      </w:r>
    </w:p>
    <w:p>
      <w:pPr>
        <w:spacing w:line="360" w:lineRule="auto"/>
        <w:rPr>
          <w:color w:val="auto"/>
          <w:highlight w:val="none"/>
        </w:rPr>
      </w:pPr>
      <w:r>
        <w:rPr>
          <w:rFonts w:hint="eastAsia" w:cs="Times New Roman"/>
          <w:b/>
          <w:bCs/>
          <w:color w:val="auto"/>
          <w:kern w:val="2"/>
          <w:sz w:val="28"/>
          <w:szCs w:val="28"/>
          <w:highlight w:val="none"/>
          <w:lang w:val="en-US" w:bidi="ar-SA"/>
        </w:rPr>
        <w:t>6.1评标委员会</w:t>
      </w:r>
    </w:p>
    <w:p>
      <w:pPr>
        <w:spacing w:line="360" w:lineRule="auto"/>
        <w:ind w:firstLine="420" w:firstLineChars="200"/>
        <w:rPr>
          <w:color w:val="auto"/>
          <w:highlight w:val="none"/>
        </w:rPr>
      </w:pPr>
      <w:r>
        <w:rPr>
          <w:rFonts w:hint="eastAsia"/>
          <w:color w:val="auto"/>
          <w:highlight w:val="none"/>
        </w:rPr>
        <w:t>6.1.1评标由招标人依法组建的评标委员会负责。评标委员会成员人数以及技术、经济等方面专家的确定方式见投标人须知前附表。</w:t>
      </w:r>
    </w:p>
    <w:p>
      <w:pPr>
        <w:spacing w:line="360" w:lineRule="auto"/>
        <w:ind w:firstLine="420" w:firstLineChars="200"/>
        <w:rPr>
          <w:color w:val="auto"/>
          <w:highlight w:val="none"/>
        </w:rPr>
      </w:pPr>
      <w:r>
        <w:rPr>
          <w:rFonts w:hint="eastAsia"/>
          <w:color w:val="auto"/>
          <w:highlight w:val="none"/>
        </w:rPr>
        <w:t>6.1.2评标委员会成员有下列情形之一的，应当回避：</w:t>
      </w:r>
    </w:p>
    <w:p>
      <w:pPr>
        <w:spacing w:line="360" w:lineRule="auto"/>
        <w:ind w:firstLine="420" w:firstLineChars="200"/>
        <w:rPr>
          <w:color w:val="auto"/>
          <w:highlight w:val="none"/>
        </w:rPr>
      </w:pPr>
      <w:r>
        <w:rPr>
          <w:rFonts w:hint="eastAsia"/>
          <w:color w:val="auto"/>
          <w:highlight w:val="none"/>
        </w:rPr>
        <w:t>（1）投标人或投标人主要负责人的近亲属；</w:t>
      </w:r>
    </w:p>
    <w:p>
      <w:pPr>
        <w:spacing w:line="360" w:lineRule="auto"/>
        <w:ind w:firstLine="420" w:firstLineChars="200"/>
        <w:rPr>
          <w:color w:val="auto"/>
          <w:highlight w:val="none"/>
        </w:rPr>
      </w:pPr>
      <w:r>
        <w:rPr>
          <w:rFonts w:hint="eastAsia"/>
          <w:color w:val="auto"/>
          <w:highlight w:val="none"/>
        </w:rPr>
        <w:t>（2）项目主管部门或者行政监督部门的人员；</w:t>
      </w:r>
    </w:p>
    <w:p>
      <w:pPr>
        <w:spacing w:line="360" w:lineRule="auto"/>
        <w:ind w:firstLine="420" w:firstLineChars="200"/>
        <w:rPr>
          <w:color w:val="auto"/>
          <w:highlight w:val="none"/>
        </w:rPr>
      </w:pPr>
      <w:r>
        <w:rPr>
          <w:rFonts w:hint="eastAsia"/>
          <w:color w:val="auto"/>
          <w:highlight w:val="none"/>
        </w:rPr>
        <w:t>（3）与投标人有经济利益关系，可能影响对投标公正评审的；</w:t>
      </w:r>
    </w:p>
    <w:p>
      <w:pPr>
        <w:spacing w:line="360" w:lineRule="auto"/>
        <w:ind w:firstLine="420" w:firstLineChars="200"/>
        <w:rPr>
          <w:color w:val="auto"/>
          <w:highlight w:val="none"/>
        </w:rPr>
      </w:pPr>
      <w:r>
        <w:rPr>
          <w:rFonts w:hint="eastAsia"/>
          <w:color w:val="auto"/>
          <w:highlight w:val="none"/>
        </w:rPr>
        <w:t>（4）曾因在招标、评标以及其他与招标投标有关活动中从事违法行为而受过行政处罚或刑事处罚的；</w:t>
      </w:r>
    </w:p>
    <w:p>
      <w:pPr>
        <w:spacing w:line="360" w:lineRule="auto"/>
        <w:ind w:firstLine="420" w:firstLineChars="200"/>
        <w:rPr>
          <w:color w:val="auto"/>
          <w:highlight w:val="none"/>
        </w:rPr>
      </w:pPr>
      <w:r>
        <w:rPr>
          <w:rFonts w:hint="eastAsia"/>
          <w:color w:val="auto"/>
          <w:highlight w:val="none"/>
        </w:rPr>
        <w:t>（5）与投标人有其他利害关系。</w:t>
      </w:r>
    </w:p>
    <w:p>
      <w:pPr>
        <w:spacing w:line="360" w:lineRule="auto"/>
        <w:ind w:firstLine="420" w:firstLineChars="200"/>
        <w:rPr>
          <w:color w:val="auto"/>
          <w:highlight w:val="none"/>
        </w:rPr>
      </w:pPr>
      <w:r>
        <w:rPr>
          <w:rFonts w:hint="eastAsia"/>
          <w:color w:val="auto"/>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6.2评标原则</w:t>
      </w:r>
    </w:p>
    <w:p>
      <w:pPr>
        <w:spacing w:line="360" w:lineRule="auto"/>
        <w:rPr>
          <w:color w:val="auto"/>
          <w:highlight w:val="none"/>
        </w:rPr>
      </w:pPr>
      <w:r>
        <w:rPr>
          <w:rFonts w:hint="eastAsia"/>
          <w:color w:val="auto"/>
          <w:highlight w:val="none"/>
        </w:rPr>
        <w:t>评标活动遵循公平、公正、科学和择优的原则。</w:t>
      </w:r>
    </w:p>
    <w:p>
      <w:pPr>
        <w:spacing w:line="360" w:lineRule="auto"/>
        <w:rPr>
          <w:color w:val="auto"/>
          <w:highlight w:val="none"/>
        </w:rPr>
      </w:pPr>
      <w:r>
        <w:rPr>
          <w:rFonts w:hint="eastAsia" w:cs="Times New Roman"/>
          <w:b/>
          <w:bCs/>
          <w:color w:val="auto"/>
          <w:kern w:val="2"/>
          <w:sz w:val="28"/>
          <w:szCs w:val="28"/>
          <w:highlight w:val="none"/>
          <w:lang w:val="en-US" w:bidi="ar-SA"/>
        </w:rPr>
        <w:t>6.3评标</w:t>
      </w:r>
    </w:p>
    <w:p>
      <w:pPr>
        <w:spacing w:line="360" w:lineRule="auto"/>
        <w:ind w:firstLine="420" w:firstLineChars="200"/>
        <w:rPr>
          <w:color w:val="auto"/>
          <w:highlight w:val="none"/>
        </w:rPr>
      </w:pPr>
      <w:r>
        <w:rPr>
          <w:rFonts w:hint="eastAsia"/>
          <w:color w:val="auto"/>
          <w:highlight w:val="none"/>
        </w:rPr>
        <w:t>6.3.1评标委员会按照第三章“评标办法”规定的方法、评审因素、标准和程序对投标文件进行评审。第三章“评标办法”没有规定的方法、评审因素和标准，不作为评标依据。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color w:val="auto"/>
          <w:highlight w:val="none"/>
        </w:rPr>
      </w:pPr>
      <w:r>
        <w:rPr>
          <w:rFonts w:hint="eastAsia"/>
          <w:color w:val="auto"/>
          <w:highlight w:val="none"/>
        </w:rPr>
        <w:t>6.3.2评标完成后，评标委员会应当向招标人提交书面评标报告和中标候选人名单。评标委员会推荐中标候选人的人数见投标人须知前附表。</w:t>
      </w:r>
    </w:p>
    <w:p>
      <w:pPr>
        <w:spacing w:line="360" w:lineRule="auto"/>
        <w:ind w:firstLine="420" w:firstLineChars="200"/>
        <w:rPr>
          <w:rFonts w:hint="eastAsia"/>
          <w:color w:val="auto"/>
          <w:highlight w:val="none"/>
          <w:u w:val="single"/>
        </w:rPr>
      </w:pPr>
      <w:r>
        <w:rPr>
          <w:rFonts w:hint="eastAsia"/>
          <w:color w:val="auto"/>
          <w:highlight w:val="none"/>
          <w:u w:val="single"/>
        </w:rPr>
        <w:t>6.3.3在电子评标过程中，无论遇到任何系统异常或故障，评标委员会均应出具评标报告。</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7.合同授予</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7.1中标候选人公示</w:t>
      </w:r>
    </w:p>
    <w:p>
      <w:pPr>
        <w:spacing w:line="360" w:lineRule="auto"/>
        <w:ind w:firstLine="420" w:firstLineChars="200"/>
        <w:rPr>
          <w:color w:val="auto"/>
          <w:highlight w:val="none"/>
        </w:rPr>
      </w:pPr>
      <w:r>
        <w:rPr>
          <w:rFonts w:hint="eastAsia"/>
          <w:color w:val="auto"/>
          <w:highlight w:val="none"/>
        </w:rPr>
        <w:t>招标人在收到评标报告之日起 3 日内，按照投标人须知前附表规定的公示媒介和期限公示中标候选人，公示期不得少于 3 天。</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7.2评标结果异议</w:t>
      </w:r>
    </w:p>
    <w:p>
      <w:pPr>
        <w:spacing w:line="360" w:lineRule="auto"/>
        <w:ind w:firstLine="420" w:firstLineChars="200"/>
        <w:rPr>
          <w:color w:val="auto"/>
          <w:highlight w:val="none"/>
        </w:rPr>
      </w:pPr>
      <w:r>
        <w:rPr>
          <w:rFonts w:hint="eastAsia"/>
          <w:color w:val="auto"/>
          <w:highlight w:val="none"/>
        </w:rPr>
        <w:t>投标人或者其他利害关系人对评标结果有异议的，应当在中标候选人公示期间提出。招标人将在收到异议之日起 3 日内作出答复；作出答复前，将暂停招标投标活动。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7.3中标候选人履约能力审查</w:t>
      </w:r>
    </w:p>
    <w:p>
      <w:pPr>
        <w:spacing w:line="360" w:lineRule="auto"/>
        <w:ind w:firstLine="420" w:firstLineChars="200"/>
        <w:rPr>
          <w:color w:val="auto"/>
          <w:highlight w:val="none"/>
        </w:rPr>
      </w:pPr>
      <w:r>
        <w:rPr>
          <w:rFonts w:hint="eastAsia"/>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7.4定标</w:t>
      </w:r>
    </w:p>
    <w:p>
      <w:pPr>
        <w:spacing w:line="360" w:lineRule="auto"/>
        <w:ind w:firstLine="420" w:firstLineChars="200"/>
        <w:rPr>
          <w:color w:val="auto"/>
          <w:highlight w:val="none"/>
        </w:rPr>
      </w:pPr>
      <w:r>
        <w:rPr>
          <w:rFonts w:hint="eastAsia"/>
          <w:color w:val="auto"/>
          <w:highlight w:val="none"/>
        </w:rPr>
        <w:t>按照投标人须知前附表的规定，招标人或招标人授权的评标委员会依法确定中标人。</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7.5中标通知</w:t>
      </w:r>
    </w:p>
    <w:p>
      <w:pPr>
        <w:spacing w:line="360" w:lineRule="auto"/>
        <w:ind w:firstLine="420" w:firstLineChars="200"/>
        <w:rPr>
          <w:color w:val="auto"/>
          <w:highlight w:val="none"/>
        </w:rPr>
      </w:pPr>
      <w:r>
        <w:rPr>
          <w:rFonts w:hint="eastAsia"/>
          <w:color w:val="auto"/>
          <w:highlight w:val="none"/>
          <w:lang w:val="en-US"/>
        </w:rPr>
        <w:t>7.5.1</w:t>
      </w:r>
      <w:r>
        <w:rPr>
          <w:rFonts w:hint="eastAsia"/>
          <w:color w:val="auto"/>
          <w:highlight w:val="none"/>
        </w:rPr>
        <w:t>在本章第 3.3 款规定的投标有效期内，招标人以书面形式向中标人发出中标通知书</w:t>
      </w:r>
      <w:r>
        <w:rPr>
          <w:color w:val="auto"/>
          <w:highlight w:val="none"/>
        </w:rPr>
        <w:t>，同时将中标结果通知未中标的投标人</w:t>
      </w:r>
      <w:r>
        <w:rPr>
          <w:rFonts w:hint="eastAsia"/>
          <w:color w:val="auto"/>
          <w:highlight w:val="none"/>
        </w:rPr>
        <w:t>。</w:t>
      </w:r>
    </w:p>
    <w:p>
      <w:pPr>
        <w:spacing w:line="360" w:lineRule="auto"/>
        <w:rPr>
          <w:color w:val="auto"/>
          <w:highlight w:val="none"/>
        </w:rPr>
      </w:pPr>
      <w:r>
        <w:rPr>
          <w:rFonts w:hint="eastAsia" w:cs="Times New Roman"/>
          <w:b/>
          <w:bCs/>
          <w:color w:val="auto"/>
          <w:kern w:val="2"/>
          <w:sz w:val="28"/>
          <w:szCs w:val="28"/>
          <w:highlight w:val="none"/>
          <w:lang w:val="en-US" w:bidi="ar-SA"/>
        </w:rPr>
        <w:t>7.6履约保证金</w:t>
      </w:r>
    </w:p>
    <w:p>
      <w:pPr>
        <w:spacing w:line="360" w:lineRule="auto"/>
        <w:ind w:firstLine="420" w:firstLineChars="200"/>
        <w:rPr>
          <w:strike/>
          <w:dstrike w:val="0"/>
          <w:color w:val="auto"/>
          <w:highlight w:val="none"/>
        </w:rPr>
      </w:pPr>
      <w:r>
        <w:rPr>
          <w:rFonts w:hint="eastAsia"/>
          <w:strike/>
          <w:dstrike w:val="0"/>
          <w:color w:val="auto"/>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w:t>
      </w:r>
      <w:r>
        <w:rPr>
          <w:strike/>
          <w:dstrike w:val="0"/>
          <w:color w:val="auto"/>
          <w:highlight w:val="none"/>
        </w:rPr>
        <w:t>联合体中标的，其履约保证金以联合体各方或者联合体中牵头人的名义提交。</w:t>
      </w:r>
    </w:p>
    <w:p>
      <w:pPr>
        <w:spacing w:line="360" w:lineRule="auto"/>
        <w:ind w:firstLine="420" w:firstLineChars="200"/>
        <w:rPr>
          <w:strike/>
          <w:dstrike w:val="0"/>
          <w:color w:val="auto"/>
          <w:highlight w:val="none"/>
        </w:rPr>
      </w:pPr>
      <w:r>
        <w:rPr>
          <w:rFonts w:hint="eastAsia"/>
          <w:strike/>
          <w:dstrike w:val="0"/>
          <w:color w:val="auto"/>
          <w:highlight w:val="none"/>
        </w:rPr>
        <w:t>7.6.2中标人不能按本章第 7.6.1 项要求提交履约保证金的，视为放弃中标，其投标保证金不予退还，给招标人造成的损失超过投标保证金数额的，中标人还应当对超过部分予以赔偿。</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7.7签订合同</w:t>
      </w:r>
    </w:p>
    <w:p>
      <w:pPr>
        <w:spacing w:line="360" w:lineRule="auto"/>
        <w:ind w:firstLine="420" w:firstLineChars="200"/>
        <w:rPr>
          <w:color w:val="auto"/>
          <w:highlight w:val="none"/>
        </w:rPr>
      </w:pPr>
      <w:r>
        <w:rPr>
          <w:rFonts w:hint="eastAsia"/>
          <w:color w:val="auto"/>
          <w:highlight w:val="none"/>
        </w:rPr>
        <w:t>7.7.1招标人和中标人应当在中标通知书发出之日起 30 日内，根据招标文件和中标人的投标文件订立书面合同。中标人无正当理由拒签合同，在签订合同时向招标人提出附加条件，</w:t>
      </w:r>
      <w:r>
        <w:rPr>
          <w:rFonts w:hint="eastAsia"/>
          <w:strike/>
          <w:dstrike w:val="0"/>
          <w:color w:val="auto"/>
          <w:highlight w:val="none"/>
        </w:rPr>
        <w:t>或者不按照招标文件要求提交履约保证金的，</w:t>
      </w:r>
      <w:r>
        <w:rPr>
          <w:rFonts w:hint="eastAsia"/>
          <w:color w:val="auto"/>
          <w:highlight w:val="none"/>
        </w:rPr>
        <w:t>招标人有权取消其中标资格，其投标保证金不予退还；给招标人造成的损失</w:t>
      </w:r>
      <w:r>
        <w:rPr>
          <w:rFonts w:hint="eastAsia"/>
          <w:strike/>
          <w:dstrike w:val="0"/>
          <w:color w:val="auto"/>
          <w:highlight w:val="none"/>
        </w:rPr>
        <w:t>超过投标保证金数额的</w:t>
      </w:r>
      <w:r>
        <w:rPr>
          <w:rFonts w:hint="eastAsia"/>
          <w:color w:val="auto"/>
          <w:highlight w:val="none"/>
        </w:rPr>
        <w:t>，中标人还应当对超过部分予以赔偿。</w:t>
      </w:r>
    </w:p>
    <w:p>
      <w:pPr>
        <w:spacing w:line="360" w:lineRule="auto"/>
        <w:ind w:firstLine="420" w:firstLineChars="200"/>
        <w:rPr>
          <w:color w:val="auto"/>
          <w:highlight w:val="none"/>
        </w:rPr>
      </w:pPr>
      <w:r>
        <w:rPr>
          <w:rFonts w:hint="eastAsia"/>
          <w:color w:val="auto"/>
          <w:highlight w:val="none"/>
        </w:rPr>
        <w:t>7.7.2发出中标通知书后，招标人无正当理由拒签合同，或者在签订合同时向中标人提出附加条件的</w:t>
      </w:r>
      <w:r>
        <w:rPr>
          <w:color w:val="auto"/>
          <w:highlight w:val="none"/>
        </w:rPr>
        <w:t>，招标人向中标人退还投标保证金</w:t>
      </w:r>
      <w:r>
        <w:rPr>
          <w:rFonts w:hint="eastAsia"/>
          <w:color w:val="auto"/>
          <w:highlight w:val="none"/>
        </w:rPr>
        <w:t>；给中标人造成损失的，还应当赔偿损失。</w:t>
      </w:r>
    </w:p>
    <w:p>
      <w:pPr>
        <w:spacing w:line="360" w:lineRule="auto"/>
        <w:ind w:firstLine="420" w:firstLineChars="200"/>
        <w:rPr>
          <w:color w:val="auto"/>
          <w:highlight w:val="none"/>
        </w:rPr>
      </w:pPr>
      <w:r>
        <w:rPr>
          <w:rFonts w:hint="eastAsia"/>
          <w:color w:val="auto"/>
          <w:highlight w:val="none"/>
        </w:rPr>
        <w:t>7.7.3</w:t>
      </w:r>
      <w:r>
        <w:rPr>
          <w:color w:val="auto"/>
          <w:highlight w:val="none"/>
        </w:rPr>
        <w:t xml:space="preserve"> 联合体中标的，联合体各方应当共同与招标人签订合同，就中标项目向招标人承担连带责任。</w:t>
      </w:r>
    </w:p>
    <w:p>
      <w:pPr>
        <w:spacing w:line="360" w:lineRule="auto"/>
        <w:ind w:firstLine="420" w:firstLineChars="200"/>
        <w:rPr>
          <w:color w:val="auto"/>
          <w:highlight w:val="none"/>
        </w:rPr>
      </w:pPr>
      <w:r>
        <w:rPr>
          <w:color w:val="auto"/>
          <w:highlight w:val="none"/>
        </w:rPr>
        <w:t xml:space="preserve">7.7.4 </w:t>
      </w:r>
      <w:r>
        <w:rPr>
          <w:rFonts w:hint="eastAsia"/>
          <w:color w:val="auto"/>
          <w:highlight w:val="none"/>
          <w:u w:val="single"/>
        </w:rPr>
        <w:t>招标人或建设管理单位支付费时，中标人应提供相应的等额合法有效的增值税发票。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8.纪律和监督</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8.1对招标人的纪律要求</w:t>
      </w:r>
    </w:p>
    <w:p>
      <w:pPr>
        <w:spacing w:line="360" w:lineRule="auto"/>
        <w:ind w:firstLine="420" w:firstLineChars="200"/>
        <w:rPr>
          <w:color w:val="auto"/>
          <w:highlight w:val="none"/>
        </w:rPr>
      </w:pPr>
      <w:r>
        <w:rPr>
          <w:rFonts w:hint="eastAsia"/>
          <w:color w:val="auto"/>
          <w:highlight w:val="none"/>
        </w:rPr>
        <w:t>招标人不得泄露招标投标活动中应当保密的情况和资料，不得与投标人串通损害国家利益、社会公共利益或者他人合法权益。</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8.2对投标人的纪律要求</w:t>
      </w:r>
    </w:p>
    <w:p>
      <w:pPr>
        <w:spacing w:line="360" w:lineRule="auto"/>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8.3对评标委员会成员的纪律要求</w:t>
      </w:r>
    </w:p>
    <w:p>
      <w:pPr>
        <w:spacing w:line="360" w:lineRule="auto"/>
        <w:ind w:firstLine="420" w:firstLineChars="200"/>
        <w:rPr>
          <w:color w:val="auto"/>
          <w:highlight w:val="none"/>
        </w:rPr>
      </w:pPr>
      <w:r>
        <w:rPr>
          <w:rFonts w:hint="eastAsia"/>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8.4对与评标活动有关的工作人员的纪律要求</w:t>
      </w:r>
    </w:p>
    <w:p>
      <w:pPr>
        <w:spacing w:line="360" w:lineRule="auto"/>
        <w:ind w:firstLine="420" w:firstLineChars="200"/>
        <w:rPr>
          <w:color w:val="auto"/>
          <w:highlight w:val="none"/>
        </w:rPr>
      </w:pPr>
      <w:r>
        <w:rPr>
          <w:rFonts w:hint="eastAsia"/>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8.5投诉</w:t>
      </w:r>
    </w:p>
    <w:p>
      <w:pPr>
        <w:spacing w:line="360" w:lineRule="auto"/>
        <w:ind w:firstLine="420" w:firstLineChars="200"/>
        <w:rPr>
          <w:color w:val="auto"/>
          <w:highlight w:val="none"/>
        </w:rPr>
      </w:pPr>
      <w:r>
        <w:rPr>
          <w:rFonts w:hint="eastAsia"/>
          <w:color w:val="auto"/>
          <w:highlight w:val="none"/>
        </w:rPr>
        <w:t>8.5.1投标人或者其他利害关系人认为招标投标活动不符合法律、行政法规规定的，可以自知道或者应当知道之日起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20" w:firstLineChars="200"/>
        <w:rPr>
          <w:color w:val="auto"/>
          <w:highlight w:val="none"/>
        </w:rPr>
      </w:pPr>
      <w:r>
        <w:rPr>
          <w:rFonts w:hint="eastAsia"/>
          <w:color w:val="auto"/>
          <w:highlight w:val="none"/>
        </w:rPr>
        <w:t>8.5.2投标人或者其他利害关系人对招标文件、开标和评标结果提出投诉的，应当按照投标人须知第 2.4 款、第 5.3 款和第 7.2 款的规定先向招标人提出异议。异议答复期间不计算在第 8.5.1 规定的期限内。</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9.是否采用电子招标投标</w:t>
      </w:r>
    </w:p>
    <w:p>
      <w:pPr>
        <w:spacing w:line="360" w:lineRule="auto"/>
        <w:ind w:firstLine="420" w:firstLineChars="200"/>
        <w:rPr>
          <w:color w:val="auto"/>
          <w:highlight w:val="none"/>
        </w:rPr>
      </w:pPr>
      <w:r>
        <w:rPr>
          <w:rFonts w:hint="eastAsia"/>
          <w:color w:val="auto"/>
          <w:highlight w:val="none"/>
        </w:rPr>
        <w:t>本招标项目是否采用电子招标投标方式，见投标人须知前附表。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10.需要补充的其他内容</w:t>
      </w:r>
    </w:p>
    <w:p>
      <w:pPr>
        <w:spacing w:line="360" w:lineRule="auto"/>
        <w:ind w:firstLine="420" w:firstLineChars="200"/>
        <w:rPr>
          <w:color w:val="auto"/>
          <w:highlight w:val="none"/>
        </w:rPr>
        <w:sectPr>
          <w:footerReference r:id="rId5" w:type="default"/>
          <w:pgSz w:w="11906" w:h="16838"/>
          <w:pgMar w:top="1500" w:right="1100" w:bottom="1120" w:left="1560" w:header="0" w:footer="841" w:gutter="0"/>
          <w:cols w:space="720" w:num="1"/>
          <w:docGrid w:linePitch="312" w:charSpace="2048"/>
        </w:sectPr>
      </w:pPr>
      <w:r>
        <w:rPr>
          <w:rFonts w:hint="eastAsia"/>
          <w:color w:val="auto"/>
          <w:highlight w:val="none"/>
        </w:rPr>
        <w:t>需要补充的其他内容：见投标人须知前附表。</w:t>
      </w:r>
    </w:p>
    <w:p>
      <w:pPr>
        <w:spacing w:before="43" w:line="360" w:lineRule="auto"/>
        <w:ind w:left="377"/>
        <w:outlineLvl w:val="0"/>
        <w:rPr>
          <w:color w:val="auto"/>
          <w:sz w:val="28"/>
          <w:highlight w:val="none"/>
        </w:rPr>
      </w:pPr>
      <w:bookmarkStart w:id="13" w:name="_bookmark76"/>
      <w:bookmarkEnd w:id="13"/>
      <w:bookmarkStart w:id="14" w:name="_Toc757"/>
      <w:r>
        <w:rPr>
          <w:rFonts w:hint="eastAsia"/>
          <w:color w:val="auto"/>
          <w:sz w:val="28"/>
          <w:highlight w:val="none"/>
        </w:rPr>
        <w:t>附件一：开标记录表</w:t>
      </w:r>
      <w:bookmarkEnd w:id="14"/>
    </w:p>
    <w:p>
      <w:pPr>
        <w:pStyle w:val="7"/>
        <w:rPr>
          <w:color w:val="auto"/>
          <w:highlight w:val="none"/>
        </w:rPr>
      </w:pPr>
    </w:p>
    <w:p>
      <w:pPr>
        <w:pStyle w:val="7"/>
        <w:rPr>
          <w:color w:val="auto"/>
          <w:highlight w:val="none"/>
        </w:rPr>
      </w:pPr>
    </w:p>
    <w:p>
      <w:pPr>
        <w:spacing w:before="61" w:line="360" w:lineRule="auto"/>
        <w:ind w:right="456"/>
        <w:jc w:val="center"/>
        <w:rPr>
          <w:color w:val="auto"/>
          <w:sz w:val="28"/>
          <w:highlight w:val="none"/>
        </w:rPr>
      </w:pPr>
      <w:r>
        <w:rPr>
          <w:rFonts w:hint="eastAsia"/>
          <w:b/>
          <w:bCs/>
          <w:color w:val="auto"/>
          <w:sz w:val="28"/>
          <w:highlight w:val="none"/>
        </w:rPr>
        <w:t>开标记录表（参考格式）</w:t>
      </w:r>
    </w:p>
    <w:p>
      <w:pPr>
        <w:pStyle w:val="7"/>
        <w:rPr>
          <w:color w:val="auto"/>
          <w:highlight w:val="none"/>
        </w:rPr>
      </w:pPr>
      <w:r>
        <w:rPr>
          <w:rFonts w:hint="eastAsia"/>
          <w:color w:val="auto"/>
          <w:highlight w:val="none"/>
        </w:rPr>
        <w:t>开标</w:t>
      </w:r>
      <w:r>
        <w:rPr>
          <w:rFonts w:hint="eastAsia"/>
          <w:color w:val="auto"/>
          <w:spacing w:val="-3"/>
          <w:highlight w:val="none"/>
        </w:rPr>
        <w:t>时</w:t>
      </w:r>
      <w:r>
        <w:rPr>
          <w:rFonts w:hint="eastAsia"/>
          <w:color w:val="auto"/>
          <w:highlight w:val="none"/>
        </w:rPr>
        <w:t xml:space="preserve">间：         年 </w:t>
      </w:r>
      <w:r>
        <w:rPr>
          <w:rFonts w:hint="eastAsia"/>
          <w:color w:val="auto"/>
          <w:highlight w:val="none"/>
        </w:rPr>
        <w:tab/>
      </w:r>
      <w:r>
        <w:rPr>
          <w:rFonts w:hint="eastAsia"/>
          <w:color w:val="auto"/>
          <w:highlight w:val="none"/>
        </w:rPr>
        <w:t xml:space="preserve">月 </w:t>
      </w:r>
      <w:r>
        <w:rPr>
          <w:rFonts w:hint="eastAsia"/>
          <w:color w:val="auto"/>
          <w:highlight w:val="none"/>
        </w:rPr>
        <w:tab/>
      </w:r>
      <w:r>
        <w:rPr>
          <w:rFonts w:hint="eastAsia"/>
          <w:color w:val="auto"/>
          <w:highlight w:val="none"/>
        </w:rPr>
        <w:t xml:space="preserve">日 </w:t>
      </w:r>
      <w:r>
        <w:rPr>
          <w:rFonts w:hint="eastAsia"/>
          <w:color w:val="auto"/>
          <w:highlight w:val="none"/>
        </w:rPr>
        <w:tab/>
      </w:r>
      <w:r>
        <w:rPr>
          <w:rFonts w:hint="eastAsia"/>
          <w:color w:val="auto"/>
          <w:highlight w:val="none"/>
        </w:rPr>
        <w:t xml:space="preserve">时 </w:t>
      </w:r>
      <w:r>
        <w:rPr>
          <w:rFonts w:hint="eastAsia"/>
          <w:color w:val="auto"/>
          <w:highlight w:val="none"/>
        </w:rPr>
        <w:tab/>
      </w:r>
      <w:r>
        <w:rPr>
          <w:rFonts w:hint="eastAsia"/>
          <w:color w:val="auto"/>
          <w:highlight w:val="none"/>
        </w:rPr>
        <w:t>分</w:t>
      </w:r>
    </w:p>
    <w:p>
      <w:pPr>
        <w:pStyle w:val="7"/>
        <w:rPr>
          <w:color w:val="auto"/>
          <w:highlight w:val="none"/>
        </w:rPr>
      </w:pPr>
    </w:p>
    <w:tbl>
      <w:tblPr>
        <w:tblStyle w:val="15"/>
        <w:tblW w:w="9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4"/>
        <w:gridCol w:w="992"/>
        <w:gridCol w:w="141"/>
        <w:gridCol w:w="1025"/>
        <w:gridCol w:w="992"/>
        <w:gridCol w:w="992"/>
        <w:gridCol w:w="992"/>
        <w:gridCol w:w="82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8" w:type="dxa"/>
            <w:vAlign w:val="center"/>
          </w:tcPr>
          <w:p>
            <w:pPr>
              <w:pStyle w:val="19"/>
              <w:adjustRightInd w:val="0"/>
              <w:snapToGrid w:val="0"/>
              <w:spacing w:line="400" w:lineRule="exact"/>
              <w:ind w:left="4" w:right="4"/>
              <w:jc w:val="center"/>
              <w:rPr>
                <w:color w:val="auto"/>
                <w:sz w:val="18"/>
                <w:highlight w:val="none"/>
              </w:rPr>
            </w:pPr>
            <w:r>
              <w:rPr>
                <w:rFonts w:hint="eastAsia"/>
                <w:color w:val="auto"/>
                <w:sz w:val="18"/>
                <w:highlight w:val="none"/>
              </w:rPr>
              <w:t>序号</w:t>
            </w:r>
          </w:p>
        </w:tc>
        <w:tc>
          <w:tcPr>
            <w:tcW w:w="1020" w:type="dxa"/>
            <w:vAlign w:val="center"/>
          </w:tcPr>
          <w:p>
            <w:pPr>
              <w:pStyle w:val="19"/>
              <w:adjustRightInd w:val="0"/>
              <w:snapToGrid w:val="0"/>
              <w:spacing w:line="400" w:lineRule="exact"/>
              <w:ind w:left="4" w:right="4"/>
              <w:jc w:val="center"/>
              <w:rPr>
                <w:color w:val="auto"/>
                <w:sz w:val="18"/>
                <w:highlight w:val="none"/>
              </w:rPr>
            </w:pPr>
            <w:r>
              <w:rPr>
                <w:rFonts w:hint="eastAsia"/>
                <w:color w:val="auto"/>
                <w:sz w:val="18"/>
                <w:highlight w:val="none"/>
              </w:rPr>
              <w:t>投标人</w:t>
            </w:r>
          </w:p>
        </w:tc>
        <w:tc>
          <w:tcPr>
            <w:tcW w:w="994" w:type="dxa"/>
            <w:vAlign w:val="center"/>
          </w:tcPr>
          <w:p>
            <w:pPr>
              <w:pStyle w:val="19"/>
              <w:adjustRightInd w:val="0"/>
              <w:snapToGrid w:val="0"/>
              <w:spacing w:line="400" w:lineRule="exact"/>
              <w:ind w:left="4" w:right="4"/>
              <w:jc w:val="center"/>
              <w:rPr>
                <w:color w:val="auto"/>
                <w:sz w:val="18"/>
                <w:highlight w:val="none"/>
              </w:rPr>
            </w:pPr>
            <w:r>
              <w:rPr>
                <w:rFonts w:hint="eastAsia" w:ascii="Times New Roman" w:hAnsi="Times New Roman"/>
                <w:color w:val="auto"/>
                <w:sz w:val="18"/>
                <w:highlight w:val="none"/>
              </w:rPr>
              <w:t>投标文件解密情况</w:t>
            </w:r>
          </w:p>
        </w:tc>
        <w:tc>
          <w:tcPr>
            <w:tcW w:w="1133" w:type="dxa"/>
            <w:gridSpan w:val="2"/>
            <w:vAlign w:val="center"/>
          </w:tcPr>
          <w:p>
            <w:pPr>
              <w:pStyle w:val="19"/>
              <w:adjustRightInd w:val="0"/>
              <w:snapToGrid w:val="0"/>
              <w:spacing w:line="400" w:lineRule="exact"/>
              <w:ind w:left="4" w:right="4"/>
              <w:jc w:val="center"/>
              <w:rPr>
                <w:color w:val="auto"/>
                <w:sz w:val="18"/>
                <w:highlight w:val="none"/>
              </w:rPr>
            </w:pPr>
            <w:r>
              <w:rPr>
                <w:rFonts w:hint="eastAsia"/>
                <w:color w:val="auto"/>
                <w:sz w:val="18"/>
                <w:highlight w:val="none"/>
              </w:rPr>
              <w:t>投标总报价</w:t>
            </w:r>
          </w:p>
          <w:p>
            <w:pPr>
              <w:adjustRightInd w:val="0"/>
              <w:snapToGrid w:val="0"/>
              <w:spacing w:line="400" w:lineRule="exact"/>
              <w:ind w:left="4" w:right="4"/>
              <w:jc w:val="center"/>
              <w:rPr>
                <w:color w:val="auto"/>
                <w:sz w:val="18"/>
                <w:highlight w:val="none"/>
              </w:rPr>
            </w:pPr>
            <w:r>
              <w:rPr>
                <w:rFonts w:hint="eastAsia"/>
                <w:color w:val="auto"/>
                <w:sz w:val="18"/>
                <w:highlight w:val="none"/>
              </w:rPr>
              <w:t>（元）</w:t>
            </w:r>
          </w:p>
        </w:tc>
        <w:tc>
          <w:tcPr>
            <w:tcW w:w="1025" w:type="dxa"/>
            <w:vAlign w:val="center"/>
          </w:tcPr>
          <w:p>
            <w:pPr>
              <w:adjustRightInd w:val="0"/>
              <w:snapToGrid w:val="0"/>
              <w:spacing w:line="400" w:lineRule="exact"/>
              <w:ind w:left="4" w:right="4"/>
              <w:jc w:val="center"/>
              <w:rPr>
                <w:color w:val="auto"/>
                <w:sz w:val="18"/>
                <w:highlight w:val="none"/>
              </w:rPr>
            </w:pPr>
            <w:r>
              <w:rPr>
                <w:rFonts w:hint="eastAsia"/>
                <w:color w:val="auto"/>
                <w:sz w:val="18"/>
                <w:highlight w:val="none"/>
              </w:rPr>
              <w:t>报价</w:t>
            </w:r>
            <w:r>
              <w:rPr>
                <w:rFonts w:hint="eastAsia" w:ascii="Times New Roman" w:hAnsi="Times New Roman"/>
                <w:color w:val="auto"/>
                <w:sz w:val="18"/>
                <w:highlight w:val="none"/>
              </w:rPr>
              <w:t>下浮率（%）</w:t>
            </w:r>
          </w:p>
        </w:tc>
        <w:tc>
          <w:tcPr>
            <w:tcW w:w="992" w:type="dxa"/>
            <w:vAlign w:val="center"/>
          </w:tcPr>
          <w:p>
            <w:pPr>
              <w:adjustRightInd w:val="0"/>
              <w:snapToGrid w:val="0"/>
              <w:spacing w:line="400" w:lineRule="exact"/>
              <w:ind w:left="4" w:right="4"/>
              <w:jc w:val="center"/>
              <w:rPr>
                <w:color w:val="auto"/>
                <w:sz w:val="18"/>
                <w:highlight w:val="none"/>
              </w:rPr>
            </w:pPr>
            <w:r>
              <w:rPr>
                <w:rFonts w:hint="eastAsia" w:ascii="Times New Roman" w:hAnsi="Times New Roman"/>
                <w:color w:val="auto"/>
                <w:sz w:val="18"/>
                <w:highlight w:val="none"/>
                <w:lang w:val="en-US"/>
              </w:rPr>
              <w:t>项目总负责人（兼总</w:t>
            </w:r>
            <w:r>
              <w:rPr>
                <w:rFonts w:hint="eastAsia" w:ascii="Times New Roman" w:hAnsi="Times New Roman"/>
                <w:color w:val="auto"/>
                <w:sz w:val="18"/>
                <w:highlight w:val="none"/>
              </w:rPr>
              <w:t>监理工程师</w:t>
            </w:r>
            <w:r>
              <w:rPr>
                <w:rFonts w:hint="eastAsia" w:ascii="Times New Roman" w:hAnsi="Times New Roman"/>
                <w:color w:val="auto"/>
                <w:sz w:val="18"/>
                <w:highlight w:val="none"/>
                <w:lang w:val="en-US"/>
              </w:rPr>
              <w:t>）</w:t>
            </w:r>
          </w:p>
        </w:tc>
        <w:tc>
          <w:tcPr>
            <w:tcW w:w="992" w:type="dxa"/>
          </w:tcPr>
          <w:p>
            <w:pPr>
              <w:adjustRightInd w:val="0"/>
              <w:snapToGrid w:val="0"/>
              <w:spacing w:line="400" w:lineRule="exact"/>
              <w:ind w:left="4" w:right="4"/>
              <w:jc w:val="center"/>
              <w:rPr>
                <w:rFonts w:ascii="Times New Roman" w:hAnsi="Times New Roman"/>
                <w:color w:val="auto"/>
                <w:sz w:val="18"/>
                <w:highlight w:val="none"/>
              </w:rPr>
            </w:pPr>
            <w:r>
              <w:rPr>
                <w:rFonts w:hint="eastAsia" w:ascii="Times New Roman" w:hAnsi="Times New Roman"/>
                <w:color w:val="auto"/>
                <w:sz w:val="18"/>
                <w:highlight w:val="none"/>
                <w:lang w:val="en-US"/>
              </w:rPr>
              <w:t>造价咨询负责人</w:t>
            </w:r>
          </w:p>
        </w:tc>
        <w:tc>
          <w:tcPr>
            <w:tcW w:w="992" w:type="dxa"/>
            <w:vAlign w:val="center"/>
          </w:tcPr>
          <w:p>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服务期限</w:t>
            </w:r>
          </w:p>
        </w:tc>
        <w:tc>
          <w:tcPr>
            <w:tcW w:w="820" w:type="dxa"/>
            <w:vAlign w:val="center"/>
          </w:tcPr>
          <w:p>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备注</w:t>
            </w:r>
          </w:p>
        </w:tc>
        <w:tc>
          <w:tcPr>
            <w:tcW w:w="992" w:type="dxa"/>
            <w:vAlign w:val="center"/>
          </w:tcPr>
          <w:p>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vAlign w:val="center"/>
          </w:tcPr>
          <w:p>
            <w:pPr>
              <w:pStyle w:val="19"/>
              <w:spacing w:line="360" w:lineRule="auto"/>
              <w:jc w:val="center"/>
              <w:rPr>
                <w:color w:val="auto"/>
                <w:sz w:val="20"/>
                <w:highlight w:val="none"/>
              </w:rPr>
            </w:pPr>
          </w:p>
        </w:tc>
        <w:tc>
          <w:tcPr>
            <w:tcW w:w="1020" w:type="dxa"/>
            <w:tcBorders>
              <w:left w:val="single" w:color="000000" w:sz="4" w:space="0"/>
            </w:tcBorders>
            <w:vAlign w:val="center"/>
          </w:tcPr>
          <w:p>
            <w:pPr>
              <w:pStyle w:val="19"/>
              <w:spacing w:line="360" w:lineRule="auto"/>
              <w:jc w:val="center"/>
              <w:rPr>
                <w:color w:val="auto"/>
                <w:sz w:val="20"/>
                <w:highlight w:val="none"/>
              </w:rPr>
            </w:pPr>
          </w:p>
        </w:tc>
        <w:tc>
          <w:tcPr>
            <w:tcW w:w="994" w:type="dxa"/>
            <w:tcBorders>
              <w:left w:val="single" w:color="000000" w:sz="4" w:space="0"/>
            </w:tcBorders>
            <w:vAlign w:val="center"/>
          </w:tcPr>
          <w:p>
            <w:pPr>
              <w:pStyle w:val="19"/>
              <w:spacing w:line="360" w:lineRule="auto"/>
              <w:jc w:val="center"/>
              <w:rPr>
                <w:color w:val="auto"/>
                <w:sz w:val="20"/>
                <w:highlight w:val="none"/>
              </w:rPr>
            </w:pPr>
          </w:p>
        </w:tc>
        <w:tc>
          <w:tcPr>
            <w:tcW w:w="1133" w:type="dxa"/>
            <w:gridSpan w:val="2"/>
            <w:tcBorders>
              <w:left w:val="single" w:color="000000" w:sz="4" w:space="0"/>
            </w:tcBorders>
            <w:vAlign w:val="center"/>
          </w:tcPr>
          <w:p>
            <w:pPr>
              <w:pStyle w:val="19"/>
              <w:spacing w:line="360" w:lineRule="auto"/>
              <w:jc w:val="center"/>
              <w:rPr>
                <w:color w:val="auto"/>
                <w:sz w:val="20"/>
                <w:highlight w:val="none"/>
              </w:rPr>
            </w:pPr>
          </w:p>
        </w:tc>
        <w:tc>
          <w:tcPr>
            <w:tcW w:w="1025"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c>
          <w:tcPr>
            <w:tcW w:w="820" w:type="dxa"/>
            <w:tcBorders>
              <w:left w:val="single" w:color="000000" w:sz="4" w:space="0"/>
            </w:tcBorders>
            <w:vAlign w:val="center"/>
          </w:tcPr>
          <w:p>
            <w:pPr>
              <w:pStyle w:val="19"/>
              <w:spacing w:line="360" w:lineRule="auto"/>
              <w:jc w:val="center"/>
              <w:rPr>
                <w:color w:val="auto"/>
                <w:sz w:val="20"/>
                <w:highlight w:val="none"/>
              </w:rPr>
            </w:pPr>
          </w:p>
        </w:tc>
        <w:tc>
          <w:tcPr>
            <w:tcW w:w="992"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662" w:type="dxa"/>
            <w:gridSpan w:val="3"/>
            <w:vAlign w:val="center"/>
          </w:tcPr>
          <w:p>
            <w:pPr>
              <w:pStyle w:val="19"/>
              <w:spacing w:line="360" w:lineRule="auto"/>
              <w:jc w:val="center"/>
              <w:rPr>
                <w:color w:val="auto"/>
                <w:sz w:val="20"/>
                <w:highlight w:val="none"/>
              </w:rPr>
            </w:pPr>
            <w:r>
              <w:rPr>
                <w:rFonts w:hint="eastAsia"/>
                <w:color w:val="auto"/>
                <w:highlight w:val="none"/>
              </w:rPr>
              <w:t>最高投标限价：</w:t>
            </w:r>
          </w:p>
        </w:tc>
        <w:tc>
          <w:tcPr>
            <w:tcW w:w="992" w:type="dxa"/>
            <w:tcBorders>
              <w:left w:val="single" w:color="000000" w:sz="4" w:space="0"/>
            </w:tcBorders>
          </w:tcPr>
          <w:p>
            <w:pPr>
              <w:pStyle w:val="19"/>
              <w:spacing w:line="360" w:lineRule="auto"/>
              <w:jc w:val="center"/>
              <w:rPr>
                <w:color w:val="auto"/>
                <w:sz w:val="20"/>
                <w:highlight w:val="none"/>
              </w:rPr>
            </w:pPr>
          </w:p>
        </w:tc>
        <w:tc>
          <w:tcPr>
            <w:tcW w:w="5954" w:type="dxa"/>
            <w:gridSpan w:val="7"/>
            <w:tcBorders>
              <w:left w:val="single" w:color="000000" w:sz="4" w:space="0"/>
            </w:tcBorders>
            <w:vAlign w:val="center"/>
          </w:tcPr>
          <w:p>
            <w:pPr>
              <w:pStyle w:val="19"/>
              <w:spacing w:line="360" w:lineRule="auto"/>
              <w:jc w:val="center"/>
              <w:rPr>
                <w:color w:val="auto"/>
                <w:sz w:val="20"/>
                <w:highlight w:val="none"/>
              </w:rPr>
            </w:pPr>
          </w:p>
        </w:tc>
      </w:tr>
    </w:tbl>
    <w:p>
      <w:pPr>
        <w:pStyle w:val="7"/>
        <w:rPr>
          <w:color w:val="auto"/>
          <w:highlight w:val="none"/>
        </w:rPr>
      </w:pPr>
    </w:p>
    <w:p>
      <w:pPr>
        <w:pStyle w:val="7"/>
        <w:rPr>
          <w:color w:val="auto"/>
          <w:highlight w:val="none"/>
        </w:rPr>
      </w:pPr>
    </w:p>
    <w:p>
      <w:pPr>
        <w:pStyle w:val="7"/>
        <w:rPr>
          <w:color w:val="auto"/>
          <w:highlight w:val="none"/>
        </w:rPr>
      </w:pPr>
      <w:r>
        <w:rPr>
          <w:rFonts w:hint="eastAsia"/>
          <w:color w:val="auto"/>
          <w:highlight w:val="none"/>
        </w:rPr>
        <w:t>招标</w:t>
      </w:r>
      <w:r>
        <w:rPr>
          <w:rFonts w:hint="eastAsia"/>
          <w:color w:val="auto"/>
          <w:spacing w:val="-3"/>
          <w:highlight w:val="none"/>
        </w:rPr>
        <w:t>人</w:t>
      </w:r>
      <w:r>
        <w:rPr>
          <w:rFonts w:hint="eastAsia"/>
          <w:color w:val="auto"/>
          <w:highlight w:val="none"/>
        </w:rPr>
        <w:t>代</w:t>
      </w:r>
      <w:r>
        <w:rPr>
          <w:rFonts w:hint="eastAsia"/>
          <w:color w:val="auto"/>
          <w:spacing w:val="-3"/>
          <w:highlight w:val="none"/>
        </w:rPr>
        <w:t>表</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ab/>
      </w:r>
      <w:r>
        <w:rPr>
          <w:rFonts w:hint="eastAsia"/>
          <w:color w:val="auto"/>
          <w:spacing w:val="-3"/>
          <w:highlight w:val="none"/>
        </w:rPr>
        <w:t>记</w:t>
      </w:r>
      <w:r>
        <w:rPr>
          <w:rFonts w:hint="eastAsia"/>
          <w:color w:val="auto"/>
          <w:highlight w:val="none"/>
        </w:rPr>
        <w:t>录</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ab/>
      </w:r>
      <w:r>
        <w:rPr>
          <w:rFonts w:hint="eastAsia"/>
          <w:color w:val="auto"/>
          <w:spacing w:val="-3"/>
          <w:highlight w:val="none"/>
        </w:rPr>
        <w:t>监</w:t>
      </w:r>
      <w:r>
        <w:rPr>
          <w:rFonts w:hint="eastAsia"/>
          <w:color w:val="auto"/>
          <w:spacing w:val="-1"/>
          <w:highlight w:val="none"/>
        </w:rPr>
        <w:t>标</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pPr>
        <w:pStyle w:val="7"/>
        <w:rPr>
          <w:color w:val="auto"/>
          <w:highlight w:val="none"/>
        </w:rPr>
      </w:pPr>
    </w:p>
    <w:p>
      <w:pPr>
        <w:pStyle w:val="7"/>
        <w:rPr>
          <w:color w:val="auto"/>
          <w:highlight w:val="none"/>
        </w:rPr>
      </w:pPr>
      <w:r>
        <w:rPr>
          <w:rFonts w:hint="eastAsia"/>
          <w:color w:val="auto"/>
          <w:highlight w:val="none"/>
        </w:rPr>
        <w:t xml:space="preserve">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spacing w:val="-3"/>
          <w:highlight w:val="none"/>
        </w:rPr>
        <w:t xml:space="preserve">月 </w:t>
      </w:r>
      <w:r>
        <w:rPr>
          <w:rFonts w:hint="eastAsia"/>
          <w:color w:val="auto"/>
          <w:spacing w:val="-3"/>
          <w:highlight w:val="none"/>
        </w:rPr>
        <w:tab/>
      </w:r>
      <w:r>
        <w:rPr>
          <w:rFonts w:hint="eastAsia"/>
          <w:color w:val="auto"/>
          <w:highlight w:val="none"/>
        </w:rPr>
        <w:t>日</w:t>
      </w:r>
    </w:p>
    <w:p>
      <w:pPr>
        <w:spacing w:line="360" w:lineRule="auto"/>
        <w:rPr>
          <w:color w:val="auto"/>
          <w:highlight w:val="none"/>
        </w:rPr>
        <w:sectPr>
          <w:pgSz w:w="11906" w:h="16838"/>
          <w:pgMar w:top="1400" w:right="1100" w:bottom="1120" w:left="1560" w:header="0" w:footer="841" w:gutter="0"/>
          <w:cols w:space="720" w:num="1"/>
          <w:docGrid w:linePitch="312" w:charSpace="2048"/>
        </w:sectPr>
      </w:pPr>
    </w:p>
    <w:p>
      <w:pPr>
        <w:pStyle w:val="7"/>
        <w:rPr>
          <w:color w:val="auto"/>
          <w:highlight w:val="none"/>
        </w:rPr>
      </w:pPr>
      <w:bookmarkStart w:id="15" w:name="_bookmark77"/>
      <w:bookmarkEnd w:id="15"/>
    </w:p>
    <w:p>
      <w:pPr>
        <w:pStyle w:val="3"/>
        <w:jc w:val="center"/>
        <w:rPr>
          <w:rFonts w:ascii="宋体" w:hAnsi="宋体" w:eastAsia="宋体"/>
          <w:color w:val="auto"/>
          <w:highlight w:val="none"/>
        </w:rPr>
      </w:pPr>
      <w:bookmarkStart w:id="16" w:name="_Toc5989"/>
      <w:bookmarkStart w:id="17" w:name="_Toc23771923"/>
      <w:bookmarkStart w:id="18" w:name="_Toc51862230"/>
      <w:bookmarkStart w:id="19" w:name="_Toc51862136"/>
      <w:r>
        <w:rPr>
          <w:rFonts w:hint="eastAsia" w:ascii="宋体" w:hAnsi="宋体" w:eastAsia="宋体"/>
          <w:color w:val="auto"/>
          <w:highlight w:val="none"/>
        </w:rPr>
        <w:t>第三章 评标办法（综合评估法）</w:t>
      </w:r>
      <w:bookmarkEnd w:id="16"/>
      <w:bookmarkEnd w:id="17"/>
      <w:bookmarkEnd w:id="18"/>
      <w:bookmarkEnd w:id="19"/>
    </w:p>
    <w:p>
      <w:pPr>
        <w:pStyle w:val="2"/>
        <w:adjustRightInd w:val="0"/>
        <w:snapToGrid w:val="0"/>
        <w:spacing w:after="100" w:afterAutospacing="1" w:line="240" w:lineRule="auto"/>
        <w:rPr>
          <w:rFonts w:ascii="宋体" w:hAnsi="宋体" w:eastAsia="宋体"/>
          <w:color w:val="auto"/>
          <w:sz w:val="32"/>
          <w:szCs w:val="20"/>
          <w:highlight w:val="none"/>
        </w:rPr>
      </w:pPr>
      <w:bookmarkStart w:id="20" w:name="_Toc20041"/>
      <w:bookmarkStart w:id="21" w:name="_Toc51862137"/>
      <w:bookmarkStart w:id="22" w:name="_Toc51862231"/>
      <w:bookmarkStart w:id="23" w:name="_Toc23771924"/>
      <w:r>
        <w:rPr>
          <w:rFonts w:hint="eastAsia" w:ascii="宋体" w:hAnsi="宋体" w:eastAsia="宋体"/>
          <w:color w:val="auto"/>
          <w:sz w:val="32"/>
          <w:szCs w:val="20"/>
          <w:highlight w:val="none"/>
        </w:rPr>
        <w:t>评标办法前附表</w:t>
      </w:r>
      <w:bookmarkEnd w:id="20"/>
      <w:bookmarkEnd w:id="21"/>
      <w:bookmarkEnd w:id="22"/>
      <w:bookmarkEnd w:id="23"/>
    </w:p>
    <w:tbl>
      <w:tblPr>
        <w:tblStyle w:val="15"/>
        <w:tblW w:w="97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4"/>
        <w:gridCol w:w="106"/>
        <w:gridCol w:w="1142"/>
        <w:gridCol w:w="2506"/>
        <w:gridCol w:w="51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2102" w:type="dxa"/>
            <w:gridSpan w:val="3"/>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b/>
                <w:color w:val="auto"/>
                <w:sz w:val="24"/>
                <w:szCs w:val="24"/>
                <w:highlight w:val="none"/>
              </w:rPr>
            </w:pPr>
            <w:r>
              <w:rPr>
                <w:rFonts w:hint="eastAsia"/>
                <w:b/>
                <w:color w:val="auto"/>
                <w:sz w:val="24"/>
                <w:szCs w:val="24"/>
                <w:highlight w:val="none"/>
              </w:rPr>
              <w:t>条款号</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b/>
                <w:color w:val="auto"/>
                <w:sz w:val="24"/>
                <w:szCs w:val="24"/>
                <w:highlight w:val="none"/>
              </w:rPr>
            </w:pPr>
            <w:r>
              <w:rPr>
                <w:rFonts w:hint="eastAsia"/>
                <w:b/>
                <w:color w:val="auto"/>
                <w:sz w:val="24"/>
                <w:szCs w:val="24"/>
                <w:highlight w:val="none"/>
              </w:rPr>
              <w:t>评审因素</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jc w:val="center"/>
              <w:rPr>
                <w:b/>
                <w:color w:val="auto"/>
                <w:sz w:val="24"/>
                <w:szCs w:val="24"/>
                <w:highlight w:val="none"/>
              </w:rPr>
            </w:pPr>
            <w:r>
              <w:rPr>
                <w:rFonts w:hint="eastAsia"/>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21" w:hRule="atLeast"/>
          <w:jc w:val="center"/>
        </w:trPr>
        <w:tc>
          <w:tcPr>
            <w:tcW w:w="854" w:type="dxa"/>
            <w:vMerge w:val="restart"/>
            <w:tcBorders>
              <w:top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2.1.1</w:t>
            </w:r>
          </w:p>
        </w:tc>
        <w:tc>
          <w:tcPr>
            <w:tcW w:w="1248" w:type="dxa"/>
            <w:gridSpan w:val="2"/>
            <w:vMerge w:val="restart"/>
            <w:tcBorders>
              <w:top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形式评审标准</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投标人名称</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与营业执照、资质证书一致，香港企业独立参加投标的，须与在广东省住房和城乡建设主管部门备案的证明扫描件一致。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投标函及投标函附录签字盖章</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有法定代表人</w:t>
            </w:r>
            <w:bookmarkStart w:id="24" w:name="_Toc144974551"/>
            <w:bookmarkStart w:id="25" w:name="_Toc352691530"/>
            <w:bookmarkStart w:id="26" w:name="_Toc152045584"/>
            <w:bookmarkStart w:id="27" w:name="_Toc384308269"/>
            <w:bookmarkStart w:id="28" w:name="_Toc247514008"/>
            <w:bookmarkStart w:id="29" w:name="_Toc247527609"/>
            <w:bookmarkStart w:id="30" w:name="_Toc152042361"/>
            <w:bookmarkStart w:id="31" w:name="_Toc369531574"/>
            <w:bookmarkStart w:id="32" w:name="_Toc300835005"/>
            <w:bookmarkStart w:id="33" w:name="_Toc361508643"/>
            <w:bookmarkStart w:id="34" w:name="_Toc6546"/>
            <w:r>
              <w:rPr>
                <w:rFonts w:hint="eastAsia"/>
                <w:color w:val="auto"/>
                <w:sz w:val="21"/>
                <w:szCs w:val="21"/>
                <w:highlight w:val="none"/>
              </w:rPr>
              <w:t>或其委托</w:t>
            </w:r>
            <w:bookmarkEnd w:id="24"/>
            <w:bookmarkEnd w:id="25"/>
            <w:bookmarkEnd w:id="26"/>
            <w:bookmarkEnd w:id="27"/>
            <w:bookmarkEnd w:id="28"/>
            <w:bookmarkEnd w:id="29"/>
            <w:bookmarkEnd w:id="30"/>
            <w:bookmarkEnd w:id="31"/>
            <w:bookmarkEnd w:id="32"/>
            <w:bookmarkEnd w:id="33"/>
            <w:bookmarkEnd w:id="34"/>
            <w:r>
              <w:rPr>
                <w:rFonts w:hint="eastAsia"/>
                <w:color w:val="auto"/>
                <w:sz w:val="21"/>
                <w:szCs w:val="21"/>
                <w:highlight w:val="none"/>
              </w:rPr>
              <w:t>代理人签字</w:t>
            </w:r>
            <w:r>
              <w:rPr>
                <w:color w:val="auto"/>
                <w:sz w:val="21"/>
                <w:szCs w:val="21"/>
                <w:highlight w:val="none"/>
              </w:rPr>
              <w:t>（或盖章）</w:t>
            </w:r>
            <w:r>
              <w:rPr>
                <w:rFonts w:hint="eastAsia"/>
                <w:color w:val="auto"/>
                <w:sz w:val="21"/>
                <w:szCs w:val="21"/>
                <w:highlight w:val="none"/>
              </w:rPr>
              <w:t>并加盖单位章。由法定代表人签字</w:t>
            </w:r>
            <w:r>
              <w:rPr>
                <w:color w:val="auto"/>
                <w:sz w:val="21"/>
                <w:szCs w:val="21"/>
                <w:highlight w:val="none"/>
              </w:rPr>
              <w:t>（或盖章）</w:t>
            </w:r>
            <w:r>
              <w:rPr>
                <w:rFonts w:hint="eastAsia"/>
                <w:color w:val="auto"/>
                <w:sz w:val="21"/>
                <w:szCs w:val="21"/>
                <w:highlight w:val="none"/>
              </w:rPr>
              <w:t>的，应附法定代表人身份证明，由代理人签字</w:t>
            </w:r>
            <w:r>
              <w:rPr>
                <w:color w:val="auto"/>
                <w:sz w:val="21"/>
                <w:szCs w:val="21"/>
                <w:highlight w:val="none"/>
              </w:rPr>
              <w:t>（或盖章）</w:t>
            </w:r>
            <w:r>
              <w:rPr>
                <w:rFonts w:hint="eastAsia"/>
                <w:color w:val="auto"/>
                <w:sz w:val="21"/>
                <w:szCs w:val="21"/>
                <w:highlight w:val="none"/>
              </w:rPr>
              <w:t>的，应附授权委托书，身份证明或授权委托书应符合第六章</w:t>
            </w:r>
            <w:r>
              <w:rPr>
                <w:color w:val="auto"/>
                <w:sz w:val="21"/>
                <w:szCs w:val="21"/>
                <w:highlight w:val="none"/>
              </w:rPr>
              <w:t>“</w:t>
            </w:r>
            <w:r>
              <w:rPr>
                <w:rFonts w:hint="eastAsia"/>
                <w:color w:val="auto"/>
                <w:sz w:val="21"/>
                <w:szCs w:val="21"/>
                <w:highlight w:val="none"/>
              </w:rPr>
              <w:t>投标文件格式</w:t>
            </w:r>
            <w:r>
              <w:rPr>
                <w:color w:val="auto"/>
                <w:sz w:val="21"/>
                <w:szCs w:val="21"/>
                <w:highlight w:val="none"/>
              </w:rPr>
              <w:t>”</w:t>
            </w:r>
            <w:r>
              <w:rPr>
                <w:rFonts w:hint="eastAsia"/>
                <w:color w:val="auto"/>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投标文件格式</w:t>
            </w:r>
          </w:p>
        </w:tc>
        <w:tc>
          <w:tcPr>
            <w:tcW w:w="5103" w:type="dxa"/>
            <w:tcBorders>
              <w:top w:val="single" w:color="auto" w:sz="4" w:space="0"/>
              <w:left w:val="single" w:color="auto" w:sz="4" w:space="0"/>
              <w:bottom w:val="single" w:color="auto" w:sz="4" w:space="0"/>
            </w:tcBorders>
            <w:vAlign w:val="center"/>
          </w:tcPr>
          <w:p>
            <w:pPr>
              <w:pStyle w:val="5"/>
              <w:rPr>
                <w:color w:val="auto"/>
                <w:sz w:val="21"/>
                <w:szCs w:val="21"/>
                <w:highlight w:val="none"/>
              </w:rPr>
            </w:pPr>
            <w:r>
              <w:rPr>
                <w:rFonts w:hint="eastAsia"/>
                <w:color w:val="auto"/>
                <w:sz w:val="21"/>
                <w:szCs w:val="21"/>
                <w:highlight w:val="none"/>
              </w:rPr>
              <w:t>符合第六章“投标文件格式”的规定</w:t>
            </w:r>
            <w:r>
              <w:rPr>
                <w:rFonts w:hint="eastAsia"/>
                <w:color w:val="auto"/>
                <w:highlight w:val="none"/>
                <w:lang w:val="en-US" w:eastAsia="zh-CN"/>
              </w:rPr>
              <w:t>（评审格式为《一、投标函及投标函附录 》、《五、报酬清单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390"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备选投标方案</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390"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tcBorders>
              <w:right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联合体投标人</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jc w:val="both"/>
              <w:rPr>
                <w:color w:val="auto"/>
                <w:sz w:val="21"/>
                <w:szCs w:val="21"/>
                <w:highlight w:val="none"/>
              </w:rPr>
            </w:pPr>
            <w:r>
              <w:rPr>
                <w:rFonts w:hint="eastAsia"/>
                <w:color w:val="auto"/>
                <w:sz w:val="21"/>
                <w:szCs w:val="21"/>
                <w:highlight w:val="none"/>
              </w:rPr>
              <w:t>提交符合招标文件要求的联合体协议书，明确各方承担连带责任，并明确联合体主办方。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41" w:hRule="atLeast"/>
          <w:jc w:val="center"/>
        </w:trPr>
        <w:tc>
          <w:tcPr>
            <w:tcW w:w="854" w:type="dxa"/>
            <w:vMerge w:val="continue"/>
            <w:tcBorders>
              <w:bottom w:val="single" w:color="auto" w:sz="4" w:space="0"/>
              <w:right w:val="single" w:color="auto" w:sz="4" w:space="0"/>
            </w:tcBorders>
            <w:vAlign w:val="center"/>
          </w:tcPr>
          <w:p>
            <w:pPr>
              <w:rPr>
                <w:color w:val="auto"/>
                <w:highlight w:val="none"/>
              </w:rPr>
            </w:pPr>
          </w:p>
        </w:tc>
        <w:tc>
          <w:tcPr>
            <w:tcW w:w="1248" w:type="dxa"/>
            <w:gridSpan w:val="2"/>
            <w:tcBorders>
              <w:right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投标人机器码</w:t>
            </w:r>
          </w:p>
        </w:tc>
        <w:tc>
          <w:tcPr>
            <w:tcW w:w="5103" w:type="dxa"/>
            <w:tcBorders>
              <w:top w:val="single" w:color="auto" w:sz="4" w:space="0"/>
              <w:left w:val="single" w:color="auto" w:sz="4" w:space="0"/>
              <w:bottom w:val="single" w:color="auto" w:sz="4" w:space="0"/>
            </w:tcBorders>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投标人与本项目其他投标人加密打包投标文件电脑机器特征码一致的</w:t>
            </w:r>
            <w:r>
              <w:rPr>
                <w:color w:val="auto"/>
                <w:sz w:val="21"/>
                <w:szCs w:val="21"/>
                <w:highlight w:val="none"/>
              </w:rPr>
              <w:t>(</w:t>
            </w:r>
            <w:r>
              <w:rPr>
                <w:rFonts w:hint="eastAsia"/>
                <w:color w:val="auto"/>
                <w:sz w:val="21"/>
                <w:szCs w:val="21"/>
                <w:highlight w:val="none"/>
              </w:rPr>
              <w:t>以广州公共资源交易中心评标系统的检索信息为准</w:t>
            </w:r>
            <w:r>
              <w:rPr>
                <w:color w:val="auto"/>
                <w:sz w:val="21"/>
                <w:szCs w:val="21"/>
                <w:highlight w:val="none"/>
              </w:rPr>
              <w:t>)</w:t>
            </w:r>
            <w:r>
              <w:rPr>
                <w:rFonts w:hint="eastAsia"/>
                <w:color w:val="auto"/>
                <w:sz w:val="21"/>
                <w:szCs w:val="21"/>
                <w:highlight w:val="none"/>
              </w:rPr>
              <w:t>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restart"/>
            <w:tcBorders>
              <w:top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2.1.2</w:t>
            </w:r>
          </w:p>
        </w:tc>
        <w:tc>
          <w:tcPr>
            <w:tcW w:w="1248" w:type="dxa"/>
            <w:gridSpan w:val="2"/>
            <w:vMerge w:val="restart"/>
            <w:tcBorders>
              <w:top w:val="single" w:color="auto" w:sz="4" w:space="0"/>
              <w:left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资格评审标准</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营业执照或事业单位法人证书</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具备有效的营业执照或事业单位法人证书</w:t>
            </w:r>
            <w:r>
              <w:rPr>
                <w:color w:val="auto"/>
                <w:sz w:val="21"/>
                <w:szCs w:val="21"/>
                <w:highlight w:val="none"/>
              </w:rPr>
              <w:t>（香港企业具有在香港公司注册证书及商业登记证）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7"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资质要求</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1.4.1</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1"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项目负责人</w:t>
            </w:r>
          </w:p>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（兼总监理工程师）</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1.4.1</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1"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lang w:val="en-US"/>
              </w:rPr>
            </w:pPr>
            <w:r>
              <w:rPr>
                <w:rFonts w:hint="eastAsia"/>
                <w:color w:val="auto"/>
                <w:sz w:val="21"/>
                <w:szCs w:val="21"/>
                <w:highlight w:val="none"/>
                <w:lang w:val="en-US"/>
              </w:rPr>
              <w:t>造价咨询负责人</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jc w:val="both"/>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1.4.1</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2"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其他要求</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1.4.1</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8"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联合体投标人</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不存在禁止投标的情形</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不存在第二章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1.4.3</w:t>
            </w:r>
            <w:r>
              <w:rPr>
                <w:rFonts w:hint="eastAsia"/>
                <w:color w:val="auto"/>
                <w:sz w:val="21"/>
                <w:szCs w:val="21"/>
                <w:highlight w:val="none"/>
              </w:rPr>
              <w:t>项规定的任何一种情形（以《投标人声明》进行评审）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bottom w:val="single" w:color="auto" w:sz="4" w:space="0"/>
              <w:right w:val="single" w:color="auto" w:sz="4" w:space="0"/>
            </w:tcBorders>
            <w:vAlign w:val="center"/>
          </w:tcPr>
          <w:p>
            <w:pPr>
              <w:rPr>
                <w:color w:val="auto"/>
                <w:highlight w:val="none"/>
              </w:rPr>
            </w:pPr>
          </w:p>
        </w:tc>
        <w:tc>
          <w:tcPr>
            <w:tcW w:w="1248" w:type="dxa"/>
            <w:gridSpan w:val="2"/>
            <w:vMerge w:val="continue"/>
            <w:tcBorders>
              <w:left w:val="single" w:color="auto" w:sz="4" w:space="0"/>
              <w:bottom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未被列入拖欠农民工工资失信联合惩戒对象名单</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07" w:hRule="atLeast"/>
          <w:jc w:val="center"/>
        </w:trPr>
        <w:tc>
          <w:tcPr>
            <w:tcW w:w="854" w:type="dxa"/>
            <w:vMerge w:val="restart"/>
            <w:tcBorders>
              <w:top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2.1.3</w:t>
            </w:r>
          </w:p>
        </w:tc>
        <w:tc>
          <w:tcPr>
            <w:tcW w:w="1248" w:type="dxa"/>
            <w:gridSpan w:val="2"/>
            <w:vMerge w:val="restart"/>
            <w:tcBorders>
              <w:top w:val="single" w:color="auto" w:sz="4" w:space="0"/>
              <w:left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响应性评审标准</w:t>
            </w:r>
          </w:p>
        </w:tc>
        <w:tc>
          <w:tcPr>
            <w:tcW w:w="2506" w:type="dxa"/>
            <w:tcBorders>
              <w:top w:val="single" w:color="auto" w:sz="4" w:space="0"/>
              <w:left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strike/>
                <w:dstrike w:val="0"/>
                <w:color w:val="auto"/>
                <w:sz w:val="21"/>
                <w:szCs w:val="21"/>
                <w:highlight w:val="none"/>
              </w:rPr>
            </w:pPr>
            <w:r>
              <w:rPr>
                <w:rFonts w:hint="eastAsia"/>
                <w:color w:val="auto"/>
                <w:sz w:val="21"/>
                <w:szCs w:val="21"/>
                <w:highlight w:val="none"/>
              </w:rPr>
              <w:t>投标报价</w:t>
            </w:r>
          </w:p>
        </w:tc>
        <w:tc>
          <w:tcPr>
            <w:tcW w:w="5103" w:type="dxa"/>
            <w:tcBorders>
              <w:top w:val="single" w:color="auto" w:sz="4" w:space="0"/>
              <w:left w:val="single" w:color="auto" w:sz="4" w:space="0"/>
            </w:tcBorders>
            <w:vAlign w:val="center"/>
          </w:tcPr>
          <w:p>
            <w:pPr>
              <w:adjustRightInd w:val="0"/>
              <w:snapToGrid w:val="0"/>
              <w:spacing w:before="36" w:beforeLines="15" w:after="36" w:afterLines="15"/>
              <w:ind w:left="42" w:leftChars="20" w:right="42" w:rightChars="20"/>
              <w:rPr>
                <w:strike/>
                <w:dstrike w:val="0"/>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第3</w:t>
            </w:r>
            <w:r>
              <w:rPr>
                <w:color w:val="auto"/>
                <w:sz w:val="21"/>
                <w:szCs w:val="21"/>
                <w:highlight w:val="none"/>
              </w:rPr>
              <w:t>.</w:t>
            </w:r>
            <w:r>
              <w:rPr>
                <w:rFonts w:hint="eastAsia"/>
                <w:color w:val="auto"/>
                <w:sz w:val="21"/>
                <w:szCs w:val="21"/>
                <w:highlight w:val="none"/>
              </w:rPr>
              <w:t>2款规定。对同一招标项目没有出现两个或以上的投标报价，且修正无依据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07" w:hRule="atLeast"/>
          <w:jc w:val="center"/>
        </w:trPr>
        <w:tc>
          <w:tcPr>
            <w:tcW w:w="854" w:type="dxa"/>
            <w:vMerge w:val="continue"/>
            <w:tcBorders>
              <w:top w:val="single" w:color="auto" w:sz="4" w:space="0"/>
              <w:right w:val="single" w:color="auto" w:sz="4" w:space="0"/>
            </w:tcBorders>
            <w:vAlign w:val="center"/>
          </w:tcPr>
          <w:p>
            <w:pPr>
              <w:rPr>
                <w:color w:val="auto"/>
                <w:highlight w:val="none"/>
              </w:rPr>
            </w:pPr>
          </w:p>
        </w:tc>
        <w:tc>
          <w:tcPr>
            <w:tcW w:w="1248" w:type="dxa"/>
            <w:gridSpan w:val="2"/>
            <w:vMerge w:val="continue"/>
            <w:tcBorders>
              <w:top w:val="single" w:color="auto" w:sz="4" w:space="0"/>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投标内容</w:t>
            </w:r>
          </w:p>
        </w:tc>
        <w:tc>
          <w:tcPr>
            <w:tcW w:w="5103" w:type="dxa"/>
            <w:tcBorders>
              <w:top w:val="single" w:color="auto" w:sz="4" w:space="0"/>
              <w:left w:val="single" w:color="auto" w:sz="4" w:space="0"/>
            </w:tcBorders>
            <w:vAlign w:val="center"/>
          </w:tcPr>
          <w:p>
            <w:pPr>
              <w:adjustRightInd w:val="0"/>
              <w:snapToGrid w:val="0"/>
              <w:spacing w:before="36" w:beforeLines="15" w:after="36" w:afterLines="15"/>
              <w:ind w:left="42" w:leftChars="20" w:right="42" w:rightChars="20"/>
              <w:jc w:val="both"/>
              <w:rPr>
                <w:color w:val="auto"/>
                <w:sz w:val="21"/>
                <w:szCs w:val="21"/>
                <w:highlight w:val="none"/>
              </w:rPr>
            </w:pPr>
            <w:r>
              <w:rPr>
                <w:rFonts w:hint="eastAsia"/>
                <w:color w:val="auto"/>
                <w:sz w:val="21"/>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服务期限</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1.3.2</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12"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质量标准</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1.3.3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41" w:hRule="atLeast"/>
          <w:jc w:val="center"/>
        </w:trPr>
        <w:tc>
          <w:tcPr>
            <w:tcW w:w="854" w:type="dxa"/>
            <w:vMerge w:val="continue"/>
            <w:tcBorders>
              <w:right w:val="single" w:color="auto" w:sz="4" w:space="0"/>
            </w:tcBorders>
            <w:vAlign w:val="center"/>
          </w:tcPr>
          <w:p>
            <w:pPr>
              <w:rPr>
                <w:color w:val="auto"/>
                <w:highlight w:val="none"/>
              </w:rPr>
            </w:pPr>
          </w:p>
        </w:tc>
        <w:tc>
          <w:tcPr>
            <w:tcW w:w="1248" w:type="dxa"/>
            <w:gridSpan w:val="2"/>
            <w:vMerge w:val="continue"/>
            <w:tcBorders>
              <w:left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投标有效期</w:t>
            </w:r>
          </w:p>
        </w:tc>
        <w:tc>
          <w:tcPr>
            <w:tcW w:w="5103" w:type="dxa"/>
            <w:tcBorders>
              <w:top w:val="single" w:color="auto" w:sz="4" w:space="0"/>
              <w:left w:val="single" w:color="auto" w:sz="4" w:space="0"/>
              <w:bottom w:val="single" w:color="auto" w:sz="4" w:space="0"/>
            </w:tcBorders>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3.3.1 </w:t>
            </w:r>
            <w:r>
              <w:rPr>
                <w:rFonts w:hint="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09" w:hRule="atLeast"/>
          <w:jc w:val="center"/>
        </w:trPr>
        <w:tc>
          <w:tcPr>
            <w:tcW w:w="854" w:type="dxa"/>
            <w:vMerge w:val="continue"/>
            <w:tcBorders>
              <w:bottom w:val="single" w:color="auto" w:sz="4" w:space="0"/>
              <w:right w:val="single" w:color="auto" w:sz="4" w:space="0"/>
            </w:tcBorders>
            <w:vAlign w:val="center"/>
          </w:tcPr>
          <w:p>
            <w:pPr>
              <w:rPr>
                <w:color w:val="auto"/>
                <w:highlight w:val="none"/>
              </w:rPr>
            </w:pPr>
          </w:p>
        </w:tc>
        <w:tc>
          <w:tcPr>
            <w:tcW w:w="1248" w:type="dxa"/>
            <w:gridSpan w:val="2"/>
            <w:vMerge w:val="continue"/>
            <w:tcBorders>
              <w:left w:val="single" w:color="auto" w:sz="4" w:space="0"/>
              <w:bottom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串通投标情形</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投标人之间不存在《广东省实施&lt;中华人民共和国招标投标法&gt;</w:t>
            </w:r>
            <w:r>
              <w:rPr>
                <w:color w:val="auto"/>
                <w:sz w:val="21"/>
                <w:szCs w:val="21"/>
                <w:highlight w:val="none"/>
              </w:rPr>
              <w:t>办法</w:t>
            </w:r>
            <w:r>
              <w:rPr>
                <w:rFonts w:hint="eastAsia"/>
                <w:color w:val="auto"/>
                <w:sz w:val="21"/>
                <w:szCs w:val="21"/>
                <w:highlight w:val="none"/>
              </w:rPr>
              <w:t>》第十六条所禁止的情形的；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2102" w:type="dxa"/>
            <w:gridSpan w:val="3"/>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b/>
                <w:color w:val="auto"/>
                <w:sz w:val="21"/>
                <w:szCs w:val="21"/>
                <w:highlight w:val="none"/>
              </w:rPr>
            </w:pPr>
            <w:r>
              <w:rPr>
                <w:rFonts w:hint="eastAsia"/>
                <w:b/>
                <w:color w:val="auto"/>
                <w:sz w:val="21"/>
                <w:szCs w:val="21"/>
                <w:highlight w:val="none"/>
              </w:rPr>
              <w:t>条款号</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b/>
                <w:color w:val="auto"/>
                <w:sz w:val="21"/>
                <w:szCs w:val="21"/>
                <w:highlight w:val="none"/>
              </w:rPr>
            </w:pPr>
            <w:r>
              <w:rPr>
                <w:rFonts w:hint="eastAsia"/>
                <w:b/>
                <w:color w:val="auto"/>
                <w:sz w:val="21"/>
                <w:szCs w:val="21"/>
                <w:highlight w:val="none"/>
              </w:rPr>
              <w:t>条款内容</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jc w:val="center"/>
              <w:rPr>
                <w:b/>
                <w:color w:val="auto"/>
                <w:sz w:val="21"/>
                <w:szCs w:val="21"/>
                <w:highlight w:val="none"/>
              </w:rPr>
            </w:pPr>
            <w:r>
              <w:rPr>
                <w:rFonts w:hint="eastAsia"/>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7" w:hRule="atLeast"/>
          <w:jc w:val="center"/>
        </w:trPr>
        <w:tc>
          <w:tcPr>
            <w:tcW w:w="2102" w:type="dxa"/>
            <w:gridSpan w:val="3"/>
            <w:tcBorders>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2.2.1</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分值构成</w:t>
            </w:r>
          </w:p>
          <w:p>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w:t>
            </w:r>
            <w:r>
              <w:rPr>
                <w:rFonts w:hint="eastAsia"/>
                <w:color w:val="auto"/>
                <w:sz w:val="21"/>
                <w:szCs w:val="21"/>
                <w:highlight w:val="none"/>
              </w:rPr>
              <w:t>总分</w:t>
            </w:r>
            <w:r>
              <w:rPr>
                <w:color w:val="auto"/>
                <w:sz w:val="21"/>
                <w:szCs w:val="21"/>
                <w:highlight w:val="none"/>
              </w:rPr>
              <w:t>100</w:t>
            </w:r>
            <w:r>
              <w:rPr>
                <w:rFonts w:hint="eastAsia"/>
                <w:color w:val="auto"/>
                <w:sz w:val="21"/>
                <w:szCs w:val="21"/>
                <w:highlight w:val="none"/>
              </w:rPr>
              <w:t>分</w:t>
            </w:r>
            <w:r>
              <w:rPr>
                <w:color w:val="auto"/>
                <w:sz w:val="21"/>
                <w:szCs w:val="21"/>
                <w:highlight w:val="none"/>
              </w:rPr>
              <w:t>)</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资信业绩部分：</w:t>
            </w:r>
            <w:r>
              <w:rPr>
                <w:rFonts w:hint="eastAsia"/>
                <w:color w:val="auto"/>
                <w:sz w:val="21"/>
                <w:szCs w:val="21"/>
                <w:highlight w:val="none"/>
                <w:lang w:val="en-US" w:eastAsia="zh-CN"/>
              </w:rPr>
              <w:t>50</w:t>
            </w:r>
            <w:r>
              <w:rPr>
                <w:rFonts w:hint="eastAsia"/>
                <w:color w:val="auto"/>
                <w:sz w:val="21"/>
                <w:szCs w:val="21"/>
                <w:highlight w:val="none"/>
              </w:rPr>
              <w:t>分</w:t>
            </w:r>
          </w:p>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技术服务方案部分：</w:t>
            </w:r>
            <w:r>
              <w:rPr>
                <w:rFonts w:hint="eastAsia"/>
                <w:color w:val="auto"/>
                <w:sz w:val="21"/>
                <w:szCs w:val="21"/>
                <w:highlight w:val="none"/>
                <w:lang w:val="en-US" w:eastAsia="zh-CN"/>
              </w:rPr>
              <w:t>30</w:t>
            </w:r>
            <w:r>
              <w:rPr>
                <w:rFonts w:hint="eastAsia"/>
                <w:color w:val="auto"/>
                <w:sz w:val="21"/>
                <w:szCs w:val="21"/>
                <w:highlight w:val="none"/>
              </w:rPr>
              <w:t>分</w:t>
            </w:r>
          </w:p>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投标报价：</w:t>
            </w:r>
            <w:r>
              <w:rPr>
                <w:rFonts w:hint="eastAsia"/>
                <w:color w:val="auto"/>
                <w:sz w:val="21"/>
                <w:szCs w:val="21"/>
                <w:highlight w:val="none"/>
                <w:lang w:val="en-US" w:eastAsia="zh-CN"/>
              </w:rPr>
              <w:t>2</w:t>
            </w:r>
            <w:r>
              <w:rPr>
                <w:rFonts w:hint="eastAsia"/>
                <w:color w:val="auto"/>
                <w:sz w:val="21"/>
                <w:szCs w:val="21"/>
                <w:highlight w:val="none"/>
                <w:lang w:val="en-US"/>
              </w:rPr>
              <w:t>0</w:t>
            </w:r>
            <w:r>
              <w:rPr>
                <w:rFonts w:hint="eastAsia"/>
                <w:color w:val="auto"/>
                <w:sz w:val="21"/>
                <w:szCs w:val="21"/>
                <w:highlight w:val="none"/>
              </w:rPr>
              <w:t>分</w:t>
            </w:r>
          </w:p>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其他因素部分：</w:t>
            </w:r>
            <w:r>
              <w:rPr>
                <w:rFonts w:hint="eastAsia"/>
                <w:color w:val="auto"/>
                <w:sz w:val="21"/>
                <w:szCs w:val="21"/>
                <w:highlight w:val="none"/>
                <w:lang w:val="en-US" w:eastAsia="zh-CN"/>
              </w:rPr>
              <w:t>无</w:t>
            </w:r>
            <w:r>
              <w:rPr>
                <w:color w:val="auto"/>
                <w:sz w:val="21"/>
                <w:szCs w:val="21"/>
                <w:highlight w:val="none"/>
              </w:rPr>
              <w:br w:type="textWrapping"/>
            </w:r>
            <w:r>
              <w:rPr>
                <w:rFonts w:hint="eastAsia"/>
                <w:color w:val="auto"/>
                <w:sz w:val="21"/>
                <w:szCs w:val="21"/>
                <w:highlight w:val="none"/>
              </w:rPr>
              <w:t>投标人得分＝资信业绩部分</w:t>
            </w:r>
            <w:r>
              <w:rPr>
                <w:color w:val="auto"/>
                <w:sz w:val="21"/>
                <w:szCs w:val="21"/>
                <w:highlight w:val="none"/>
              </w:rPr>
              <w:t>得分</w:t>
            </w:r>
            <w:r>
              <w:rPr>
                <w:rFonts w:hint="eastAsia"/>
                <w:color w:val="auto"/>
                <w:sz w:val="21"/>
                <w:szCs w:val="21"/>
                <w:highlight w:val="none"/>
              </w:rPr>
              <w:t>+技术</w:t>
            </w:r>
            <w:r>
              <w:rPr>
                <w:rFonts w:hint="eastAsia"/>
                <w:color w:val="auto"/>
                <w:sz w:val="21"/>
                <w:szCs w:val="21"/>
                <w:highlight w:val="none"/>
                <w:lang w:val="en-US"/>
              </w:rPr>
              <w:t>服务</w:t>
            </w:r>
            <w:r>
              <w:rPr>
                <w:rFonts w:hint="eastAsia"/>
                <w:color w:val="auto"/>
                <w:sz w:val="21"/>
                <w:szCs w:val="21"/>
                <w:highlight w:val="none"/>
              </w:rPr>
              <w:t>方案部分</w:t>
            </w:r>
            <w:r>
              <w:rPr>
                <w:color w:val="auto"/>
                <w:sz w:val="21"/>
                <w:szCs w:val="21"/>
                <w:highlight w:val="none"/>
              </w:rPr>
              <w:t>得分</w:t>
            </w:r>
            <w:r>
              <w:rPr>
                <w:rFonts w:hint="eastAsia"/>
                <w:color w:val="auto"/>
                <w:sz w:val="21"/>
                <w:szCs w:val="21"/>
                <w:highlight w:val="none"/>
              </w:rPr>
              <w:t>+投标报价</w:t>
            </w:r>
            <w:r>
              <w:rPr>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950" w:hRule="atLeast"/>
          <w:jc w:val="center"/>
        </w:trPr>
        <w:tc>
          <w:tcPr>
            <w:tcW w:w="2102" w:type="dxa"/>
            <w:gridSpan w:val="3"/>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2.2.2</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评标基准价计算方法</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right="42" w:rightChars="20"/>
              <w:rPr>
                <w:color w:val="auto"/>
                <w:sz w:val="21"/>
                <w:szCs w:val="21"/>
                <w:highlight w:val="none"/>
              </w:rPr>
            </w:pPr>
            <w:r>
              <w:rPr>
                <w:rFonts w:hint="eastAsia"/>
                <w:color w:val="auto"/>
                <w:sz w:val="21"/>
                <w:szCs w:val="21"/>
                <w:highlight w:val="none"/>
              </w:rPr>
              <w:t>1、当通过形式评审、资格评审、响应性评审的投标人大于5名时，所有</w:t>
            </w:r>
            <w:r>
              <w:rPr>
                <w:color w:val="auto"/>
                <w:sz w:val="21"/>
                <w:szCs w:val="21"/>
                <w:highlight w:val="none"/>
              </w:rPr>
              <w:t>有效</w:t>
            </w:r>
            <w:r>
              <w:rPr>
                <w:rFonts w:hint="eastAsia"/>
                <w:color w:val="auto"/>
                <w:sz w:val="21"/>
                <w:szCs w:val="21"/>
                <w:highlight w:val="none"/>
              </w:rPr>
              <w:t>的投标报价中去掉一个最高价和一个最低价，取余下投标报价的算术平均值的作为评标基准价。</w:t>
            </w:r>
          </w:p>
          <w:p>
            <w:pPr>
              <w:adjustRightInd w:val="0"/>
              <w:snapToGrid w:val="0"/>
              <w:spacing w:before="36" w:beforeLines="15" w:after="36" w:afterLines="15"/>
              <w:ind w:right="42" w:rightChars="20"/>
              <w:rPr>
                <w:color w:val="auto"/>
                <w:sz w:val="21"/>
                <w:szCs w:val="21"/>
                <w:highlight w:val="none"/>
              </w:rPr>
            </w:pPr>
            <w:r>
              <w:rPr>
                <w:rFonts w:hint="eastAsia"/>
                <w:color w:val="auto"/>
                <w:sz w:val="21"/>
                <w:szCs w:val="21"/>
                <w:highlight w:val="none"/>
              </w:rPr>
              <w:t>2、当通过形式评审、资格评审、响应性评审的投标人小于或等于5名时，取所有</w:t>
            </w:r>
            <w:r>
              <w:rPr>
                <w:color w:val="auto"/>
                <w:sz w:val="21"/>
                <w:szCs w:val="21"/>
                <w:highlight w:val="none"/>
              </w:rPr>
              <w:t>有效</w:t>
            </w:r>
            <w:r>
              <w:rPr>
                <w:rFonts w:hint="eastAsia"/>
                <w:color w:val="auto"/>
                <w:sz w:val="21"/>
                <w:szCs w:val="21"/>
                <w:highlight w:val="none"/>
              </w:rPr>
              <w:t>的投标报价的算术平均值的作为评标基准价。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8" w:hRule="atLeast"/>
          <w:jc w:val="center"/>
        </w:trPr>
        <w:tc>
          <w:tcPr>
            <w:tcW w:w="2102" w:type="dxa"/>
            <w:gridSpan w:val="3"/>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2.2.3</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投标报价的偏差率</w:t>
            </w:r>
          </w:p>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计算公式</w:t>
            </w:r>
          </w:p>
        </w:tc>
        <w:tc>
          <w:tcPr>
            <w:tcW w:w="5103"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偏差率</w:t>
            </w:r>
            <w:r>
              <w:rPr>
                <w:color w:val="auto"/>
                <w:sz w:val="21"/>
                <w:szCs w:val="21"/>
                <w:highlight w:val="none"/>
              </w:rPr>
              <w:t>=</w:t>
            </w:r>
            <w:r>
              <w:rPr>
                <w:rFonts w:hint="eastAsia"/>
                <w:color w:val="auto"/>
                <w:sz w:val="21"/>
                <w:szCs w:val="21"/>
                <w:highlight w:val="none"/>
              </w:rPr>
              <w:t>∣投标人有效投标报价—评标基准价∣</w:t>
            </w:r>
            <w:r>
              <w:rPr>
                <w:color w:val="auto"/>
                <w:sz w:val="21"/>
                <w:szCs w:val="21"/>
                <w:highlight w:val="none"/>
              </w:rPr>
              <w:t>/</w:t>
            </w:r>
            <w:r>
              <w:rPr>
                <w:rFonts w:hint="eastAsia"/>
                <w:color w:val="auto"/>
                <w:sz w:val="21"/>
                <w:szCs w:val="21"/>
                <w:highlight w:val="none"/>
              </w:rPr>
              <w:t>评标基准价</w:t>
            </w:r>
            <w:r>
              <w:rPr>
                <w:color w:val="auto"/>
                <w:sz w:val="21"/>
                <w:szCs w:val="21"/>
                <w:highlight w:val="none"/>
              </w:rPr>
              <w:t>*100%</w:t>
            </w:r>
          </w:p>
          <w:p>
            <w:pPr>
              <w:widowControl/>
              <w:adjustRightInd w:val="0"/>
              <w:snapToGrid w:val="0"/>
              <w:rPr>
                <w:color w:val="auto"/>
                <w:sz w:val="21"/>
                <w:szCs w:val="21"/>
                <w:highlight w:val="none"/>
              </w:rPr>
            </w:pPr>
            <w:r>
              <w:rPr>
                <w:color w:val="auto"/>
                <w:sz w:val="21"/>
                <w:szCs w:val="21"/>
                <w:highlight w:val="none"/>
              </w:rPr>
              <w:t>（偏差率四舍五入保留</w:t>
            </w:r>
            <w:r>
              <w:rPr>
                <w:rFonts w:hint="eastAsia"/>
                <w:color w:val="auto"/>
                <w:sz w:val="21"/>
                <w:szCs w:val="21"/>
                <w:highlight w:val="none"/>
              </w:rPr>
              <w:t>2</w:t>
            </w:r>
            <w:r>
              <w:rPr>
                <w:color w:val="auto"/>
                <w:sz w:val="21"/>
                <w:szCs w:val="21"/>
                <w:highlight w:val="none"/>
              </w:rPr>
              <w:t>位小数</w:t>
            </w:r>
            <w:r>
              <w:rPr>
                <w:rFonts w:hint="eastAsia"/>
                <w:color w:val="auto"/>
                <w:sz w:val="21"/>
                <w:szCs w:val="21"/>
                <w:highlight w:val="none"/>
              </w:rPr>
              <w:t>，报价偏差率不足1%的，按直线内插法计算投标报价得分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84" w:hRule="atLeast"/>
          <w:jc w:val="center"/>
        </w:trPr>
        <w:tc>
          <w:tcPr>
            <w:tcW w:w="960" w:type="dxa"/>
            <w:gridSpan w:val="2"/>
            <w:vMerge w:val="restart"/>
            <w:tcBorders>
              <w:top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2.2.4</w:t>
            </w: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p>
        </w:tc>
        <w:tc>
          <w:tcPr>
            <w:tcW w:w="1142" w:type="dxa"/>
            <w:vMerge w:val="restart"/>
            <w:tcBorders>
              <w:top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资信业绩部分评分标准（</w:t>
            </w:r>
            <w:r>
              <w:rPr>
                <w:rFonts w:hint="eastAsia"/>
                <w:color w:val="auto"/>
                <w:sz w:val="21"/>
                <w:szCs w:val="21"/>
                <w:highlight w:val="none"/>
                <w:lang w:val="en-US" w:eastAsia="zh-CN"/>
              </w:rPr>
              <w:t>50</w:t>
            </w:r>
            <w:r>
              <w:rPr>
                <w:rFonts w:hint="eastAsia"/>
                <w:color w:val="auto"/>
                <w:sz w:val="21"/>
                <w:szCs w:val="21"/>
                <w:highlight w:val="none"/>
              </w:rPr>
              <w:t>分）</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类似业绩（</w:t>
            </w:r>
            <w:r>
              <w:rPr>
                <w:rFonts w:hint="eastAsia"/>
                <w:color w:val="auto"/>
                <w:sz w:val="21"/>
                <w:szCs w:val="21"/>
                <w:highlight w:val="none"/>
                <w:lang w:val="en-US" w:eastAsia="zh-CN"/>
              </w:rPr>
              <w:t>5</w:t>
            </w:r>
            <w:r>
              <w:rPr>
                <w:rFonts w:hint="eastAsia"/>
                <w:color w:val="auto"/>
                <w:sz w:val="21"/>
                <w:szCs w:val="21"/>
                <w:highlight w:val="none"/>
              </w:rPr>
              <w:t>分）</w:t>
            </w:r>
          </w:p>
        </w:tc>
        <w:tc>
          <w:tcPr>
            <w:tcW w:w="5103" w:type="dxa"/>
            <w:tcBorders>
              <w:top w:val="single" w:color="auto" w:sz="4" w:space="0"/>
              <w:left w:val="single" w:color="auto" w:sz="4" w:space="0"/>
              <w:bottom w:val="single" w:color="auto" w:sz="4" w:space="0"/>
            </w:tcBorders>
            <w:vAlign w:val="center"/>
          </w:tcPr>
          <w:p>
            <w:pPr>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1.监理业绩：</w:t>
            </w: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投标人自2019年1月1日至投标截止时间止</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承揽过</w:t>
            </w:r>
            <w:r>
              <w:rPr>
                <w:rFonts w:hint="eastAsia" w:ascii="宋体" w:hAnsi="宋体" w:eastAsia="宋体" w:cs="宋体"/>
                <w:color w:val="auto"/>
                <w:sz w:val="21"/>
                <w:szCs w:val="21"/>
                <w:highlight w:val="none"/>
                <w:lang w:val="en-US" w:eastAsia="zh-CN"/>
              </w:rPr>
              <w:t>合同金额大于或等于</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lang w:val="en-US" w:eastAsia="zh-CN"/>
              </w:rPr>
              <w:t>万元</w:t>
            </w:r>
            <w:r>
              <w:rPr>
                <w:rFonts w:hint="eastAsia" w:ascii="宋体" w:hAnsi="宋体" w:eastAsia="宋体" w:cs="宋体"/>
                <w:color w:val="auto"/>
                <w:sz w:val="21"/>
                <w:szCs w:val="21"/>
                <w:highlight w:val="none"/>
              </w:rPr>
              <w:t>的类似工程</w:t>
            </w:r>
            <w:r>
              <w:rPr>
                <w:rFonts w:hint="eastAsia" w:ascii="宋体" w:hAnsi="宋体" w:eastAsia="宋体" w:cs="宋体"/>
                <w:color w:val="auto"/>
                <w:sz w:val="21"/>
                <w:szCs w:val="21"/>
                <w:highlight w:val="none"/>
                <w:lang w:val="en-US" w:eastAsia="zh-CN"/>
              </w:rPr>
              <w:t>监理业绩</w:t>
            </w:r>
            <w:r>
              <w:rPr>
                <w:rFonts w:hint="eastAsia" w:ascii="宋体" w:hAnsi="宋体" w:cs="宋体"/>
                <w:color w:val="auto"/>
                <w:sz w:val="21"/>
                <w:szCs w:val="21"/>
                <w:highlight w:val="none"/>
                <w:lang w:val="en-US" w:eastAsia="zh-CN"/>
              </w:rPr>
              <w:t>或全过程工程咨询（至少应包工程监理服务内容）业绩的</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每</w:t>
            </w:r>
            <w:r>
              <w:rPr>
                <w:rFonts w:hint="eastAsia" w:ascii="宋体" w:hAnsi="宋体" w:eastAsia="宋体" w:cs="宋体"/>
                <w:color w:val="auto"/>
                <w:sz w:val="21"/>
                <w:szCs w:val="21"/>
                <w:highlight w:val="none"/>
              </w:rPr>
              <w:t>项得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分，本小项最多得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分。无或其他不得分。</w:t>
            </w: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注：如联合体投标，由负责监理业务的一方提供。</w:t>
            </w:r>
          </w:p>
          <w:p>
            <w:pPr>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2.造价业绩：</w:t>
            </w:r>
          </w:p>
          <w:p>
            <w:pPr>
              <w:spacing w:line="360" w:lineRule="exact"/>
              <w:rPr>
                <w:rFonts w:ascii="宋体" w:hAnsi="宋体" w:cs="宋体"/>
                <w:color w:val="auto"/>
                <w:sz w:val="21"/>
                <w:szCs w:val="21"/>
                <w:highlight w:val="none"/>
                <w:lang w:val="en-US" w:eastAsia="zh-CN"/>
              </w:rPr>
            </w:pPr>
            <w:r>
              <w:rPr>
                <w:rFonts w:ascii="宋体" w:hAnsi="宋体" w:cs="宋体"/>
                <w:color w:val="auto"/>
                <w:sz w:val="21"/>
                <w:szCs w:val="21"/>
                <w:highlight w:val="none"/>
                <w:lang w:val="en-US" w:eastAsia="zh-CN"/>
              </w:rPr>
              <w:t>投标人自2019年1月1日至</w:t>
            </w:r>
            <w:r>
              <w:rPr>
                <w:rFonts w:hint="eastAsia" w:ascii="宋体" w:hAnsi="宋体" w:eastAsia="宋体" w:cs="宋体"/>
                <w:color w:val="auto"/>
                <w:sz w:val="21"/>
                <w:szCs w:val="21"/>
                <w:highlight w:val="none"/>
              </w:rPr>
              <w:t>投标截止时间止</w:t>
            </w:r>
            <w:r>
              <w:rPr>
                <w:rFonts w:ascii="宋体" w:hAnsi="宋体" w:cs="宋体"/>
                <w:color w:val="auto"/>
                <w:sz w:val="21"/>
                <w:szCs w:val="21"/>
                <w:highlight w:val="none"/>
                <w:lang w:val="en-US" w:eastAsia="zh-CN"/>
              </w:rPr>
              <w:t>，</w:t>
            </w:r>
            <w:r>
              <w:rPr>
                <w:rFonts w:hint="eastAsia" w:cs="宋体"/>
                <w:color w:val="auto"/>
                <w:sz w:val="21"/>
                <w:szCs w:val="21"/>
                <w:highlight w:val="none"/>
                <w:lang w:val="en-US" w:eastAsia="zh-CN"/>
              </w:rPr>
              <w:t>承揽过</w:t>
            </w:r>
            <w:r>
              <w:rPr>
                <w:rFonts w:ascii="宋体" w:hAnsi="宋体" w:cs="宋体"/>
                <w:color w:val="auto"/>
                <w:sz w:val="21"/>
                <w:szCs w:val="21"/>
                <w:highlight w:val="none"/>
                <w:lang w:val="en-US" w:eastAsia="zh-CN"/>
              </w:rPr>
              <w:t>造价咨询业绩</w:t>
            </w:r>
            <w:r>
              <w:rPr>
                <w:rFonts w:hint="eastAsia" w:ascii="宋体" w:hAnsi="宋体" w:cs="宋体"/>
                <w:color w:val="auto"/>
                <w:sz w:val="21"/>
                <w:szCs w:val="21"/>
                <w:highlight w:val="none"/>
                <w:lang w:val="en-US" w:eastAsia="zh-CN"/>
              </w:rPr>
              <w:t>或全过程工程咨询（至少应包造价咨询服务内容）业绩</w:t>
            </w:r>
            <w:r>
              <w:rPr>
                <w:rFonts w:ascii="宋体" w:hAnsi="宋体" w:cs="宋体"/>
                <w:color w:val="auto"/>
                <w:sz w:val="21"/>
                <w:szCs w:val="21"/>
                <w:highlight w:val="none"/>
                <w:lang w:val="en-US" w:eastAsia="zh-CN"/>
              </w:rPr>
              <w:t>的，每项得</w:t>
            </w:r>
            <w:r>
              <w:rPr>
                <w:rFonts w:hint="eastAsia" w:cs="宋体"/>
                <w:color w:val="auto"/>
                <w:sz w:val="21"/>
                <w:szCs w:val="21"/>
                <w:highlight w:val="none"/>
                <w:lang w:val="en-US" w:eastAsia="zh-CN"/>
              </w:rPr>
              <w:t>1.5</w:t>
            </w:r>
            <w:r>
              <w:rPr>
                <w:rFonts w:ascii="宋体" w:hAnsi="宋体" w:cs="宋体"/>
                <w:color w:val="auto"/>
                <w:sz w:val="21"/>
                <w:szCs w:val="21"/>
                <w:highlight w:val="none"/>
                <w:lang w:val="en-US" w:eastAsia="zh-CN"/>
              </w:rPr>
              <w:t>分，本小项最多得</w:t>
            </w:r>
            <w:r>
              <w:rPr>
                <w:rFonts w:hint="eastAsia" w:cs="宋体"/>
                <w:color w:val="auto"/>
                <w:sz w:val="21"/>
                <w:szCs w:val="21"/>
                <w:highlight w:val="none"/>
                <w:lang w:val="en-US" w:eastAsia="zh-CN"/>
              </w:rPr>
              <w:t>3</w:t>
            </w:r>
            <w:r>
              <w:rPr>
                <w:rFonts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rPr>
              <w:t>无或其他不得分。</w:t>
            </w:r>
          </w:p>
          <w:p>
            <w:pPr>
              <w:autoSpaceDE/>
              <w:autoSpaceDN/>
              <w:snapToGrid w:val="0"/>
              <w:spacing w:line="300" w:lineRule="exact"/>
              <w:rPr>
                <w:rFonts w:ascii="宋体" w:hAnsi="宋体" w:cs="宋体"/>
                <w:color w:val="auto"/>
                <w:sz w:val="21"/>
                <w:szCs w:val="21"/>
                <w:highlight w:val="none"/>
                <w:lang w:val="en-US" w:bidi="ar-SA"/>
              </w:rPr>
            </w:pPr>
            <w:r>
              <w:rPr>
                <w:rFonts w:ascii="宋体" w:hAnsi="宋体" w:cs="宋体"/>
                <w:color w:val="auto"/>
                <w:sz w:val="21"/>
                <w:szCs w:val="21"/>
                <w:highlight w:val="none"/>
                <w:lang w:val="en-US" w:eastAsia="zh-CN"/>
              </w:rPr>
              <w:t>注：如联合体投标，由负责造价咨询业务的一方提供。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960" w:type="dxa"/>
            <w:gridSpan w:val="2"/>
            <w:vMerge w:val="continue"/>
            <w:tcBorders>
              <w:top w:val="single" w:color="auto" w:sz="4" w:space="0"/>
              <w:right w:val="single" w:color="auto" w:sz="4" w:space="0"/>
            </w:tcBorders>
            <w:vAlign w:val="center"/>
          </w:tcPr>
          <w:p>
            <w:pPr>
              <w:rPr>
                <w:color w:val="auto"/>
                <w:highlight w:val="none"/>
              </w:rPr>
            </w:pPr>
          </w:p>
        </w:tc>
        <w:tc>
          <w:tcPr>
            <w:tcW w:w="1142" w:type="dxa"/>
            <w:vMerge w:val="continue"/>
            <w:tcBorders>
              <w:top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auto"/>
                <w:sz w:val="21"/>
                <w:szCs w:val="21"/>
                <w:highlight w:val="none"/>
              </w:rPr>
            </w:pPr>
            <w:r>
              <w:rPr>
                <w:rFonts w:hint="eastAsia" w:ascii="宋体" w:hAnsi="宋体" w:eastAsia="宋体" w:cs="宋体"/>
                <w:color w:val="auto"/>
                <w:sz w:val="21"/>
                <w:szCs w:val="21"/>
                <w:highlight w:val="none"/>
              </w:rPr>
              <w:t>业绩获奖情况</w:t>
            </w:r>
            <w:r>
              <w:rPr>
                <w:rFonts w:hint="eastAsia" w:ascii="宋体" w:hAnsi="宋体" w:eastAsia="宋体" w:cs="宋体"/>
                <w:color w:val="auto"/>
                <w:kern w:val="0"/>
                <w:sz w:val="21"/>
                <w:szCs w:val="21"/>
                <w:highlight w:val="none"/>
              </w:rPr>
              <w:t>（</w:t>
            </w:r>
            <w:r>
              <w:rPr>
                <w:rFonts w:hint="eastAsia"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p>
        </w:tc>
        <w:tc>
          <w:tcPr>
            <w:tcW w:w="5103" w:type="dxa"/>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投标人自2019年1月1日至投标截止时间止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监理过的工程：获得国家级工程质量奖项每项得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分，获得省级（含副省级）工程质量奖项每项得3分，获得市级工程质量奖项每项得2分。本项最高得</w:t>
            </w:r>
            <w:r>
              <w:rPr>
                <w:rFonts w:hint="eastAsia" w:cs="宋体"/>
                <w:color w:val="auto"/>
                <w:sz w:val="21"/>
                <w:szCs w:val="21"/>
                <w:highlight w:val="none"/>
                <w:lang w:val="en-US" w:eastAsia="zh-CN"/>
              </w:rPr>
              <w:t>16</w:t>
            </w:r>
            <w:r>
              <w:rPr>
                <w:rFonts w:hint="eastAsia" w:ascii="宋体" w:hAnsi="宋体" w:eastAsia="宋体" w:cs="宋体"/>
                <w:color w:val="auto"/>
                <w:sz w:val="21"/>
                <w:szCs w:val="21"/>
                <w:highlight w:val="none"/>
              </w:rPr>
              <w:t>分。无或其他不得分。</w:t>
            </w:r>
          </w:p>
          <w:p>
            <w:pPr>
              <w:spacing w:line="360" w:lineRule="exact"/>
              <w:rPr>
                <w:rFonts w:hint="eastAsia"/>
                <w:b/>
                <w:bCs/>
                <w:color w:val="auto"/>
                <w:sz w:val="21"/>
                <w:szCs w:val="21"/>
                <w:highlight w:val="none"/>
                <w:lang w:val="en-US" w:bidi="ar-SA"/>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如联合体投标，由负责监理业务的一方提供。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960" w:type="dxa"/>
            <w:gridSpan w:val="2"/>
            <w:vMerge w:val="continue"/>
            <w:tcBorders>
              <w:top w:val="single" w:color="auto" w:sz="4" w:space="0"/>
              <w:right w:val="single" w:color="auto" w:sz="4" w:space="0"/>
            </w:tcBorders>
            <w:vAlign w:val="center"/>
          </w:tcPr>
          <w:p>
            <w:pPr>
              <w:rPr>
                <w:color w:val="auto"/>
                <w:highlight w:val="none"/>
              </w:rPr>
            </w:pPr>
          </w:p>
        </w:tc>
        <w:tc>
          <w:tcPr>
            <w:tcW w:w="1142" w:type="dxa"/>
            <w:vMerge w:val="continue"/>
            <w:tcBorders>
              <w:top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auto"/>
                <w:sz w:val="21"/>
                <w:szCs w:val="21"/>
                <w:highlight w:val="none"/>
              </w:rPr>
            </w:pPr>
            <w:r>
              <w:rPr>
                <w:rFonts w:hint="eastAsia" w:ascii="宋体" w:hAnsi="宋体" w:eastAsia="宋体" w:cs="宋体"/>
                <w:color w:val="auto"/>
                <w:sz w:val="21"/>
                <w:szCs w:val="21"/>
                <w:highlight w:val="none"/>
              </w:rPr>
              <w:t>总监理工程师</w:t>
            </w:r>
            <w:r>
              <w:rPr>
                <w:rFonts w:hint="eastAsia" w:ascii="宋体" w:hAnsi="宋体" w:eastAsia="宋体" w:cs="宋体"/>
                <w:color w:val="auto"/>
                <w:kern w:val="0"/>
                <w:sz w:val="21"/>
                <w:szCs w:val="21"/>
                <w:highlight w:val="none"/>
              </w:rPr>
              <w:t>（</w:t>
            </w:r>
            <w:r>
              <w:rPr>
                <w:rFonts w:hint="eastAsia"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5103" w:type="dxa"/>
            <w:tcBorders>
              <w:top w:val="single" w:color="auto" w:sz="4" w:space="0"/>
              <w:left w:val="single" w:color="auto" w:sz="4" w:space="0"/>
              <w:bottom w:val="single" w:color="auto" w:sz="4" w:space="0"/>
            </w:tcBorders>
            <w:vAlign w:val="center"/>
          </w:tcPr>
          <w:p>
            <w:pPr>
              <w:snapToGrid/>
              <w:spacing w:line="360" w:lineRule="exact"/>
              <w:jc w:val="left"/>
              <w:rPr>
                <w:rFonts w:hint="eastAsia" w:ascii="宋体" w:hAnsi="宋体"/>
                <w:color w:val="auto"/>
                <w:sz w:val="21"/>
                <w:szCs w:val="21"/>
                <w:highlight w:val="none"/>
              </w:rPr>
            </w:pPr>
            <w:r>
              <w:rPr>
                <w:rFonts w:hint="eastAsia" w:cs="宋体"/>
                <w:color w:val="auto"/>
                <w:sz w:val="21"/>
                <w:szCs w:val="21"/>
                <w:highlight w:val="none"/>
                <w:lang w:val="en-US" w:eastAsia="zh-CN"/>
              </w:rPr>
              <w:t>1.</w:t>
            </w:r>
            <w:r>
              <w:rPr>
                <w:rFonts w:hint="eastAsia" w:ascii="宋体" w:hAnsi="宋体"/>
                <w:color w:val="auto"/>
                <w:sz w:val="21"/>
                <w:szCs w:val="21"/>
                <w:highlight w:val="none"/>
              </w:rPr>
              <w:t>具备</w:t>
            </w:r>
            <w:r>
              <w:rPr>
                <w:rFonts w:ascii="宋体" w:hAnsi="宋体"/>
                <w:color w:val="auto"/>
                <w:sz w:val="21"/>
                <w:szCs w:val="21"/>
                <w:highlight w:val="none"/>
              </w:rPr>
              <w:t>副</w:t>
            </w:r>
            <w:r>
              <w:rPr>
                <w:rFonts w:hint="eastAsia" w:ascii="宋体" w:hAnsi="宋体"/>
                <w:color w:val="auto"/>
                <w:sz w:val="21"/>
                <w:szCs w:val="21"/>
                <w:highlight w:val="none"/>
              </w:rPr>
              <w:t>高级（或以上）技术职称的，得3分；具备中级技术职称的，得1分；其余不得分。</w:t>
            </w:r>
            <w:r>
              <w:rPr>
                <w:rFonts w:hint="eastAsia" w:ascii="宋体" w:hAnsi="宋体"/>
                <w:color w:val="auto"/>
                <w:sz w:val="21"/>
                <w:szCs w:val="21"/>
                <w:highlight w:val="none"/>
                <w:lang w:val="en-US" w:eastAsia="zh-CN"/>
              </w:rPr>
              <w:t>需提供职称证书扫描件，未能提供的，不得分。</w:t>
            </w:r>
          </w:p>
          <w:p>
            <w:pPr>
              <w:snapToGrid/>
              <w:spacing w:line="360" w:lineRule="exact"/>
              <w:jc w:val="left"/>
              <w:rPr>
                <w:rFonts w:hint="eastAsia" w:ascii="宋体" w:hAnsi="宋体"/>
                <w:color w:val="auto"/>
                <w:sz w:val="21"/>
                <w:szCs w:val="21"/>
                <w:highlight w:val="none"/>
              </w:rPr>
            </w:pPr>
            <w:r>
              <w:rPr>
                <w:rFonts w:hint="eastAsia"/>
                <w:color w:val="auto"/>
                <w:sz w:val="21"/>
                <w:szCs w:val="21"/>
                <w:highlight w:val="none"/>
                <w:lang w:val="en-US" w:eastAsia="zh-CN"/>
              </w:rPr>
              <w:t>2.</w:t>
            </w:r>
            <w:r>
              <w:rPr>
                <w:rFonts w:hint="eastAsia" w:ascii="宋体" w:hAnsi="宋体"/>
                <w:color w:val="auto"/>
                <w:sz w:val="21"/>
                <w:szCs w:val="21"/>
                <w:highlight w:val="none"/>
              </w:rPr>
              <w:t>取得监理工程师执业资格证书满</w:t>
            </w:r>
            <w:r>
              <w:rPr>
                <w:rFonts w:hint="eastAsia"/>
                <w:color w:val="auto"/>
                <w:sz w:val="21"/>
                <w:szCs w:val="21"/>
                <w:highlight w:val="none"/>
                <w:lang w:val="en-US" w:eastAsia="zh-CN"/>
              </w:rPr>
              <w:t>18</w:t>
            </w:r>
            <w:r>
              <w:rPr>
                <w:rFonts w:hint="eastAsia" w:ascii="宋体" w:hAnsi="宋体"/>
                <w:color w:val="auto"/>
                <w:sz w:val="21"/>
                <w:szCs w:val="21"/>
                <w:highlight w:val="none"/>
              </w:rPr>
              <w:t>年或以上的得</w:t>
            </w:r>
            <w:r>
              <w:rPr>
                <w:rFonts w:hint="eastAsia"/>
                <w:color w:val="auto"/>
                <w:sz w:val="21"/>
                <w:szCs w:val="21"/>
                <w:highlight w:val="none"/>
                <w:lang w:val="en-US" w:eastAsia="zh-CN"/>
              </w:rPr>
              <w:t>3</w:t>
            </w:r>
            <w:r>
              <w:rPr>
                <w:rFonts w:hint="eastAsia" w:ascii="宋体" w:hAnsi="宋体"/>
                <w:color w:val="auto"/>
                <w:sz w:val="21"/>
                <w:szCs w:val="21"/>
                <w:highlight w:val="none"/>
              </w:rPr>
              <w:t>分；取得监理工程师执业资格证书满</w:t>
            </w:r>
            <w:r>
              <w:rPr>
                <w:rFonts w:hint="eastAsia"/>
                <w:color w:val="auto"/>
                <w:sz w:val="21"/>
                <w:szCs w:val="21"/>
                <w:highlight w:val="none"/>
                <w:lang w:val="en-US" w:eastAsia="zh-CN"/>
              </w:rPr>
              <w:t>10</w:t>
            </w:r>
            <w:r>
              <w:rPr>
                <w:rFonts w:hint="eastAsia" w:ascii="宋体" w:hAnsi="宋体"/>
                <w:color w:val="auto"/>
                <w:sz w:val="21"/>
                <w:szCs w:val="21"/>
                <w:highlight w:val="none"/>
              </w:rPr>
              <w:t>年-</w:t>
            </w:r>
            <w:r>
              <w:rPr>
                <w:rFonts w:hint="eastAsia"/>
                <w:color w:val="auto"/>
                <w:sz w:val="21"/>
                <w:szCs w:val="21"/>
                <w:highlight w:val="none"/>
                <w:lang w:val="en-US" w:eastAsia="zh-CN"/>
              </w:rPr>
              <w:t>17</w:t>
            </w:r>
            <w:r>
              <w:rPr>
                <w:rFonts w:hint="eastAsia" w:ascii="宋体" w:hAnsi="宋体"/>
                <w:color w:val="auto"/>
                <w:sz w:val="21"/>
                <w:szCs w:val="21"/>
                <w:highlight w:val="none"/>
              </w:rPr>
              <w:t>年的得</w:t>
            </w:r>
            <w:r>
              <w:rPr>
                <w:rFonts w:hint="eastAsia"/>
                <w:color w:val="auto"/>
                <w:sz w:val="21"/>
                <w:szCs w:val="21"/>
                <w:highlight w:val="none"/>
                <w:lang w:val="en-US" w:eastAsia="zh-CN"/>
              </w:rPr>
              <w:t>2</w:t>
            </w:r>
            <w:r>
              <w:rPr>
                <w:rFonts w:hint="eastAsia" w:ascii="宋体" w:hAnsi="宋体"/>
                <w:color w:val="auto"/>
                <w:sz w:val="21"/>
                <w:szCs w:val="21"/>
                <w:highlight w:val="none"/>
              </w:rPr>
              <w:t>分；取得监理工程师执业资格证书</w:t>
            </w:r>
            <w:r>
              <w:rPr>
                <w:rFonts w:hint="eastAsia"/>
                <w:color w:val="auto"/>
                <w:sz w:val="21"/>
                <w:szCs w:val="21"/>
                <w:highlight w:val="none"/>
                <w:lang w:val="en-US" w:eastAsia="zh-CN"/>
              </w:rPr>
              <w:t>9</w:t>
            </w:r>
            <w:r>
              <w:rPr>
                <w:rFonts w:hint="eastAsia" w:ascii="宋体" w:hAnsi="宋体"/>
                <w:color w:val="auto"/>
                <w:sz w:val="21"/>
                <w:szCs w:val="21"/>
                <w:highlight w:val="none"/>
              </w:rPr>
              <w:t>年或以下的得1分；没有不得分。注：年限以监理工程师执业资格证书批准时间起算，须提供监理工程师执业资格证书扫描件。本项最多得</w:t>
            </w:r>
            <w:r>
              <w:rPr>
                <w:rFonts w:hint="eastAsia"/>
                <w:color w:val="auto"/>
                <w:sz w:val="21"/>
                <w:szCs w:val="21"/>
                <w:highlight w:val="none"/>
                <w:lang w:val="en-US" w:eastAsia="zh-CN"/>
              </w:rPr>
              <w:t>3</w:t>
            </w:r>
            <w:r>
              <w:rPr>
                <w:rFonts w:hint="eastAsia" w:ascii="宋体" w:hAnsi="宋体"/>
                <w:color w:val="auto"/>
                <w:sz w:val="21"/>
                <w:szCs w:val="21"/>
                <w:highlight w:val="none"/>
              </w:rPr>
              <w:t>分。</w:t>
            </w:r>
          </w:p>
          <w:p>
            <w:pPr>
              <w:spacing w:line="360" w:lineRule="exact"/>
              <w:jc w:val="left"/>
              <w:rPr>
                <w:rFonts w:ascii="宋体" w:hAnsi="宋体" w:eastAsia="宋体"/>
                <w:color w:val="auto"/>
                <w:szCs w:val="21"/>
                <w:highlight w:val="none"/>
                <w:lang w:val="en-US" w:eastAsia="zh-CN"/>
              </w:rPr>
            </w:pPr>
            <w:r>
              <w:rPr>
                <w:rFonts w:hint="eastAsia"/>
                <w:color w:val="auto"/>
                <w:sz w:val="21"/>
                <w:szCs w:val="21"/>
                <w:highlight w:val="none"/>
                <w:lang w:val="en-US" w:eastAsia="zh-CN"/>
              </w:rPr>
              <w:t>3.</w:t>
            </w:r>
            <w:r>
              <w:rPr>
                <w:rFonts w:hint="eastAsia" w:ascii="宋体" w:hAnsi="宋体"/>
                <w:color w:val="auto"/>
                <w:sz w:val="21"/>
                <w:szCs w:val="21"/>
                <w:highlight w:val="none"/>
              </w:rPr>
              <w:t>2019年1月1日至</w:t>
            </w:r>
            <w:r>
              <w:rPr>
                <w:rFonts w:hint="eastAsia" w:ascii="宋体" w:hAnsi="宋体" w:eastAsia="宋体" w:cs="宋体"/>
                <w:color w:val="auto"/>
                <w:sz w:val="21"/>
                <w:szCs w:val="21"/>
                <w:highlight w:val="none"/>
              </w:rPr>
              <w:t>投标截止时间止</w:t>
            </w:r>
            <w:r>
              <w:rPr>
                <w:rFonts w:ascii="宋体" w:hAnsi="宋体" w:eastAsia="宋体" w:cs="宋体"/>
                <w:color w:val="auto"/>
                <w:sz w:val="21"/>
                <w:szCs w:val="21"/>
                <w:highlight w:val="none"/>
              </w:rPr>
              <w:t>，</w:t>
            </w:r>
            <w:r>
              <w:rPr>
                <w:rFonts w:hint="eastAsia" w:ascii="宋体" w:hAnsi="宋体"/>
                <w:color w:val="auto"/>
                <w:sz w:val="21"/>
                <w:szCs w:val="21"/>
                <w:highlight w:val="none"/>
              </w:rPr>
              <w:t>担任总监承接的工程监理</w:t>
            </w:r>
            <w:r>
              <w:rPr>
                <w:rFonts w:ascii="宋体" w:hAnsi="宋体"/>
                <w:color w:val="auto"/>
                <w:sz w:val="21"/>
                <w:szCs w:val="21"/>
                <w:highlight w:val="none"/>
              </w:rPr>
              <w:t>项目</w:t>
            </w:r>
            <w:r>
              <w:rPr>
                <w:rFonts w:hint="eastAsia" w:ascii="宋体" w:hAnsi="宋体"/>
                <w:color w:val="auto"/>
                <w:sz w:val="21"/>
                <w:szCs w:val="21"/>
                <w:highlight w:val="none"/>
              </w:rPr>
              <w:t>获得省级</w:t>
            </w:r>
            <w:r>
              <w:rPr>
                <w:rFonts w:ascii="宋体" w:hAnsi="宋体"/>
                <w:color w:val="auto"/>
                <w:sz w:val="21"/>
                <w:szCs w:val="21"/>
                <w:highlight w:val="none"/>
              </w:rPr>
              <w:t>（</w:t>
            </w:r>
            <w:r>
              <w:rPr>
                <w:rFonts w:hint="eastAsia" w:ascii="宋体" w:hAnsi="宋体"/>
                <w:color w:val="auto"/>
                <w:sz w:val="21"/>
                <w:szCs w:val="21"/>
                <w:highlight w:val="none"/>
              </w:rPr>
              <w:t>含副省级</w:t>
            </w:r>
            <w:r>
              <w:rPr>
                <w:rFonts w:ascii="宋体" w:hAnsi="宋体"/>
                <w:color w:val="auto"/>
                <w:sz w:val="21"/>
                <w:szCs w:val="21"/>
                <w:highlight w:val="none"/>
              </w:rPr>
              <w:t>）</w:t>
            </w:r>
            <w:r>
              <w:rPr>
                <w:rFonts w:hint="eastAsia" w:ascii="宋体" w:hAnsi="宋体"/>
                <w:color w:val="auto"/>
                <w:sz w:val="21"/>
                <w:szCs w:val="21"/>
                <w:highlight w:val="none"/>
              </w:rPr>
              <w:t>或以上工程质量奖项的每项得</w:t>
            </w:r>
            <w:r>
              <w:rPr>
                <w:rFonts w:hint="eastAsia"/>
                <w:color w:val="auto"/>
                <w:sz w:val="21"/>
                <w:szCs w:val="21"/>
                <w:highlight w:val="none"/>
                <w:lang w:val="en-US" w:eastAsia="zh-CN"/>
              </w:rPr>
              <w:t>4</w:t>
            </w:r>
            <w:r>
              <w:rPr>
                <w:rFonts w:hint="eastAsia" w:ascii="宋体" w:hAnsi="宋体"/>
                <w:color w:val="auto"/>
                <w:sz w:val="21"/>
                <w:szCs w:val="21"/>
                <w:highlight w:val="none"/>
              </w:rPr>
              <w:t>分；市级工程质量奖项的每项得</w:t>
            </w:r>
            <w:r>
              <w:rPr>
                <w:rFonts w:hint="eastAsia"/>
                <w:color w:val="auto"/>
                <w:sz w:val="21"/>
                <w:szCs w:val="21"/>
                <w:highlight w:val="none"/>
                <w:lang w:val="en-US" w:eastAsia="zh-CN"/>
              </w:rPr>
              <w:t>2</w:t>
            </w:r>
            <w:r>
              <w:rPr>
                <w:rFonts w:hint="eastAsia" w:ascii="宋体" w:hAnsi="宋体"/>
                <w:color w:val="auto"/>
                <w:sz w:val="21"/>
                <w:szCs w:val="21"/>
                <w:highlight w:val="none"/>
              </w:rPr>
              <w:t>分；没有不得分。最多得</w:t>
            </w:r>
            <w:r>
              <w:rPr>
                <w:rFonts w:hint="eastAsia"/>
                <w:color w:val="auto"/>
                <w:sz w:val="21"/>
                <w:szCs w:val="21"/>
                <w:highlight w:val="none"/>
                <w:lang w:val="en-US" w:eastAsia="zh-CN"/>
              </w:rPr>
              <w:t>4</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960" w:type="dxa"/>
            <w:gridSpan w:val="2"/>
            <w:vMerge w:val="continue"/>
            <w:tcBorders>
              <w:top w:val="single" w:color="auto" w:sz="4" w:space="0"/>
              <w:right w:val="single" w:color="auto" w:sz="4" w:space="0"/>
            </w:tcBorders>
            <w:vAlign w:val="center"/>
          </w:tcPr>
          <w:p>
            <w:pPr>
              <w:rPr>
                <w:color w:val="auto"/>
                <w:highlight w:val="none"/>
              </w:rPr>
            </w:pPr>
          </w:p>
        </w:tc>
        <w:tc>
          <w:tcPr>
            <w:tcW w:w="1142" w:type="dxa"/>
            <w:vMerge w:val="continue"/>
            <w:tcBorders>
              <w:top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1"/>
                <w:szCs w:val="21"/>
                <w:highlight w:val="none"/>
              </w:rPr>
            </w:pPr>
            <w:r>
              <w:rPr>
                <w:rFonts w:hint="eastAsia" w:ascii="宋体" w:hAnsi="宋体" w:eastAsia="宋体" w:cs="宋体"/>
                <w:color w:val="auto"/>
                <w:sz w:val="21"/>
                <w:szCs w:val="21"/>
                <w:highlight w:val="none"/>
              </w:rPr>
              <w:t>总监理工程师</w:t>
            </w:r>
            <w:r>
              <w:rPr>
                <w:rFonts w:hint="eastAsia" w:ascii="宋体" w:hAnsi="宋体" w:cs="宋体"/>
                <w:color w:val="auto"/>
                <w:sz w:val="21"/>
                <w:szCs w:val="21"/>
                <w:highlight w:val="none"/>
                <w:lang w:val="en-US" w:eastAsia="zh-CN"/>
              </w:rPr>
              <w:t>代表</w:t>
            </w:r>
            <w:r>
              <w:rPr>
                <w:rFonts w:hint="eastAsia" w:ascii="宋体" w:hAnsi="宋体" w:eastAsia="宋体" w:cs="宋体"/>
                <w:color w:val="auto"/>
                <w:kern w:val="0"/>
                <w:sz w:val="21"/>
                <w:szCs w:val="21"/>
                <w:highlight w:val="none"/>
              </w:rPr>
              <w:t>（</w:t>
            </w:r>
            <w:r>
              <w:rPr>
                <w:rFonts w:hint="eastAsia"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5103" w:type="dxa"/>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w:t>
            </w:r>
            <w:r>
              <w:rPr>
                <w:rFonts w:hint="eastAsia" w:ascii="宋体" w:hAnsi="宋体" w:eastAsia="宋体" w:cs="宋体"/>
                <w:b w:val="0"/>
                <w:bCs w:val="0"/>
                <w:color w:val="auto"/>
                <w:sz w:val="21"/>
                <w:szCs w:val="21"/>
                <w:highlight w:val="none"/>
              </w:rPr>
              <w:t>具有</w:t>
            </w:r>
            <w:r>
              <w:rPr>
                <w:rFonts w:ascii="宋体" w:hAnsi="宋体" w:eastAsia="宋体" w:cs="宋体"/>
                <w:b w:val="0"/>
                <w:bCs w:val="0"/>
                <w:color w:val="auto"/>
                <w:sz w:val="21"/>
                <w:szCs w:val="21"/>
                <w:highlight w:val="none"/>
              </w:rPr>
              <w:t>副</w:t>
            </w:r>
            <w:r>
              <w:rPr>
                <w:rFonts w:hint="eastAsia" w:cs="宋体"/>
                <w:b w:val="0"/>
                <w:bCs w:val="0"/>
                <w:color w:val="auto"/>
                <w:sz w:val="21"/>
                <w:szCs w:val="21"/>
                <w:highlight w:val="none"/>
                <w:lang w:val="en-US" w:eastAsia="zh-CN"/>
              </w:rPr>
              <w:t>高</w:t>
            </w:r>
            <w:r>
              <w:rPr>
                <w:rFonts w:hint="eastAsia" w:ascii="宋体" w:hAnsi="宋体" w:eastAsia="宋体" w:cs="宋体"/>
                <w:b w:val="0"/>
                <w:bCs w:val="0"/>
                <w:color w:val="auto"/>
                <w:sz w:val="21"/>
                <w:szCs w:val="21"/>
                <w:highlight w:val="none"/>
              </w:rPr>
              <w:t>级或以上技术职称的得</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rPr>
              <w:t>分</w:t>
            </w:r>
            <w:r>
              <w:rPr>
                <w:rFonts w:hint="eastAsia" w:cs="宋体"/>
                <w:b w:val="0"/>
                <w:bCs w:val="0"/>
                <w:color w:val="auto"/>
                <w:sz w:val="21"/>
                <w:szCs w:val="21"/>
                <w:highlight w:val="none"/>
                <w:lang w:eastAsia="zh-CN"/>
              </w:rPr>
              <w:t>，</w:t>
            </w:r>
            <w:r>
              <w:rPr>
                <w:rFonts w:hint="eastAsia" w:ascii="宋体" w:hAnsi="宋体"/>
                <w:color w:val="auto"/>
                <w:sz w:val="21"/>
                <w:szCs w:val="21"/>
                <w:highlight w:val="none"/>
              </w:rPr>
              <w:t>具备中级技术职称的，得1分；</w:t>
            </w:r>
            <w:r>
              <w:rPr>
                <w:rFonts w:hint="eastAsia" w:ascii="宋体" w:hAnsi="宋体" w:eastAsia="宋体" w:cs="宋体"/>
                <w:b w:val="0"/>
                <w:bCs w:val="0"/>
                <w:color w:val="auto"/>
                <w:sz w:val="21"/>
                <w:szCs w:val="21"/>
                <w:highlight w:val="none"/>
              </w:rPr>
              <w:t>没有提供</w:t>
            </w:r>
            <w:r>
              <w:rPr>
                <w:rFonts w:hint="eastAsia" w:ascii="宋体" w:hAnsi="宋体" w:eastAsia="宋体" w:cs="宋体"/>
                <w:b w:val="0"/>
                <w:bCs w:val="0"/>
                <w:color w:val="auto"/>
                <w:sz w:val="21"/>
                <w:szCs w:val="21"/>
                <w:highlight w:val="none"/>
                <w:lang w:val="en-US"/>
              </w:rPr>
              <w:t>或其它</w:t>
            </w:r>
            <w:r>
              <w:rPr>
                <w:rFonts w:hint="eastAsia" w:ascii="宋体" w:hAnsi="宋体" w:eastAsia="宋体" w:cs="宋体"/>
                <w:b w:val="0"/>
                <w:bCs w:val="0"/>
                <w:color w:val="auto"/>
                <w:sz w:val="21"/>
                <w:szCs w:val="21"/>
                <w:highlight w:val="none"/>
              </w:rPr>
              <w:t>不得分。</w:t>
            </w:r>
            <w:r>
              <w:rPr>
                <w:rFonts w:hint="eastAsia" w:ascii="宋体" w:hAnsi="宋体"/>
                <w:color w:val="auto"/>
                <w:sz w:val="21"/>
                <w:szCs w:val="21"/>
                <w:highlight w:val="none"/>
                <w:lang w:val="en-US" w:eastAsia="zh-CN"/>
              </w:rPr>
              <w:t>需提供职称证书扫描件，未能提供的，不得分。</w:t>
            </w:r>
          </w:p>
          <w:p>
            <w:pPr>
              <w:spacing w:line="36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2</w:t>
            </w:r>
            <w:r>
              <w:rPr>
                <w:rFonts w:hint="eastAsia" w:cs="宋体"/>
                <w:color w:val="auto"/>
                <w:sz w:val="21"/>
                <w:szCs w:val="21"/>
                <w:highlight w:val="none"/>
                <w:lang w:val="en-US" w:eastAsia="zh-CN"/>
              </w:rPr>
              <w:t>.</w:t>
            </w:r>
            <w:r>
              <w:rPr>
                <w:rFonts w:hint="eastAsia" w:ascii="宋体" w:hAnsi="宋体"/>
                <w:color w:val="auto"/>
                <w:sz w:val="21"/>
                <w:szCs w:val="21"/>
                <w:highlight w:val="none"/>
              </w:rPr>
              <w:t>取得监理工程师执业资格证书满</w:t>
            </w:r>
            <w:r>
              <w:rPr>
                <w:rFonts w:hint="eastAsia"/>
                <w:color w:val="auto"/>
                <w:sz w:val="21"/>
                <w:szCs w:val="21"/>
                <w:highlight w:val="none"/>
                <w:lang w:val="en-US" w:eastAsia="zh-CN"/>
              </w:rPr>
              <w:t>8</w:t>
            </w:r>
            <w:r>
              <w:rPr>
                <w:rFonts w:hint="eastAsia" w:ascii="宋体" w:hAnsi="宋体"/>
                <w:color w:val="auto"/>
                <w:sz w:val="21"/>
                <w:szCs w:val="21"/>
                <w:highlight w:val="none"/>
              </w:rPr>
              <w:t>年或以上的得</w:t>
            </w:r>
            <w:r>
              <w:rPr>
                <w:rFonts w:hint="eastAsia"/>
                <w:color w:val="auto"/>
                <w:sz w:val="21"/>
                <w:szCs w:val="21"/>
                <w:highlight w:val="none"/>
                <w:lang w:val="en-US" w:eastAsia="zh-CN"/>
              </w:rPr>
              <w:t>3</w:t>
            </w:r>
            <w:r>
              <w:rPr>
                <w:rFonts w:hint="eastAsia" w:ascii="宋体" w:hAnsi="宋体"/>
                <w:color w:val="auto"/>
                <w:sz w:val="21"/>
                <w:szCs w:val="21"/>
                <w:highlight w:val="none"/>
              </w:rPr>
              <w:t>分；取得监理工程师执业资格证书满</w:t>
            </w:r>
            <w:r>
              <w:rPr>
                <w:rFonts w:hint="eastAsia"/>
                <w:color w:val="auto"/>
                <w:sz w:val="21"/>
                <w:szCs w:val="21"/>
                <w:highlight w:val="none"/>
                <w:lang w:val="en-US" w:eastAsia="zh-CN"/>
              </w:rPr>
              <w:t>5</w:t>
            </w:r>
            <w:r>
              <w:rPr>
                <w:rFonts w:hint="eastAsia" w:ascii="宋体" w:hAnsi="宋体"/>
                <w:color w:val="auto"/>
                <w:sz w:val="21"/>
                <w:szCs w:val="21"/>
                <w:highlight w:val="none"/>
              </w:rPr>
              <w:t>年-</w:t>
            </w:r>
            <w:r>
              <w:rPr>
                <w:rFonts w:hint="eastAsia"/>
                <w:color w:val="auto"/>
                <w:sz w:val="21"/>
                <w:szCs w:val="21"/>
                <w:highlight w:val="none"/>
                <w:lang w:val="en-US" w:eastAsia="zh-CN"/>
              </w:rPr>
              <w:t>7</w:t>
            </w:r>
            <w:r>
              <w:rPr>
                <w:rFonts w:hint="eastAsia" w:ascii="宋体" w:hAnsi="宋体"/>
                <w:color w:val="auto"/>
                <w:sz w:val="21"/>
                <w:szCs w:val="21"/>
                <w:highlight w:val="none"/>
              </w:rPr>
              <w:t>年的得</w:t>
            </w:r>
            <w:r>
              <w:rPr>
                <w:rFonts w:hint="eastAsia"/>
                <w:color w:val="auto"/>
                <w:sz w:val="21"/>
                <w:szCs w:val="21"/>
                <w:highlight w:val="none"/>
                <w:lang w:val="en-US" w:eastAsia="zh-CN"/>
              </w:rPr>
              <w:t>2</w:t>
            </w:r>
            <w:r>
              <w:rPr>
                <w:rFonts w:hint="eastAsia" w:ascii="宋体" w:hAnsi="宋体"/>
                <w:color w:val="auto"/>
                <w:sz w:val="21"/>
                <w:szCs w:val="21"/>
                <w:highlight w:val="none"/>
              </w:rPr>
              <w:t>分；取得监理工程师执业资格证书</w:t>
            </w:r>
            <w:r>
              <w:rPr>
                <w:color w:val="auto"/>
                <w:sz w:val="21"/>
                <w:szCs w:val="21"/>
                <w:highlight w:val="none"/>
                <w:lang w:val="en-US" w:eastAsia="zh-CN"/>
              </w:rPr>
              <w:t>4</w:t>
            </w:r>
            <w:r>
              <w:rPr>
                <w:rFonts w:hint="eastAsia" w:ascii="宋体" w:hAnsi="宋体"/>
                <w:color w:val="auto"/>
                <w:sz w:val="21"/>
                <w:szCs w:val="21"/>
                <w:highlight w:val="none"/>
              </w:rPr>
              <w:t>年或以下的得1分；没有不得分。注：年限以监理工程师执业资格证书批准时间起算，须提供监理工程师执业资格证书扫描件。本项最多得</w:t>
            </w:r>
            <w:r>
              <w:rPr>
                <w:rFonts w:hint="eastAsia"/>
                <w:color w:val="auto"/>
                <w:sz w:val="21"/>
                <w:szCs w:val="21"/>
                <w:highlight w:val="none"/>
                <w:lang w:val="en-US" w:eastAsia="zh-CN"/>
              </w:rPr>
              <w:t>3</w:t>
            </w:r>
            <w:r>
              <w:rPr>
                <w:rFonts w:hint="eastAsia" w:ascii="宋体" w:hAnsi="宋体"/>
                <w:color w:val="auto"/>
                <w:sz w:val="21"/>
                <w:szCs w:val="21"/>
                <w:highlight w:val="none"/>
              </w:rPr>
              <w:t>分。</w:t>
            </w:r>
          </w:p>
          <w:p>
            <w:pPr>
              <w:spacing w:line="360" w:lineRule="exact"/>
              <w:rPr>
                <w:color w:val="auto"/>
                <w:highlight w:val="none"/>
              </w:rPr>
            </w:pPr>
            <w:r>
              <w:rPr>
                <w:rFonts w:hint="eastAsia" w:ascii="宋体" w:hAnsi="宋体" w:eastAsia="宋体" w:cs="宋体"/>
                <w:color w:val="auto"/>
                <w:sz w:val="21"/>
                <w:szCs w:val="21"/>
                <w:highlight w:val="none"/>
              </w:rPr>
              <w:t>本项合计最</w:t>
            </w:r>
            <w:r>
              <w:rPr>
                <w:rFonts w:hint="eastAsia" w:ascii="宋体" w:hAnsi="宋体" w:eastAsia="宋体" w:cs="宋体"/>
                <w:color w:val="auto"/>
                <w:sz w:val="21"/>
                <w:szCs w:val="21"/>
                <w:highlight w:val="none"/>
                <w:lang w:val="en-US"/>
              </w:rPr>
              <w:t>高</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分，没有提供</w:t>
            </w:r>
            <w:r>
              <w:rPr>
                <w:rFonts w:hint="eastAsia" w:ascii="宋体" w:hAnsi="宋体" w:eastAsia="宋体" w:cs="宋体"/>
                <w:color w:val="auto"/>
                <w:sz w:val="21"/>
                <w:szCs w:val="21"/>
                <w:highlight w:val="none"/>
                <w:lang w:val="en-US"/>
              </w:rPr>
              <w:t>或其它</w:t>
            </w:r>
            <w:r>
              <w:rPr>
                <w:rFonts w:hint="eastAsia" w:ascii="宋体" w:hAns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 w:hRule="atLeast"/>
          <w:jc w:val="center"/>
        </w:trPr>
        <w:tc>
          <w:tcPr>
            <w:tcW w:w="960" w:type="dxa"/>
            <w:gridSpan w:val="2"/>
            <w:vMerge w:val="continue"/>
            <w:tcBorders>
              <w:top w:val="single" w:color="auto" w:sz="4" w:space="0"/>
              <w:right w:val="single" w:color="auto" w:sz="4" w:space="0"/>
            </w:tcBorders>
            <w:vAlign w:val="center"/>
          </w:tcPr>
          <w:p>
            <w:pPr>
              <w:rPr>
                <w:color w:val="auto"/>
                <w:highlight w:val="none"/>
              </w:rPr>
            </w:pPr>
          </w:p>
        </w:tc>
        <w:tc>
          <w:tcPr>
            <w:tcW w:w="1142" w:type="dxa"/>
            <w:vMerge w:val="continue"/>
            <w:tcBorders>
              <w:top w:val="single" w:color="auto" w:sz="4" w:space="0"/>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造价咨询负责人（4分）</w:t>
            </w:r>
          </w:p>
        </w:tc>
        <w:tc>
          <w:tcPr>
            <w:tcW w:w="5103" w:type="dxa"/>
            <w:tcBorders>
              <w:top w:val="single" w:color="auto" w:sz="4" w:space="0"/>
              <w:left w:val="single" w:color="auto" w:sz="4" w:space="0"/>
              <w:bottom w:val="single" w:color="auto" w:sz="4" w:space="0"/>
            </w:tcBorders>
            <w:vAlign w:val="center"/>
          </w:tcPr>
          <w:p>
            <w:pPr>
              <w:pStyle w:val="13"/>
              <w:ind w:firstLine="0" w:firstLineChars="0"/>
              <w:rPr>
                <w:color w:val="auto"/>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w:t>
            </w:r>
            <w:r>
              <w:rPr>
                <w:rFonts w:hint="eastAsia" w:ascii="宋体" w:hAnsi="宋体" w:eastAsia="宋体" w:cs="宋体"/>
                <w:b w:val="0"/>
                <w:bCs w:val="0"/>
                <w:color w:val="auto"/>
                <w:sz w:val="21"/>
                <w:szCs w:val="21"/>
                <w:highlight w:val="none"/>
              </w:rPr>
              <w:t>具有</w:t>
            </w:r>
            <w:r>
              <w:rPr>
                <w:rFonts w:ascii="宋体" w:hAnsi="宋体" w:eastAsia="宋体" w:cs="宋体"/>
                <w:b w:val="0"/>
                <w:bCs w:val="0"/>
                <w:color w:val="auto"/>
                <w:sz w:val="21"/>
                <w:szCs w:val="21"/>
                <w:highlight w:val="none"/>
              </w:rPr>
              <w:t>副</w:t>
            </w:r>
            <w:r>
              <w:rPr>
                <w:rFonts w:hint="eastAsia" w:cs="宋体"/>
                <w:b w:val="0"/>
                <w:bCs w:val="0"/>
                <w:color w:val="auto"/>
                <w:sz w:val="21"/>
                <w:szCs w:val="21"/>
                <w:highlight w:val="none"/>
                <w:lang w:val="en-US" w:eastAsia="zh-CN"/>
              </w:rPr>
              <w:t>高</w:t>
            </w:r>
            <w:r>
              <w:rPr>
                <w:rFonts w:hint="eastAsia" w:ascii="宋体" w:hAnsi="宋体" w:eastAsia="宋体" w:cs="宋体"/>
                <w:b w:val="0"/>
                <w:bCs w:val="0"/>
                <w:color w:val="auto"/>
                <w:sz w:val="21"/>
                <w:szCs w:val="21"/>
                <w:highlight w:val="none"/>
              </w:rPr>
              <w:t>级或以上技术职称的得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cs="宋体"/>
                <w:b w:val="0"/>
                <w:bCs w:val="0"/>
                <w:color w:val="auto"/>
                <w:sz w:val="21"/>
                <w:szCs w:val="21"/>
                <w:highlight w:val="none"/>
                <w:lang w:eastAsia="zh-CN"/>
              </w:rPr>
              <w:t>；</w:t>
            </w:r>
            <w:r>
              <w:rPr>
                <w:rFonts w:hint="eastAsia" w:ascii="宋体" w:hAnsi="宋体"/>
                <w:color w:val="auto"/>
                <w:sz w:val="21"/>
                <w:szCs w:val="21"/>
                <w:highlight w:val="none"/>
              </w:rPr>
              <w:t>具备中级技术职称的，得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eastAsia="宋体" w:cs="宋体"/>
                <w:b w:val="0"/>
                <w:bCs w:val="0"/>
                <w:color w:val="auto"/>
                <w:sz w:val="21"/>
                <w:szCs w:val="21"/>
                <w:highlight w:val="none"/>
              </w:rPr>
              <w:t>。没有提供</w:t>
            </w:r>
            <w:r>
              <w:rPr>
                <w:rFonts w:hint="eastAsia" w:ascii="宋体" w:hAnsi="宋体" w:eastAsia="宋体" w:cs="宋体"/>
                <w:b w:val="0"/>
                <w:bCs w:val="0"/>
                <w:color w:val="auto"/>
                <w:sz w:val="21"/>
                <w:szCs w:val="21"/>
                <w:highlight w:val="none"/>
                <w:lang w:val="en-US"/>
              </w:rPr>
              <w:t>或其它</w:t>
            </w:r>
            <w:r>
              <w:rPr>
                <w:rFonts w:hint="eastAsia" w:ascii="宋体" w:hAnsi="宋体" w:eastAsia="宋体" w:cs="宋体"/>
                <w:b w:val="0"/>
                <w:bCs w:val="0"/>
                <w:color w:val="auto"/>
                <w:sz w:val="21"/>
                <w:szCs w:val="21"/>
                <w:highlight w:val="none"/>
              </w:rPr>
              <w:t>不得分</w:t>
            </w:r>
            <w:r>
              <w:rPr>
                <w:rFonts w:hint="eastAsia" w:ascii="Calibri" w:hAnsi="Calibri"/>
                <w:color w:val="auto"/>
                <w:highlight w:val="none"/>
                <w:lang w:val="en-US" w:eastAsia="zh-CN"/>
              </w:rPr>
              <w:t>。注：</w:t>
            </w:r>
            <w:r>
              <w:rPr>
                <w:rFonts w:hint="eastAsia" w:ascii="宋体" w:hAnsi="宋体"/>
                <w:color w:val="auto"/>
                <w:sz w:val="21"/>
                <w:szCs w:val="21"/>
                <w:highlight w:val="none"/>
                <w:lang w:val="en-US" w:eastAsia="zh-CN"/>
              </w:rPr>
              <w:t>需提供职称证书扫描件，未能提供的，不得分。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66" w:hRule="atLeast"/>
          <w:jc w:val="center"/>
        </w:trPr>
        <w:tc>
          <w:tcPr>
            <w:tcW w:w="960" w:type="dxa"/>
            <w:gridSpan w:val="2"/>
            <w:vMerge w:val="continue"/>
            <w:tcBorders>
              <w:right w:val="single" w:color="auto" w:sz="4" w:space="0"/>
            </w:tcBorders>
            <w:vAlign w:val="center"/>
          </w:tcPr>
          <w:p>
            <w:pPr>
              <w:rPr>
                <w:color w:val="auto"/>
                <w:highlight w:val="none"/>
              </w:rPr>
            </w:pPr>
          </w:p>
        </w:tc>
        <w:tc>
          <w:tcPr>
            <w:tcW w:w="1142" w:type="dxa"/>
            <w:vMerge w:val="continue"/>
            <w:tcBorders>
              <w:right w:val="single" w:color="auto" w:sz="4" w:space="0"/>
            </w:tcBorders>
            <w:vAlign w:val="center"/>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1"/>
                <w:szCs w:val="21"/>
                <w:highlight w:val="none"/>
              </w:rPr>
            </w:pPr>
            <w:r>
              <w:rPr>
                <w:rFonts w:hint="eastAsia" w:ascii="宋体" w:hAnsi="宋体" w:eastAsia="宋体" w:cs="宋体"/>
                <w:color w:val="auto"/>
                <w:kern w:val="0"/>
                <w:sz w:val="21"/>
                <w:szCs w:val="21"/>
                <w:highlight w:val="none"/>
              </w:rPr>
              <w:t>其他主要人员（</w:t>
            </w: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103" w:type="dxa"/>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其他主要人员（除总监理工程师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造价咨询负责人</w:t>
            </w:r>
            <w:r>
              <w:rPr>
                <w:rFonts w:hint="eastAsia" w:ascii="宋体" w:hAnsi="宋体" w:eastAsia="宋体" w:cs="宋体"/>
                <w:color w:val="auto"/>
                <w:sz w:val="21"/>
                <w:szCs w:val="21"/>
                <w:highlight w:val="none"/>
              </w:rPr>
              <w:t>外）均满足</w:t>
            </w:r>
            <w:r>
              <w:rPr>
                <w:rFonts w:hint="eastAsia" w:ascii="宋体" w:hAnsi="宋体" w:cs="宋体"/>
                <w:color w:val="auto"/>
                <w:sz w:val="21"/>
                <w:szCs w:val="21"/>
                <w:highlight w:val="none"/>
                <w:lang w:val="en-US" w:eastAsia="zh-CN"/>
              </w:rPr>
              <w:t>第二章投标</w:t>
            </w:r>
            <w:r>
              <w:rPr>
                <w:rFonts w:ascii="宋体" w:hAnsi="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须知前附表附件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服务机构人员组成配备要求表</w:t>
            </w:r>
            <w:r>
              <w:rPr>
                <w:rFonts w:hint="eastAsia" w:ascii="宋体" w:hAnsi="宋体" w:eastAsia="宋体" w:cs="宋体"/>
                <w:color w:val="auto"/>
                <w:sz w:val="21"/>
                <w:szCs w:val="21"/>
                <w:highlight w:val="none"/>
              </w:rPr>
              <w:t>》的要求得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分，不满足的</w:t>
            </w:r>
            <w:r>
              <w:rPr>
                <w:rFonts w:ascii="宋体" w:hAnsi="宋体" w:eastAsia="宋体" w:cs="宋体"/>
                <w:color w:val="auto"/>
                <w:sz w:val="21"/>
                <w:szCs w:val="21"/>
                <w:highlight w:val="none"/>
              </w:rPr>
              <w:t>本小项</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分。</w:t>
            </w:r>
          </w:p>
          <w:p>
            <w:pPr>
              <w:spacing w:line="360" w:lineRule="exact"/>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①除总监理工程师、总监理工程师代表、</w:t>
            </w:r>
            <w:r>
              <w:rPr>
                <w:rFonts w:hint="eastAsia" w:ascii="宋体" w:hAnsi="宋体" w:cs="宋体"/>
                <w:color w:val="auto"/>
                <w:sz w:val="21"/>
                <w:szCs w:val="21"/>
                <w:highlight w:val="none"/>
                <w:lang w:val="en-US" w:eastAsia="zh-CN"/>
              </w:rPr>
              <w:t>造价咨询负责人</w:t>
            </w:r>
            <w:r>
              <w:rPr>
                <w:rFonts w:hint="eastAsia" w:ascii="宋体" w:hAnsi="宋体" w:eastAsia="宋体" w:cs="宋体"/>
                <w:color w:val="auto"/>
                <w:sz w:val="21"/>
                <w:szCs w:val="21"/>
                <w:highlight w:val="none"/>
              </w:rPr>
              <w:t>外，每有一人具备注册监理工程师注册执业证书的，加1分，最多加</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②除总监理工程师、总监理工程师代表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造价咨询负责人</w:t>
            </w:r>
            <w:r>
              <w:rPr>
                <w:rFonts w:hint="eastAsia" w:ascii="宋体" w:hAnsi="宋体" w:eastAsia="宋体" w:cs="宋体"/>
                <w:color w:val="auto"/>
                <w:sz w:val="21"/>
                <w:szCs w:val="21"/>
                <w:highlight w:val="none"/>
              </w:rPr>
              <w:t>外，每有一人具备</w:t>
            </w:r>
            <w:r>
              <w:rPr>
                <w:rFonts w:ascii="宋体" w:hAnsi="宋体" w:eastAsia="宋体" w:cs="宋体"/>
                <w:color w:val="auto"/>
                <w:sz w:val="21"/>
                <w:szCs w:val="21"/>
                <w:highlight w:val="none"/>
              </w:rPr>
              <w:t>副</w:t>
            </w:r>
            <w:r>
              <w:rPr>
                <w:rFonts w:hint="eastAsia" w:ascii="宋体" w:hAnsi="宋体" w:eastAsia="宋体" w:cs="宋体"/>
                <w:color w:val="auto"/>
                <w:sz w:val="21"/>
                <w:szCs w:val="21"/>
                <w:highlight w:val="none"/>
              </w:rPr>
              <w:t>高级（或以上）技术职称的，加1分，最多加</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r>
              <w:rPr>
                <w:rFonts w:hint="eastAsia" w:ascii="宋体" w:hAnsi="宋体"/>
                <w:color w:val="auto"/>
                <w:sz w:val="21"/>
                <w:szCs w:val="21"/>
                <w:highlight w:val="none"/>
                <w:lang w:val="en-US" w:eastAsia="zh-CN"/>
              </w:rPr>
              <w:t>需提供职称证书扫描件，未能提供的，不得分。</w:t>
            </w: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注：①和②同一人员同时符合以上要求的，可重复得分</w:t>
            </w:r>
            <w:r>
              <w:rPr>
                <w:rFonts w:hint="eastAsia" w:ascii="宋体" w:hAnsi="宋体" w:eastAsia="宋体" w:cs="宋体"/>
                <w:color w:val="auto"/>
                <w:sz w:val="21"/>
                <w:szCs w:val="21"/>
                <w:highlight w:val="none"/>
                <w:lang w:eastAsia="zh-CN"/>
              </w:rPr>
              <w:t>。</w:t>
            </w:r>
          </w:p>
          <w:p>
            <w:pPr>
              <w:spacing w:line="360" w:lineRule="exact"/>
              <w:rPr>
                <w:color w:val="auto"/>
                <w:sz w:val="21"/>
                <w:szCs w:val="21"/>
                <w:highlight w:val="none"/>
                <w:lang w:val="en-US"/>
              </w:rPr>
            </w:pPr>
            <w:r>
              <w:rPr>
                <w:rFonts w:hint="eastAsia" w:ascii="宋体" w:hAnsi="宋体" w:eastAsia="宋体" w:cs="宋体"/>
                <w:color w:val="auto"/>
                <w:sz w:val="21"/>
                <w:szCs w:val="21"/>
                <w:highlight w:val="none"/>
              </w:rPr>
              <w:t>本项最高得</w:t>
            </w:r>
            <w:r>
              <w:rPr>
                <w:rFonts w:hint="eastAsia" w:cs="宋体"/>
                <w:color w:val="auto"/>
                <w:sz w:val="21"/>
                <w:szCs w:val="21"/>
                <w:highlight w:val="none"/>
                <w:lang w:val="en-US" w:eastAsia="zh-CN"/>
              </w:rPr>
              <w:t>5分</w:t>
            </w:r>
            <w:r>
              <w:rPr>
                <w:rFonts w:hint="eastAsia" w:ascii="宋体" w:hAnsi="宋体" w:eastAsia="宋体" w:cs="宋体"/>
                <w:color w:val="auto"/>
                <w:sz w:val="21"/>
                <w:szCs w:val="21"/>
                <w:highlight w:val="none"/>
              </w:rPr>
              <w:t>。无或其他不得分。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960" w:type="dxa"/>
            <w:gridSpan w:val="2"/>
            <w:vMerge w:val="continue"/>
            <w:tcBorders>
              <w:right w:val="single" w:color="auto" w:sz="4" w:space="0"/>
            </w:tcBorders>
            <w:vAlign w:val="center"/>
          </w:tcPr>
          <w:p>
            <w:pPr>
              <w:rPr>
                <w:color w:val="auto"/>
                <w:highlight w:val="none"/>
              </w:rPr>
            </w:pPr>
          </w:p>
        </w:tc>
        <w:tc>
          <w:tcPr>
            <w:tcW w:w="1142" w:type="dxa"/>
            <w:vMerge w:val="continue"/>
            <w:tcBorders>
              <w:right w:val="single" w:color="auto" w:sz="4" w:space="0"/>
            </w:tcBorders>
            <w:vAlign w:val="center"/>
          </w:tcPr>
          <w:p>
            <w:pPr>
              <w:rPr>
                <w:color w:val="auto"/>
                <w:highlight w:val="none"/>
              </w:rPr>
            </w:pPr>
          </w:p>
        </w:tc>
        <w:tc>
          <w:tcPr>
            <w:tcW w:w="2506" w:type="dxa"/>
            <w:tcBorders>
              <w:top w:val="single" w:color="auto" w:sz="4" w:space="0"/>
              <w:left w:val="single" w:color="auto" w:sz="4" w:space="0"/>
              <w:right w:val="single" w:color="auto" w:sz="4" w:space="0"/>
            </w:tcBorders>
            <w:vAlign w:val="center"/>
          </w:tcPr>
          <w:p>
            <w:pPr>
              <w:spacing w:line="360" w:lineRule="exact"/>
              <w:jc w:val="center"/>
              <w:rPr>
                <w:color w:val="auto"/>
                <w:sz w:val="21"/>
                <w:szCs w:val="21"/>
                <w:highlight w:val="none"/>
              </w:rPr>
            </w:pPr>
            <w:r>
              <w:rPr>
                <w:rFonts w:hint="eastAsia" w:ascii="宋体" w:hAnsi="宋体" w:eastAsia="宋体" w:cs="宋体"/>
                <w:color w:val="auto"/>
                <w:sz w:val="21"/>
                <w:szCs w:val="21"/>
                <w:highlight w:val="none"/>
              </w:rPr>
              <w:t>管理体系认证（</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投标人具备在有效期内质量管理体系认证证书、环境管理体系认证证书、职业健康安全管理体系认证证书、信息安全管理体系认证证书，</w:t>
            </w:r>
            <w:r>
              <w:rPr>
                <w:rFonts w:hint="eastAsia" w:ascii="宋体" w:hAnsi="宋体" w:cs="宋体"/>
                <w:color w:val="auto"/>
                <w:sz w:val="21"/>
                <w:szCs w:val="21"/>
                <w:highlight w:val="none"/>
                <w:lang w:val="en-US" w:eastAsia="zh-CN"/>
              </w:rPr>
              <w:t>每提供1项认证证书得1分，本项最高得4分</w:t>
            </w:r>
            <w:r>
              <w:rPr>
                <w:rFonts w:hint="eastAsia" w:ascii="宋体" w:hAnsi="宋体" w:eastAsia="宋体" w:cs="宋体"/>
                <w:color w:val="auto"/>
                <w:sz w:val="21"/>
                <w:szCs w:val="21"/>
                <w:highlight w:val="none"/>
              </w:rPr>
              <w:t>。</w:t>
            </w:r>
          </w:p>
          <w:p>
            <w:pPr>
              <w:spacing w:line="360" w:lineRule="exact"/>
              <w:rPr>
                <w:color w:val="auto"/>
                <w:sz w:val="4"/>
                <w:szCs w:val="2"/>
                <w:highlight w:val="none"/>
                <w:lang w:val="en-US"/>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如联合体投标，由负责监理业务的一方提供。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960" w:type="dxa"/>
            <w:gridSpan w:val="2"/>
            <w:vMerge w:val="restart"/>
            <w:tcBorders>
              <w:top w:val="single" w:color="auto" w:sz="4" w:space="0"/>
              <w:right w:val="single" w:color="auto" w:sz="4" w:space="0"/>
            </w:tcBorders>
            <w:vAlign w:val="center"/>
          </w:tcPr>
          <w:p>
            <w:pPr>
              <w:spacing w:line="440" w:lineRule="exact"/>
              <w:rPr>
                <w:color w:val="auto"/>
                <w:sz w:val="21"/>
                <w:szCs w:val="21"/>
                <w:highlight w:val="none"/>
              </w:rPr>
            </w:pPr>
            <w:r>
              <w:rPr>
                <w:color w:val="auto"/>
                <w:sz w:val="21"/>
                <w:szCs w:val="21"/>
                <w:highlight w:val="none"/>
              </w:rPr>
              <w:t>2.2.4</w:t>
            </w: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w:t>
            </w:r>
          </w:p>
        </w:tc>
        <w:tc>
          <w:tcPr>
            <w:tcW w:w="1142" w:type="dxa"/>
            <w:vMerge w:val="restart"/>
            <w:tcBorders>
              <w:top w:val="single" w:color="auto" w:sz="4" w:space="0"/>
              <w:right w:val="single" w:color="auto" w:sz="4" w:space="0"/>
            </w:tcBorders>
            <w:vAlign w:val="center"/>
          </w:tcPr>
          <w:p>
            <w:pPr>
              <w:spacing w:line="440" w:lineRule="exact"/>
              <w:rPr>
                <w:color w:val="auto"/>
                <w:sz w:val="21"/>
                <w:szCs w:val="21"/>
                <w:highlight w:val="none"/>
              </w:rPr>
            </w:pPr>
            <w:r>
              <w:rPr>
                <w:rFonts w:hint="eastAsia"/>
                <w:color w:val="auto"/>
                <w:sz w:val="21"/>
                <w:szCs w:val="21"/>
                <w:highlight w:val="none"/>
              </w:rPr>
              <w:t>技术</w:t>
            </w:r>
            <w:r>
              <w:rPr>
                <w:rFonts w:hint="eastAsia"/>
                <w:color w:val="auto"/>
                <w:sz w:val="21"/>
                <w:szCs w:val="21"/>
                <w:highlight w:val="none"/>
                <w:lang w:val="en-US"/>
              </w:rPr>
              <w:t>服务</w:t>
            </w:r>
            <w:r>
              <w:rPr>
                <w:rFonts w:hint="eastAsia"/>
                <w:color w:val="auto"/>
                <w:sz w:val="21"/>
                <w:szCs w:val="21"/>
                <w:highlight w:val="none"/>
              </w:rPr>
              <w:t>方案评分标准（</w:t>
            </w:r>
            <w:r>
              <w:rPr>
                <w:rFonts w:hint="eastAsia"/>
                <w:color w:val="auto"/>
                <w:sz w:val="21"/>
                <w:szCs w:val="21"/>
                <w:highlight w:val="none"/>
                <w:lang w:val="en-US" w:eastAsia="zh-CN"/>
              </w:rPr>
              <w:t>30</w:t>
            </w:r>
            <w:r>
              <w:rPr>
                <w:rFonts w:hint="eastAsia"/>
                <w:color w:val="auto"/>
                <w:sz w:val="21"/>
                <w:szCs w:val="21"/>
                <w:highlight w:val="none"/>
              </w:rPr>
              <w:t>分）</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highlight w:val="none"/>
              </w:rPr>
            </w:pPr>
            <w:r>
              <w:rPr>
                <w:rFonts w:hint="eastAsia"/>
                <w:color w:val="auto"/>
                <w:sz w:val="21"/>
                <w:szCs w:val="21"/>
                <w:highlight w:val="none"/>
              </w:rPr>
              <w:t>投资控制措施</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分）</w:t>
            </w:r>
          </w:p>
        </w:tc>
        <w:tc>
          <w:tcPr>
            <w:tcW w:w="5103" w:type="dxa"/>
            <w:tcBorders>
              <w:top w:val="single" w:color="auto" w:sz="4" w:space="0"/>
              <w:left w:val="single" w:color="auto" w:sz="4" w:space="0"/>
              <w:bottom w:val="single" w:color="auto" w:sz="4" w:space="0"/>
            </w:tcBorders>
            <w:vAlign w:val="center"/>
          </w:tcPr>
          <w:p>
            <w:pPr>
              <w:adjustRightInd w:val="0"/>
              <w:snapToGrid w:val="0"/>
              <w:spacing w:line="300" w:lineRule="exact"/>
              <w:rPr>
                <w:color w:val="auto"/>
                <w:sz w:val="21"/>
                <w:szCs w:val="21"/>
                <w:highlight w:val="none"/>
              </w:rPr>
            </w:pPr>
            <w:r>
              <w:rPr>
                <w:rFonts w:hint="eastAsia"/>
                <w:color w:val="auto"/>
                <w:sz w:val="21"/>
                <w:szCs w:val="21"/>
                <w:highlight w:val="none"/>
              </w:rPr>
              <w:t>要求目标明确、方法合理可行、措施具体、针对性强。方案为优得</w:t>
            </w:r>
            <w:r>
              <w:rPr>
                <w:rFonts w:hint="eastAsia"/>
                <w:color w:val="auto"/>
                <w:sz w:val="21"/>
                <w:szCs w:val="21"/>
                <w:highlight w:val="none"/>
                <w:lang w:val="en-US" w:eastAsia="zh-CN"/>
              </w:rPr>
              <w:t>3</w:t>
            </w:r>
            <w:r>
              <w:rPr>
                <w:rFonts w:hint="eastAsia"/>
                <w:color w:val="auto"/>
                <w:sz w:val="21"/>
                <w:szCs w:val="21"/>
                <w:highlight w:val="none"/>
              </w:rPr>
              <w:t>分；良得</w:t>
            </w:r>
            <w:r>
              <w:rPr>
                <w:rFonts w:hint="eastAsia"/>
                <w:color w:val="auto"/>
                <w:sz w:val="21"/>
                <w:szCs w:val="21"/>
                <w:highlight w:val="none"/>
                <w:lang w:val="en-US" w:eastAsia="zh-CN"/>
              </w:rPr>
              <w:t>2</w:t>
            </w:r>
            <w:r>
              <w:rPr>
                <w:rFonts w:hint="eastAsia"/>
                <w:color w:val="auto"/>
                <w:sz w:val="21"/>
                <w:szCs w:val="21"/>
                <w:highlight w:val="none"/>
              </w:rPr>
              <w:t>分；一般得</w:t>
            </w:r>
            <w:r>
              <w:rPr>
                <w:rFonts w:hint="eastAsia"/>
                <w:color w:val="auto"/>
                <w:sz w:val="21"/>
                <w:szCs w:val="21"/>
                <w:highlight w:val="none"/>
                <w:lang w:val="en-US" w:eastAsia="zh-CN"/>
              </w:rPr>
              <w:t>1</w:t>
            </w:r>
            <w:r>
              <w:rPr>
                <w:rFonts w:hint="eastAsia"/>
                <w:color w:val="auto"/>
                <w:sz w:val="21"/>
                <w:szCs w:val="21"/>
                <w:highlight w:val="none"/>
              </w:rPr>
              <w:t>分</w:t>
            </w:r>
            <w:r>
              <w:rPr>
                <w:color w:val="auto"/>
                <w:sz w:val="21"/>
                <w:szCs w:val="21"/>
                <w:highlight w:val="none"/>
              </w:rPr>
              <w:t>；</w:t>
            </w:r>
            <w:r>
              <w:rPr>
                <w:rFonts w:hint="eastAsia"/>
                <w:color w:val="auto"/>
                <w:sz w:val="21"/>
                <w:szCs w:val="21"/>
                <w:highlight w:val="none"/>
              </w:rPr>
              <w:t>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8" w:hRule="atLeast"/>
          <w:jc w:val="center"/>
        </w:trPr>
        <w:tc>
          <w:tcPr>
            <w:tcW w:w="960" w:type="dxa"/>
            <w:gridSpan w:val="2"/>
            <w:vMerge w:val="continue"/>
            <w:tcBorders>
              <w:right w:val="single" w:color="auto" w:sz="4" w:space="0"/>
            </w:tcBorders>
          </w:tcPr>
          <w:p>
            <w:pPr>
              <w:rPr>
                <w:color w:val="auto"/>
                <w:highlight w:val="none"/>
              </w:rPr>
            </w:pPr>
          </w:p>
        </w:tc>
        <w:tc>
          <w:tcPr>
            <w:tcW w:w="1142" w:type="dxa"/>
            <w:vMerge w:val="continue"/>
            <w:tcBorders>
              <w:right w:val="single" w:color="auto" w:sz="4" w:space="0"/>
            </w:tcBorders>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highlight w:val="none"/>
              </w:rPr>
            </w:pPr>
            <w:r>
              <w:rPr>
                <w:rFonts w:hint="eastAsia"/>
                <w:color w:val="auto"/>
                <w:sz w:val="21"/>
                <w:szCs w:val="21"/>
                <w:highlight w:val="none"/>
              </w:rPr>
              <w:t>进度控制措施</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分）</w:t>
            </w:r>
          </w:p>
        </w:tc>
        <w:tc>
          <w:tcPr>
            <w:tcW w:w="5103" w:type="dxa"/>
            <w:tcBorders>
              <w:top w:val="single" w:color="auto" w:sz="4" w:space="0"/>
              <w:left w:val="single" w:color="auto" w:sz="4" w:space="0"/>
              <w:bottom w:val="single" w:color="auto" w:sz="4" w:space="0"/>
            </w:tcBorders>
            <w:vAlign w:val="center"/>
          </w:tcPr>
          <w:p>
            <w:pPr>
              <w:adjustRightInd w:val="0"/>
              <w:snapToGrid w:val="0"/>
              <w:spacing w:line="300" w:lineRule="exact"/>
              <w:rPr>
                <w:color w:val="auto"/>
                <w:sz w:val="21"/>
                <w:szCs w:val="21"/>
                <w:highlight w:val="none"/>
              </w:rPr>
            </w:pPr>
            <w:r>
              <w:rPr>
                <w:rFonts w:hint="eastAsia"/>
                <w:color w:val="auto"/>
                <w:sz w:val="21"/>
                <w:szCs w:val="21"/>
                <w:highlight w:val="none"/>
              </w:rPr>
              <w:t>要求目标明确、方法合理可行、措施具体、针对性强。方案为优得</w:t>
            </w:r>
            <w:r>
              <w:rPr>
                <w:rFonts w:hint="eastAsia"/>
                <w:color w:val="auto"/>
                <w:sz w:val="21"/>
                <w:szCs w:val="21"/>
                <w:highlight w:val="none"/>
                <w:lang w:val="en-US" w:eastAsia="zh-CN"/>
              </w:rPr>
              <w:t>3</w:t>
            </w:r>
            <w:r>
              <w:rPr>
                <w:rFonts w:hint="eastAsia"/>
                <w:color w:val="auto"/>
                <w:sz w:val="21"/>
                <w:szCs w:val="21"/>
                <w:highlight w:val="none"/>
              </w:rPr>
              <w:t>分；良得</w:t>
            </w:r>
            <w:r>
              <w:rPr>
                <w:rFonts w:hint="eastAsia"/>
                <w:color w:val="auto"/>
                <w:sz w:val="21"/>
                <w:szCs w:val="21"/>
                <w:highlight w:val="none"/>
                <w:lang w:val="en-US" w:eastAsia="zh-CN"/>
              </w:rPr>
              <w:t>2</w:t>
            </w:r>
            <w:r>
              <w:rPr>
                <w:rFonts w:hint="eastAsia"/>
                <w:color w:val="auto"/>
                <w:sz w:val="21"/>
                <w:szCs w:val="21"/>
                <w:highlight w:val="none"/>
              </w:rPr>
              <w:t>分；一般得</w:t>
            </w:r>
            <w:r>
              <w:rPr>
                <w:rFonts w:hint="eastAsia"/>
                <w:color w:val="auto"/>
                <w:sz w:val="21"/>
                <w:szCs w:val="21"/>
                <w:highlight w:val="none"/>
                <w:lang w:val="en-US" w:eastAsia="zh-CN"/>
              </w:rPr>
              <w:t>1</w:t>
            </w:r>
            <w:r>
              <w:rPr>
                <w:rFonts w:hint="eastAsia"/>
                <w:color w:val="auto"/>
                <w:sz w:val="21"/>
                <w:szCs w:val="21"/>
                <w:highlight w:val="none"/>
              </w:rPr>
              <w:t>分</w:t>
            </w:r>
            <w:r>
              <w:rPr>
                <w:color w:val="auto"/>
                <w:sz w:val="21"/>
                <w:szCs w:val="21"/>
                <w:highlight w:val="none"/>
              </w:rPr>
              <w:t>；</w:t>
            </w:r>
            <w:r>
              <w:rPr>
                <w:rFonts w:hint="eastAsia"/>
                <w:color w:val="auto"/>
                <w:sz w:val="21"/>
                <w:szCs w:val="21"/>
                <w:highlight w:val="none"/>
              </w:rPr>
              <w:t>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960" w:type="dxa"/>
            <w:gridSpan w:val="2"/>
            <w:vMerge w:val="continue"/>
            <w:tcBorders>
              <w:right w:val="single" w:color="auto" w:sz="4" w:space="0"/>
            </w:tcBorders>
          </w:tcPr>
          <w:p>
            <w:pPr>
              <w:rPr>
                <w:color w:val="auto"/>
                <w:highlight w:val="none"/>
              </w:rPr>
            </w:pPr>
          </w:p>
        </w:tc>
        <w:tc>
          <w:tcPr>
            <w:tcW w:w="1142" w:type="dxa"/>
            <w:vMerge w:val="continue"/>
            <w:tcBorders>
              <w:right w:val="single" w:color="auto" w:sz="4" w:space="0"/>
            </w:tcBorders>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highlight w:val="none"/>
              </w:rPr>
            </w:pPr>
            <w:r>
              <w:rPr>
                <w:rFonts w:hint="eastAsia"/>
                <w:color w:val="auto"/>
                <w:sz w:val="21"/>
                <w:szCs w:val="21"/>
                <w:highlight w:val="none"/>
              </w:rPr>
              <w:t>质量控制措施</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分）</w:t>
            </w:r>
          </w:p>
        </w:tc>
        <w:tc>
          <w:tcPr>
            <w:tcW w:w="5103" w:type="dxa"/>
            <w:tcBorders>
              <w:top w:val="single" w:color="auto" w:sz="4" w:space="0"/>
              <w:left w:val="single" w:color="auto" w:sz="4" w:space="0"/>
              <w:bottom w:val="single" w:color="auto" w:sz="4" w:space="0"/>
            </w:tcBorders>
            <w:vAlign w:val="center"/>
          </w:tcPr>
          <w:p>
            <w:pPr>
              <w:adjustRightInd w:val="0"/>
              <w:snapToGrid w:val="0"/>
              <w:spacing w:line="300" w:lineRule="exact"/>
              <w:rPr>
                <w:color w:val="auto"/>
                <w:sz w:val="21"/>
                <w:szCs w:val="21"/>
                <w:highlight w:val="none"/>
              </w:rPr>
            </w:pPr>
            <w:r>
              <w:rPr>
                <w:rFonts w:hint="eastAsia"/>
                <w:color w:val="auto"/>
                <w:sz w:val="21"/>
                <w:szCs w:val="21"/>
                <w:highlight w:val="none"/>
              </w:rPr>
              <w:t>要求目标明确、方法合理可行、措施具体、针对性强。方案为优得</w:t>
            </w:r>
            <w:r>
              <w:rPr>
                <w:rFonts w:hint="eastAsia"/>
                <w:color w:val="auto"/>
                <w:sz w:val="21"/>
                <w:szCs w:val="21"/>
                <w:highlight w:val="none"/>
                <w:lang w:val="en-US" w:eastAsia="zh-CN"/>
              </w:rPr>
              <w:t>3</w:t>
            </w:r>
            <w:r>
              <w:rPr>
                <w:rFonts w:hint="eastAsia"/>
                <w:color w:val="auto"/>
                <w:sz w:val="21"/>
                <w:szCs w:val="21"/>
                <w:highlight w:val="none"/>
              </w:rPr>
              <w:t>分；良得</w:t>
            </w:r>
            <w:r>
              <w:rPr>
                <w:rFonts w:hint="eastAsia"/>
                <w:color w:val="auto"/>
                <w:sz w:val="21"/>
                <w:szCs w:val="21"/>
                <w:highlight w:val="none"/>
                <w:lang w:val="en-US" w:eastAsia="zh-CN"/>
              </w:rPr>
              <w:t>2</w:t>
            </w:r>
            <w:r>
              <w:rPr>
                <w:rFonts w:hint="eastAsia"/>
                <w:color w:val="auto"/>
                <w:sz w:val="21"/>
                <w:szCs w:val="21"/>
                <w:highlight w:val="none"/>
              </w:rPr>
              <w:t>分；一般得</w:t>
            </w:r>
            <w:r>
              <w:rPr>
                <w:rFonts w:hint="eastAsia"/>
                <w:color w:val="auto"/>
                <w:sz w:val="21"/>
                <w:szCs w:val="21"/>
                <w:highlight w:val="none"/>
                <w:lang w:val="en-US" w:eastAsia="zh-CN"/>
              </w:rPr>
              <w:t>1</w:t>
            </w:r>
            <w:r>
              <w:rPr>
                <w:rFonts w:hint="eastAsia"/>
                <w:color w:val="auto"/>
                <w:sz w:val="21"/>
                <w:szCs w:val="21"/>
                <w:highlight w:val="none"/>
              </w:rPr>
              <w:t>分</w:t>
            </w:r>
            <w:r>
              <w:rPr>
                <w:color w:val="auto"/>
                <w:sz w:val="21"/>
                <w:szCs w:val="21"/>
                <w:highlight w:val="none"/>
              </w:rPr>
              <w:t>；</w:t>
            </w:r>
            <w:r>
              <w:rPr>
                <w:rFonts w:hint="eastAsia"/>
                <w:color w:val="auto"/>
                <w:sz w:val="21"/>
                <w:szCs w:val="21"/>
                <w:highlight w:val="none"/>
              </w:rPr>
              <w:t>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960" w:type="dxa"/>
            <w:gridSpan w:val="2"/>
            <w:vMerge w:val="continue"/>
            <w:tcBorders>
              <w:right w:val="single" w:color="auto" w:sz="4" w:space="0"/>
            </w:tcBorders>
          </w:tcPr>
          <w:p>
            <w:pPr>
              <w:rPr>
                <w:color w:val="auto"/>
                <w:highlight w:val="none"/>
              </w:rPr>
            </w:pPr>
          </w:p>
        </w:tc>
        <w:tc>
          <w:tcPr>
            <w:tcW w:w="1142" w:type="dxa"/>
            <w:vMerge w:val="continue"/>
            <w:tcBorders>
              <w:right w:val="single" w:color="auto" w:sz="4" w:space="0"/>
            </w:tcBorders>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highlight w:val="none"/>
              </w:rPr>
            </w:pPr>
            <w:r>
              <w:rPr>
                <w:rFonts w:hint="eastAsia"/>
                <w:color w:val="auto"/>
                <w:sz w:val="21"/>
                <w:szCs w:val="21"/>
                <w:highlight w:val="none"/>
                <w:lang w:val="en-US" w:eastAsia="zh-CN"/>
              </w:rPr>
              <w:t>监理</w:t>
            </w:r>
            <w:r>
              <w:rPr>
                <w:rFonts w:hint="eastAsia"/>
                <w:color w:val="auto"/>
                <w:sz w:val="21"/>
                <w:szCs w:val="21"/>
                <w:highlight w:val="none"/>
              </w:rPr>
              <w:t>合同管理、信息管理</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tc>
        <w:tc>
          <w:tcPr>
            <w:tcW w:w="5103" w:type="dxa"/>
            <w:tcBorders>
              <w:top w:val="single" w:color="auto" w:sz="4" w:space="0"/>
              <w:left w:val="single" w:color="auto" w:sz="4" w:space="0"/>
              <w:bottom w:val="single" w:color="auto" w:sz="4" w:space="0"/>
            </w:tcBorders>
            <w:vAlign w:val="center"/>
          </w:tcPr>
          <w:p>
            <w:pPr>
              <w:adjustRightInd w:val="0"/>
              <w:snapToGrid w:val="0"/>
              <w:spacing w:line="300" w:lineRule="exact"/>
              <w:rPr>
                <w:color w:val="auto"/>
                <w:sz w:val="21"/>
                <w:szCs w:val="21"/>
                <w:highlight w:val="none"/>
              </w:rPr>
            </w:pPr>
            <w:r>
              <w:rPr>
                <w:rFonts w:hint="eastAsia"/>
                <w:color w:val="auto"/>
                <w:sz w:val="21"/>
                <w:szCs w:val="21"/>
                <w:highlight w:val="none"/>
              </w:rPr>
              <w:t>合同管理、信息管理方法针对性强、措施具体得</w:t>
            </w:r>
            <w:r>
              <w:rPr>
                <w:rFonts w:hint="eastAsia"/>
                <w:color w:val="auto"/>
                <w:sz w:val="21"/>
                <w:szCs w:val="21"/>
                <w:highlight w:val="none"/>
                <w:lang w:val="en-US" w:eastAsia="zh-CN"/>
              </w:rPr>
              <w:t>2</w:t>
            </w:r>
            <w:r>
              <w:rPr>
                <w:rFonts w:hint="eastAsia"/>
                <w:color w:val="auto"/>
                <w:sz w:val="21"/>
                <w:szCs w:val="21"/>
                <w:highlight w:val="none"/>
              </w:rPr>
              <w:t>分；基本可行得</w:t>
            </w:r>
            <w:r>
              <w:rPr>
                <w:rFonts w:hint="eastAsia"/>
                <w:color w:val="auto"/>
                <w:sz w:val="21"/>
                <w:szCs w:val="21"/>
                <w:highlight w:val="none"/>
                <w:lang w:val="en-US" w:eastAsia="zh-CN"/>
              </w:rPr>
              <w:t>1</w:t>
            </w:r>
            <w:r>
              <w:rPr>
                <w:rFonts w:hint="eastAsia"/>
                <w:color w:val="auto"/>
                <w:sz w:val="21"/>
                <w:szCs w:val="21"/>
                <w:highlight w:val="none"/>
              </w:rPr>
              <w:t>分；措施不得力得</w:t>
            </w:r>
            <w:r>
              <w:rPr>
                <w:rFonts w:hint="eastAsia"/>
                <w:color w:val="auto"/>
                <w:sz w:val="21"/>
                <w:szCs w:val="21"/>
                <w:highlight w:val="none"/>
                <w:lang w:val="en-US" w:eastAsia="zh-CN"/>
              </w:rPr>
              <w:t>0.5</w:t>
            </w:r>
            <w:r>
              <w:rPr>
                <w:rFonts w:hint="eastAsia"/>
                <w:color w:val="auto"/>
                <w:sz w:val="21"/>
                <w:szCs w:val="21"/>
                <w:highlight w:val="none"/>
              </w:rPr>
              <w:t>分。差或无措施不得分。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960" w:type="dxa"/>
            <w:gridSpan w:val="2"/>
            <w:vMerge w:val="continue"/>
            <w:tcBorders>
              <w:right w:val="single" w:color="auto" w:sz="4" w:space="0"/>
            </w:tcBorders>
          </w:tcPr>
          <w:p>
            <w:pPr>
              <w:rPr>
                <w:color w:val="auto"/>
                <w:highlight w:val="none"/>
              </w:rPr>
            </w:pPr>
          </w:p>
        </w:tc>
        <w:tc>
          <w:tcPr>
            <w:tcW w:w="1142" w:type="dxa"/>
            <w:vMerge w:val="continue"/>
            <w:tcBorders>
              <w:right w:val="single" w:color="auto" w:sz="4" w:space="0"/>
            </w:tcBorders>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contextualSpacing/>
              <w:jc w:val="center"/>
              <w:rPr>
                <w:color w:val="auto"/>
                <w:sz w:val="21"/>
                <w:szCs w:val="21"/>
                <w:highlight w:val="none"/>
              </w:rPr>
            </w:pPr>
            <w:r>
              <w:rPr>
                <w:rFonts w:hint="eastAsia"/>
                <w:color w:val="auto"/>
                <w:sz w:val="21"/>
                <w:szCs w:val="21"/>
                <w:highlight w:val="none"/>
              </w:rPr>
              <w:t>安全、文明施工管理</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tc>
        <w:tc>
          <w:tcPr>
            <w:tcW w:w="5103" w:type="dxa"/>
            <w:tcBorders>
              <w:top w:val="single" w:color="auto" w:sz="4" w:space="0"/>
              <w:left w:val="single" w:color="auto" w:sz="4" w:space="0"/>
              <w:bottom w:val="single" w:color="auto" w:sz="4" w:space="0"/>
            </w:tcBorders>
            <w:vAlign w:val="center"/>
          </w:tcPr>
          <w:p>
            <w:pPr>
              <w:snapToGrid w:val="0"/>
              <w:spacing w:line="300" w:lineRule="exact"/>
              <w:rPr>
                <w:color w:val="auto"/>
                <w:sz w:val="21"/>
                <w:szCs w:val="21"/>
                <w:highlight w:val="none"/>
              </w:rPr>
            </w:pPr>
            <w:r>
              <w:rPr>
                <w:rFonts w:hint="eastAsia"/>
                <w:color w:val="auto"/>
                <w:sz w:val="21"/>
                <w:szCs w:val="21"/>
                <w:highlight w:val="none"/>
              </w:rPr>
              <w:t>管理措施优得</w:t>
            </w:r>
            <w:r>
              <w:rPr>
                <w:rFonts w:hint="eastAsia"/>
                <w:color w:val="auto"/>
                <w:sz w:val="21"/>
                <w:szCs w:val="21"/>
                <w:highlight w:val="none"/>
                <w:lang w:val="en-US" w:eastAsia="zh-CN"/>
              </w:rPr>
              <w:t>2</w:t>
            </w:r>
            <w:r>
              <w:rPr>
                <w:rFonts w:hint="eastAsia"/>
                <w:color w:val="auto"/>
                <w:sz w:val="21"/>
                <w:szCs w:val="21"/>
                <w:highlight w:val="none"/>
              </w:rPr>
              <w:t>分；良得</w:t>
            </w:r>
            <w:r>
              <w:rPr>
                <w:rFonts w:hint="eastAsia"/>
                <w:color w:val="auto"/>
                <w:sz w:val="21"/>
                <w:szCs w:val="21"/>
                <w:highlight w:val="none"/>
                <w:lang w:val="en-US" w:eastAsia="zh-CN"/>
              </w:rPr>
              <w:t>1</w:t>
            </w:r>
            <w:r>
              <w:rPr>
                <w:rFonts w:hint="eastAsia"/>
                <w:color w:val="auto"/>
                <w:sz w:val="21"/>
                <w:szCs w:val="21"/>
                <w:highlight w:val="none"/>
              </w:rPr>
              <w:t>分；一般得</w:t>
            </w:r>
            <w:r>
              <w:rPr>
                <w:rFonts w:hint="eastAsia"/>
                <w:color w:val="auto"/>
                <w:sz w:val="21"/>
                <w:szCs w:val="21"/>
                <w:highlight w:val="none"/>
                <w:lang w:val="en-US" w:eastAsia="zh-CN"/>
              </w:rPr>
              <w:t>0.5</w:t>
            </w:r>
            <w:r>
              <w:rPr>
                <w:rFonts w:hint="eastAsia"/>
                <w:color w:val="auto"/>
                <w:sz w:val="21"/>
                <w:szCs w:val="21"/>
                <w:highlight w:val="none"/>
              </w:rPr>
              <w:t>分；差或无措施不得分。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960" w:type="dxa"/>
            <w:gridSpan w:val="2"/>
            <w:vMerge w:val="continue"/>
            <w:tcBorders>
              <w:right w:val="single" w:color="auto" w:sz="4" w:space="0"/>
            </w:tcBorders>
          </w:tcPr>
          <w:p>
            <w:pPr>
              <w:rPr>
                <w:color w:val="auto"/>
                <w:highlight w:val="none"/>
              </w:rPr>
            </w:pPr>
          </w:p>
        </w:tc>
        <w:tc>
          <w:tcPr>
            <w:tcW w:w="1142" w:type="dxa"/>
            <w:vMerge w:val="continue"/>
            <w:tcBorders>
              <w:right w:val="single" w:color="auto" w:sz="4" w:space="0"/>
            </w:tcBorders>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highlight w:val="none"/>
              </w:rPr>
            </w:pPr>
            <w:r>
              <w:rPr>
                <w:rFonts w:hint="eastAsia"/>
                <w:color w:val="auto"/>
                <w:sz w:val="21"/>
                <w:szCs w:val="21"/>
                <w:highlight w:val="none"/>
                <w:lang w:val="en-US" w:eastAsia="zh-CN"/>
              </w:rPr>
              <w:t>监理</w:t>
            </w:r>
            <w:r>
              <w:rPr>
                <w:rFonts w:hint="eastAsia"/>
                <w:color w:val="auto"/>
                <w:sz w:val="21"/>
                <w:szCs w:val="21"/>
                <w:highlight w:val="none"/>
              </w:rPr>
              <w:t>组织协调方案</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tc>
        <w:tc>
          <w:tcPr>
            <w:tcW w:w="5103" w:type="dxa"/>
            <w:tcBorders>
              <w:top w:val="single" w:color="auto" w:sz="4" w:space="0"/>
              <w:left w:val="single" w:color="auto" w:sz="4" w:space="0"/>
              <w:bottom w:val="single" w:color="auto" w:sz="4" w:space="0"/>
            </w:tcBorders>
            <w:vAlign w:val="center"/>
          </w:tcPr>
          <w:p>
            <w:pPr>
              <w:adjustRightInd w:val="0"/>
              <w:snapToGrid w:val="0"/>
              <w:spacing w:line="300" w:lineRule="exact"/>
              <w:rPr>
                <w:color w:val="auto"/>
                <w:sz w:val="21"/>
                <w:szCs w:val="21"/>
                <w:highlight w:val="none"/>
              </w:rPr>
            </w:pPr>
            <w:r>
              <w:rPr>
                <w:rFonts w:hint="eastAsia"/>
                <w:color w:val="auto"/>
                <w:sz w:val="21"/>
                <w:szCs w:val="21"/>
                <w:highlight w:val="none"/>
              </w:rPr>
              <w:t>协调方法清晰合理，有具体措施。优得</w:t>
            </w:r>
            <w:r>
              <w:rPr>
                <w:rFonts w:hint="eastAsia"/>
                <w:color w:val="auto"/>
                <w:sz w:val="21"/>
                <w:szCs w:val="21"/>
                <w:highlight w:val="none"/>
                <w:lang w:val="en-US" w:eastAsia="zh-CN"/>
              </w:rPr>
              <w:t>2</w:t>
            </w:r>
            <w:r>
              <w:rPr>
                <w:rFonts w:hint="eastAsia"/>
                <w:color w:val="auto"/>
                <w:sz w:val="21"/>
                <w:szCs w:val="21"/>
                <w:highlight w:val="none"/>
              </w:rPr>
              <w:t>分；良得</w:t>
            </w:r>
            <w:r>
              <w:rPr>
                <w:rFonts w:hint="eastAsia"/>
                <w:color w:val="auto"/>
                <w:sz w:val="21"/>
                <w:szCs w:val="21"/>
                <w:highlight w:val="none"/>
                <w:lang w:val="en-US" w:eastAsia="zh-CN"/>
              </w:rPr>
              <w:t>1</w:t>
            </w:r>
            <w:r>
              <w:rPr>
                <w:rFonts w:hint="eastAsia"/>
                <w:color w:val="auto"/>
                <w:sz w:val="21"/>
                <w:szCs w:val="21"/>
                <w:highlight w:val="none"/>
              </w:rPr>
              <w:t>分；一般得</w:t>
            </w:r>
            <w:r>
              <w:rPr>
                <w:rFonts w:hint="eastAsia"/>
                <w:color w:val="auto"/>
                <w:sz w:val="21"/>
                <w:szCs w:val="21"/>
                <w:highlight w:val="none"/>
                <w:lang w:val="en-US" w:eastAsia="zh-CN"/>
              </w:rPr>
              <w:t>0.5</w:t>
            </w:r>
            <w:r>
              <w:rPr>
                <w:rFonts w:hint="eastAsia"/>
                <w:color w:val="auto"/>
                <w:sz w:val="21"/>
                <w:szCs w:val="21"/>
                <w:highlight w:val="none"/>
              </w:rPr>
              <w:t>分</w:t>
            </w:r>
            <w:r>
              <w:rPr>
                <w:color w:val="auto"/>
                <w:sz w:val="21"/>
                <w:szCs w:val="21"/>
                <w:highlight w:val="none"/>
              </w:rPr>
              <w:t>；</w:t>
            </w:r>
            <w:r>
              <w:rPr>
                <w:rFonts w:hint="eastAsia"/>
                <w:color w:val="auto"/>
                <w:sz w:val="21"/>
                <w:szCs w:val="21"/>
                <w:highlight w:val="none"/>
              </w:rPr>
              <w:t>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960" w:type="dxa"/>
            <w:gridSpan w:val="2"/>
            <w:vMerge w:val="continue"/>
            <w:tcBorders>
              <w:right w:val="single" w:color="auto" w:sz="4" w:space="0"/>
            </w:tcBorders>
          </w:tcPr>
          <w:p>
            <w:pPr>
              <w:rPr>
                <w:color w:val="auto"/>
                <w:highlight w:val="none"/>
              </w:rPr>
            </w:pPr>
          </w:p>
        </w:tc>
        <w:tc>
          <w:tcPr>
            <w:tcW w:w="1142" w:type="dxa"/>
            <w:vMerge w:val="continue"/>
            <w:tcBorders>
              <w:right w:val="single" w:color="auto" w:sz="4" w:space="0"/>
            </w:tcBorders>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contextualSpacing/>
              <w:jc w:val="center"/>
              <w:rPr>
                <w:color w:val="auto"/>
                <w:sz w:val="21"/>
                <w:szCs w:val="21"/>
                <w:highlight w:val="none"/>
                <w:lang w:val="en-US"/>
              </w:rPr>
            </w:pPr>
            <w:r>
              <w:rPr>
                <w:rFonts w:hint="eastAsia"/>
                <w:color w:val="auto"/>
                <w:sz w:val="21"/>
                <w:szCs w:val="21"/>
                <w:highlight w:val="none"/>
                <w:lang w:val="en-US"/>
              </w:rPr>
              <w:t>监理工程程序</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lang w:val="en-US"/>
              </w:rPr>
              <w:t>分</w:t>
            </w:r>
            <w:r>
              <w:rPr>
                <w:rFonts w:hint="eastAsia"/>
                <w:color w:val="auto"/>
                <w:sz w:val="21"/>
                <w:szCs w:val="21"/>
                <w:highlight w:val="none"/>
              </w:rPr>
              <w:t>）</w:t>
            </w:r>
          </w:p>
        </w:tc>
        <w:tc>
          <w:tcPr>
            <w:tcW w:w="5103" w:type="dxa"/>
            <w:tcBorders>
              <w:top w:val="single" w:color="auto" w:sz="4" w:space="0"/>
              <w:left w:val="single" w:color="auto" w:sz="4" w:space="0"/>
              <w:bottom w:val="single" w:color="auto" w:sz="4" w:space="0"/>
            </w:tcBorders>
            <w:vAlign w:val="center"/>
          </w:tcPr>
          <w:p>
            <w:pPr>
              <w:snapToGrid w:val="0"/>
              <w:spacing w:line="300" w:lineRule="exact"/>
              <w:rPr>
                <w:color w:val="auto"/>
                <w:sz w:val="21"/>
                <w:szCs w:val="21"/>
                <w:highlight w:val="none"/>
              </w:rPr>
            </w:pPr>
            <w:r>
              <w:rPr>
                <w:rFonts w:hint="eastAsia"/>
                <w:color w:val="auto"/>
                <w:sz w:val="21"/>
                <w:szCs w:val="21"/>
                <w:highlight w:val="none"/>
              </w:rPr>
              <w:t>有清晰的工作流程图，工作准则，优得</w:t>
            </w:r>
            <w:r>
              <w:rPr>
                <w:rFonts w:hint="eastAsia"/>
                <w:color w:val="auto"/>
                <w:sz w:val="21"/>
                <w:szCs w:val="21"/>
                <w:highlight w:val="none"/>
                <w:lang w:val="en-US" w:eastAsia="zh-CN"/>
              </w:rPr>
              <w:t>2</w:t>
            </w:r>
            <w:r>
              <w:rPr>
                <w:rFonts w:hint="eastAsia"/>
                <w:color w:val="auto"/>
                <w:sz w:val="21"/>
                <w:szCs w:val="21"/>
                <w:highlight w:val="none"/>
              </w:rPr>
              <w:t>分；良得</w:t>
            </w:r>
            <w:r>
              <w:rPr>
                <w:rFonts w:hint="eastAsia"/>
                <w:color w:val="auto"/>
                <w:sz w:val="21"/>
                <w:szCs w:val="21"/>
                <w:highlight w:val="none"/>
                <w:lang w:val="en-US" w:eastAsia="zh-CN"/>
              </w:rPr>
              <w:t>1</w:t>
            </w:r>
            <w:r>
              <w:rPr>
                <w:rFonts w:hint="eastAsia"/>
                <w:color w:val="auto"/>
                <w:sz w:val="21"/>
                <w:szCs w:val="21"/>
                <w:highlight w:val="none"/>
              </w:rPr>
              <w:t>分；一般得</w:t>
            </w:r>
            <w:r>
              <w:rPr>
                <w:rFonts w:hint="eastAsia"/>
                <w:color w:val="auto"/>
                <w:sz w:val="21"/>
                <w:szCs w:val="21"/>
                <w:highlight w:val="none"/>
                <w:lang w:val="en-US" w:eastAsia="zh-CN"/>
              </w:rPr>
              <w:t>0.5</w:t>
            </w:r>
            <w:r>
              <w:rPr>
                <w:rFonts w:hint="eastAsia"/>
                <w:color w:val="auto"/>
                <w:sz w:val="21"/>
                <w:szCs w:val="21"/>
                <w:highlight w:val="none"/>
              </w:rPr>
              <w:t>分；差或无措施不得分。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960" w:type="dxa"/>
            <w:gridSpan w:val="2"/>
            <w:vMerge w:val="continue"/>
            <w:tcBorders>
              <w:right w:val="single" w:color="auto" w:sz="4" w:space="0"/>
            </w:tcBorders>
          </w:tcPr>
          <w:p>
            <w:pPr>
              <w:rPr>
                <w:color w:val="auto"/>
                <w:highlight w:val="none"/>
              </w:rPr>
            </w:pPr>
          </w:p>
        </w:tc>
        <w:tc>
          <w:tcPr>
            <w:tcW w:w="1142" w:type="dxa"/>
            <w:vMerge w:val="continue"/>
            <w:tcBorders>
              <w:right w:val="single" w:color="auto" w:sz="4" w:space="0"/>
            </w:tcBorders>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contextualSpacing/>
              <w:jc w:val="center"/>
              <w:rPr>
                <w:color w:val="auto"/>
                <w:sz w:val="21"/>
                <w:szCs w:val="21"/>
                <w:highlight w:val="none"/>
              </w:rPr>
            </w:pPr>
            <w:r>
              <w:rPr>
                <w:rFonts w:hint="eastAsia"/>
                <w:color w:val="auto"/>
                <w:sz w:val="21"/>
                <w:szCs w:val="21"/>
                <w:highlight w:val="none"/>
              </w:rPr>
              <w:t>监理重点难点监控措施</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lang w:val="en-US"/>
              </w:rPr>
              <w:t>分</w:t>
            </w:r>
            <w:r>
              <w:rPr>
                <w:rFonts w:hint="eastAsia"/>
                <w:color w:val="auto"/>
                <w:sz w:val="21"/>
                <w:szCs w:val="21"/>
                <w:highlight w:val="none"/>
              </w:rPr>
              <w:t>）</w:t>
            </w:r>
          </w:p>
        </w:tc>
        <w:tc>
          <w:tcPr>
            <w:tcW w:w="5103" w:type="dxa"/>
            <w:tcBorders>
              <w:top w:val="single" w:color="auto" w:sz="4" w:space="0"/>
              <w:left w:val="single" w:color="auto" w:sz="4" w:space="0"/>
              <w:bottom w:val="single" w:color="auto" w:sz="4" w:space="0"/>
            </w:tcBorders>
            <w:vAlign w:val="center"/>
          </w:tcPr>
          <w:p>
            <w:pPr>
              <w:snapToGrid w:val="0"/>
              <w:spacing w:line="300" w:lineRule="exact"/>
              <w:rPr>
                <w:color w:val="auto"/>
                <w:sz w:val="21"/>
                <w:szCs w:val="21"/>
                <w:highlight w:val="none"/>
              </w:rPr>
            </w:pPr>
            <w:r>
              <w:rPr>
                <w:rFonts w:hint="eastAsia"/>
                <w:color w:val="auto"/>
                <w:sz w:val="21"/>
                <w:szCs w:val="21"/>
                <w:highlight w:val="none"/>
              </w:rPr>
              <w:t>要求针对性强、措施具体、可操作。优得</w:t>
            </w:r>
            <w:r>
              <w:rPr>
                <w:rFonts w:hint="eastAsia"/>
                <w:color w:val="auto"/>
                <w:sz w:val="21"/>
                <w:szCs w:val="21"/>
                <w:highlight w:val="none"/>
                <w:lang w:val="en-US" w:eastAsia="zh-CN"/>
              </w:rPr>
              <w:t>3</w:t>
            </w:r>
            <w:r>
              <w:rPr>
                <w:rFonts w:hint="eastAsia"/>
                <w:color w:val="auto"/>
                <w:sz w:val="21"/>
                <w:szCs w:val="21"/>
                <w:highlight w:val="none"/>
              </w:rPr>
              <w:t>分；良得</w:t>
            </w:r>
            <w:r>
              <w:rPr>
                <w:rFonts w:hint="eastAsia"/>
                <w:color w:val="auto"/>
                <w:sz w:val="21"/>
                <w:szCs w:val="21"/>
                <w:highlight w:val="none"/>
                <w:lang w:val="en-US" w:eastAsia="zh-CN"/>
              </w:rPr>
              <w:t>2</w:t>
            </w:r>
            <w:r>
              <w:rPr>
                <w:rFonts w:hint="eastAsia"/>
                <w:color w:val="auto"/>
                <w:sz w:val="21"/>
                <w:szCs w:val="21"/>
                <w:highlight w:val="none"/>
              </w:rPr>
              <w:t>分；一般得</w:t>
            </w:r>
            <w:r>
              <w:rPr>
                <w:rFonts w:hint="eastAsia"/>
                <w:color w:val="auto"/>
                <w:sz w:val="21"/>
                <w:szCs w:val="21"/>
                <w:highlight w:val="none"/>
                <w:lang w:val="en-US" w:eastAsia="zh-CN"/>
              </w:rPr>
              <w:t>1</w:t>
            </w:r>
            <w:r>
              <w:rPr>
                <w:rFonts w:hint="eastAsia"/>
                <w:color w:val="auto"/>
                <w:sz w:val="21"/>
                <w:szCs w:val="21"/>
                <w:highlight w:val="none"/>
              </w:rPr>
              <w:t>分；差或无措施不得分。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960" w:type="dxa"/>
            <w:gridSpan w:val="2"/>
            <w:vMerge w:val="continue"/>
            <w:tcBorders>
              <w:bottom w:val="single" w:color="auto" w:sz="4" w:space="0"/>
              <w:right w:val="single" w:color="auto" w:sz="4" w:space="0"/>
            </w:tcBorders>
          </w:tcPr>
          <w:p>
            <w:pPr>
              <w:rPr>
                <w:color w:val="auto"/>
                <w:highlight w:val="none"/>
              </w:rPr>
            </w:pPr>
          </w:p>
        </w:tc>
        <w:tc>
          <w:tcPr>
            <w:tcW w:w="1142" w:type="dxa"/>
            <w:vMerge w:val="continue"/>
            <w:tcBorders>
              <w:bottom w:val="single" w:color="auto" w:sz="4" w:space="0"/>
              <w:right w:val="single" w:color="auto" w:sz="4" w:space="0"/>
            </w:tcBorders>
          </w:tcPr>
          <w:p>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contextualSpacing/>
              <w:jc w:val="center"/>
              <w:rPr>
                <w:color w:val="auto"/>
                <w:sz w:val="21"/>
                <w:szCs w:val="21"/>
                <w:highlight w:val="none"/>
              </w:rPr>
            </w:pPr>
            <w:r>
              <w:rPr>
                <w:rFonts w:hint="eastAsia"/>
                <w:color w:val="auto"/>
                <w:sz w:val="21"/>
                <w:szCs w:val="21"/>
                <w:highlight w:val="none"/>
                <w:lang w:val="en-US"/>
              </w:rPr>
              <w:t>全过程造价咨询</w:t>
            </w:r>
            <w:r>
              <w:rPr>
                <w:rFonts w:hint="eastAsia"/>
                <w:color w:val="auto"/>
                <w:sz w:val="21"/>
                <w:szCs w:val="21"/>
                <w:highlight w:val="none"/>
              </w:rPr>
              <w:t>方案</w:t>
            </w:r>
          </w:p>
          <w:p>
            <w:pPr>
              <w:adjustRightInd w:val="0"/>
              <w:snapToGrid w:val="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10</w:t>
            </w:r>
            <w:r>
              <w:rPr>
                <w:rFonts w:hint="eastAsia"/>
                <w:color w:val="auto"/>
                <w:sz w:val="21"/>
                <w:szCs w:val="21"/>
                <w:highlight w:val="none"/>
                <w:lang w:val="en-US"/>
              </w:rPr>
              <w:t>分</w:t>
            </w:r>
            <w:r>
              <w:rPr>
                <w:rFonts w:hint="eastAsia"/>
                <w:color w:val="auto"/>
                <w:sz w:val="21"/>
                <w:szCs w:val="21"/>
                <w:highlight w:val="none"/>
              </w:rPr>
              <w:t>）</w:t>
            </w:r>
          </w:p>
        </w:tc>
        <w:tc>
          <w:tcPr>
            <w:tcW w:w="5103" w:type="dxa"/>
            <w:tcBorders>
              <w:top w:val="single" w:color="auto" w:sz="4" w:space="0"/>
              <w:left w:val="single" w:color="auto" w:sz="4" w:space="0"/>
              <w:bottom w:val="single" w:color="auto" w:sz="4" w:space="0"/>
            </w:tcBorders>
            <w:vAlign w:val="center"/>
          </w:tcPr>
          <w:p>
            <w:pPr>
              <w:snapToGrid w:val="0"/>
              <w:spacing w:line="300" w:lineRule="exact"/>
              <w:rPr>
                <w:color w:val="auto"/>
                <w:sz w:val="21"/>
                <w:szCs w:val="21"/>
                <w:highlight w:val="none"/>
              </w:rPr>
            </w:pPr>
            <w:r>
              <w:rPr>
                <w:rFonts w:hint="eastAsia"/>
                <w:color w:val="auto"/>
                <w:sz w:val="21"/>
                <w:szCs w:val="21"/>
                <w:highlight w:val="none"/>
              </w:rPr>
              <w:t>对方案的合理性、可行性进行评分，要求目标明确、协调思路清晰、协调措施针对性强。优得</w:t>
            </w:r>
            <w:r>
              <w:rPr>
                <w:rFonts w:hint="eastAsia"/>
                <w:color w:val="auto"/>
                <w:sz w:val="21"/>
                <w:szCs w:val="21"/>
                <w:highlight w:val="none"/>
                <w:lang w:val="en-US" w:eastAsia="zh-CN"/>
              </w:rPr>
              <w:t>7-10</w:t>
            </w:r>
            <w:r>
              <w:rPr>
                <w:rFonts w:hint="eastAsia"/>
                <w:color w:val="auto"/>
                <w:sz w:val="21"/>
                <w:szCs w:val="21"/>
                <w:highlight w:val="none"/>
              </w:rPr>
              <w:t>分；良得</w:t>
            </w:r>
            <w:r>
              <w:rPr>
                <w:rFonts w:hint="eastAsia"/>
                <w:color w:val="auto"/>
                <w:sz w:val="21"/>
                <w:szCs w:val="21"/>
                <w:highlight w:val="none"/>
                <w:lang w:val="en-US" w:eastAsia="zh-CN"/>
              </w:rPr>
              <w:t>4-6</w:t>
            </w:r>
            <w:r>
              <w:rPr>
                <w:rFonts w:hint="eastAsia"/>
                <w:color w:val="auto"/>
                <w:sz w:val="21"/>
                <w:szCs w:val="21"/>
                <w:highlight w:val="none"/>
              </w:rPr>
              <w:t>分；一般得</w:t>
            </w:r>
            <w:r>
              <w:rPr>
                <w:rFonts w:hint="eastAsia"/>
                <w:color w:val="auto"/>
                <w:sz w:val="21"/>
                <w:szCs w:val="21"/>
                <w:highlight w:val="none"/>
                <w:lang w:val="en-US" w:eastAsia="zh-CN"/>
              </w:rPr>
              <w:t>1-3</w:t>
            </w:r>
            <w:r>
              <w:rPr>
                <w:rFonts w:hint="eastAsia"/>
                <w:color w:val="auto"/>
                <w:sz w:val="21"/>
                <w:szCs w:val="21"/>
                <w:highlight w:val="none"/>
              </w:rPr>
              <w:t>分；差或无措施不得分。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70" w:hRule="atLeast"/>
          <w:jc w:val="center"/>
        </w:trPr>
        <w:tc>
          <w:tcPr>
            <w:tcW w:w="960" w:type="dxa"/>
            <w:gridSpan w:val="2"/>
            <w:tcBorders>
              <w:top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2.2.4</w:t>
            </w: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w:t>
            </w:r>
          </w:p>
        </w:tc>
        <w:tc>
          <w:tcPr>
            <w:tcW w:w="3648" w:type="dxa"/>
            <w:gridSpan w:val="2"/>
            <w:tcBorders>
              <w:top w:val="single" w:color="auto" w:sz="4" w:space="0"/>
              <w:bottom w:val="single" w:color="auto" w:sz="4" w:space="0"/>
              <w:right w:val="single" w:color="auto" w:sz="4" w:space="0"/>
            </w:tcBorders>
            <w:vAlign w:val="center"/>
          </w:tcPr>
          <w:p>
            <w:pPr>
              <w:snapToGrid w:val="0"/>
              <w:jc w:val="center"/>
              <w:rPr>
                <w:color w:val="auto"/>
                <w:sz w:val="21"/>
                <w:szCs w:val="21"/>
                <w:highlight w:val="none"/>
              </w:rPr>
            </w:pPr>
            <w:r>
              <w:rPr>
                <w:rFonts w:hint="eastAsia"/>
                <w:color w:val="auto"/>
                <w:sz w:val="21"/>
                <w:szCs w:val="21"/>
                <w:highlight w:val="none"/>
              </w:rPr>
              <w:t>投标报价评分标准</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0</w:t>
            </w:r>
            <w:r>
              <w:rPr>
                <w:rFonts w:hint="eastAsia"/>
                <w:color w:val="auto"/>
                <w:sz w:val="21"/>
                <w:szCs w:val="21"/>
                <w:highlight w:val="none"/>
              </w:rPr>
              <w:t>分</w:t>
            </w:r>
            <w:r>
              <w:rPr>
                <w:color w:val="auto"/>
                <w:sz w:val="21"/>
                <w:szCs w:val="21"/>
                <w:highlight w:val="none"/>
              </w:rPr>
              <w:t>)</w:t>
            </w:r>
          </w:p>
        </w:tc>
        <w:tc>
          <w:tcPr>
            <w:tcW w:w="5103" w:type="dxa"/>
            <w:tcBorders>
              <w:top w:val="single" w:color="auto" w:sz="4" w:space="0"/>
              <w:left w:val="single" w:color="auto" w:sz="4" w:space="0"/>
              <w:bottom w:val="single" w:color="auto" w:sz="4" w:space="0"/>
            </w:tcBorders>
          </w:tcPr>
          <w:p>
            <w:pPr>
              <w:snapToGrid w:val="0"/>
              <w:spacing w:line="300" w:lineRule="exact"/>
              <w:rPr>
                <w:color w:val="auto"/>
                <w:sz w:val="21"/>
                <w:szCs w:val="21"/>
                <w:highlight w:val="none"/>
                <w:lang w:val="en-US"/>
              </w:rPr>
            </w:pPr>
            <w:r>
              <w:rPr>
                <w:rFonts w:hint="eastAsia"/>
                <w:color w:val="auto"/>
                <w:sz w:val="21"/>
                <w:szCs w:val="21"/>
                <w:highlight w:val="none"/>
              </w:rPr>
              <w:t>监理报价以竞争性报价形式的，监理报价得分以评标基准价作为计算各有效投标报价得分的基础，当有效投标报价等于评标基准价时得</w:t>
            </w:r>
            <w:r>
              <w:rPr>
                <w:color w:val="auto"/>
                <w:sz w:val="21"/>
                <w:szCs w:val="21"/>
                <w:highlight w:val="none"/>
              </w:rPr>
              <w:t>20</w:t>
            </w:r>
            <w:r>
              <w:rPr>
                <w:rFonts w:hint="eastAsia"/>
                <w:color w:val="auto"/>
                <w:sz w:val="21"/>
                <w:szCs w:val="21"/>
                <w:highlight w:val="none"/>
              </w:rPr>
              <w:t>分；投标有效投价与评标基准价相比，每上偏</w:t>
            </w:r>
            <w:r>
              <w:rPr>
                <w:color w:val="auto"/>
                <w:sz w:val="21"/>
                <w:szCs w:val="21"/>
                <w:highlight w:val="none"/>
              </w:rPr>
              <w:t>1%</w:t>
            </w:r>
            <w:r>
              <w:rPr>
                <w:rFonts w:hint="eastAsia"/>
                <w:color w:val="auto"/>
                <w:sz w:val="21"/>
                <w:szCs w:val="21"/>
                <w:highlight w:val="none"/>
              </w:rPr>
              <w:t>扣</w:t>
            </w:r>
            <w:r>
              <w:rPr>
                <w:rFonts w:hint="eastAsia"/>
                <w:color w:val="auto"/>
                <w:sz w:val="21"/>
                <w:szCs w:val="21"/>
                <w:highlight w:val="none"/>
                <w:lang w:val="en-US" w:eastAsia="zh-CN"/>
              </w:rPr>
              <w:t>1</w:t>
            </w:r>
            <w:r>
              <w:rPr>
                <w:rFonts w:hint="eastAsia"/>
                <w:color w:val="auto"/>
                <w:sz w:val="21"/>
                <w:szCs w:val="21"/>
                <w:highlight w:val="none"/>
              </w:rPr>
              <w:t>.</w:t>
            </w:r>
            <w:r>
              <w:rPr>
                <w:rFonts w:hint="eastAsia"/>
                <w:color w:val="auto"/>
                <w:sz w:val="21"/>
                <w:szCs w:val="21"/>
                <w:highlight w:val="none"/>
                <w:lang w:val="en-US" w:eastAsia="zh-CN"/>
              </w:rPr>
              <w:t>0</w:t>
            </w:r>
            <w:r>
              <w:rPr>
                <w:rFonts w:hint="eastAsia"/>
                <w:color w:val="auto"/>
                <w:sz w:val="21"/>
                <w:szCs w:val="21"/>
                <w:highlight w:val="none"/>
              </w:rPr>
              <w:t>分，每下偏</w:t>
            </w:r>
            <w:r>
              <w:rPr>
                <w:color w:val="auto"/>
                <w:sz w:val="21"/>
                <w:szCs w:val="21"/>
                <w:highlight w:val="none"/>
              </w:rPr>
              <w:t>1%</w:t>
            </w:r>
            <w:r>
              <w:rPr>
                <w:rFonts w:hint="eastAsia"/>
                <w:color w:val="auto"/>
                <w:sz w:val="21"/>
                <w:szCs w:val="21"/>
                <w:highlight w:val="none"/>
              </w:rPr>
              <w:t>扣</w:t>
            </w:r>
            <w:r>
              <w:rPr>
                <w:color w:val="auto"/>
                <w:sz w:val="21"/>
                <w:szCs w:val="21"/>
                <w:highlight w:val="none"/>
              </w:rPr>
              <w:t>0.</w:t>
            </w:r>
            <w:r>
              <w:rPr>
                <w:rFonts w:hint="eastAsia"/>
                <w:color w:val="auto"/>
                <w:sz w:val="21"/>
                <w:szCs w:val="21"/>
                <w:highlight w:val="none"/>
                <w:lang w:val="en-US" w:eastAsia="zh-CN"/>
              </w:rPr>
              <w:t>5</w:t>
            </w:r>
            <w:r>
              <w:rPr>
                <w:rFonts w:hint="eastAsia"/>
                <w:color w:val="auto"/>
                <w:sz w:val="21"/>
                <w:szCs w:val="21"/>
                <w:highlight w:val="none"/>
              </w:rPr>
              <w:t>分。最多扣</w:t>
            </w:r>
            <w:r>
              <w:rPr>
                <w:color w:val="auto"/>
                <w:sz w:val="21"/>
                <w:szCs w:val="21"/>
                <w:highlight w:val="none"/>
              </w:rPr>
              <w:t>20</w:t>
            </w:r>
            <w:r>
              <w:rPr>
                <w:rFonts w:hint="eastAsia"/>
                <w:color w:val="auto"/>
                <w:sz w:val="21"/>
                <w:szCs w:val="21"/>
                <w:highlight w:val="none"/>
              </w:rPr>
              <w:t>分。</w:t>
            </w:r>
          </w:p>
        </w:tc>
      </w:tr>
    </w:tbl>
    <w:p>
      <w:pPr>
        <w:autoSpaceDE/>
        <w:autoSpaceDN/>
        <w:jc w:val="both"/>
        <w:rPr>
          <w:rFonts w:cs="Times New Roman"/>
          <w:color w:val="auto"/>
          <w:kern w:val="2"/>
          <w:sz w:val="21"/>
          <w:szCs w:val="21"/>
          <w:highlight w:val="none"/>
          <w:lang w:val="en-US" w:bidi="ar-SA"/>
        </w:rPr>
      </w:pPr>
      <w:bookmarkStart w:id="35" w:name="_Toc515205256"/>
      <w:bookmarkStart w:id="36" w:name="_Toc529196583"/>
      <w:r>
        <w:rPr>
          <w:rFonts w:hint="eastAsia" w:cs="Times New Roman"/>
          <w:color w:val="auto"/>
          <w:kern w:val="2"/>
          <w:sz w:val="21"/>
          <w:szCs w:val="21"/>
          <w:highlight w:val="none"/>
          <w:lang w:val="en-US" w:bidi="ar-SA"/>
        </w:rPr>
        <w:t>说明：</w:t>
      </w:r>
    </w:p>
    <w:bookmarkEnd w:id="35"/>
    <w:bookmarkEnd w:id="36"/>
    <w:p>
      <w:pPr>
        <w:pStyle w:val="5"/>
        <w:tabs>
          <w:tab w:val="left" w:pos="5610"/>
        </w:tabs>
        <w:spacing w:line="440" w:lineRule="exact"/>
        <w:ind w:left="0" w:firstLine="420" w:firstLineChars="200"/>
        <w:rPr>
          <w:rFonts w:hint="eastAsia" w:ascii="宋体" w:hAnsi="宋体" w:cs="宋体"/>
          <w:color w:val="auto"/>
          <w:highlight w:val="none"/>
        </w:rPr>
      </w:pPr>
      <w:r>
        <w:rPr>
          <w:rFonts w:hint="eastAsia" w:cs="宋体"/>
          <w:color w:val="auto"/>
          <w:highlight w:val="none"/>
          <w:lang w:eastAsia="zh-CN"/>
        </w:rPr>
        <w:t>（</w:t>
      </w:r>
      <w:r>
        <w:rPr>
          <w:rFonts w:hint="eastAsia" w:cs="宋体"/>
          <w:color w:val="auto"/>
          <w:highlight w:val="none"/>
          <w:lang w:val="en-US" w:eastAsia="zh-CN"/>
        </w:rPr>
        <w:t>1</w:t>
      </w:r>
      <w:r>
        <w:rPr>
          <w:rFonts w:hint="eastAsia" w:cs="宋体"/>
          <w:color w:val="auto"/>
          <w:highlight w:val="none"/>
          <w:lang w:eastAsia="zh-CN"/>
        </w:rPr>
        <w:t>）</w:t>
      </w:r>
      <w:r>
        <w:rPr>
          <w:rFonts w:hint="eastAsia"/>
          <w:color w:val="auto"/>
          <w:sz w:val="21"/>
          <w:szCs w:val="21"/>
          <w:highlight w:val="none"/>
        </w:rPr>
        <w:t>类似业绩</w:t>
      </w:r>
      <w:r>
        <w:rPr>
          <w:color w:val="auto"/>
          <w:sz w:val="21"/>
          <w:szCs w:val="21"/>
          <w:highlight w:val="none"/>
        </w:rPr>
        <w:t>：</w:t>
      </w:r>
      <w:r>
        <w:rPr>
          <w:rFonts w:hint="eastAsia" w:ascii="宋体" w:hAnsi="宋体" w:cs="宋体"/>
          <w:color w:val="auto"/>
          <w:highlight w:val="none"/>
        </w:rPr>
        <w:t>监理类似工程是指招标公告第3条投标人资格要求第3.1.1点所述的资质方能承接的市政公用工程，</w:t>
      </w:r>
      <w:r>
        <w:rPr>
          <w:rFonts w:hint="eastAsia" w:ascii="宋体" w:hAnsi="宋体" w:eastAsia="宋体" w:cs="宋体"/>
          <w:b/>
          <w:bCs/>
          <w:color w:val="auto"/>
          <w:sz w:val="22"/>
          <w:szCs w:val="22"/>
          <w:highlight w:val="none"/>
        </w:rPr>
        <w:t>金额以中标通知书为准，中标通知书上没有金额或免招标的，以监理合同（不含补充合同）为准。</w:t>
      </w:r>
      <w:r>
        <w:rPr>
          <w:rFonts w:hint="eastAsia" w:ascii="宋体" w:hAnsi="宋体" w:cs="宋体"/>
          <w:color w:val="auto"/>
          <w:highlight w:val="none"/>
        </w:rPr>
        <w:t>需同时提供①中标通知书或免招标的相关证明、②监理服务合同</w:t>
      </w:r>
      <w:r>
        <w:rPr>
          <w:rFonts w:hint="eastAsia" w:ascii="宋体" w:hAnsi="宋体" w:cs="宋体"/>
          <w:color w:val="auto"/>
          <w:highlight w:val="none"/>
          <w:lang w:val="en-US" w:eastAsia="zh-CN"/>
        </w:rPr>
        <w:t>,</w:t>
      </w:r>
      <w:r>
        <w:rPr>
          <w:rFonts w:hint="eastAsia" w:ascii="宋体" w:hAnsi="宋体" w:cs="宋体"/>
          <w:color w:val="auto"/>
          <w:highlight w:val="none"/>
        </w:rPr>
        <w:t>时间以合同签订时间为准，不提供不得分。</w:t>
      </w:r>
    </w:p>
    <w:p>
      <w:pPr>
        <w:pStyle w:val="5"/>
        <w:spacing w:line="440" w:lineRule="exact"/>
        <w:ind w:left="0" w:firstLine="420" w:firstLineChars="200"/>
        <w:rPr>
          <w:rFonts w:ascii="宋体" w:hAnsi="宋体" w:cs="宋体"/>
          <w:color w:val="auto"/>
          <w:highlight w:val="none"/>
        </w:rPr>
      </w:pPr>
      <w:r>
        <w:rPr>
          <w:rFonts w:hint="eastAsia" w:ascii="宋体" w:hAnsi="宋体" w:cs="宋体"/>
          <w:color w:val="auto"/>
          <w:highlight w:val="none"/>
        </w:rPr>
        <w:t>造价咨询业绩认定证明材料需提供合同扫描件，业绩认定时间以合同签订时间为准，不提供不得分。</w:t>
      </w:r>
    </w:p>
    <w:p>
      <w:pPr>
        <w:spacing w:line="440" w:lineRule="exact"/>
        <w:ind w:left="0" w:firstLine="420" w:firstLineChars="200"/>
        <w:rPr>
          <w:rFonts w:hint="eastAsia" w:ascii="宋体" w:hAnsi="宋体" w:cs="宋体"/>
          <w:color w:val="auto"/>
          <w:highlight w:val="none"/>
        </w:rPr>
      </w:pPr>
      <w:r>
        <w:rPr>
          <w:rFonts w:hint="eastAsia" w:ascii="宋体" w:hAnsi="宋体" w:cs="宋体"/>
          <w:color w:val="auto"/>
          <w:highlight w:val="none"/>
        </w:rPr>
        <w:t>同一项目含监理和造价咨询的按分别满足上述要求各计算一次监理类似业绩和造价咨询业绩。</w:t>
      </w:r>
    </w:p>
    <w:p>
      <w:pPr>
        <w:pStyle w:val="5"/>
        <w:spacing w:line="44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cs="宋体"/>
          <w:color w:val="auto"/>
          <w:highlight w:val="none"/>
          <w:lang w:val="en-US" w:eastAsia="zh-CN"/>
        </w:rPr>
        <w:t>2</w:t>
      </w:r>
      <w:r>
        <w:rPr>
          <w:rFonts w:hint="eastAsia" w:ascii="宋体" w:hAnsi="宋体" w:cs="宋体"/>
          <w:color w:val="auto"/>
          <w:highlight w:val="none"/>
        </w:rPr>
        <w:t>）</w:t>
      </w:r>
      <w:r>
        <w:rPr>
          <w:rFonts w:ascii="宋体" w:hAnsi="宋体" w:cs="宋体"/>
          <w:color w:val="auto"/>
          <w:highlight w:val="none"/>
        </w:rPr>
        <w:t>企业获奖及总监理工程师获奖：</w:t>
      </w:r>
      <w:r>
        <w:rPr>
          <w:rFonts w:hint="eastAsia" w:ascii="宋体" w:hAnsi="宋体" w:cs="宋体"/>
          <w:color w:val="auto"/>
          <w:highlight w:val="none"/>
        </w:rPr>
        <w:t>工程获奖时间以获奖证书颁发时间为准，同一工程按其获得的最高奖项计取，不重复计算。国家级工程质量奖包括中国建设工程鲁班奖、国家优质工程金质奖</w:t>
      </w:r>
      <w:r>
        <w:rPr>
          <w:rFonts w:hint="eastAsia" w:ascii="宋体" w:hAnsi="宋体" w:eastAsia="宋体" w:cs="宋体"/>
          <w:color w:val="auto"/>
          <w:sz w:val="21"/>
          <w:szCs w:val="21"/>
          <w:highlight w:val="none"/>
        </w:rPr>
        <w:t>（金奖）、或国家优质工程</w:t>
      </w:r>
      <w:r>
        <w:rPr>
          <w:rFonts w:hint="eastAsia" w:ascii="宋体" w:hAnsi="宋体" w:eastAsia="宋体" w:cs="宋体"/>
          <w:color w:val="auto"/>
          <w:sz w:val="21"/>
          <w:szCs w:val="21"/>
          <w:highlight w:val="none"/>
          <w:lang w:val="en-US" w:eastAsia="zh-CN"/>
        </w:rPr>
        <w:t>银</w:t>
      </w:r>
      <w:r>
        <w:rPr>
          <w:rFonts w:hint="eastAsia" w:ascii="宋体" w:hAnsi="宋体" w:eastAsia="宋体" w:cs="宋体"/>
          <w:color w:val="auto"/>
          <w:sz w:val="21"/>
          <w:szCs w:val="21"/>
          <w:highlight w:val="none"/>
        </w:rPr>
        <w:t>质奖（</w:t>
      </w:r>
      <w:r>
        <w:rPr>
          <w:rFonts w:hint="eastAsia" w:ascii="宋体" w:hAnsi="宋体" w:eastAsia="宋体" w:cs="宋体"/>
          <w:color w:val="auto"/>
          <w:sz w:val="21"/>
          <w:szCs w:val="21"/>
          <w:highlight w:val="none"/>
          <w:lang w:val="en-US" w:eastAsia="zh-CN"/>
        </w:rPr>
        <w:t>银</w:t>
      </w:r>
      <w:r>
        <w:rPr>
          <w:rFonts w:hint="eastAsia" w:ascii="宋体" w:hAnsi="宋体" w:eastAsia="宋体" w:cs="宋体"/>
          <w:color w:val="auto"/>
          <w:sz w:val="21"/>
          <w:szCs w:val="21"/>
          <w:highlight w:val="none"/>
        </w:rPr>
        <w:t>奖）</w:t>
      </w:r>
      <w:r>
        <w:rPr>
          <w:rFonts w:hint="eastAsia" w:ascii="宋体" w:hAnsi="宋体" w:cs="宋体"/>
          <w:color w:val="auto"/>
          <w:highlight w:val="none"/>
        </w:rPr>
        <w:t>、国家优质工程奖、中国土木工程詹天佑奖</w:t>
      </w:r>
      <w:r>
        <w:rPr>
          <w:rFonts w:ascii="宋体" w:hAnsi="宋体" w:cs="宋体"/>
          <w:color w:val="auto"/>
          <w:highlight w:val="none"/>
        </w:rPr>
        <w:t>、市政工程最高质量水平评价</w:t>
      </w:r>
      <w:r>
        <w:rPr>
          <w:rFonts w:hint="eastAsia" w:ascii="宋体" w:hAnsi="宋体" w:cs="宋体"/>
          <w:color w:val="auto"/>
          <w:highlight w:val="none"/>
        </w:rPr>
        <w:t>。省级</w:t>
      </w:r>
      <w:r>
        <w:rPr>
          <w:rFonts w:hint="eastAsia" w:ascii="宋体" w:hAnsi="宋体" w:cs="宋体"/>
          <w:color w:val="auto"/>
          <w:szCs w:val="21"/>
          <w:highlight w:val="none"/>
        </w:rPr>
        <w:t>（含副省级）</w:t>
      </w:r>
      <w:r>
        <w:rPr>
          <w:rFonts w:hint="eastAsia" w:ascii="宋体" w:hAnsi="宋体" w:cs="宋体"/>
          <w:color w:val="auto"/>
          <w:highlight w:val="none"/>
        </w:rPr>
        <w:t>或市级奖项是指省级</w:t>
      </w:r>
      <w:r>
        <w:rPr>
          <w:rFonts w:hint="eastAsia" w:ascii="宋体" w:hAnsi="宋体" w:cs="宋体"/>
          <w:color w:val="auto"/>
          <w:szCs w:val="21"/>
          <w:highlight w:val="none"/>
        </w:rPr>
        <w:t>（含副省级）</w:t>
      </w:r>
      <w:r>
        <w:rPr>
          <w:rFonts w:hint="eastAsia" w:ascii="宋体" w:hAnsi="宋体" w:cs="宋体"/>
          <w:color w:val="auto"/>
          <w:highlight w:val="none"/>
        </w:rPr>
        <w:t>或市级建设行政主管部门或行业协会颁发（行业协会须在民政部门备案）的工程质量奖。非质量类获奖不予计算。省级</w:t>
      </w:r>
      <w:r>
        <w:rPr>
          <w:rFonts w:hint="eastAsia" w:ascii="宋体" w:hAnsi="宋体" w:cs="宋体"/>
          <w:color w:val="auto"/>
          <w:highlight w:val="none"/>
          <w:lang w:eastAsia="zh-CN"/>
        </w:rPr>
        <w:t>指省级和直辖市，</w:t>
      </w:r>
      <w:r>
        <w:rPr>
          <w:rFonts w:hint="eastAsia" w:ascii="宋体" w:hAnsi="宋体" w:eastAsia="宋体" w:cs="宋体"/>
          <w:color w:val="auto"/>
          <w:sz w:val="21"/>
          <w:szCs w:val="21"/>
          <w:highlight w:val="none"/>
          <w:lang w:val="en-US" w:eastAsia="zh-CN"/>
        </w:rPr>
        <w:t>副省级按省级计算</w:t>
      </w:r>
      <w:r>
        <w:rPr>
          <w:rFonts w:hint="eastAsia" w:ascii="宋体" w:hAnsi="宋体" w:cs="宋体"/>
          <w:color w:val="auto"/>
          <w:highlight w:val="none"/>
          <w:lang w:eastAsia="zh-CN"/>
        </w:rPr>
        <w:t>。</w:t>
      </w:r>
      <w:r>
        <w:rPr>
          <w:rFonts w:hint="eastAsia" w:ascii="宋体" w:hAnsi="宋体" w:cs="宋体"/>
          <w:color w:val="auto"/>
          <w:highlight w:val="none"/>
        </w:rPr>
        <w:t>需提供</w:t>
      </w:r>
      <w:r>
        <w:rPr>
          <w:rFonts w:hint="eastAsia" w:ascii="宋体" w:hAnsi="宋体" w:eastAsia="宋体" w:cs="宋体"/>
          <w:color w:val="auto"/>
          <w:szCs w:val="21"/>
          <w:highlight w:val="none"/>
          <w:shd w:val="clear" w:color="auto" w:fill="FFFFFF"/>
        </w:rPr>
        <w:t>①</w:t>
      </w:r>
      <w:r>
        <w:rPr>
          <w:rFonts w:hint="eastAsia" w:ascii="宋体" w:hAnsi="宋体" w:cs="宋体"/>
          <w:color w:val="auto"/>
          <w:highlight w:val="none"/>
        </w:rPr>
        <w:t>获奖证书扫描件。</w:t>
      </w:r>
      <w:r>
        <w:rPr>
          <w:rFonts w:hint="eastAsia" w:ascii="Times New Roman" w:hAnsi="Times New Roman" w:eastAsia="宋体" w:cs="Times New Roman"/>
          <w:color w:val="auto"/>
          <w:sz w:val="21"/>
          <w:szCs w:val="20"/>
          <w:highlight w:val="none"/>
          <w:lang w:val="en-US" w:eastAsia="zh-CN"/>
        </w:rPr>
        <w:t>若颁发单位是</w:t>
      </w:r>
      <w:r>
        <w:rPr>
          <w:rFonts w:hint="eastAsia" w:cs="Times New Roman"/>
          <w:color w:val="auto"/>
          <w:sz w:val="21"/>
          <w:szCs w:val="20"/>
          <w:highlight w:val="none"/>
          <w:lang w:val="en-US" w:eastAsia="zh-CN"/>
        </w:rPr>
        <w:t>行业协会</w:t>
      </w:r>
      <w:r>
        <w:rPr>
          <w:rFonts w:hint="eastAsia" w:ascii="Times New Roman" w:hAnsi="Times New Roman" w:eastAsia="宋体" w:cs="Times New Roman"/>
          <w:color w:val="auto"/>
          <w:sz w:val="21"/>
          <w:szCs w:val="20"/>
          <w:highlight w:val="none"/>
          <w:lang w:val="en-US" w:eastAsia="zh-CN"/>
        </w:rPr>
        <w:t>，须提交</w:t>
      </w:r>
      <w:r>
        <w:rPr>
          <w:rFonts w:hint="eastAsia" w:ascii="宋体" w:hAnsi="宋体" w:eastAsia="宋体" w:cs="宋体"/>
          <w:color w:val="auto"/>
          <w:szCs w:val="21"/>
          <w:highlight w:val="none"/>
          <w:shd w:val="clear" w:color="auto" w:fill="FFFFFF"/>
        </w:rPr>
        <w:t>②</w:t>
      </w:r>
      <w:r>
        <w:rPr>
          <w:rFonts w:hint="eastAsia" w:ascii="Times New Roman" w:hAnsi="Times New Roman" w:eastAsia="宋体" w:cs="Times New Roman"/>
          <w:color w:val="auto"/>
          <w:sz w:val="21"/>
          <w:szCs w:val="20"/>
          <w:highlight w:val="none"/>
          <w:lang w:val="en-US" w:eastAsia="zh-CN"/>
        </w:rPr>
        <w:t>该颁发单位在“中国社会组织</w:t>
      </w:r>
      <w:r>
        <w:rPr>
          <w:rFonts w:ascii="Times New Roman" w:hAnsi="Times New Roman" w:eastAsia="宋体" w:cs="Times New Roman"/>
          <w:color w:val="auto"/>
          <w:sz w:val="21"/>
          <w:szCs w:val="20"/>
          <w:highlight w:val="none"/>
          <w:lang w:val="en-US" w:eastAsia="zh-CN"/>
        </w:rPr>
        <w:t>政务</w:t>
      </w:r>
      <w:r>
        <w:rPr>
          <w:rFonts w:hint="eastAsia" w:ascii="Times New Roman" w:hAnsi="Times New Roman" w:eastAsia="宋体" w:cs="Times New Roman"/>
          <w:color w:val="auto"/>
          <w:sz w:val="21"/>
          <w:szCs w:val="20"/>
          <w:highlight w:val="none"/>
          <w:lang w:val="en-US" w:eastAsia="zh-CN"/>
        </w:rPr>
        <w:t>服务平台”网站(https://chinanpo.mca.gov.cn)登记的查询结果截图，否则该获奖证书不予认定。</w:t>
      </w:r>
      <w:r>
        <w:rPr>
          <w:rFonts w:hint="eastAsia" w:ascii="宋体" w:hAnsi="宋体" w:cs="宋体"/>
          <w:color w:val="auto"/>
          <w:highlight w:val="none"/>
        </w:rPr>
        <w:t>③</w:t>
      </w:r>
      <w:r>
        <w:rPr>
          <w:rFonts w:ascii="宋体" w:hAnsi="宋体" w:cs="宋体"/>
          <w:color w:val="auto"/>
          <w:highlight w:val="none"/>
        </w:rPr>
        <w:t>总监理工程师获奖的，若获奖证书上无法体现人员名字和岗位，需另提供</w:t>
      </w:r>
      <w:r>
        <w:rPr>
          <w:rFonts w:hint="eastAsia" w:ascii="宋体" w:hAnsi="宋体" w:cs="宋体"/>
          <w:color w:val="auto"/>
          <w:highlight w:val="none"/>
          <w:lang w:val="en-US" w:eastAsia="zh-CN"/>
        </w:rPr>
        <w:t>获奖项目监理合同或</w:t>
      </w:r>
      <w:r>
        <w:rPr>
          <w:rFonts w:hint="eastAsia" w:ascii="宋体" w:hAnsi="宋体" w:cs="宋体"/>
          <w:color w:val="auto"/>
          <w:highlight w:val="none"/>
        </w:rPr>
        <w:t>竣工验收报告或竣工验收证明</w:t>
      </w:r>
      <w:r>
        <w:rPr>
          <w:rFonts w:ascii="宋体" w:hAnsi="宋体" w:cs="宋体"/>
          <w:color w:val="auto"/>
          <w:highlight w:val="none"/>
        </w:rPr>
        <w:t>或建设单位出具的证明文件等可以证明人员名字和岗位的资料。</w:t>
      </w:r>
    </w:p>
    <w:p>
      <w:pPr>
        <w:pStyle w:val="5"/>
        <w:spacing w:line="44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cs="宋体"/>
          <w:color w:val="auto"/>
          <w:highlight w:val="none"/>
          <w:lang w:val="en-US" w:eastAsia="zh-CN"/>
        </w:rPr>
        <w:t>3</w:t>
      </w:r>
      <w:r>
        <w:rPr>
          <w:rFonts w:hint="eastAsia" w:ascii="宋体" w:hAnsi="宋体" w:cs="宋体"/>
          <w:color w:val="auto"/>
          <w:highlight w:val="none"/>
        </w:rPr>
        <w:t>）“管理体系认证”需提供证书原件扫描件，认证证书需在有效期内，不提供或不符合要求不得分。</w:t>
      </w:r>
    </w:p>
    <w:p>
      <w:pPr>
        <w:pStyle w:val="5"/>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cs="宋体"/>
          <w:color w:val="auto"/>
          <w:highlight w:val="none"/>
          <w:lang w:val="en-US" w:eastAsia="zh-CN"/>
        </w:rPr>
        <w:t>4</w:t>
      </w:r>
      <w:r>
        <w:rPr>
          <w:rFonts w:hint="eastAsia" w:ascii="宋体" w:hAnsi="宋体" w:cs="宋体"/>
          <w:color w:val="auto"/>
          <w:highlight w:val="none"/>
        </w:rPr>
        <w:t>）</w:t>
      </w:r>
      <w:r>
        <w:rPr>
          <w:rFonts w:ascii="宋体" w:hAnsi="宋体" w:cs="宋体"/>
          <w:color w:val="auto"/>
          <w:highlight w:val="none"/>
        </w:rPr>
        <w:t>除</w:t>
      </w:r>
      <w:r>
        <w:rPr>
          <w:rFonts w:hint="eastAsia" w:ascii="宋体" w:hAnsi="宋体" w:cs="宋体"/>
          <w:color w:val="auto"/>
          <w:szCs w:val="20"/>
          <w:highlight w:val="none"/>
          <w:lang w:eastAsia="zh-CN"/>
        </w:rPr>
        <w:t>“</w:t>
      </w:r>
      <w:r>
        <w:rPr>
          <w:rFonts w:hint="eastAsia" w:cs="宋体"/>
          <w:color w:val="auto"/>
          <w:sz w:val="21"/>
          <w:szCs w:val="21"/>
          <w:highlight w:val="none"/>
          <w:lang w:val="en-US" w:eastAsia="zh-CN"/>
        </w:rPr>
        <w:t>造价咨询负责人</w:t>
      </w:r>
      <w:r>
        <w:rPr>
          <w:rFonts w:hint="eastAsia" w:ascii="宋体" w:hAnsi="宋体" w:cs="宋体"/>
          <w:color w:val="auto"/>
          <w:szCs w:val="20"/>
          <w:highlight w:val="none"/>
          <w:lang w:eastAsia="zh-CN"/>
        </w:rPr>
        <w:t>”</w:t>
      </w:r>
      <w:r>
        <w:rPr>
          <w:rFonts w:ascii="宋体" w:hAnsi="宋体" w:cs="宋体"/>
          <w:color w:val="auto"/>
          <w:szCs w:val="20"/>
          <w:highlight w:val="none"/>
          <w:lang w:eastAsia="zh-CN"/>
        </w:rPr>
        <w:t>外，其他人员均</w:t>
      </w:r>
      <w:r>
        <w:rPr>
          <w:rFonts w:hint="eastAsia" w:ascii="宋体" w:hAnsi="宋体" w:eastAsia="宋体" w:cs="宋体"/>
          <w:color w:val="auto"/>
          <w:sz w:val="21"/>
          <w:szCs w:val="21"/>
          <w:highlight w:val="none"/>
        </w:rPr>
        <w:t>由负责监理业务的一方提供</w:t>
      </w:r>
      <w:r>
        <w:rPr>
          <w:rFonts w:ascii="宋体" w:hAnsi="宋体" w:eastAsia="宋体" w:cs="宋体"/>
          <w:color w:val="auto"/>
          <w:sz w:val="21"/>
          <w:szCs w:val="21"/>
          <w:highlight w:val="none"/>
        </w:rPr>
        <w:t>。</w:t>
      </w:r>
      <w:r>
        <w:rPr>
          <w:rFonts w:hint="eastAsia" w:ascii="宋体" w:hAnsi="宋体" w:cs="宋体"/>
          <w:color w:val="auto"/>
          <w:highlight w:val="none"/>
        </w:rPr>
        <w:t>投标人拟投入人员须同时提供</w:t>
      </w:r>
      <w:r>
        <w:rPr>
          <w:rFonts w:ascii="宋体" w:hAnsi="宋体" w:cs="宋体"/>
          <w:color w:val="auto"/>
          <w:highlight w:val="none"/>
          <w:lang w:val="en-US" w:eastAsia="zh-CN"/>
        </w:rPr>
        <w:t>职称证</w:t>
      </w:r>
      <w:r>
        <w:rPr>
          <w:rFonts w:hint="eastAsia" w:ascii="宋体" w:hAnsi="宋体" w:cs="宋体"/>
          <w:color w:val="auto"/>
          <w:highlight w:val="none"/>
        </w:rPr>
        <w:t>书等证明材料及在本单位（含分公司、分支机构，不含子公司）离投标截止时间前最近一个月的社保缴纳证明材料（即</w:t>
      </w:r>
      <w:r>
        <w:rPr>
          <w:rFonts w:hint="eastAsia" w:ascii="宋体" w:hAnsi="宋体" w:cs="宋体"/>
          <w:color w:val="auto"/>
          <w:highlight w:val="none"/>
          <w:lang w:val="en-US" w:eastAsia="zh-CN"/>
        </w:rPr>
        <w:t>2024年8月</w:t>
      </w:r>
      <w:r>
        <w:rPr>
          <w:rFonts w:hint="eastAsia" w:ascii="宋体" w:hAnsi="宋体" w:cs="宋体"/>
          <w:color w:val="auto"/>
          <w:highlight w:val="none"/>
        </w:rPr>
        <w:t>），否则不得分。</w:t>
      </w:r>
      <w:r>
        <w:rPr>
          <w:rFonts w:hint="eastAsia" w:ascii="宋体" w:hAnsi="宋体" w:eastAsia="宋体" w:cs="宋体"/>
          <w:b/>
          <w:color w:val="auto"/>
          <w:sz w:val="21"/>
          <w:szCs w:val="21"/>
          <w:highlight w:val="none"/>
        </w:rPr>
        <w:t>人员岗位不能互相兼任，不重复计算得分</w:t>
      </w:r>
      <w:r>
        <w:rPr>
          <w:rFonts w:ascii="宋体" w:hAnsi="宋体" w:eastAsia="宋体" w:cs="宋体"/>
          <w:b/>
          <w:color w:val="auto"/>
          <w:sz w:val="21"/>
          <w:szCs w:val="21"/>
          <w:highlight w:val="none"/>
        </w:rPr>
        <w:t>；</w:t>
      </w:r>
      <w:r>
        <w:rPr>
          <w:color w:val="auto"/>
          <w:highlight w:val="none"/>
        </w:rPr>
        <w:t>职称得分按投入人员的最高职称计算一次</w:t>
      </w:r>
      <w:r>
        <w:rPr>
          <w:rFonts w:hint="eastAsia" w:ascii="宋体" w:hAnsi="宋体" w:eastAsia="宋体" w:cs="宋体"/>
          <w:b/>
          <w:color w:val="auto"/>
          <w:sz w:val="21"/>
          <w:szCs w:val="21"/>
          <w:highlight w:val="none"/>
        </w:rPr>
        <w:t>。</w:t>
      </w:r>
      <w:r>
        <w:rPr>
          <w:rFonts w:hint="eastAsia" w:ascii="宋体" w:hAnsi="宋体" w:cs="宋体"/>
          <w:color w:val="auto"/>
          <w:highlight w:val="none"/>
        </w:rPr>
        <w:t>以上人员还包括在广东省住房和城乡建设主管部门备案且备案的业务范围符合上述注册人员要求的香港专业人士。</w:t>
      </w:r>
    </w:p>
    <w:p>
      <w:pPr>
        <w:spacing w:line="440" w:lineRule="exact"/>
        <w:ind w:firstLine="420" w:firstLineChars="200"/>
        <w:rPr>
          <w:rFonts w:hint="eastAsia" w:ascii="宋体" w:hAnsi="宋体" w:cs="宋体"/>
          <w:color w:val="auto"/>
          <w:szCs w:val="20"/>
          <w:highlight w:val="none"/>
        </w:rPr>
      </w:pPr>
      <w:r>
        <w:rPr>
          <w:rFonts w:hint="eastAsia" w:ascii="宋体" w:hAnsi="宋体" w:cs="宋体"/>
          <w:color w:val="auto"/>
          <w:highlight w:val="none"/>
        </w:rPr>
        <w:t>（</w:t>
      </w:r>
      <w:r>
        <w:rPr>
          <w:rFonts w:cs="宋体"/>
          <w:color w:val="auto"/>
          <w:highlight w:val="none"/>
          <w:lang w:val="en-US" w:eastAsia="zh-CN"/>
        </w:rPr>
        <w:t>5</w:t>
      </w:r>
      <w:r>
        <w:rPr>
          <w:rFonts w:hint="eastAsia" w:ascii="宋体" w:hAnsi="宋体" w:cs="宋体"/>
          <w:color w:val="auto"/>
          <w:highlight w:val="none"/>
        </w:rPr>
        <w:t>）</w:t>
      </w:r>
      <w:r>
        <w:rPr>
          <w:rFonts w:hint="eastAsia" w:ascii="宋体" w:hAnsi="宋体" w:cs="宋体"/>
          <w:color w:val="auto"/>
          <w:szCs w:val="20"/>
          <w:highlight w:val="none"/>
        </w:rPr>
        <w:t>投标人的资信业绩得分、技术服务方案得分</w:t>
      </w:r>
      <w:r>
        <w:rPr>
          <w:rFonts w:ascii="宋体" w:hAnsi="宋体" w:cs="宋体"/>
          <w:color w:val="auto"/>
          <w:szCs w:val="20"/>
          <w:highlight w:val="none"/>
        </w:rPr>
        <w:t>、投标报价</w:t>
      </w:r>
      <w:r>
        <w:rPr>
          <w:rFonts w:hint="eastAsia" w:ascii="宋体" w:hAnsi="宋体" w:cs="宋体"/>
          <w:color w:val="auto"/>
          <w:szCs w:val="20"/>
          <w:highlight w:val="none"/>
        </w:rPr>
        <w:t>为各评委评分去掉一个最高分和一个最低分后的算术平均值（分数出现小数点时，保留小数点后二位，第三位小数四舍五入）。</w:t>
      </w:r>
    </w:p>
    <w:p>
      <w:pPr>
        <w:spacing w:line="440" w:lineRule="exact"/>
        <w:ind w:firstLine="420" w:firstLineChars="200"/>
        <w:rPr>
          <w:rFonts w:ascii="宋体" w:hAnsi="宋体" w:eastAsia="宋体" w:cs="宋体"/>
          <w:color w:val="auto"/>
          <w:highlight w:val="none"/>
          <w:lang w:val="en-US" w:eastAsia="zh-CN"/>
        </w:rPr>
      </w:pPr>
      <w:r>
        <w:rPr>
          <w:rFonts w:hint="eastAsia" w:ascii="宋体" w:hAnsi="宋体" w:cs="宋体"/>
          <w:color w:val="auto"/>
          <w:szCs w:val="20"/>
          <w:highlight w:val="none"/>
          <w:lang w:eastAsia="zh-CN"/>
        </w:rPr>
        <w:t>（</w:t>
      </w:r>
      <w:r>
        <w:rPr>
          <w:rFonts w:cs="宋体"/>
          <w:color w:val="auto"/>
          <w:szCs w:val="20"/>
          <w:highlight w:val="none"/>
          <w:lang w:val="en-US" w:eastAsia="zh-CN"/>
        </w:rPr>
        <w:t>6</w:t>
      </w:r>
      <w:r>
        <w:rPr>
          <w:rFonts w:hint="eastAsia" w:ascii="宋体" w:hAnsi="宋体" w:cs="宋体"/>
          <w:color w:val="auto"/>
          <w:szCs w:val="20"/>
          <w:highlight w:val="none"/>
          <w:lang w:eastAsia="zh-CN"/>
        </w:rPr>
        <w:t>）评分标准</w:t>
      </w:r>
      <w:r>
        <w:rPr>
          <w:rFonts w:hint="eastAsia" w:ascii="宋体" w:hAnsi="宋体" w:cs="宋体"/>
          <w:color w:val="auto"/>
          <w:szCs w:val="20"/>
          <w:highlight w:val="none"/>
          <w:lang w:val="en-US" w:eastAsia="zh-CN"/>
        </w:rPr>
        <w:t>中</w:t>
      </w:r>
      <w:r>
        <w:rPr>
          <w:rFonts w:hint="eastAsia" w:ascii="宋体" w:hAnsi="宋体" w:cs="宋体"/>
          <w:color w:val="auto"/>
          <w:szCs w:val="20"/>
          <w:highlight w:val="none"/>
          <w:lang w:eastAsia="zh-CN"/>
        </w:rPr>
        <w:t>“</w:t>
      </w:r>
      <w:r>
        <w:rPr>
          <w:rFonts w:hint="eastAsia" w:ascii="宋体" w:hAnsi="宋体" w:cs="宋体"/>
          <w:color w:val="auto"/>
          <w:szCs w:val="21"/>
          <w:highlight w:val="none"/>
        </w:rPr>
        <w:t>有效期内</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均指“在投标截止日时在</w:t>
      </w:r>
      <w:r>
        <w:rPr>
          <w:rFonts w:hint="eastAsia" w:ascii="宋体" w:hAnsi="宋体" w:cs="宋体"/>
          <w:color w:val="auto"/>
          <w:szCs w:val="21"/>
          <w:highlight w:val="none"/>
        </w:rPr>
        <w:t>有效期内</w:t>
      </w:r>
      <w:r>
        <w:rPr>
          <w:rFonts w:hint="eastAsia" w:ascii="宋体" w:hAnsi="宋体" w:cs="宋体"/>
          <w:color w:val="auto"/>
          <w:szCs w:val="20"/>
          <w:highlight w:val="none"/>
          <w:lang w:val="en-US" w:eastAsia="zh-CN"/>
        </w:rPr>
        <w:t>”。</w:t>
      </w:r>
    </w:p>
    <w:p>
      <w:pPr>
        <w:widowControl/>
        <w:autoSpaceDE/>
        <w:autoSpaceDN/>
        <w:rPr>
          <w:rFonts w:cs="Times New Roman"/>
          <w:color w:val="auto"/>
          <w:kern w:val="2"/>
          <w:sz w:val="21"/>
          <w:highlight w:val="none"/>
          <w:lang w:val="en-US" w:bidi="ar-SA"/>
        </w:rPr>
      </w:pPr>
      <w:r>
        <w:rPr>
          <w:rFonts w:cs="Times New Roman"/>
          <w:color w:val="auto"/>
          <w:kern w:val="2"/>
          <w:sz w:val="21"/>
          <w:highlight w:val="none"/>
          <w:lang w:val="en-US" w:bidi="ar-SA"/>
        </w:rPr>
        <w:br w:type="page"/>
      </w:r>
    </w:p>
    <w:p>
      <w:pPr>
        <w:spacing w:line="360" w:lineRule="auto"/>
        <w:rPr>
          <w:b/>
          <w:color w:val="auto"/>
          <w:sz w:val="32"/>
          <w:highlight w:val="none"/>
        </w:rPr>
      </w:pPr>
      <w:r>
        <w:rPr>
          <w:rFonts w:hint="eastAsia"/>
          <w:b/>
          <w:color w:val="auto"/>
          <w:sz w:val="32"/>
          <w:highlight w:val="none"/>
        </w:rPr>
        <w:t>1.评标方法</w:t>
      </w:r>
    </w:p>
    <w:p>
      <w:pPr>
        <w:spacing w:line="360" w:lineRule="auto"/>
        <w:ind w:left="80" w:firstLine="420"/>
        <w:rPr>
          <w:color w:val="auto"/>
          <w:sz w:val="21"/>
          <w:szCs w:val="21"/>
          <w:highlight w:val="none"/>
        </w:rPr>
      </w:pPr>
      <w:r>
        <w:rPr>
          <w:rFonts w:hint="eastAsia"/>
          <w:color w:val="auto"/>
          <w:sz w:val="21"/>
          <w:szCs w:val="21"/>
          <w:highlight w:val="none"/>
        </w:rPr>
        <w:t>本次评标采用综合评估法。评标委员会对满足招标文件实质性要求的投标文件，按照本章第 2.2 款规定的评分标准进行打分，并按总得分由高到低顺序推荐中标候选人，或根据招标人授权直接确定中标人，但投标报价低于其成本的除外。综合评分相等时，以投标报价低的优先；投标报价也相等的，以</w:t>
      </w:r>
      <w:r>
        <w:rPr>
          <w:rFonts w:hint="eastAsia"/>
          <w:color w:val="auto"/>
          <w:sz w:val="21"/>
          <w:szCs w:val="21"/>
          <w:highlight w:val="none"/>
          <w:u w:val="single"/>
        </w:rPr>
        <w:t>技术方案得分高</w:t>
      </w:r>
      <w:r>
        <w:rPr>
          <w:rFonts w:hint="eastAsia"/>
          <w:color w:val="auto"/>
          <w:sz w:val="21"/>
          <w:szCs w:val="21"/>
          <w:highlight w:val="none"/>
        </w:rPr>
        <w:t>的优先；如果</w:t>
      </w:r>
      <w:r>
        <w:rPr>
          <w:rFonts w:hint="eastAsia"/>
          <w:color w:val="auto"/>
          <w:sz w:val="21"/>
          <w:szCs w:val="21"/>
          <w:highlight w:val="none"/>
          <w:u w:val="single"/>
        </w:rPr>
        <w:t>技术方案得分</w:t>
      </w:r>
      <w:r>
        <w:rPr>
          <w:rFonts w:hint="eastAsia"/>
          <w:color w:val="auto"/>
          <w:sz w:val="21"/>
          <w:szCs w:val="21"/>
          <w:highlight w:val="none"/>
        </w:rPr>
        <w:t>也相等，</w:t>
      </w:r>
      <w:r>
        <w:rPr>
          <w:rFonts w:hint="eastAsia"/>
          <w:color w:val="auto"/>
          <w:sz w:val="21"/>
          <w:szCs w:val="21"/>
          <w:highlight w:val="none"/>
          <w:u w:val="single"/>
        </w:rPr>
        <w:t>由评标委员会采用记名投票方式，以得票多的优先</w:t>
      </w:r>
      <w:r>
        <w:rPr>
          <w:rFonts w:hint="eastAsia"/>
          <w:color w:val="auto"/>
          <w:sz w:val="21"/>
          <w:szCs w:val="21"/>
          <w:highlight w:val="none"/>
        </w:rPr>
        <w:t>。</w:t>
      </w:r>
    </w:p>
    <w:p>
      <w:pPr>
        <w:spacing w:line="360" w:lineRule="auto"/>
        <w:rPr>
          <w:b/>
          <w:color w:val="auto"/>
          <w:sz w:val="32"/>
          <w:highlight w:val="none"/>
        </w:rPr>
      </w:pPr>
      <w:r>
        <w:rPr>
          <w:rFonts w:hint="eastAsia"/>
          <w:b/>
          <w:color w:val="auto"/>
          <w:sz w:val="32"/>
          <w:highlight w:val="none"/>
        </w:rPr>
        <w:t>2.评审标准</w:t>
      </w:r>
    </w:p>
    <w:p>
      <w:pPr>
        <w:spacing w:line="360" w:lineRule="auto"/>
        <w:ind w:firstLine="210" w:firstLineChars="100"/>
        <w:rPr>
          <w:color w:val="auto"/>
          <w:sz w:val="21"/>
          <w:highlight w:val="none"/>
        </w:rPr>
      </w:pPr>
      <w:r>
        <w:rPr>
          <w:rFonts w:hint="eastAsia"/>
          <w:color w:val="auto"/>
          <w:sz w:val="21"/>
          <w:highlight w:val="none"/>
        </w:rPr>
        <w:t>2.1初步评审标准</w:t>
      </w:r>
    </w:p>
    <w:p>
      <w:pPr>
        <w:spacing w:line="360" w:lineRule="auto"/>
        <w:ind w:firstLine="210" w:firstLineChars="100"/>
        <w:rPr>
          <w:color w:val="auto"/>
          <w:sz w:val="21"/>
          <w:highlight w:val="none"/>
        </w:rPr>
      </w:pPr>
      <w:r>
        <w:rPr>
          <w:rFonts w:hint="eastAsia"/>
          <w:color w:val="auto"/>
          <w:sz w:val="21"/>
          <w:highlight w:val="none"/>
        </w:rPr>
        <w:t>2.1.1形式评审标准：见评标办法前附表。</w:t>
      </w:r>
    </w:p>
    <w:p>
      <w:pPr>
        <w:spacing w:line="360" w:lineRule="auto"/>
        <w:ind w:firstLine="210" w:firstLineChars="100"/>
        <w:rPr>
          <w:color w:val="auto"/>
          <w:sz w:val="21"/>
          <w:highlight w:val="none"/>
        </w:rPr>
      </w:pPr>
      <w:r>
        <w:rPr>
          <w:rFonts w:hint="eastAsia"/>
          <w:color w:val="auto"/>
          <w:sz w:val="21"/>
          <w:highlight w:val="none"/>
        </w:rPr>
        <w:t>2.1.2资格评审标准：见评标办法前附表。</w:t>
      </w:r>
    </w:p>
    <w:p>
      <w:pPr>
        <w:spacing w:line="360" w:lineRule="auto"/>
        <w:ind w:firstLine="210" w:firstLineChars="100"/>
        <w:rPr>
          <w:color w:val="auto"/>
          <w:sz w:val="21"/>
          <w:highlight w:val="none"/>
        </w:rPr>
      </w:pPr>
      <w:r>
        <w:rPr>
          <w:rFonts w:hint="eastAsia"/>
          <w:color w:val="auto"/>
          <w:sz w:val="21"/>
          <w:highlight w:val="none"/>
        </w:rPr>
        <w:t>2.1.3响应性评审标准：见评标办法前附表。</w:t>
      </w:r>
    </w:p>
    <w:p>
      <w:pPr>
        <w:spacing w:line="360" w:lineRule="auto"/>
        <w:rPr>
          <w:b/>
          <w:color w:val="auto"/>
          <w:sz w:val="32"/>
          <w:highlight w:val="none"/>
        </w:rPr>
      </w:pPr>
      <w:r>
        <w:rPr>
          <w:rFonts w:hint="eastAsia"/>
          <w:b/>
          <w:color w:val="auto"/>
          <w:sz w:val="32"/>
          <w:highlight w:val="none"/>
        </w:rPr>
        <w:t>2.2分值构成与评分标准</w:t>
      </w:r>
    </w:p>
    <w:p>
      <w:pPr>
        <w:spacing w:line="360" w:lineRule="auto"/>
        <w:ind w:firstLine="210" w:firstLineChars="100"/>
        <w:rPr>
          <w:color w:val="auto"/>
          <w:sz w:val="21"/>
          <w:highlight w:val="none"/>
        </w:rPr>
      </w:pPr>
      <w:r>
        <w:rPr>
          <w:rFonts w:hint="eastAsia"/>
          <w:color w:val="auto"/>
          <w:sz w:val="21"/>
          <w:highlight w:val="none"/>
        </w:rPr>
        <w:t>2.2.1分值构成</w:t>
      </w:r>
    </w:p>
    <w:p>
      <w:pPr>
        <w:spacing w:line="360" w:lineRule="auto"/>
        <w:rPr>
          <w:color w:val="auto"/>
          <w:sz w:val="21"/>
          <w:highlight w:val="none"/>
        </w:rPr>
      </w:pPr>
      <w:r>
        <w:rPr>
          <w:rFonts w:hint="eastAsia"/>
          <w:color w:val="auto"/>
          <w:sz w:val="21"/>
          <w:highlight w:val="none"/>
        </w:rPr>
        <w:t>（1）资信业绩部分：见评标办法前附表；</w:t>
      </w:r>
    </w:p>
    <w:p>
      <w:pPr>
        <w:spacing w:line="360" w:lineRule="auto"/>
        <w:rPr>
          <w:color w:val="auto"/>
          <w:sz w:val="21"/>
          <w:highlight w:val="none"/>
        </w:rPr>
      </w:pPr>
      <w:r>
        <w:rPr>
          <w:rFonts w:hint="eastAsia"/>
          <w:color w:val="auto"/>
          <w:sz w:val="21"/>
          <w:highlight w:val="none"/>
        </w:rPr>
        <w:t>（2）</w:t>
      </w:r>
      <w:r>
        <w:rPr>
          <w:rFonts w:hint="eastAsia"/>
          <w:color w:val="auto"/>
          <w:sz w:val="21"/>
          <w:szCs w:val="21"/>
          <w:highlight w:val="none"/>
          <w:u w:val="single"/>
        </w:rPr>
        <w:t>技术</w:t>
      </w:r>
      <w:r>
        <w:rPr>
          <w:rFonts w:hint="eastAsia"/>
          <w:color w:val="auto"/>
          <w:sz w:val="21"/>
          <w:szCs w:val="21"/>
          <w:highlight w:val="none"/>
          <w:u w:val="single"/>
          <w:lang w:val="en-US"/>
        </w:rPr>
        <w:t>服务</w:t>
      </w:r>
      <w:r>
        <w:rPr>
          <w:rFonts w:hint="eastAsia"/>
          <w:color w:val="auto"/>
          <w:sz w:val="21"/>
          <w:szCs w:val="21"/>
          <w:highlight w:val="none"/>
          <w:u w:val="single"/>
        </w:rPr>
        <w:t>方案</w:t>
      </w:r>
      <w:r>
        <w:rPr>
          <w:rFonts w:hint="eastAsia"/>
          <w:color w:val="auto"/>
          <w:sz w:val="21"/>
          <w:highlight w:val="none"/>
          <w:u w:val="single"/>
        </w:rPr>
        <w:t>部分</w:t>
      </w:r>
      <w:r>
        <w:rPr>
          <w:rFonts w:hint="eastAsia"/>
          <w:color w:val="auto"/>
          <w:sz w:val="21"/>
          <w:highlight w:val="none"/>
        </w:rPr>
        <w:t>：见评标办法前附表；</w:t>
      </w:r>
    </w:p>
    <w:p>
      <w:pPr>
        <w:spacing w:line="360" w:lineRule="auto"/>
        <w:rPr>
          <w:color w:val="auto"/>
          <w:sz w:val="21"/>
          <w:highlight w:val="none"/>
        </w:rPr>
      </w:pPr>
      <w:r>
        <w:rPr>
          <w:rFonts w:hint="eastAsia"/>
          <w:color w:val="auto"/>
          <w:sz w:val="21"/>
          <w:highlight w:val="none"/>
        </w:rPr>
        <w:t>（3）投标报价：见评标办法前附表；</w:t>
      </w:r>
    </w:p>
    <w:p>
      <w:pPr>
        <w:spacing w:line="360" w:lineRule="auto"/>
        <w:rPr>
          <w:color w:val="auto"/>
          <w:sz w:val="21"/>
          <w:highlight w:val="none"/>
        </w:rPr>
      </w:pPr>
      <w:r>
        <w:rPr>
          <w:rFonts w:hint="eastAsia"/>
          <w:color w:val="auto"/>
          <w:sz w:val="21"/>
          <w:highlight w:val="none"/>
        </w:rPr>
        <w:t>（4）其他评分因素：见评标办法前附表。</w:t>
      </w:r>
    </w:p>
    <w:p>
      <w:pPr>
        <w:spacing w:line="360" w:lineRule="auto"/>
        <w:ind w:firstLine="210" w:firstLineChars="100"/>
        <w:rPr>
          <w:color w:val="auto"/>
          <w:sz w:val="21"/>
          <w:highlight w:val="none"/>
        </w:rPr>
      </w:pPr>
      <w:r>
        <w:rPr>
          <w:rFonts w:hint="eastAsia"/>
          <w:color w:val="auto"/>
          <w:sz w:val="21"/>
          <w:highlight w:val="none"/>
        </w:rPr>
        <w:t>2.2.2评标基准价计算</w:t>
      </w:r>
    </w:p>
    <w:p>
      <w:pPr>
        <w:spacing w:line="360" w:lineRule="auto"/>
        <w:rPr>
          <w:color w:val="auto"/>
          <w:sz w:val="21"/>
          <w:highlight w:val="none"/>
        </w:rPr>
      </w:pPr>
      <w:r>
        <w:rPr>
          <w:rFonts w:hint="eastAsia"/>
          <w:color w:val="auto"/>
          <w:sz w:val="21"/>
          <w:highlight w:val="none"/>
        </w:rPr>
        <w:t>评标基准价计算方法：见评标办法前附表。</w:t>
      </w:r>
    </w:p>
    <w:p>
      <w:pPr>
        <w:spacing w:line="360" w:lineRule="auto"/>
        <w:ind w:firstLine="210" w:firstLineChars="100"/>
        <w:rPr>
          <w:color w:val="auto"/>
          <w:sz w:val="21"/>
          <w:highlight w:val="none"/>
        </w:rPr>
      </w:pPr>
      <w:r>
        <w:rPr>
          <w:rFonts w:hint="eastAsia"/>
          <w:color w:val="auto"/>
          <w:sz w:val="21"/>
          <w:highlight w:val="none"/>
        </w:rPr>
        <w:t>2.2.3投标报价的偏差率计算</w:t>
      </w:r>
    </w:p>
    <w:p>
      <w:pPr>
        <w:spacing w:line="360" w:lineRule="auto"/>
        <w:rPr>
          <w:color w:val="auto"/>
          <w:sz w:val="21"/>
          <w:highlight w:val="none"/>
        </w:rPr>
      </w:pPr>
      <w:r>
        <w:rPr>
          <w:rFonts w:hint="eastAsia"/>
          <w:color w:val="auto"/>
          <w:sz w:val="21"/>
          <w:highlight w:val="none"/>
        </w:rPr>
        <w:t>投标报价的偏差率计算公式：见评标办法前附表。</w:t>
      </w:r>
    </w:p>
    <w:p>
      <w:pPr>
        <w:spacing w:line="360" w:lineRule="auto"/>
        <w:ind w:firstLine="210" w:firstLineChars="100"/>
        <w:rPr>
          <w:color w:val="auto"/>
          <w:sz w:val="21"/>
          <w:highlight w:val="none"/>
        </w:rPr>
      </w:pPr>
      <w:r>
        <w:rPr>
          <w:rFonts w:hint="eastAsia"/>
          <w:color w:val="auto"/>
          <w:sz w:val="21"/>
          <w:highlight w:val="none"/>
        </w:rPr>
        <w:t>2.2.4评分标准</w:t>
      </w:r>
    </w:p>
    <w:p>
      <w:pPr>
        <w:spacing w:line="360" w:lineRule="auto"/>
        <w:rPr>
          <w:color w:val="auto"/>
          <w:sz w:val="21"/>
          <w:highlight w:val="none"/>
        </w:rPr>
      </w:pPr>
      <w:r>
        <w:rPr>
          <w:rFonts w:hint="eastAsia"/>
          <w:color w:val="auto"/>
          <w:sz w:val="21"/>
          <w:highlight w:val="none"/>
        </w:rPr>
        <w:t>（1）资信业绩评分标准：见评标办法前附表；</w:t>
      </w:r>
    </w:p>
    <w:p>
      <w:pPr>
        <w:spacing w:line="360" w:lineRule="auto"/>
        <w:rPr>
          <w:color w:val="auto"/>
          <w:sz w:val="21"/>
          <w:highlight w:val="none"/>
        </w:rPr>
      </w:pPr>
      <w:r>
        <w:rPr>
          <w:rFonts w:hint="eastAsia"/>
          <w:color w:val="auto"/>
          <w:sz w:val="21"/>
          <w:highlight w:val="none"/>
        </w:rPr>
        <w:t>（2）</w:t>
      </w:r>
      <w:r>
        <w:rPr>
          <w:rFonts w:hint="eastAsia"/>
          <w:color w:val="auto"/>
          <w:sz w:val="21"/>
          <w:szCs w:val="21"/>
          <w:highlight w:val="none"/>
          <w:u w:val="single"/>
        </w:rPr>
        <w:t>技术</w:t>
      </w:r>
      <w:r>
        <w:rPr>
          <w:rFonts w:hint="eastAsia"/>
          <w:color w:val="auto"/>
          <w:sz w:val="21"/>
          <w:szCs w:val="21"/>
          <w:highlight w:val="none"/>
          <w:u w:val="single"/>
          <w:lang w:val="en-US"/>
        </w:rPr>
        <w:t>服务</w:t>
      </w:r>
      <w:r>
        <w:rPr>
          <w:rFonts w:hint="eastAsia"/>
          <w:color w:val="auto"/>
          <w:sz w:val="21"/>
          <w:szCs w:val="21"/>
          <w:highlight w:val="none"/>
          <w:u w:val="single"/>
        </w:rPr>
        <w:t>方案</w:t>
      </w:r>
      <w:r>
        <w:rPr>
          <w:rFonts w:hint="eastAsia"/>
          <w:color w:val="auto"/>
          <w:sz w:val="21"/>
          <w:highlight w:val="none"/>
          <w:u w:val="single"/>
        </w:rPr>
        <w:t>评分标准</w:t>
      </w:r>
      <w:r>
        <w:rPr>
          <w:rFonts w:hint="eastAsia"/>
          <w:color w:val="auto"/>
          <w:sz w:val="21"/>
          <w:highlight w:val="none"/>
        </w:rPr>
        <w:t>：见评标办法前附表；</w:t>
      </w:r>
    </w:p>
    <w:p>
      <w:pPr>
        <w:spacing w:line="360" w:lineRule="auto"/>
        <w:rPr>
          <w:color w:val="auto"/>
          <w:sz w:val="21"/>
          <w:highlight w:val="none"/>
        </w:rPr>
      </w:pPr>
      <w:r>
        <w:rPr>
          <w:rFonts w:hint="eastAsia"/>
          <w:color w:val="auto"/>
          <w:sz w:val="21"/>
          <w:highlight w:val="none"/>
        </w:rPr>
        <w:t>（3）投标报价评分标准：见评标办法前附表；</w:t>
      </w:r>
    </w:p>
    <w:p>
      <w:pPr>
        <w:spacing w:line="360" w:lineRule="auto"/>
        <w:rPr>
          <w:color w:val="auto"/>
          <w:sz w:val="21"/>
          <w:highlight w:val="none"/>
        </w:rPr>
      </w:pPr>
      <w:r>
        <w:rPr>
          <w:rFonts w:hint="eastAsia"/>
          <w:color w:val="auto"/>
          <w:sz w:val="21"/>
          <w:highlight w:val="none"/>
        </w:rPr>
        <w:t>（4）其他因素评分标准：见评标办法前附表。</w:t>
      </w:r>
    </w:p>
    <w:p>
      <w:pPr>
        <w:spacing w:line="360" w:lineRule="auto"/>
        <w:rPr>
          <w:b/>
          <w:color w:val="auto"/>
          <w:sz w:val="32"/>
          <w:highlight w:val="none"/>
        </w:rPr>
      </w:pPr>
      <w:r>
        <w:rPr>
          <w:rFonts w:hint="eastAsia"/>
          <w:b/>
          <w:color w:val="auto"/>
          <w:sz w:val="32"/>
          <w:highlight w:val="none"/>
        </w:rPr>
        <w:t>3.评标程序</w:t>
      </w:r>
    </w:p>
    <w:p>
      <w:pPr>
        <w:spacing w:line="360" w:lineRule="auto"/>
        <w:rPr>
          <w:color w:val="auto"/>
          <w:sz w:val="21"/>
          <w:highlight w:val="none"/>
        </w:rPr>
      </w:pPr>
      <w:r>
        <w:rPr>
          <w:rFonts w:hint="eastAsia"/>
          <w:b/>
          <w:color w:val="auto"/>
          <w:sz w:val="32"/>
          <w:highlight w:val="none"/>
        </w:rPr>
        <w:t>3.1初步评审</w:t>
      </w:r>
    </w:p>
    <w:p>
      <w:pPr>
        <w:spacing w:line="360" w:lineRule="auto"/>
        <w:ind w:firstLine="210" w:firstLineChars="100"/>
        <w:rPr>
          <w:color w:val="auto"/>
          <w:sz w:val="21"/>
          <w:highlight w:val="none"/>
          <w:u w:val="single"/>
        </w:rPr>
      </w:pPr>
      <w:r>
        <w:rPr>
          <w:rFonts w:hint="eastAsia"/>
          <w:color w:val="auto"/>
          <w:sz w:val="21"/>
          <w:highlight w:val="none"/>
        </w:rPr>
        <w:t>3.1.1评标委员会可以要求投标人提交第二章“投标人须知”规定的有关证明和证件的原件，以便核验。评标委员会依据本章第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color w:val="auto"/>
          <w:sz w:val="21"/>
          <w:highlight w:val="none"/>
          <w:u w:val="single"/>
        </w:rPr>
        <w:t>评委发现投标文件中含义不明确、对同类问题表述不一致、有明显文字和计算错误的，应当要求投标人作必要的澄清、说明后再判定投标人是否通过初步审查，不得直接否决投标。如评标委员会的评审意见不一致时，以评标委员会过半数成员的意见作为评标委员会对该情形的认定结论。若通过初步评审的投标人不足三名时，则本项目招标失败。</w:t>
      </w:r>
    </w:p>
    <w:p>
      <w:pPr>
        <w:spacing w:line="360" w:lineRule="auto"/>
        <w:ind w:firstLine="210" w:firstLineChars="100"/>
        <w:rPr>
          <w:color w:val="auto"/>
          <w:sz w:val="21"/>
          <w:highlight w:val="none"/>
        </w:rPr>
      </w:pPr>
      <w:r>
        <w:rPr>
          <w:rFonts w:hint="eastAsia"/>
          <w:color w:val="auto"/>
          <w:sz w:val="21"/>
          <w:highlight w:val="none"/>
        </w:rPr>
        <w:t>3.1.2投标人有以下情形之一的，评标委员会应当否决其投标：</w:t>
      </w:r>
    </w:p>
    <w:p>
      <w:pPr>
        <w:spacing w:line="360" w:lineRule="auto"/>
        <w:rPr>
          <w:color w:val="auto"/>
          <w:sz w:val="21"/>
          <w:highlight w:val="none"/>
        </w:rPr>
      </w:pPr>
      <w:r>
        <w:rPr>
          <w:rFonts w:hint="eastAsia"/>
          <w:color w:val="auto"/>
          <w:sz w:val="21"/>
          <w:highlight w:val="none"/>
        </w:rPr>
        <w:t>（1）投标文件没有对招标文件的实质性要求和条件作出响应，或者对招标文件的偏差超出招标文件规定的偏差范围或最高项数；</w:t>
      </w:r>
    </w:p>
    <w:p>
      <w:pPr>
        <w:spacing w:line="360" w:lineRule="auto"/>
        <w:rPr>
          <w:color w:val="auto"/>
          <w:sz w:val="21"/>
          <w:highlight w:val="none"/>
        </w:rPr>
      </w:pPr>
      <w:r>
        <w:rPr>
          <w:rFonts w:hint="eastAsia"/>
          <w:color w:val="auto"/>
          <w:sz w:val="21"/>
          <w:highlight w:val="none"/>
        </w:rPr>
        <w:t>（2）有串通投标、弄虚作假、行贿等违法行为。</w:t>
      </w:r>
    </w:p>
    <w:p>
      <w:pPr>
        <w:spacing w:line="360" w:lineRule="auto"/>
        <w:ind w:firstLine="210" w:firstLineChars="100"/>
        <w:rPr>
          <w:color w:val="auto"/>
          <w:sz w:val="21"/>
          <w:highlight w:val="none"/>
        </w:rPr>
      </w:pPr>
      <w:r>
        <w:rPr>
          <w:rFonts w:hint="eastAsia"/>
          <w:color w:val="auto"/>
          <w:sz w:val="21"/>
          <w:highlight w:val="none"/>
        </w:rPr>
        <w:t>3.1.3投标报价有算术错误及其他错误的，评标委员会按以下原则要求投标人对投标报价进行修正，并要求投标人书面澄清确认。投标人拒不澄清确认的，评标委员会应当否决其投标：</w:t>
      </w:r>
    </w:p>
    <w:p>
      <w:pPr>
        <w:spacing w:line="360" w:lineRule="auto"/>
        <w:rPr>
          <w:color w:val="auto"/>
          <w:sz w:val="21"/>
          <w:szCs w:val="21"/>
          <w:highlight w:val="none"/>
        </w:rPr>
      </w:pPr>
      <w:r>
        <w:rPr>
          <w:rFonts w:hint="eastAsia"/>
          <w:color w:val="auto"/>
          <w:sz w:val="21"/>
          <w:szCs w:val="21"/>
          <w:highlight w:val="none"/>
        </w:rPr>
        <w:t>（1）投标文件中的大写金额与小写金额不一致的，以大写金额为准；</w:t>
      </w:r>
    </w:p>
    <w:p>
      <w:pPr>
        <w:spacing w:line="360" w:lineRule="auto"/>
        <w:rPr>
          <w:color w:val="auto"/>
          <w:sz w:val="21"/>
          <w:szCs w:val="21"/>
          <w:highlight w:val="none"/>
        </w:rPr>
      </w:pPr>
      <w:r>
        <w:rPr>
          <w:rFonts w:hint="eastAsia"/>
          <w:color w:val="auto"/>
          <w:sz w:val="21"/>
          <w:szCs w:val="21"/>
          <w:highlight w:val="none"/>
        </w:rPr>
        <w:t>（2）总价金额与单价金额不一致的，以单价金额为准，但单价金额小数点有明显错误的除外。</w:t>
      </w:r>
    </w:p>
    <w:p>
      <w:pPr>
        <w:pStyle w:val="4"/>
        <w:spacing w:line="360" w:lineRule="auto"/>
        <w:rPr>
          <w:color w:val="auto"/>
          <w:highlight w:val="none"/>
          <w:u w:val="single"/>
          <w:lang w:val="en-US"/>
        </w:rPr>
      </w:pPr>
      <w:r>
        <w:rPr>
          <w:rFonts w:hint="eastAsia"/>
          <w:color w:val="auto"/>
          <w:highlight w:val="none"/>
          <w:u w:val="single"/>
          <w:lang w:val="en-US"/>
        </w:rPr>
        <w:t>（3）</w:t>
      </w:r>
      <w:r>
        <w:rPr>
          <w:color w:val="auto"/>
          <w:highlight w:val="none"/>
          <w:u w:val="single"/>
          <w:lang w:val="en-US"/>
        </w:rPr>
        <w:t>如果下浮率与最高投标限价乘积不等于报价时，以下浮率为准修正报价（下浮率有明显的数量级错误的除外，此时应修正下浮率）。</w:t>
      </w:r>
    </w:p>
    <w:p>
      <w:pPr>
        <w:pStyle w:val="4"/>
        <w:spacing w:line="360" w:lineRule="auto"/>
        <w:rPr>
          <w:color w:val="auto"/>
          <w:highlight w:val="none"/>
          <w:u w:val="single"/>
        </w:rPr>
      </w:pPr>
      <w:r>
        <w:rPr>
          <w:rFonts w:hint="eastAsia"/>
          <w:color w:val="auto"/>
          <w:highlight w:val="none"/>
          <w:u w:val="single"/>
        </w:rPr>
        <w:t>3.1.4 招标人需将开标异议提交给评标委员会的评审确认时，评标委员会须进行评审确认，不得以任何理由拒绝。</w:t>
      </w:r>
    </w:p>
    <w:p>
      <w:pPr>
        <w:spacing w:line="360" w:lineRule="auto"/>
        <w:rPr>
          <w:color w:val="auto"/>
          <w:sz w:val="21"/>
          <w:highlight w:val="none"/>
        </w:rPr>
      </w:pPr>
      <w:r>
        <w:rPr>
          <w:rFonts w:hint="eastAsia"/>
          <w:b/>
          <w:color w:val="auto"/>
          <w:sz w:val="32"/>
          <w:highlight w:val="none"/>
        </w:rPr>
        <w:t>3.2详细评审</w:t>
      </w:r>
    </w:p>
    <w:p>
      <w:pPr>
        <w:spacing w:line="360" w:lineRule="auto"/>
        <w:ind w:firstLine="210" w:firstLineChars="100"/>
        <w:rPr>
          <w:color w:val="auto"/>
          <w:sz w:val="21"/>
          <w:highlight w:val="none"/>
        </w:rPr>
      </w:pPr>
      <w:r>
        <w:rPr>
          <w:rFonts w:hint="eastAsia"/>
          <w:color w:val="auto"/>
          <w:sz w:val="21"/>
          <w:highlight w:val="none"/>
        </w:rPr>
        <w:t>3.2.1评标委员会按本章第 2.2 款规定的量化因素和分值进行打分，并计算出综合评估得分。</w:t>
      </w:r>
    </w:p>
    <w:p>
      <w:pPr>
        <w:spacing w:line="360" w:lineRule="auto"/>
        <w:rPr>
          <w:color w:val="auto"/>
          <w:sz w:val="21"/>
          <w:highlight w:val="none"/>
        </w:rPr>
      </w:pPr>
      <w:r>
        <w:rPr>
          <w:rFonts w:hint="eastAsia"/>
          <w:color w:val="auto"/>
          <w:sz w:val="21"/>
          <w:highlight w:val="none"/>
        </w:rPr>
        <w:t>（1）按本章第 2.2.4（1）目规定的评审因素和分值对资信业绩部分计算出得分A；</w:t>
      </w:r>
    </w:p>
    <w:p>
      <w:pPr>
        <w:spacing w:line="360" w:lineRule="auto"/>
        <w:rPr>
          <w:color w:val="auto"/>
          <w:sz w:val="21"/>
          <w:highlight w:val="none"/>
        </w:rPr>
      </w:pPr>
      <w:r>
        <w:rPr>
          <w:rFonts w:hint="eastAsia"/>
          <w:color w:val="auto"/>
          <w:sz w:val="21"/>
          <w:highlight w:val="none"/>
        </w:rPr>
        <w:t>（2）按本章第 2.2.4（2）目规定的评审因素和分值对</w:t>
      </w:r>
      <w:r>
        <w:rPr>
          <w:rFonts w:hint="eastAsia"/>
          <w:color w:val="auto"/>
          <w:sz w:val="21"/>
          <w:szCs w:val="21"/>
          <w:highlight w:val="none"/>
        </w:rPr>
        <w:t>技术</w:t>
      </w:r>
      <w:r>
        <w:rPr>
          <w:rFonts w:hint="eastAsia"/>
          <w:color w:val="auto"/>
          <w:sz w:val="21"/>
          <w:szCs w:val="21"/>
          <w:highlight w:val="none"/>
          <w:lang w:val="en-US"/>
        </w:rPr>
        <w:t>服务</w:t>
      </w:r>
      <w:r>
        <w:rPr>
          <w:rFonts w:hint="eastAsia"/>
          <w:color w:val="auto"/>
          <w:sz w:val="21"/>
          <w:szCs w:val="21"/>
          <w:highlight w:val="none"/>
        </w:rPr>
        <w:t>方案</w:t>
      </w:r>
      <w:r>
        <w:rPr>
          <w:rFonts w:hint="eastAsia"/>
          <w:color w:val="auto"/>
          <w:sz w:val="21"/>
          <w:highlight w:val="none"/>
        </w:rPr>
        <w:t>部分计算出得分B；</w:t>
      </w:r>
    </w:p>
    <w:p>
      <w:pPr>
        <w:spacing w:line="360" w:lineRule="auto"/>
        <w:rPr>
          <w:color w:val="auto"/>
          <w:sz w:val="21"/>
          <w:highlight w:val="none"/>
        </w:rPr>
      </w:pPr>
      <w:r>
        <w:rPr>
          <w:rFonts w:hint="eastAsia"/>
          <w:color w:val="auto"/>
          <w:sz w:val="21"/>
          <w:highlight w:val="none"/>
        </w:rPr>
        <w:t>（3）按本章第 2.2.4（3）目规定的评审因素和分值对投标报价计算出得分C；</w:t>
      </w:r>
    </w:p>
    <w:p>
      <w:pPr>
        <w:spacing w:line="360" w:lineRule="auto"/>
        <w:rPr>
          <w:color w:val="auto"/>
          <w:sz w:val="21"/>
          <w:highlight w:val="none"/>
        </w:rPr>
      </w:pPr>
      <w:r>
        <w:rPr>
          <w:rFonts w:hint="eastAsia"/>
          <w:color w:val="auto"/>
          <w:sz w:val="21"/>
          <w:highlight w:val="none"/>
        </w:rPr>
        <w:t>（4）按本章第 2.2.4（4）目规定的评审因素和分值对其他评分因素计算出得分D。</w:t>
      </w:r>
    </w:p>
    <w:p>
      <w:pPr>
        <w:spacing w:line="360" w:lineRule="auto"/>
        <w:ind w:firstLine="210" w:firstLineChars="100"/>
        <w:rPr>
          <w:color w:val="auto"/>
          <w:sz w:val="21"/>
          <w:highlight w:val="none"/>
        </w:rPr>
      </w:pPr>
      <w:r>
        <w:rPr>
          <w:rFonts w:hint="eastAsia"/>
          <w:color w:val="auto"/>
          <w:sz w:val="21"/>
          <w:highlight w:val="none"/>
        </w:rPr>
        <w:t>3.2.2评分分值计算保留小数点后两位，小数点后第三位“四舍五入”。</w:t>
      </w:r>
    </w:p>
    <w:p>
      <w:pPr>
        <w:spacing w:line="360" w:lineRule="auto"/>
        <w:ind w:firstLine="210" w:firstLineChars="100"/>
        <w:rPr>
          <w:color w:val="auto"/>
          <w:sz w:val="21"/>
          <w:highlight w:val="none"/>
        </w:rPr>
      </w:pPr>
      <w:r>
        <w:rPr>
          <w:rFonts w:hint="eastAsia"/>
          <w:color w:val="auto"/>
          <w:sz w:val="21"/>
          <w:highlight w:val="none"/>
        </w:rPr>
        <w:t>3.2.3投标人得分=A+B+C+D。</w:t>
      </w:r>
    </w:p>
    <w:p>
      <w:pPr>
        <w:spacing w:line="360" w:lineRule="auto"/>
        <w:ind w:firstLine="210" w:firstLineChars="100"/>
        <w:rPr>
          <w:color w:val="auto"/>
          <w:sz w:val="21"/>
          <w:highlight w:val="none"/>
        </w:rPr>
      </w:pPr>
      <w:r>
        <w:rPr>
          <w:rFonts w:hint="eastAsia"/>
          <w:color w:val="auto"/>
          <w:sz w:val="21"/>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rPr>
          <w:color w:val="auto"/>
          <w:sz w:val="21"/>
          <w:highlight w:val="none"/>
        </w:rPr>
      </w:pPr>
      <w:r>
        <w:rPr>
          <w:rFonts w:hint="eastAsia"/>
          <w:b/>
          <w:color w:val="auto"/>
          <w:sz w:val="32"/>
          <w:highlight w:val="none"/>
        </w:rPr>
        <w:t>3.3投标文件的澄清</w:t>
      </w:r>
    </w:p>
    <w:p>
      <w:pPr>
        <w:spacing w:line="360" w:lineRule="auto"/>
        <w:ind w:firstLine="210" w:firstLineChars="100"/>
        <w:rPr>
          <w:color w:val="auto"/>
          <w:sz w:val="21"/>
          <w:highlight w:val="none"/>
        </w:rPr>
      </w:pPr>
      <w:r>
        <w:rPr>
          <w:rFonts w:hint="eastAsia"/>
          <w:color w:val="auto"/>
          <w:sz w:val="21"/>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210" w:firstLineChars="100"/>
        <w:rPr>
          <w:color w:val="auto"/>
          <w:sz w:val="21"/>
          <w:highlight w:val="none"/>
        </w:rPr>
      </w:pPr>
      <w:r>
        <w:rPr>
          <w:rFonts w:hint="eastAsia"/>
          <w:color w:val="auto"/>
          <w:sz w:val="21"/>
          <w:highlight w:val="none"/>
        </w:rPr>
        <w:t>3.3.2澄清、说明或补正不得超出投标文件的范围且不得改变投标文件的实质性内容，并构成投标文件的组成部分。</w:t>
      </w:r>
    </w:p>
    <w:p>
      <w:pPr>
        <w:spacing w:line="360" w:lineRule="auto"/>
        <w:ind w:firstLine="210" w:firstLineChars="100"/>
        <w:rPr>
          <w:color w:val="auto"/>
          <w:sz w:val="21"/>
          <w:highlight w:val="none"/>
        </w:rPr>
      </w:pPr>
      <w:r>
        <w:rPr>
          <w:rFonts w:hint="eastAsia"/>
          <w:color w:val="auto"/>
          <w:sz w:val="21"/>
          <w:highlight w:val="none"/>
        </w:rPr>
        <w:t>3.3.3评标委员会对投标人提交的澄清、说明或补正有疑问的，可以要求投标人进一步澄清、说明或补正，直至满足评标委员会的要求。</w:t>
      </w:r>
    </w:p>
    <w:p>
      <w:pPr>
        <w:spacing w:line="360" w:lineRule="auto"/>
        <w:rPr>
          <w:color w:val="auto"/>
          <w:sz w:val="21"/>
          <w:highlight w:val="none"/>
        </w:rPr>
      </w:pPr>
      <w:r>
        <w:rPr>
          <w:rFonts w:hint="eastAsia"/>
          <w:b/>
          <w:color w:val="auto"/>
          <w:sz w:val="32"/>
          <w:highlight w:val="none"/>
        </w:rPr>
        <w:t>3.4评标结果</w:t>
      </w:r>
    </w:p>
    <w:p>
      <w:pPr>
        <w:spacing w:line="360" w:lineRule="auto"/>
        <w:ind w:firstLine="210" w:firstLineChars="100"/>
        <w:rPr>
          <w:color w:val="auto"/>
          <w:sz w:val="21"/>
          <w:highlight w:val="none"/>
        </w:rPr>
      </w:pPr>
      <w:r>
        <w:rPr>
          <w:rFonts w:hint="eastAsia"/>
          <w:color w:val="auto"/>
          <w:sz w:val="21"/>
          <w:highlight w:val="none"/>
        </w:rPr>
        <w:t>3.4.1除第二章“投标人须知”前附表授权直接确定中标人外，评标委员会按照得分由高到低的顺序推荐中标候选人，并标明排序。</w:t>
      </w:r>
    </w:p>
    <w:p>
      <w:pPr>
        <w:spacing w:line="360" w:lineRule="auto"/>
        <w:ind w:firstLine="210" w:firstLineChars="100"/>
        <w:rPr>
          <w:color w:val="auto"/>
          <w:sz w:val="21"/>
          <w:highlight w:val="none"/>
        </w:rPr>
      </w:pPr>
      <w:r>
        <w:rPr>
          <w:color w:val="auto"/>
          <w:sz w:val="21"/>
          <w:highlight w:val="none"/>
        </w:rPr>
        <w:t xml:space="preserve">3.4.2 </w:t>
      </w:r>
      <w:r>
        <w:rPr>
          <w:rFonts w:hint="eastAsia"/>
          <w:color w:val="auto"/>
          <w:sz w:val="21"/>
          <w:highlight w:val="none"/>
        </w:rPr>
        <w:t>评标委员会完成评标后，应当向招标人提交书面评标报告和中标候选人名单。</w:t>
      </w:r>
    </w:p>
    <w:p>
      <w:pPr>
        <w:spacing w:line="360" w:lineRule="auto"/>
        <w:rPr>
          <w:color w:val="auto"/>
          <w:sz w:val="21"/>
          <w:highlight w:val="none"/>
        </w:rPr>
        <w:sectPr>
          <w:pgSz w:w="11906" w:h="16838"/>
          <w:pgMar w:top="1500" w:right="1100" w:bottom="1120" w:left="1560" w:header="0" w:footer="841" w:gutter="0"/>
          <w:cols w:space="720" w:num="1"/>
          <w:docGrid w:linePitch="312" w:charSpace="2048"/>
        </w:sectPr>
      </w:pPr>
    </w:p>
    <w:p>
      <w:pPr>
        <w:pStyle w:val="2"/>
        <w:spacing w:line="360" w:lineRule="auto"/>
        <w:rPr>
          <w:rFonts w:ascii="宋体" w:hAnsi="宋体" w:eastAsia="宋体" w:cs="宋体"/>
          <w:color w:val="auto"/>
          <w:highlight w:val="none"/>
        </w:rPr>
      </w:pPr>
      <w:bookmarkStart w:id="37" w:name="_Toc24117"/>
      <w:r>
        <w:rPr>
          <w:rFonts w:hint="eastAsia" w:ascii="宋体" w:hAnsi="宋体" w:eastAsia="宋体" w:cs="宋体"/>
          <w:color w:val="auto"/>
          <w:highlight w:val="none"/>
        </w:rPr>
        <w:t>第四章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合同条款及格式</w:t>
      </w:r>
      <w:bookmarkEnd w:id="37"/>
    </w:p>
    <w:p>
      <w:pPr>
        <w:pStyle w:val="7"/>
        <w:rPr>
          <w:color w:val="auto"/>
          <w:highlight w:val="none"/>
        </w:rPr>
      </w:pPr>
    </w:p>
    <w:p>
      <w:pPr>
        <w:pStyle w:val="7"/>
        <w:rPr>
          <w:color w:val="auto"/>
          <w:highlight w:val="none"/>
        </w:rPr>
      </w:pPr>
    </w:p>
    <w:p>
      <w:pPr>
        <w:pStyle w:val="7"/>
        <w:rPr>
          <w:color w:val="auto"/>
          <w:highlight w:val="none"/>
        </w:rPr>
      </w:pPr>
    </w:p>
    <w:p>
      <w:pPr>
        <w:spacing w:line="360" w:lineRule="auto"/>
        <w:jc w:val="center"/>
        <w:rPr>
          <w:color w:val="auto"/>
          <w:highlight w:val="none"/>
        </w:rPr>
        <w:sectPr>
          <w:pgSz w:w="11906" w:h="16838"/>
          <w:pgMar w:top="1420" w:right="1100" w:bottom="1120" w:left="1560" w:header="0" w:footer="841" w:gutter="0"/>
          <w:cols w:space="720" w:num="1"/>
          <w:docGrid w:linePitch="312" w:charSpace="2048"/>
        </w:sectPr>
      </w:pPr>
      <w:r>
        <w:rPr>
          <w:rFonts w:hint="eastAsia"/>
          <w:b/>
          <w:color w:val="auto"/>
          <w:sz w:val="24"/>
          <w:szCs w:val="24"/>
          <w:highlight w:val="none"/>
        </w:rPr>
        <w:t>[另册]</w:t>
      </w:r>
    </w:p>
    <w:p>
      <w:pPr>
        <w:spacing w:line="360" w:lineRule="auto"/>
        <w:rPr>
          <w:color w:val="auto"/>
          <w:highlight w:val="none"/>
        </w:rPr>
        <w:sectPr>
          <w:type w:val="continuous"/>
          <w:pgSz w:w="11906" w:h="16838"/>
          <w:pgMar w:top="1500" w:right="1100" w:bottom="280" w:left="1560" w:header="720" w:footer="720" w:gutter="0"/>
          <w:cols w:space="720" w:num="1"/>
          <w:docGrid w:linePitch="312" w:charSpace="2048"/>
        </w:sectPr>
      </w:pPr>
      <w:bookmarkStart w:id="38" w:name="_bookmark94"/>
      <w:bookmarkEnd w:id="38"/>
    </w:p>
    <w:p>
      <w:pPr>
        <w:pStyle w:val="2"/>
        <w:spacing w:before="68" w:line="360" w:lineRule="auto"/>
        <w:ind w:right="458"/>
        <w:rPr>
          <w:rFonts w:ascii="宋体" w:hAnsi="宋体" w:eastAsia="宋体" w:cs="宋体"/>
          <w:color w:val="auto"/>
          <w:highlight w:val="none"/>
        </w:rPr>
      </w:pPr>
      <w:bookmarkStart w:id="39" w:name="_Toc7448"/>
      <w:r>
        <w:rPr>
          <w:rFonts w:hint="eastAsia" w:ascii="宋体" w:hAnsi="宋体" w:eastAsia="宋体" w:cs="宋体"/>
          <w:color w:val="auto"/>
          <w:highlight w:val="none"/>
        </w:rPr>
        <w:t>第二卷</w:t>
      </w:r>
      <w:bookmarkEnd w:id="39"/>
    </w:p>
    <w:p>
      <w:pPr>
        <w:pStyle w:val="7"/>
        <w:rPr>
          <w:color w:val="auto"/>
          <w:highlight w:val="none"/>
        </w:rPr>
      </w:pPr>
    </w:p>
    <w:p>
      <w:pPr>
        <w:pStyle w:val="2"/>
        <w:spacing w:line="360" w:lineRule="auto"/>
        <w:rPr>
          <w:rFonts w:ascii="宋体" w:hAnsi="宋体" w:eastAsia="宋体" w:cs="宋体"/>
          <w:color w:val="auto"/>
          <w:highlight w:val="none"/>
        </w:rPr>
      </w:pPr>
      <w:bookmarkStart w:id="40" w:name="_Toc12073"/>
      <w:r>
        <w:rPr>
          <w:rFonts w:hint="eastAsia" w:ascii="宋体" w:hAnsi="宋体" w:eastAsia="宋体" w:cs="宋体"/>
          <w:color w:val="auto"/>
          <w:highlight w:val="none"/>
        </w:rPr>
        <w:t>第五章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委托人要求</w:t>
      </w:r>
      <w:bookmarkEnd w:id="40"/>
    </w:p>
    <w:p>
      <w:pPr>
        <w:pStyle w:val="7"/>
        <w:rPr>
          <w:color w:val="auto"/>
          <w:sz w:val="22"/>
          <w:highlight w:val="none"/>
        </w:rPr>
      </w:pPr>
      <w:r>
        <w:rPr>
          <w:color w:val="auto"/>
          <w:highlight w:val="none"/>
        </w:rPr>
        <w:t>委托人要求通常包括但不限于以下内容：</w:t>
      </w:r>
    </w:p>
    <w:p>
      <w:pPr>
        <w:adjustRightInd w:val="0"/>
        <w:snapToGrid w:val="0"/>
        <w:spacing w:line="400" w:lineRule="exact"/>
        <w:rPr>
          <w:color w:val="auto"/>
          <w:sz w:val="24"/>
          <w:szCs w:val="24"/>
          <w:highlight w:val="none"/>
        </w:rPr>
      </w:pPr>
      <w:bookmarkStart w:id="41" w:name="_bookmark163"/>
      <w:bookmarkEnd w:id="41"/>
      <w:r>
        <w:rPr>
          <w:rFonts w:hint="eastAsia"/>
          <w:b/>
          <w:bCs/>
          <w:color w:val="auto"/>
          <w:sz w:val="24"/>
          <w:szCs w:val="24"/>
          <w:highlight w:val="none"/>
        </w:rPr>
        <w:t>一、监理要求</w:t>
      </w:r>
      <w:r>
        <w:rPr>
          <w:rFonts w:hint="eastAsia"/>
          <w:b/>
          <w:bCs/>
          <w:color w:val="auto"/>
          <w:sz w:val="24"/>
          <w:szCs w:val="24"/>
          <w:highlight w:val="none"/>
          <w:lang w:val="en-US"/>
        </w:rPr>
        <w:t>及造价咨询服务</w:t>
      </w:r>
      <w:r>
        <w:rPr>
          <w:rFonts w:hint="eastAsia"/>
          <w:b/>
          <w:bCs/>
          <w:color w:val="auto"/>
          <w:sz w:val="24"/>
          <w:szCs w:val="24"/>
          <w:highlight w:val="none"/>
        </w:rPr>
        <w:t>要求</w:t>
      </w:r>
    </w:p>
    <w:p>
      <w:pPr>
        <w:pStyle w:val="21"/>
        <w:tabs>
          <w:tab w:val="left" w:pos="865"/>
        </w:tabs>
        <w:adjustRightInd w:val="0"/>
        <w:snapToGrid w:val="0"/>
        <w:spacing w:line="400" w:lineRule="exact"/>
        <w:ind w:left="0" w:firstLine="408" w:firstLineChars="200"/>
        <w:rPr>
          <w:rFonts w:ascii="宋体" w:hAnsi="宋体" w:eastAsia="宋体"/>
          <w:color w:val="auto"/>
          <w:sz w:val="21"/>
          <w:szCs w:val="21"/>
          <w:highlight w:val="none"/>
        </w:rPr>
      </w:pPr>
      <w:r>
        <w:rPr>
          <w:rFonts w:hint="eastAsia" w:ascii="宋体" w:hAnsi="宋体" w:eastAsia="宋体"/>
          <w:color w:val="auto"/>
          <w:spacing w:val="-3"/>
          <w:sz w:val="21"/>
          <w:szCs w:val="21"/>
          <w:highlight w:val="none"/>
          <w:lang w:val="en-US"/>
        </w:rPr>
        <w:t>1.</w:t>
      </w:r>
      <w:r>
        <w:rPr>
          <w:rFonts w:hint="eastAsia" w:ascii="宋体" w:hAnsi="宋体" w:eastAsia="宋体"/>
          <w:color w:val="auto"/>
          <w:spacing w:val="-3"/>
          <w:sz w:val="21"/>
          <w:szCs w:val="21"/>
          <w:highlight w:val="none"/>
        </w:rPr>
        <w:t>项目概况</w:t>
      </w:r>
    </w:p>
    <w:p>
      <w:pPr>
        <w:pStyle w:val="22"/>
        <w:tabs>
          <w:tab w:val="left" w:pos="865"/>
        </w:tabs>
        <w:adjustRightInd w:val="0"/>
        <w:snapToGrid w:val="0"/>
        <w:spacing w:line="400" w:lineRule="exact"/>
        <w:ind w:left="0"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项目实施范围主要包括小港市场片区，小港路、富基路等道路周边，富基广场周边，小港社区、海运社区及周边等区域，项目实施内容为街区及道路、房屋建筑本体与社区公共部分，实施涉及范围用地面积共约150000 ㎡。主要建设内容为街区及道路沿线公共区域规划提升、社区改造及公共设施完善等。具体工程内容包括：</w:t>
      </w:r>
    </w:p>
    <w:p>
      <w:pPr>
        <w:pStyle w:val="22"/>
        <w:tabs>
          <w:tab w:val="left" w:pos="865"/>
        </w:tabs>
        <w:adjustRightInd w:val="0"/>
        <w:snapToGrid w:val="0"/>
        <w:spacing w:line="400" w:lineRule="exact"/>
        <w:ind w:left="0"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1）街区及道路沿线公共区域规划提升：沿街商铺招牌、违规搭建、建筑外立面排危改造，重新明确道路标志标线，打通消防安全通道，完善社区道路通行条件，优化出行环境，人行道、机动车道规整，公共空间（含广场）整治，基础设施、消防设施、便民设施、排水设施、市政设施完善，巷道口空间整治，三线整治，公共区域监控设施及消防监控系统完善等；</w:t>
      </w:r>
    </w:p>
    <w:p>
      <w:pPr>
        <w:pStyle w:val="22"/>
        <w:tabs>
          <w:tab w:val="left" w:pos="865"/>
        </w:tabs>
        <w:adjustRightInd w:val="0"/>
        <w:snapToGrid w:val="0"/>
        <w:spacing w:line="400" w:lineRule="exact"/>
        <w:ind w:left="0"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2）社区改造及公共设施完善：楼栋消防栓箱更换、新增消防灭火器（含灭火器）、化粪池更换、化粪池清疏、建筑外立面排危改造、适老化及无障碍设施、消防通道、人行安全设施、地面铺装、垃圾分类点完善、监控设施建设、围墙整治、“三线”整治、照明设施、信息标识、小区绿化、小区公共空间、成品公共桌凳、花基完善、建设海绵城市、文化长廊及信息宣传栏、康体活动设施、排水设施完善，梳理街巷空间，提升现有活动空间，发掘小区文化特色，彰显社区文化活力，社区公共区域监控设施、消防监控系统完善等。</w:t>
      </w:r>
    </w:p>
    <w:p>
      <w:pPr>
        <w:pStyle w:val="21"/>
        <w:tabs>
          <w:tab w:val="left" w:pos="865"/>
        </w:tabs>
        <w:adjustRightInd w:val="0"/>
        <w:snapToGrid w:val="0"/>
        <w:spacing w:line="400" w:lineRule="exact"/>
        <w:ind w:left="0" w:firstLine="408" w:firstLineChars="200"/>
        <w:rPr>
          <w:rFonts w:ascii="宋体" w:hAnsi="宋体" w:eastAsia="宋体"/>
          <w:color w:val="auto"/>
          <w:spacing w:val="-3"/>
          <w:sz w:val="21"/>
          <w:szCs w:val="21"/>
          <w:highlight w:val="none"/>
        </w:rPr>
      </w:pPr>
      <w:r>
        <w:rPr>
          <w:rFonts w:hint="eastAsia" w:ascii="宋体" w:hAnsi="宋体" w:eastAsia="宋体"/>
          <w:color w:val="auto"/>
          <w:spacing w:val="-3"/>
          <w:sz w:val="21"/>
          <w:szCs w:val="21"/>
          <w:highlight w:val="none"/>
          <w:lang w:val="en-US"/>
        </w:rPr>
        <w:t>2. 招标</w:t>
      </w:r>
      <w:r>
        <w:rPr>
          <w:rFonts w:hint="eastAsia" w:ascii="宋体" w:hAnsi="宋体" w:eastAsia="宋体"/>
          <w:color w:val="auto"/>
          <w:spacing w:val="-3"/>
          <w:sz w:val="21"/>
          <w:szCs w:val="21"/>
          <w:highlight w:val="none"/>
        </w:rPr>
        <w:t>范围及内容</w:t>
      </w:r>
    </w:p>
    <w:p>
      <w:pPr>
        <w:pStyle w:val="5"/>
        <w:adjustRightInd w:val="0"/>
        <w:snapToGrid w:val="0"/>
        <w:spacing w:line="400" w:lineRule="exact"/>
        <w:ind w:left="0" w:firstLine="420" w:firstLineChars="200"/>
        <w:rPr>
          <w:rFonts w:ascii="宋体" w:hAnsi="宋体" w:eastAsia="宋体"/>
          <w:color w:val="auto"/>
          <w:kern w:val="2"/>
          <w:sz w:val="21"/>
          <w:szCs w:val="21"/>
          <w:highlight w:val="none"/>
          <w:u w:val="single"/>
          <w:lang w:val="en-US" w:bidi="ar-SA"/>
        </w:rPr>
      </w:pPr>
      <w:r>
        <w:rPr>
          <w:rFonts w:hint="eastAsia" w:ascii="宋体" w:hAnsi="宋体" w:eastAsia="宋体"/>
          <w:color w:val="auto"/>
          <w:kern w:val="2"/>
          <w:sz w:val="21"/>
          <w:szCs w:val="21"/>
          <w:highlight w:val="none"/>
          <w:u w:val="single"/>
          <w:lang w:val="en-US" w:bidi="ar-SA"/>
        </w:rPr>
        <w:t>2.1本项目监理工作包括：</w:t>
      </w:r>
    </w:p>
    <w:p>
      <w:pPr>
        <w:pStyle w:val="5"/>
        <w:adjustRightInd w:val="0"/>
        <w:snapToGrid w:val="0"/>
        <w:spacing w:line="400" w:lineRule="exact"/>
        <w:ind w:left="0" w:firstLine="420" w:firstLineChars="200"/>
        <w:rPr>
          <w:rFonts w:ascii="宋体" w:hAnsi="宋体" w:eastAsia="宋体"/>
          <w:color w:val="auto"/>
          <w:kern w:val="2"/>
          <w:sz w:val="21"/>
          <w:szCs w:val="21"/>
          <w:highlight w:val="none"/>
          <w:u w:val="single"/>
          <w:lang w:val="en-US" w:bidi="ar-SA"/>
        </w:rPr>
      </w:pPr>
      <w:r>
        <w:rPr>
          <w:rFonts w:hint="eastAsia" w:ascii="宋体" w:hAnsi="宋体" w:eastAsia="宋体"/>
          <w:color w:val="auto"/>
          <w:kern w:val="2"/>
          <w:sz w:val="21"/>
          <w:szCs w:val="21"/>
          <w:highlight w:val="none"/>
          <w:u w:val="single"/>
          <w:lang w:val="en-US" w:bidi="ar-SA"/>
        </w:rPr>
        <w:t>（1）</w:t>
      </w:r>
      <w:r>
        <w:rPr>
          <w:rFonts w:ascii="宋体" w:hAnsi="宋体" w:eastAsia="宋体"/>
          <w:color w:val="auto"/>
          <w:kern w:val="2"/>
          <w:sz w:val="21"/>
          <w:szCs w:val="21"/>
          <w:highlight w:val="none"/>
          <w:u w:val="single"/>
          <w:lang w:val="en-US" w:bidi="ar-SA"/>
        </w:rPr>
        <w:t>施工前准备阶段</w:t>
      </w:r>
      <w:r>
        <w:rPr>
          <w:rFonts w:hint="eastAsia" w:ascii="宋体" w:hAnsi="宋体" w:eastAsia="宋体"/>
          <w:color w:val="auto"/>
          <w:kern w:val="2"/>
          <w:sz w:val="21"/>
          <w:szCs w:val="21"/>
          <w:highlight w:val="none"/>
          <w:u w:val="single"/>
          <w:lang w:val="en-US" w:bidi="ar-SA"/>
        </w:rPr>
        <w:t>，</w:t>
      </w:r>
      <w:r>
        <w:rPr>
          <w:rFonts w:ascii="宋体" w:hAnsi="宋体" w:eastAsia="宋体"/>
          <w:color w:val="auto"/>
          <w:kern w:val="2"/>
          <w:sz w:val="21"/>
          <w:szCs w:val="21"/>
          <w:highlight w:val="none"/>
          <w:u w:val="single"/>
          <w:lang w:val="en-US" w:bidi="ar-SA"/>
        </w:rPr>
        <w:t>包括但不限于协助发包人编制勘察要求、核查勘察方案并监督实施和进行相应的控制。协助业主办理场地移交、办理相关许可证照、报建报批及其他前期准备工作。</w:t>
      </w:r>
    </w:p>
    <w:p>
      <w:pPr>
        <w:adjustRightInd w:val="0"/>
        <w:snapToGrid w:val="0"/>
        <w:spacing w:line="400" w:lineRule="exact"/>
        <w:ind w:firstLine="420" w:firstLineChars="200"/>
        <w:rPr>
          <w:rFonts w:ascii="宋体" w:hAnsi="宋体" w:eastAsia="宋体"/>
          <w:color w:val="auto"/>
          <w:kern w:val="2"/>
          <w:sz w:val="21"/>
          <w:szCs w:val="21"/>
          <w:highlight w:val="none"/>
          <w:u w:val="single"/>
          <w:lang w:val="en-US" w:bidi="ar-SA"/>
        </w:rPr>
      </w:pPr>
      <w:r>
        <w:rPr>
          <w:rFonts w:hint="eastAsia" w:ascii="宋体" w:hAnsi="宋体" w:eastAsia="宋体"/>
          <w:color w:val="auto"/>
          <w:sz w:val="21"/>
          <w:szCs w:val="21"/>
          <w:highlight w:val="none"/>
          <w:u w:val="single"/>
        </w:rPr>
        <w:t>（2）</w:t>
      </w:r>
      <w:r>
        <w:rPr>
          <w:rFonts w:hint="eastAsia" w:ascii="宋体" w:hAnsi="宋体" w:eastAsia="宋体"/>
          <w:color w:val="auto"/>
          <w:kern w:val="2"/>
          <w:sz w:val="21"/>
          <w:szCs w:val="21"/>
          <w:highlight w:val="none"/>
          <w:u w:val="single"/>
          <w:lang w:val="en-US" w:bidi="ar-SA"/>
        </w:rPr>
        <w:t>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adjustRightInd w:val="0"/>
        <w:snapToGrid w:val="0"/>
        <w:spacing w:line="400" w:lineRule="exact"/>
        <w:ind w:firstLine="420" w:firstLineChars="200"/>
        <w:rPr>
          <w:rFonts w:ascii="宋体" w:hAnsi="宋体" w:eastAsia="宋体"/>
          <w:color w:val="auto"/>
          <w:kern w:val="2"/>
          <w:sz w:val="21"/>
          <w:szCs w:val="21"/>
          <w:highlight w:val="none"/>
          <w:u w:val="single"/>
          <w:lang w:val="en-US" w:bidi="ar-SA"/>
        </w:rPr>
      </w:pPr>
      <w:r>
        <w:rPr>
          <w:rFonts w:hint="eastAsia" w:ascii="宋体" w:hAnsi="宋体" w:eastAsia="宋体"/>
          <w:color w:val="auto"/>
          <w:sz w:val="21"/>
          <w:szCs w:val="21"/>
          <w:highlight w:val="none"/>
          <w:u w:val="single"/>
        </w:rPr>
        <w:t>（3）</w:t>
      </w:r>
      <w:r>
        <w:rPr>
          <w:rFonts w:ascii="宋体" w:hAnsi="宋体" w:eastAsia="宋体"/>
          <w:color w:val="auto"/>
          <w:kern w:val="2"/>
          <w:sz w:val="21"/>
          <w:szCs w:val="21"/>
          <w:highlight w:val="none"/>
          <w:u w:val="single"/>
          <w:lang w:val="en-US" w:bidi="ar-SA"/>
        </w:rPr>
        <w:t>竣工验收及保修阶段：包括但不限于竣工验收及竣工验收资料移交档案、整改、工程移交及实物移交、审核工程结算、竣工备案等，按国家相关规定执行。</w:t>
      </w:r>
    </w:p>
    <w:p>
      <w:pPr>
        <w:adjustRightInd w:val="0"/>
        <w:snapToGrid w:val="0"/>
        <w:spacing w:line="400" w:lineRule="exact"/>
        <w:ind w:firstLine="420" w:firstLineChars="200"/>
        <w:rPr>
          <w:rFonts w:ascii="宋体" w:hAnsi="宋体" w:eastAsia="宋体"/>
          <w:color w:val="auto"/>
          <w:kern w:val="2"/>
          <w:sz w:val="21"/>
          <w:szCs w:val="21"/>
          <w:highlight w:val="none"/>
          <w:u w:val="single"/>
          <w:lang w:val="en-US" w:bidi="ar-SA"/>
        </w:rPr>
      </w:pPr>
      <w:r>
        <w:rPr>
          <w:rFonts w:hint="eastAsia" w:ascii="宋体" w:hAnsi="宋体" w:eastAsia="宋体"/>
          <w:color w:val="auto"/>
          <w:kern w:val="2"/>
          <w:sz w:val="21"/>
          <w:szCs w:val="21"/>
          <w:highlight w:val="none"/>
          <w:u w:val="single"/>
          <w:lang w:val="en-US" w:bidi="ar-SA"/>
        </w:rPr>
        <w:t>2.2本项目造价咨询服务包括：</w:t>
      </w:r>
    </w:p>
    <w:p>
      <w:pPr>
        <w:adjustRightInd w:val="0"/>
        <w:snapToGrid w:val="0"/>
        <w:spacing w:line="400" w:lineRule="exact"/>
        <w:ind w:firstLine="420" w:firstLineChars="200"/>
        <w:rPr>
          <w:rFonts w:ascii="宋体" w:hAnsi="宋体" w:eastAsia="宋体"/>
          <w:color w:val="auto"/>
          <w:kern w:val="2"/>
          <w:sz w:val="21"/>
          <w:szCs w:val="21"/>
          <w:highlight w:val="none"/>
          <w:u w:val="single"/>
          <w:lang w:val="en-US" w:bidi="ar-SA"/>
        </w:rPr>
      </w:pPr>
      <w:r>
        <w:rPr>
          <w:rFonts w:hint="eastAsia" w:ascii="宋体" w:hAnsi="宋体" w:eastAsia="宋体"/>
          <w:color w:val="auto"/>
          <w:kern w:val="2"/>
          <w:sz w:val="21"/>
          <w:szCs w:val="21"/>
          <w:highlight w:val="none"/>
          <w:u w:val="single"/>
          <w:lang w:val="en-US" w:bidi="ar-SA"/>
        </w:rPr>
        <w:t>（1）根据财政投资评审要求，按现行概算编制规范、初步设计和相关收费文件审核工程概算，并出具审核报告，报相关部门审批。</w:t>
      </w:r>
    </w:p>
    <w:p>
      <w:pPr>
        <w:adjustRightInd w:val="0"/>
        <w:snapToGrid w:val="0"/>
        <w:spacing w:line="400" w:lineRule="exact"/>
        <w:ind w:firstLine="420" w:firstLineChars="200"/>
        <w:rPr>
          <w:rFonts w:ascii="宋体" w:hAnsi="宋体" w:eastAsia="宋体"/>
          <w:color w:val="auto"/>
          <w:kern w:val="2"/>
          <w:sz w:val="21"/>
          <w:szCs w:val="21"/>
          <w:highlight w:val="none"/>
          <w:u w:val="single"/>
          <w:lang w:val="en-US" w:bidi="ar-SA"/>
        </w:rPr>
      </w:pPr>
      <w:r>
        <w:rPr>
          <w:rFonts w:hint="eastAsia" w:ascii="宋体" w:hAnsi="宋体" w:eastAsia="宋体"/>
          <w:color w:val="auto"/>
          <w:kern w:val="2"/>
          <w:sz w:val="21"/>
          <w:szCs w:val="21"/>
          <w:highlight w:val="none"/>
          <w:u w:val="single"/>
          <w:lang w:val="en-US" w:bidi="ar-SA"/>
        </w:rPr>
        <w:t>（2）根据财政投资评审要求，按现行清单计价规范、施工图和相关收费文件审核招标控制价（或施工图预算），并出具审核报告。</w:t>
      </w:r>
    </w:p>
    <w:p>
      <w:pPr>
        <w:adjustRightInd w:val="0"/>
        <w:snapToGrid w:val="0"/>
        <w:spacing w:line="400" w:lineRule="exact"/>
        <w:ind w:firstLine="420" w:firstLineChars="200"/>
        <w:rPr>
          <w:rFonts w:ascii="宋体" w:hAnsi="宋体" w:eastAsia="宋体"/>
          <w:color w:val="auto"/>
          <w:kern w:val="2"/>
          <w:sz w:val="21"/>
          <w:szCs w:val="21"/>
          <w:highlight w:val="none"/>
          <w:u w:val="single"/>
          <w:lang w:val="en-US" w:bidi="ar-SA"/>
        </w:rPr>
      </w:pPr>
      <w:r>
        <w:rPr>
          <w:rFonts w:hint="eastAsia" w:ascii="宋体" w:hAnsi="宋体" w:eastAsia="宋体"/>
          <w:color w:val="auto"/>
          <w:kern w:val="2"/>
          <w:sz w:val="21"/>
          <w:szCs w:val="21"/>
          <w:highlight w:val="none"/>
          <w:u w:val="single"/>
          <w:lang w:val="en-US" w:bidi="ar-SA"/>
        </w:rPr>
        <w:t>（3） 根据财政投资评审要求，按现行收费标准审核工程建设其他费用结算，并出具审核报告。</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kern w:val="2"/>
          <w:sz w:val="21"/>
          <w:szCs w:val="21"/>
          <w:highlight w:val="none"/>
          <w:u w:val="single"/>
          <w:lang w:val="en-US" w:bidi="ar-SA"/>
        </w:rPr>
        <w:t>（4） 配合工作范围内的审查审计工作。</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rPr>
        <w:t>3.质量标准</w:t>
      </w:r>
      <w:r>
        <w:rPr>
          <w:rFonts w:hint="eastAsia" w:ascii="宋体" w:hAnsi="宋体" w:eastAsia="宋体"/>
          <w:color w:val="auto"/>
          <w:sz w:val="21"/>
          <w:szCs w:val="21"/>
          <w:highlight w:val="none"/>
        </w:rPr>
        <w:t>：</w:t>
      </w:r>
    </w:p>
    <w:p>
      <w:pPr>
        <w:pStyle w:val="18"/>
        <w:spacing w:line="400" w:lineRule="exact"/>
        <w:rPr>
          <w:rFonts w:ascii="宋体" w:hAnsi="宋体" w:eastAsia="宋体" w:cs="仿宋"/>
          <w:b/>
          <w:bCs/>
          <w:color w:val="auto"/>
          <w:sz w:val="21"/>
          <w:szCs w:val="21"/>
          <w:highlight w:val="none"/>
        </w:rPr>
      </w:pPr>
      <w:r>
        <w:rPr>
          <w:rFonts w:hint="eastAsia" w:ascii="宋体" w:hAnsi="宋体" w:eastAsia="宋体" w:cs="宋体"/>
          <w:color w:val="auto"/>
          <w:sz w:val="21"/>
          <w:szCs w:val="21"/>
          <w:highlight w:val="none"/>
          <w:u w:val="single"/>
        </w:rPr>
        <w:t>（1）质量控制目标</w:t>
      </w:r>
      <w:r>
        <w:rPr>
          <w:rFonts w:hint="eastAsia" w:ascii="宋体" w:hAnsi="宋体" w:eastAsia="宋体" w:cs="宋体"/>
          <w:color w:val="auto"/>
          <w:spacing w:val="0"/>
          <w:sz w:val="21"/>
          <w:szCs w:val="21"/>
          <w:highlight w:val="none"/>
          <w:u w:val="single"/>
        </w:rPr>
        <w:t>：合格。</w:t>
      </w:r>
    </w:p>
    <w:p>
      <w:pPr>
        <w:adjustRightInd w:val="0"/>
        <w:snapToGrid w:val="0"/>
        <w:spacing w:line="400" w:lineRule="exact"/>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（2）进度控制目标：按委托人对工期的要求进行进度目标控制。</w:t>
      </w:r>
    </w:p>
    <w:p>
      <w:pPr>
        <w:adjustRightInd w:val="0"/>
        <w:snapToGrid w:val="0"/>
        <w:spacing w:line="400" w:lineRule="exact"/>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（3）投资控制目标：所监理的建安工程结算不超过合同价，且不超过相应的建安工程费概算批复。</w:t>
      </w:r>
    </w:p>
    <w:p>
      <w:pPr>
        <w:adjustRightInd w:val="0"/>
        <w:snapToGrid w:val="0"/>
        <w:spacing w:line="400" w:lineRule="exact"/>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（4）安全生产文明施工控制目标：确保工程无人员死亡事故；确保实施期内有关建设人员不违反委托人安全监管规定。</w:t>
      </w:r>
    </w:p>
    <w:p>
      <w:pPr>
        <w:adjustRightInd w:val="0"/>
        <w:snapToGrid w:val="0"/>
        <w:spacing w:line="400" w:lineRule="exact"/>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（5）职业健康安全管理目标：杜绝发生一般事故等级以上的伤亡事故且工伤责任事故死亡人数为零。</w:t>
      </w:r>
    </w:p>
    <w:p>
      <w:pPr>
        <w:adjustRightInd w:val="0"/>
        <w:snapToGrid w:val="0"/>
        <w:spacing w:line="400" w:lineRule="exact"/>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val="en-US"/>
        </w:rPr>
        <w:t>6</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val="en-US"/>
        </w:rPr>
        <w:t>造价咨询质量标准：合格。</w:t>
      </w:r>
    </w:p>
    <w:p>
      <w:pPr>
        <w:pStyle w:val="21"/>
        <w:tabs>
          <w:tab w:val="left" w:pos="865"/>
        </w:tabs>
        <w:adjustRightInd w:val="0"/>
        <w:snapToGrid w:val="0"/>
        <w:spacing w:line="400" w:lineRule="exact"/>
        <w:ind w:left="0" w:firstLine="408" w:firstLineChars="200"/>
        <w:rPr>
          <w:rFonts w:ascii="宋体" w:hAnsi="宋体" w:eastAsia="宋体"/>
          <w:b/>
          <w:color w:val="auto"/>
          <w:sz w:val="21"/>
          <w:szCs w:val="21"/>
          <w:highlight w:val="none"/>
        </w:rPr>
      </w:pPr>
      <w:r>
        <w:rPr>
          <w:rFonts w:hint="eastAsia" w:ascii="宋体" w:hAnsi="宋体" w:eastAsia="宋体"/>
          <w:color w:val="auto"/>
          <w:spacing w:val="-3"/>
          <w:sz w:val="21"/>
          <w:szCs w:val="21"/>
          <w:highlight w:val="none"/>
          <w:lang w:val="en-US"/>
        </w:rPr>
        <w:t>4.</w:t>
      </w:r>
      <w:r>
        <w:rPr>
          <w:rFonts w:hint="eastAsia" w:ascii="宋体" w:hAnsi="宋体" w:eastAsia="宋体"/>
          <w:color w:val="auto"/>
          <w:spacing w:val="-3"/>
          <w:sz w:val="21"/>
          <w:szCs w:val="21"/>
          <w:highlight w:val="none"/>
        </w:rPr>
        <w:t>监理依据：根据《建设工程质量管理条例》（中华人民共和国建设部令第279号）和《建设工程监理范围和规模标准规定》（中华人民共和国建设部令第86号），按中华人民共和国国家标准GB/T50319-2013《建设工程监理规范》执行。</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1</w:t>
      </w:r>
      <w:r>
        <w:rPr>
          <w:rFonts w:hint="eastAsia" w:ascii="宋体" w:hAnsi="宋体" w:eastAsia="宋体"/>
          <w:color w:val="auto"/>
          <w:sz w:val="21"/>
          <w:szCs w:val="21"/>
          <w:highlight w:val="none"/>
        </w:rPr>
        <w:t>）适用的法律、行政法规及部门规章；</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2</w:t>
      </w:r>
      <w:r>
        <w:rPr>
          <w:rFonts w:hint="eastAsia" w:ascii="宋体" w:hAnsi="宋体" w:eastAsia="宋体"/>
          <w:color w:val="auto"/>
          <w:sz w:val="21"/>
          <w:szCs w:val="21"/>
          <w:highlight w:val="none"/>
        </w:rPr>
        <w:t>）与工程有关的规范、标准、规程；</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3</w:t>
      </w:r>
      <w:r>
        <w:rPr>
          <w:rFonts w:hint="eastAsia" w:ascii="宋体" w:hAnsi="宋体" w:eastAsia="宋体"/>
          <w:color w:val="auto"/>
          <w:sz w:val="21"/>
          <w:szCs w:val="21"/>
          <w:highlight w:val="none"/>
        </w:rPr>
        <w:t>）工程勘察文件、设计文件及其他文件；</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4</w:t>
      </w:r>
      <w:r>
        <w:rPr>
          <w:rFonts w:hint="eastAsia" w:ascii="宋体" w:hAnsi="宋体" w:eastAsia="宋体"/>
          <w:color w:val="auto"/>
          <w:sz w:val="21"/>
          <w:szCs w:val="21"/>
          <w:highlight w:val="none"/>
        </w:rPr>
        <w:t>）本工程监理的委托合同及补充合同；</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5</w:t>
      </w:r>
      <w:r>
        <w:rPr>
          <w:rFonts w:hint="eastAsia" w:ascii="宋体" w:hAnsi="宋体" w:eastAsia="宋体"/>
          <w:color w:val="auto"/>
          <w:sz w:val="21"/>
          <w:szCs w:val="21"/>
          <w:highlight w:val="none"/>
        </w:rPr>
        <w:t>）委托人签订的勘察、设计和施工承包合同；</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6</w:t>
      </w:r>
      <w:r>
        <w:rPr>
          <w:rFonts w:hint="eastAsia" w:ascii="宋体" w:hAnsi="宋体" w:eastAsia="宋体"/>
          <w:color w:val="auto"/>
          <w:sz w:val="21"/>
          <w:szCs w:val="21"/>
          <w:highlight w:val="none"/>
        </w:rPr>
        <w:t>）合同履行中与工程项目有关的来往函件；</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7</w:t>
      </w:r>
      <w:r>
        <w:rPr>
          <w:rFonts w:hint="eastAsia" w:ascii="宋体" w:hAnsi="宋体" w:eastAsia="宋体"/>
          <w:color w:val="auto"/>
          <w:sz w:val="21"/>
          <w:szCs w:val="21"/>
          <w:highlight w:val="none"/>
        </w:rPr>
        <w:t>）其他监理依据。</w:t>
      </w:r>
    </w:p>
    <w:p>
      <w:pPr>
        <w:pStyle w:val="21"/>
        <w:tabs>
          <w:tab w:val="left" w:pos="865"/>
        </w:tabs>
        <w:adjustRightInd w:val="0"/>
        <w:snapToGrid w:val="0"/>
        <w:spacing w:line="400" w:lineRule="exact"/>
        <w:ind w:left="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rPr>
        <w:t>5.</w:t>
      </w:r>
      <w:r>
        <w:rPr>
          <w:rFonts w:hint="eastAsia" w:ascii="宋体" w:hAnsi="宋体" w:eastAsia="宋体"/>
          <w:color w:val="auto"/>
          <w:sz w:val="21"/>
          <w:szCs w:val="21"/>
          <w:highlight w:val="none"/>
        </w:rPr>
        <w:t>监理的技术要求：</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rPr>
        <w:t>1</w:t>
      </w:r>
      <w:r>
        <w:rPr>
          <w:rFonts w:hint="eastAsia" w:ascii="宋体" w:hAnsi="宋体" w:eastAsia="宋体"/>
          <w:color w:val="auto"/>
          <w:sz w:val="21"/>
          <w:szCs w:val="21"/>
          <w:highlight w:val="none"/>
        </w:rPr>
        <w:t>）符合法律、行政法规及部门规章；</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2</w:t>
      </w:r>
      <w:r>
        <w:rPr>
          <w:rFonts w:hint="eastAsia" w:ascii="宋体" w:hAnsi="宋体" w:eastAsia="宋体"/>
          <w:color w:val="auto"/>
          <w:sz w:val="21"/>
          <w:szCs w:val="21"/>
          <w:highlight w:val="none"/>
        </w:rPr>
        <w:t>）符合本工程有关的规范、标准、规程；</w:t>
      </w:r>
    </w:p>
    <w:p>
      <w:pPr>
        <w:adjustRightInd w:val="0"/>
        <w:snapToGrid w:val="0"/>
        <w:spacing w:line="400" w:lineRule="exact"/>
        <w:ind w:firstLine="525" w:firstLineChars="250"/>
        <w:rPr>
          <w:rFonts w:ascii="宋体" w:hAnsi="宋体" w:eastAsia="宋体"/>
          <w:color w:val="auto"/>
          <w:sz w:val="21"/>
          <w:szCs w:val="21"/>
          <w:highlight w:val="none"/>
        </w:rPr>
      </w:pPr>
      <w:r>
        <w:rPr>
          <w:rFonts w:hint="eastAsia" w:ascii="宋体" w:hAnsi="宋体" w:eastAsia="宋体"/>
          <w:color w:val="auto"/>
          <w:sz w:val="21"/>
          <w:szCs w:val="21"/>
          <w:highlight w:val="none"/>
        </w:rPr>
        <w:t>6</w:t>
      </w:r>
      <w:r>
        <w:rPr>
          <w:rFonts w:ascii="宋体" w:hAnsi="宋体" w:eastAsia="宋体"/>
          <w:color w:val="auto"/>
          <w:sz w:val="21"/>
          <w:szCs w:val="21"/>
          <w:highlight w:val="none"/>
        </w:rPr>
        <w:t>.</w:t>
      </w:r>
      <w:r>
        <w:rPr>
          <w:rFonts w:hint="eastAsia" w:ascii="宋体" w:hAnsi="宋体" w:eastAsia="宋体"/>
          <w:color w:val="auto"/>
          <w:sz w:val="21"/>
          <w:szCs w:val="21"/>
          <w:highlight w:val="none"/>
        </w:rPr>
        <w:t>监理人员、设备要求：</w:t>
      </w:r>
    </w:p>
    <w:p>
      <w:pPr>
        <w:adjustRightInd w:val="0"/>
        <w:snapToGrid w:val="0"/>
        <w:spacing w:line="400" w:lineRule="exact"/>
        <w:ind w:firstLine="525" w:firstLineChars="250"/>
        <w:rPr>
          <w:rFonts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项目监理人员组成要求：</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（1）总监理工程师：必须具备建设部2006年4月1日后颁发的中华人民共和国注册监理工程师注册执业证书，且其注册专业为</w:t>
      </w:r>
      <w:r>
        <w:rPr>
          <w:rFonts w:hint="eastAsia" w:ascii="宋体" w:hAnsi="宋体" w:eastAsia="宋体"/>
          <w:color w:val="auto"/>
          <w:sz w:val="21"/>
          <w:szCs w:val="21"/>
          <w:highlight w:val="none"/>
          <w:u w:val="single"/>
          <w:lang w:val="en-US" w:eastAsia="zh-CN"/>
        </w:rPr>
        <w:t>市政公用</w:t>
      </w:r>
      <w:r>
        <w:rPr>
          <w:rFonts w:hint="eastAsia" w:ascii="宋体" w:hAnsi="宋体" w:eastAsia="宋体"/>
          <w:color w:val="auto"/>
          <w:sz w:val="21"/>
          <w:szCs w:val="21"/>
          <w:highlight w:val="none"/>
          <w:u w:val="single"/>
        </w:rPr>
        <w:t>工程</w:t>
      </w:r>
      <w:r>
        <w:rPr>
          <w:rFonts w:hint="eastAsia" w:ascii="宋体" w:hAnsi="宋体" w:eastAsia="宋体"/>
          <w:color w:val="auto"/>
          <w:sz w:val="21"/>
          <w:szCs w:val="21"/>
          <w:highlight w:val="none"/>
        </w:rPr>
        <w:t>，注册执业单位为本公司</w:t>
      </w:r>
      <w:r>
        <w:rPr>
          <w:rFonts w:hint="eastAsia" w:ascii="宋体" w:hAnsi="宋体" w:eastAsia="宋体"/>
          <w:strike w:val="0"/>
          <w:dstrike w:val="0"/>
          <w:color w:val="auto"/>
          <w:sz w:val="21"/>
          <w:szCs w:val="21"/>
          <w:highlight w:val="none"/>
        </w:rPr>
        <w:t>，</w:t>
      </w:r>
      <w:r>
        <w:rPr>
          <w:rFonts w:hint="eastAsia" w:ascii="宋体" w:hAnsi="宋体" w:eastAsia="宋体"/>
          <w:strike w:val="0"/>
          <w:dstrike w:val="0"/>
          <w:color w:val="auto"/>
          <w:sz w:val="21"/>
          <w:szCs w:val="21"/>
          <w:highlight w:val="none"/>
          <w:u w:val="single"/>
        </w:rPr>
        <w:t>并具有本科或以上的学历</w:t>
      </w:r>
      <w:r>
        <w:rPr>
          <w:rFonts w:hint="eastAsia" w:ascii="宋体" w:hAnsi="宋体" w:eastAsia="宋体"/>
          <w:color w:val="auto"/>
          <w:sz w:val="21"/>
          <w:szCs w:val="21"/>
          <w:highlight w:val="none"/>
        </w:rPr>
        <w:t>。</w:t>
      </w:r>
    </w:p>
    <w:p>
      <w:pPr>
        <w:pStyle w:val="3"/>
        <w:spacing w:line="400" w:lineRule="exact"/>
        <w:ind w:left="105" w:leftChars="50" w:firstLine="315" w:firstLineChars="15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（2）专业监理人员配套要求：</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根据项目进度、专业需求及建设单位要求驻工地。各专业人员可根据工程进度及建设单位要求派驻现场，应满足施工时监理人员旁站监理的要求。</w:t>
      </w:r>
    </w:p>
    <w:p>
      <w:pPr>
        <w:pStyle w:val="7"/>
        <w:rPr>
          <w:color w:val="auto"/>
          <w:highlight w:val="none"/>
        </w:rPr>
      </w:pPr>
      <w:r>
        <w:rPr>
          <w:rFonts w:hint="eastAsia"/>
          <w:color w:val="auto"/>
          <w:highlight w:val="none"/>
        </w:rPr>
        <w:t>7</w:t>
      </w:r>
      <w:r>
        <w:rPr>
          <w:color w:val="auto"/>
          <w:highlight w:val="none"/>
        </w:rPr>
        <w:t>.</w:t>
      </w:r>
      <w:r>
        <w:rPr>
          <w:rFonts w:hint="eastAsia"/>
          <w:color w:val="auto"/>
          <w:highlight w:val="none"/>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adjustRightInd w:val="0"/>
        <w:snapToGrid w:val="0"/>
        <w:spacing w:line="400" w:lineRule="exact"/>
        <w:ind w:firstLine="525" w:firstLineChars="250"/>
        <w:rPr>
          <w:rFonts w:ascii="宋体" w:hAnsi="宋体" w:eastAsia="宋体"/>
          <w:color w:val="auto"/>
          <w:sz w:val="21"/>
          <w:szCs w:val="21"/>
          <w:highlight w:val="none"/>
          <w:lang w:val="en-US"/>
        </w:rPr>
      </w:pPr>
      <w:r>
        <w:rPr>
          <w:rFonts w:hint="eastAsia" w:ascii="宋体" w:hAnsi="宋体" w:eastAsia="宋体"/>
          <w:color w:val="auto"/>
          <w:sz w:val="21"/>
          <w:szCs w:val="21"/>
          <w:highlight w:val="none"/>
          <w:lang w:val="en-US"/>
        </w:rPr>
        <w:t>8.造价咨询专业人员要求：</w:t>
      </w:r>
    </w:p>
    <w:p>
      <w:pPr>
        <w:adjustRightInd w:val="0"/>
        <w:snapToGrid w:val="0"/>
        <w:spacing w:line="400" w:lineRule="exact"/>
        <w:ind w:firstLine="420" w:firstLineChars="200"/>
        <w:rPr>
          <w:rFonts w:ascii="宋体" w:hAnsi="宋体" w:eastAsia="宋体"/>
          <w:color w:val="auto"/>
          <w:sz w:val="21"/>
          <w:szCs w:val="21"/>
          <w:highlight w:val="none"/>
          <w:lang w:val="en-US"/>
        </w:rPr>
      </w:pPr>
      <w:r>
        <w:rPr>
          <w:rFonts w:hint="eastAsia" w:ascii="宋体" w:hAnsi="宋体" w:eastAsia="宋体"/>
          <w:color w:val="auto"/>
          <w:sz w:val="21"/>
          <w:szCs w:val="21"/>
          <w:highlight w:val="none"/>
          <w:lang w:val="en-US"/>
        </w:rPr>
        <w:t>（1）造价咨询负责人：须具有</w:t>
      </w:r>
      <w:r>
        <w:rPr>
          <w:rFonts w:ascii="宋体" w:hAnsi="宋体" w:eastAsia="宋体"/>
          <w:color w:val="auto"/>
          <w:sz w:val="21"/>
          <w:szCs w:val="21"/>
          <w:highlight w:val="none"/>
          <w:lang w:val="en-US"/>
        </w:rPr>
        <w:t>一级</w:t>
      </w:r>
      <w:r>
        <w:rPr>
          <w:rFonts w:hint="eastAsia" w:ascii="宋体" w:hAnsi="宋体" w:eastAsia="宋体"/>
          <w:color w:val="auto"/>
          <w:sz w:val="21"/>
          <w:szCs w:val="21"/>
          <w:highlight w:val="none"/>
          <w:lang w:val="en-US"/>
        </w:rPr>
        <w:t>注册造价工程师资格（注册执业单位须与投标单位一致）。</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rPr>
        <w:t>（2）造价咨询专业人员技术要求：</w:t>
      </w:r>
      <w:r>
        <w:rPr>
          <w:rFonts w:hint="eastAsia" w:ascii="宋体" w:hAnsi="宋体" w:eastAsia="宋体"/>
          <w:color w:val="auto"/>
          <w:sz w:val="21"/>
          <w:szCs w:val="21"/>
          <w:highlight w:val="none"/>
        </w:rPr>
        <w:t>熟悉工程各专业的审核工作，并具备与投标人业务范围相对应的专业工程技术人员；具有足够的人力、物力等资源确保按时保质保量完成招标人委托的审核业务；应有健全的组织机构，有完善的内控制度、质量保证体系以及资料档案管理制度，有良好的服务态度和较好的社会信誉，有保证项目审核质量和进度的措施。</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rPr>
        <w:t>3</w:t>
      </w:r>
      <w:r>
        <w:rPr>
          <w:rFonts w:hint="eastAsia" w:ascii="宋体" w:hAnsi="宋体" w:eastAsia="宋体"/>
          <w:color w:val="auto"/>
          <w:sz w:val="21"/>
          <w:szCs w:val="21"/>
          <w:highlight w:val="none"/>
        </w:rPr>
        <w:t>）如委托方认为造价咨询单位派出的审核人员不足以按质、按期完成审核任务，造价咨询单位应按委托方要求增派符合本项目造价咨询服务人员配置要求的审核人员。如委托方认为造价咨询单位派出的审核人员不能胜任工作，委托方有权要求造价咨询单位更换审核人员。</w:t>
      </w:r>
    </w:p>
    <w:p>
      <w:p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rPr>
        <w:t>4</w:t>
      </w:r>
      <w:r>
        <w:rPr>
          <w:rFonts w:hint="eastAsia" w:ascii="宋体" w:hAnsi="宋体" w:eastAsia="宋体"/>
          <w:color w:val="auto"/>
          <w:sz w:val="21"/>
          <w:szCs w:val="21"/>
          <w:highlight w:val="none"/>
        </w:rPr>
        <w:t>）造价咨询单位须独立完成委托方委托的审核业务，不得将审核任务转让第三方完成，保证项目资料的完整，不得遗失、损坏项目资料，并按委托方的要求按期做好已完项目的相关资料移交和归档工作。未经委托方同意，不得以任何形式向任何单位或个人披露审核项目有关的信息，不得对外提供、泄露审核有关情况。</w:t>
      </w:r>
    </w:p>
    <w:p>
      <w:pPr>
        <w:pStyle w:val="7"/>
        <w:rPr>
          <w:color w:val="auto"/>
          <w:highlight w:val="none"/>
          <w:lang w:val="en-US"/>
        </w:rPr>
      </w:pPr>
      <w:r>
        <w:rPr>
          <w:rFonts w:hint="eastAsia"/>
          <w:color w:val="auto"/>
          <w:highlight w:val="none"/>
          <w:lang w:val="en-US"/>
        </w:rPr>
        <w:t>9.造价咨询单位（中标后）要求</w:t>
      </w:r>
    </w:p>
    <w:p>
      <w:pPr>
        <w:pStyle w:val="7"/>
        <w:rPr>
          <w:color w:val="auto"/>
          <w:highlight w:val="none"/>
          <w:lang w:val="en-US"/>
        </w:rPr>
      </w:pPr>
      <w:r>
        <w:rPr>
          <w:rFonts w:hint="eastAsia"/>
          <w:color w:val="auto"/>
          <w:highlight w:val="none"/>
          <w:lang w:val="en-US"/>
        </w:rPr>
        <w:t>（1）造价咨询单位应严格按照国家和省、市有关财政、财务、基建管理、工程造价的法规、政策文件的有关规定、以及招标人有关投资管控与造价管理的相关规定和对审核成果文件的要求，本着合理、合规节约投资的原则，客观、公正地开展项目审核工作，不得违反国家及工程所在地的强制性标准、规范，按时保质保量提供审核服务，对审核成果的真实性、准确性、完整性、合法性、合理性负责，并负有保密责任。</w:t>
      </w:r>
    </w:p>
    <w:p>
      <w:pPr>
        <w:pStyle w:val="7"/>
        <w:rPr>
          <w:color w:val="auto"/>
          <w:highlight w:val="none"/>
          <w:lang w:val="en-US"/>
        </w:rPr>
      </w:pPr>
      <w:r>
        <w:rPr>
          <w:rFonts w:hint="eastAsia"/>
          <w:color w:val="auto"/>
          <w:highlight w:val="none"/>
          <w:lang w:val="en-US"/>
        </w:rPr>
        <w:t>（2）造价咨询单位应派出符合要求的人员，按委托方的有关规章制度开展审核工作。项目咨询人员应完整、准确、真实反映并记录审核过程中的工作情况，做好审核资料、工作底稿及相关图纸整理、归集和归档管理，并按规定格式和质量要求提供审核结论和审核成果文件。</w:t>
      </w:r>
    </w:p>
    <w:p>
      <w:pPr>
        <w:pStyle w:val="7"/>
        <w:rPr>
          <w:color w:val="auto"/>
          <w:highlight w:val="none"/>
          <w:lang w:val="en-US"/>
        </w:rPr>
      </w:pPr>
      <w:r>
        <w:rPr>
          <w:rFonts w:hint="eastAsia"/>
          <w:color w:val="auto"/>
          <w:highlight w:val="none"/>
          <w:lang w:val="en-US"/>
        </w:rPr>
        <w:t>（3）造价咨询单位应服从委托方颁布的工程造价相关管理办法。合同执行过程中，委托方颁布新的管理办法、细则或操作手册的，按最新制度执行。</w:t>
      </w:r>
    </w:p>
    <w:p>
      <w:pPr>
        <w:adjustRightInd w:val="0"/>
        <w:snapToGrid w:val="0"/>
        <w:spacing w:line="400" w:lineRule="exact"/>
        <w:ind w:firstLine="420" w:firstLineChars="200"/>
        <w:rPr>
          <w:rFonts w:ascii="宋体" w:hAnsi="宋体" w:eastAsia="宋体"/>
          <w:color w:val="auto"/>
          <w:sz w:val="21"/>
          <w:szCs w:val="21"/>
          <w:highlight w:val="none"/>
          <w:lang w:val="en-US"/>
        </w:rPr>
      </w:pPr>
      <w:r>
        <w:rPr>
          <w:rFonts w:hint="eastAsia" w:ascii="宋体" w:hAnsi="宋体" w:eastAsia="宋体"/>
          <w:color w:val="auto"/>
          <w:sz w:val="21"/>
          <w:szCs w:val="21"/>
          <w:highlight w:val="none"/>
          <w:lang w:val="en-US"/>
        </w:rPr>
        <w:t>10</w:t>
      </w:r>
      <w:r>
        <w:rPr>
          <w:rFonts w:ascii="宋体" w:hAnsi="宋体" w:eastAsia="宋体"/>
          <w:color w:val="auto"/>
          <w:sz w:val="21"/>
          <w:szCs w:val="21"/>
          <w:highlight w:val="none"/>
          <w:lang w:val="en-US"/>
        </w:rPr>
        <w:t>.</w:t>
      </w:r>
      <w:r>
        <w:rPr>
          <w:rFonts w:hint="eastAsia" w:ascii="宋体" w:hAnsi="宋体" w:eastAsia="宋体"/>
          <w:color w:val="auto"/>
          <w:sz w:val="21"/>
          <w:szCs w:val="21"/>
          <w:highlight w:val="none"/>
          <w:lang w:val="en-US"/>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adjustRightInd w:val="0"/>
        <w:snapToGrid w:val="0"/>
        <w:spacing w:line="400" w:lineRule="exact"/>
        <w:ind w:firstLine="525" w:firstLineChars="250"/>
        <w:rPr>
          <w:rFonts w:ascii="宋体" w:hAnsi="宋体" w:eastAsia="宋体"/>
          <w:color w:val="auto"/>
          <w:sz w:val="21"/>
          <w:szCs w:val="21"/>
          <w:highlight w:val="none"/>
        </w:rPr>
      </w:pPr>
      <w:r>
        <w:rPr>
          <w:rFonts w:hint="eastAsia" w:ascii="宋体" w:hAnsi="宋体" w:eastAsia="宋体"/>
          <w:color w:val="auto"/>
          <w:sz w:val="21"/>
          <w:szCs w:val="21"/>
          <w:highlight w:val="none"/>
          <w:lang w:val="en-US"/>
        </w:rPr>
        <w:t>11</w:t>
      </w:r>
      <w:r>
        <w:rPr>
          <w:rFonts w:ascii="宋体" w:hAnsi="宋体" w:eastAsia="宋体"/>
          <w:color w:val="auto"/>
          <w:sz w:val="21"/>
          <w:szCs w:val="21"/>
          <w:highlight w:val="none"/>
        </w:rPr>
        <w:t>. 其他要求</w:t>
      </w:r>
    </w:p>
    <w:p>
      <w:pPr>
        <w:pStyle w:val="7"/>
        <w:rPr>
          <w:color w:val="auto"/>
          <w:highlight w:val="none"/>
        </w:rPr>
      </w:pPr>
      <w:r>
        <w:rPr>
          <w:rFonts w:hint="eastAsia"/>
          <w:color w:val="auto"/>
          <w:highlight w:val="none"/>
        </w:rPr>
        <w:t>按国家相关法规执行监理工作。</w:t>
      </w:r>
    </w:p>
    <w:p>
      <w:pPr>
        <w:adjustRightInd w:val="0"/>
        <w:snapToGrid w:val="0"/>
        <w:spacing w:line="400" w:lineRule="exact"/>
        <w:rPr>
          <w:color w:val="auto"/>
          <w:sz w:val="24"/>
          <w:szCs w:val="24"/>
          <w:highlight w:val="none"/>
        </w:rPr>
      </w:pPr>
      <w:bookmarkStart w:id="42" w:name="_bookmark164"/>
      <w:bookmarkEnd w:id="42"/>
      <w:r>
        <w:rPr>
          <w:rFonts w:hint="eastAsia"/>
          <w:b/>
          <w:bCs/>
          <w:color w:val="auto"/>
          <w:sz w:val="24"/>
          <w:szCs w:val="24"/>
          <w:highlight w:val="none"/>
        </w:rPr>
        <w:t>二、适用规范标准</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1.</w:t>
      </w:r>
      <w:r>
        <w:rPr>
          <w:rFonts w:hint="eastAsia"/>
          <w:color w:val="auto"/>
          <w:spacing w:val="-3"/>
          <w:sz w:val="21"/>
          <w:szCs w:val="21"/>
          <w:highlight w:val="none"/>
        </w:rPr>
        <w:t>国家、行业、项目所在地规范名录</w:t>
      </w:r>
      <w:r>
        <w:rPr>
          <w:rFonts w:hint="eastAsia"/>
          <w:color w:val="auto"/>
          <w:sz w:val="21"/>
          <w:szCs w:val="21"/>
          <w:highlight w:val="none"/>
        </w:rPr>
        <w:t>：</w:t>
      </w:r>
      <w:r>
        <w:rPr>
          <w:rFonts w:hint="eastAsia"/>
          <w:color w:val="auto"/>
          <w:sz w:val="21"/>
          <w:szCs w:val="21"/>
          <w:highlight w:val="none"/>
          <w:u w:val="single"/>
        </w:rPr>
        <w:t>《建设工程监理规范》</w:t>
      </w:r>
      <w:r>
        <w:rPr>
          <w:color w:val="auto"/>
          <w:sz w:val="21"/>
          <w:szCs w:val="21"/>
          <w:highlight w:val="none"/>
          <w:u w:val="single"/>
        </w:rPr>
        <w:t>GB/T50319-2013</w:t>
      </w:r>
      <w:r>
        <w:rPr>
          <w:rFonts w:hint="eastAsia"/>
          <w:color w:val="auto"/>
          <w:sz w:val="21"/>
          <w:szCs w:val="21"/>
          <w:highlight w:val="none"/>
          <w:u w:val="single"/>
        </w:rPr>
        <w:t>，按国家、行业、项目所在地规范名录执行。</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2.</w:t>
      </w:r>
      <w:r>
        <w:rPr>
          <w:rFonts w:hint="eastAsia"/>
          <w:color w:val="auto"/>
          <w:spacing w:val="-3"/>
          <w:sz w:val="21"/>
          <w:szCs w:val="21"/>
          <w:highlight w:val="none"/>
        </w:rPr>
        <w:t>国家、行业、项目所在地标准名录</w:t>
      </w:r>
      <w:r>
        <w:rPr>
          <w:rFonts w:hint="eastAsia"/>
          <w:color w:val="auto"/>
          <w:sz w:val="21"/>
          <w:szCs w:val="21"/>
          <w:highlight w:val="none"/>
        </w:rPr>
        <w:t>：</w:t>
      </w:r>
      <w:r>
        <w:rPr>
          <w:rFonts w:hint="eastAsia"/>
          <w:color w:val="auto"/>
          <w:sz w:val="21"/>
          <w:szCs w:val="21"/>
          <w:highlight w:val="none"/>
          <w:u w:val="single"/>
        </w:rPr>
        <w:t>按国家、行业、项目所在地规范标准执行。</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3.</w:t>
      </w:r>
      <w:r>
        <w:rPr>
          <w:rFonts w:hint="eastAsia"/>
          <w:color w:val="auto"/>
          <w:spacing w:val="-3"/>
          <w:sz w:val="21"/>
          <w:szCs w:val="21"/>
          <w:highlight w:val="none"/>
        </w:rPr>
        <w:t>国家、行业、项目所在地规程名录</w:t>
      </w:r>
      <w:r>
        <w:rPr>
          <w:rFonts w:hint="eastAsia"/>
          <w:color w:val="auto"/>
          <w:sz w:val="21"/>
          <w:szCs w:val="21"/>
          <w:highlight w:val="none"/>
        </w:rPr>
        <w:t>：</w:t>
      </w:r>
      <w:r>
        <w:rPr>
          <w:rFonts w:hint="eastAsia"/>
          <w:color w:val="auto"/>
          <w:sz w:val="21"/>
          <w:szCs w:val="21"/>
          <w:highlight w:val="none"/>
          <w:u w:val="single"/>
        </w:rPr>
        <w:t>按国家、行业、项目所在地规范标准执行。</w:t>
      </w:r>
    </w:p>
    <w:p>
      <w:pPr>
        <w:adjustRightInd w:val="0"/>
        <w:snapToGrid w:val="0"/>
        <w:spacing w:line="400" w:lineRule="exact"/>
        <w:rPr>
          <w:color w:val="auto"/>
          <w:sz w:val="24"/>
          <w:szCs w:val="24"/>
          <w:highlight w:val="none"/>
        </w:rPr>
      </w:pPr>
      <w:bookmarkStart w:id="43" w:name="_bookmark165"/>
      <w:bookmarkEnd w:id="43"/>
      <w:r>
        <w:rPr>
          <w:rFonts w:hint="eastAsia"/>
          <w:b/>
          <w:bCs/>
          <w:color w:val="auto"/>
          <w:sz w:val="24"/>
          <w:szCs w:val="24"/>
          <w:highlight w:val="none"/>
        </w:rPr>
        <w:t>三、成果文件要求</w:t>
      </w:r>
    </w:p>
    <w:p>
      <w:pPr>
        <w:pStyle w:val="7"/>
        <w:rPr>
          <w:color w:val="auto"/>
          <w:highlight w:val="none"/>
        </w:rPr>
      </w:pPr>
      <w:r>
        <w:rPr>
          <w:rFonts w:hint="eastAsia"/>
          <w:color w:val="auto"/>
          <w:highlight w:val="none"/>
        </w:rPr>
        <w:t>按《建设工程监理规范》（</w:t>
      </w:r>
      <w:r>
        <w:rPr>
          <w:color w:val="auto"/>
          <w:highlight w:val="none"/>
        </w:rPr>
        <w:t>GB/T50319-2013</w:t>
      </w:r>
      <w:r>
        <w:rPr>
          <w:rFonts w:hint="eastAsia"/>
          <w:color w:val="auto"/>
          <w:highlight w:val="none"/>
        </w:rPr>
        <w:t>）和招标人要求</w:t>
      </w:r>
    </w:p>
    <w:p>
      <w:pPr>
        <w:pStyle w:val="7"/>
        <w:rPr>
          <w:color w:val="auto"/>
          <w:highlight w:val="none"/>
        </w:rPr>
      </w:pPr>
      <w:r>
        <w:rPr>
          <w:rFonts w:hint="eastAsia"/>
          <w:color w:val="auto"/>
          <w:highlight w:val="none"/>
          <w:lang w:val="en-US"/>
        </w:rPr>
        <w:t>1.</w:t>
      </w:r>
      <w:r>
        <w:rPr>
          <w:rFonts w:hint="eastAsia"/>
          <w:color w:val="auto"/>
          <w:highlight w:val="none"/>
        </w:rPr>
        <w:t>成果文件的组成</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w:t>
      </w:r>
      <w:r>
        <w:rPr>
          <w:rFonts w:hint="eastAsia"/>
          <w:color w:val="auto"/>
          <w:sz w:val="21"/>
          <w:szCs w:val="21"/>
          <w:highlight w:val="none"/>
          <w:u w:val="single"/>
        </w:rPr>
        <w:t>）勘察设计文件、建设工程监理合同及其他合同文件；</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2</w:t>
      </w:r>
      <w:r>
        <w:rPr>
          <w:rFonts w:hint="eastAsia"/>
          <w:color w:val="auto"/>
          <w:sz w:val="21"/>
          <w:szCs w:val="21"/>
          <w:highlight w:val="none"/>
          <w:u w:val="single"/>
        </w:rPr>
        <w:t>）监理规划、监理实施细则；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3</w:t>
      </w:r>
      <w:r>
        <w:rPr>
          <w:rFonts w:hint="eastAsia"/>
          <w:color w:val="auto"/>
          <w:sz w:val="21"/>
          <w:szCs w:val="21"/>
          <w:highlight w:val="none"/>
          <w:u w:val="single"/>
        </w:rPr>
        <w:t>）设计交底和图纸会审会议纪要；</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4</w:t>
      </w:r>
      <w:r>
        <w:rPr>
          <w:rFonts w:hint="eastAsia"/>
          <w:color w:val="auto"/>
          <w:sz w:val="21"/>
          <w:szCs w:val="21"/>
          <w:highlight w:val="none"/>
          <w:u w:val="single"/>
        </w:rPr>
        <w:t>）施工组织设计、（专项）施工方案、施工进度计划报审文件资料；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5</w:t>
      </w:r>
      <w:r>
        <w:rPr>
          <w:rFonts w:hint="eastAsia"/>
          <w:color w:val="auto"/>
          <w:sz w:val="21"/>
          <w:szCs w:val="21"/>
          <w:highlight w:val="none"/>
          <w:u w:val="single"/>
        </w:rPr>
        <w:t>）分包单位（如有）资格报审文件资料；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6</w:t>
      </w:r>
      <w:r>
        <w:rPr>
          <w:rFonts w:hint="eastAsia"/>
          <w:color w:val="auto"/>
          <w:sz w:val="21"/>
          <w:szCs w:val="21"/>
          <w:highlight w:val="none"/>
          <w:u w:val="single"/>
        </w:rPr>
        <w:t>）施工控制测量成果报验文件资料；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7</w:t>
      </w:r>
      <w:r>
        <w:rPr>
          <w:rFonts w:hint="eastAsia"/>
          <w:color w:val="auto"/>
          <w:sz w:val="21"/>
          <w:szCs w:val="21"/>
          <w:highlight w:val="none"/>
          <w:u w:val="single"/>
        </w:rPr>
        <w:t>）总监理工程师任命书、工程开工令、暂停令、复工令、开工或复工报审文件资料；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8</w:t>
      </w:r>
      <w:r>
        <w:rPr>
          <w:rFonts w:hint="eastAsia"/>
          <w:color w:val="auto"/>
          <w:sz w:val="21"/>
          <w:szCs w:val="21"/>
          <w:highlight w:val="none"/>
          <w:u w:val="single"/>
        </w:rPr>
        <w:t>）工程材料、设备、构配件报验文件资料；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9</w:t>
      </w:r>
      <w:r>
        <w:rPr>
          <w:rFonts w:hint="eastAsia"/>
          <w:color w:val="auto"/>
          <w:sz w:val="21"/>
          <w:szCs w:val="21"/>
          <w:highlight w:val="none"/>
          <w:u w:val="single"/>
        </w:rPr>
        <w:t>）见证取样和平行检验文件资料；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10</w:t>
      </w:r>
      <w:r>
        <w:rPr>
          <w:rFonts w:hint="eastAsia"/>
          <w:color w:val="auto"/>
          <w:sz w:val="21"/>
          <w:szCs w:val="21"/>
          <w:highlight w:val="none"/>
          <w:u w:val="single"/>
        </w:rPr>
        <w:t>）工程质量检查报验资料及工程有关验收资料；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11</w:t>
      </w:r>
      <w:r>
        <w:rPr>
          <w:rFonts w:hint="eastAsia"/>
          <w:color w:val="auto"/>
          <w:sz w:val="21"/>
          <w:szCs w:val="21"/>
          <w:highlight w:val="none"/>
          <w:u w:val="single"/>
        </w:rPr>
        <w:t>）工程变更、费用索赔及工程延期文件资料；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12</w:t>
      </w:r>
      <w:r>
        <w:rPr>
          <w:rFonts w:hint="eastAsia"/>
          <w:color w:val="auto"/>
          <w:sz w:val="21"/>
          <w:szCs w:val="21"/>
          <w:highlight w:val="none"/>
          <w:u w:val="single"/>
        </w:rPr>
        <w:t>）工程计量、工程款支付文件资料；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13</w:t>
      </w:r>
      <w:r>
        <w:rPr>
          <w:rFonts w:hint="eastAsia"/>
          <w:color w:val="auto"/>
          <w:sz w:val="21"/>
          <w:szCs w:val="21"/>
          <w:highlight w:val="none"/>
          <w:u w:val="single"/>
        </w:rPr>
        <w:t>）监理通知单、工作联系单与监理报告；</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14</w:t>
      </w:r>
      <w:r>
        <w:rPr>
          <w:rFonts w:hint="eastAsia"/>
          <w:color w:val="auto"/>
          <w:sz w:val="21"/>
          <w:szCs w:val="21"/>
          <w:highlight w:val="none"/>
          <w:u w:val="single"/>
        </w:rPr>
        <w:t>）第一次工地会议、监理例会、专题会议等会议纪要；</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15</w:t>
      </w:r>
      <w:r>
        <w:rPr>
          <w:rFonts w:hint="eastAsia"/>
          <w:color w:val="auto"/>
          <w:sz w:val="21"/>
          <w:szCs w:val="21"/>
          <w:highlight w:val="none"/>
          <w:u w:val="single"/>
        </w:rPr>
        <w:t>）监理月报、监理日志、旁站记录；</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16</w:t>
      </w:r>
      <w:r>
        <w:rPr>
          <w:rFonts w:hint="eastAsia"/>
          <w:color w:val="auto"/>
          <w:sz w:val="21"/>
          <w:szCs w:val="21"/>
          <w:highlight w:val="none"/>
          <w:u w:val="single"/>
        </w:rPr>
        <w:t>）工程质量或生产安全事故处理文件资料；</w:t>
      </w:r>
    </w:p>
    <w:p>
      <w:pPr>
        <w:tabs>
          <w:tab w:val="left" w:pos="680"/>
        </w:tabs>
        <w:adjustRightInd w:val="0"/>
        <w:snapToGrid w:val="0"/>
        <w:spacing w:line="400" w:lineRule="exact"/>
        <w:ind w:firstLine="420" w:firstLineChars="200"/>
        <w:rPr>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17</w:t>
      </w:r>
      <w:r>
        <w:rPr>
          <w:rFonts w:hint="eastAsia"/>
          <w:color w:val="auto"/>
          <w:sz w:val="21"/>
          <w:szCs w:val="21"/>
          <w:highlight w:val="none"/>
          <w:u w:val="single"/>
        </w:rPr>
        <w:t>）工程质量评估报告及竣工验收监理文件资料；</w:t>
      </w:r>
    </w:p>
    <w:p>
      <w:pPr>
        <w:pStyle w:val="21"/>
        <w:tabs>
          <w:tab w:val="left" w:pos="925"/>
        </w:tabs>
        <w:adjustRightInd w:val="0"/>
        <w:snapToGrid w:val="0"/>
        <w:spacing w:line="400" w:lineRule="exact"/>
        <w:ind w:left="0" w:firstLine="420" w:firstLineChars="200"/>
        <w:rPr>
          <w:color w:val="auto"/>
          <w:sz w:val="21"/>
          <w:szCs w:val="21"/>
          <w:highlight w:val="none"/>
        </w:rPr>
      </w:pPr>
      <w:r>
        <w:rPr>
          <w:rFonts w:hint="eastAsia"/>
          <w:color w:val="auto"/>
          <w:sz w:val="21"/>
          <w:szCs w:val="21"/>
          <w:highlight w:val="none"/>
          <w:u w:val="single"/>
        </w:rPr>
        <w:t>（</w:t>
      </w:r>
      <w:r>
        <w:rPr>
          <w:rFonts w:hint="eastAsia"/>
          <w:color w:val="auto"/>
          <w:sz w:val="21"/>
          <w:szCs w:val="21"/>
          <w:highlight w:val="none"/>
          <w:u w:val="single"/>
          <w:lang w:val="en-US"/>
        </w:rPr>
        <w:t>18</w:t>
      </w:r>
      <w:r>
        <w:rPr>
          <w:rFonts w:hint="eastAsia"/>
          <w:color w:val="auto"/>
          <w:sz w:val="21"/>
          <w:szCs w:val="21"/>
          <w:highlight w:val="none"/>
          <w:u w:val="single"/>
        </w:rPr>
        <w:t>）监理工作总结。</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2.</w:t>
      </w:r>
      <w:r>
        <w:rPr>
          <w:rFonts w:hint="eastAsia"/>
          <w:color w:val="auto"/>
          <w:spacing w:val="-3"/>
          <w:sz w:val="21"/>
          <w:szCs w:val="21"/>
          <w:highlight w:val="none"/>
        </w:rPr>
        <w:t>成果文件的深度</w:t>
      </w:r>
      <w:r>
        <w:rPr>
          <w:rFonts w:hint="eastAsia"/>
          <w:color w:val="auto"/>
          <w:sz w:val="21"/>
          <w:szCs w:val="21"/>
          <w:highlight w:val="none"/>
        </w:rPr>
        <w:t>:</w:t>
      </w:r>
      <w:r>
        <w:rPr>
          <w:rFonts w:hint="eastAsia"/>
          <w:color w:val="auto"/>
          <w:sz w:val="21"/>
          <w:szCs w:val="21"/>
          <w:highlight w:val="none"/>
          <w:u w:val="single"/>
        </w:rPr>
        <w:t xml:space="preserve"> 满足本项目监理服务要求。</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3.</w:t>
      </w:r>
      <w:r>
        <w:rPr>
          <w:rFonts w:hint="eastAsia"/>
          <w:color w:val="auto"/>
          <w:spacing w:val="-3"/>
          <w:sz w:val="21"/>
          <w:szCs w:val="21"/>
          <w:highlight w:val="none"/>
        </w:rPr>
        <w:t>成果文件的格式要求</w:t>
      </w:r>
      <w:r>
        <w:rPr>
          <w:rFonts w:hint="eastAsia"/>
          <w:color w:val="auto"/>
          <w:sz w:val="21"/>
          <w:szCs w:val="21"/>
          <w:highlight w:val="none"/>
        </w:rPr>
        <w:t>:</w:t>
      </w:r>
      <w:r>
        <w:rPr>
          <w:rFonts w:hint="eastAsia"/>
          <w:color w:val="auto"/>
          <w:sz w:val="21"/>
          <w:szCs w:val="21"/>
          <w:highlight w:val="none"/>
          <w:u w:val="single"/>
        </w:rPr>
        <w:t xml:space="preserve"> 满足本项目监理服务要求。</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4.</w:t>
      </w:r>
      <w:r>
        <w:rPr>
          <w:rFonts w:hint="eastAsia"/>
          <w:color w:val="auto"/>
          <w:spacing w:val="-3"/>
          <w:sz w:val="21"/>
          <w:szCs w:val="21"/>
          <w:highlight w:val="none"/>
        </w:rPr>
        <w:t>成果文件的份数要求</w:t>
      </w:r>
      <w:r>
        <w:rPr>
          <w:rFonts w:hint="eastAsia"/>
          <w:color w:val="auto"/>
          <w:sz w:val="21"/>
          <w:szCs w:val="21"/>
          <w:highlight w:val="none"/>
        </w:rPr>
        <w:t>:</w:t>
      </w:r>
      <w:r>
        <w:rPr>
          <w:rFonts w:hint="eastAsia"/>
          <w:color w:val="auto"/>
          <w:sz w:val="21"/>
          <w:szCs w:val="21"/>
          <w:highlight w:val="none"/>
          <w:u w:val="single"/>
        </w:rPr>
        <w:t xml:space="preserve"> 一式六份。</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5.</w:t>
      </w:r>
      <w:r>
        <w:rPr>
          <w:rFonts w:hint="eastAsia"/>
          <w:color w:val="auto"/>
          <w:spacing w:val="-3"/>
          <w:sz w:val="21"/>
          <w:szCs w:val="21"/>
          <w:highlight w:val="none"/>
        </w:rPr>
        <w:t>成果文件的载体要求</w:t>
      </w:r>
    </w:p>
    <w:p>
      <w:pPr>
        <w:pStyle w:val="21"/>
        <w:tabs>
          <w:tab w:val="left" w:pos="1190"/>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rPr>
        <w:t>（</w:t>
      </w:r>
      <w:r>
        <w:rPr>
          <w:rFonts w:hint="eastAsia"/>
          <w:color w:val="auto"/>
          <w:spacing w:val="-3"/>
          <w:sz w:val="21"/>
          <w:szCs w:val="21"/>
          <w:highlight w:val="none"/>
          <w:lang w:val="en-US"/>
        </w:rPr>
        <w:t>1</w:t>
      </w:r>
      <w:r>
        <w:rPr>
          <w:rFonts w:hint="eastAsia"/>
          <w:color w:val="auto"/>
          <w:spacing w:val="-3"/>
          <w:sz w:val="21"/>
          <w:szCs w:val="21"/>
          <w:highlight w:val="none"/>
        </w:rPr>
        <w:t>）纸质版的要求</w:t>
      </w:r>
      <w:r>
        <w:rPr>
          <w:rFonts w:hint="eastAsia"/>
          <w:color w:val="auto"/>
          <w:sz w:val="21"/>
          <w:szCs w:val="21"/>
          <w:highlight w:val="none"/>
        </w:rPr>
        <w:t>:</w:t>
      </w:r>
      <w:r>
        <w:rPr>
          <w:rFonts w:hint="eastAsia"/>
          <w:color w:val="auto"/>
          <w:sz w:val="21"/>
          <w:szCs w:val="21"/>
          <w:highlight w:val="none"/>
          <w:u w:val="single"/>
        </w:rPr>
        <w:t xml:space="preserve"> 一式六份。</w:t>
      </w:r>
    </w:p>
    <w:p>
      <w:pPr>
        <w:pStyle w:val="21"/>
        <w:tabs>
          <w:tab w:val="left" w:pos="1190"/>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rPr>
        <w:t>（</w:t>
      </w:r>
      <w:r>
        <w:rPr>
          <w:rFonts w:hint="eastAsia"/>
          <w:color w:val="auto"/>
          <w:spacing w:val="-3"/>
          <w:sz w:val="21"/>
          <w:szCs w:val="21"/>
          <w:highlight w:val="none"/>
          <w:lang w:val="en-US"/>
        </w:rPr>
        <w:t>2</w:t>
      </w:r>
      <w:r>
        <w:rPr>
          <w:rFonts w:hint="eastAsia"/>
          <w:color w:val="auto"/>
          <w:spacing w:val="-3"/>
          <w:sz w:val="21"/>
          <w:szCs w:val="21"/>
          <w:highlight w:val="none"/>
        </w:rPr>
        <w:t>）电子版的要求</w:t>
      </w:r>
      <w:r>
        <w:rPr>
          <w:rFonts w:hint="eastAsia"/>
          <w:color w:val="auto"/>
          <w:sz w:val="21"/>
          <w:szCs w:val="21"/>
          <w:highlight w:val="none"/>
        </w:rPr>
        <w:t>:</w:t>
      </w:r>
      <w:r>
        <w:rPr>
          <w:rFonts w:hint="eastAsia"/>
          <w:color w:val="auto"/>
          <w:sz w:val="21"/>
          <w:szCs w:val="21"/>
          <w:highlight w:val="none"/>
          <w:u w:val="single"/>
        </w:rPr>
        <w:t xml:space="preserve"> 与纸质版一致的电子版文件</w:t>
      </w:r>
    </w:p>
    <w:p>
      <w:pPr>
        <w:pStyle w:val="21"/>
        <w:tabs>
          <w:tab w:val="left" w:pos="1190"/>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rPr>
        <w:t>（</w:t>
      </w:r>
      <w:r>
        <w:rPr>
          <w:rFonts w:hint="eastAsia"/>
          <w:color w:val="auto"/>
          <w:spacing w:val="-3"/>
          <w:sz w:val="21"/>
          <w:szCs w:val="21"/>
          <w:highlight w:val="none"/>
          <w:lang w:val="en-US"/>
        </w:rPr>
        <w:t>3</w:t>
      </w:r>
      <w:r>
        <w:rPr>
          <w:rFonts w:hint="eastAsia"/>
          <w:color w:val="auto"/>
          <w:spacing w:val="-3"/>
          <w:sz w:val="21"/>
          <w:szCs w:val="21"/>
          <w:highlight w:val="none"/>
        </w:rPr>
        <w:t>）其他要求。</w:t>
      </w:r>
    </w:p>
    <w:p>
      <w:pPr>
        <w:pStyle w:val="21"/>
        <w:tabs>
          <w:tab w:val="left" w:pos="925"/>
        </w:tabs>
        <w:adjustRightInd w:val="0"/>
        <w:snapToGrid w:val="0"/>
        <w:spacing w:line="400" w:lineRule="exact"/>
        <w:ind w:left="0" w:firstLine="408" w:firstLineChars="200"/>
        <w:jc w:val="both"/>
        <w:rPr>
          <w:color w:val="auto"/>
          <w:sz w:val="21"/>
          <w:szCs w:val="21"/>
          <w:highlight w:val="none"/>
          <w:u w:val="single"/>
        </w:rPr>
      </w:pPr>
      <w:r>
        <w:rPr>
          <w:rFonts w:hint="eastAsia"/>
          <w:color w:val="auto"/>
          <w:spacing w:val="-3"/>
          <w:sz w:val="21"/>
          <w:szCs w:val="21"/>
          <w:highlight w:val="none"/>
          <w:lang w:val="en-US"/>
        </w:rPr>
        <w:t>6.</w:t>
      </w:r>
      <w:r>
        <w:rPr>
          <w:rFonts w:hint="eastAsia"/>
          <w:color w:val="auto"/>
          <w:spacing w:val="-3"/>
          <w:sz w:val="21"/>
          <w:szCs w:val="21"/>
          <w:highlight w:val="none"/>
        </w:rPr>
        <w:t>成果文件的其他要求</w:t>
      </w:r>
      <w:r>
        <w:rPr>
          <w:rFonts w:hint="eastAsia"/>
          <w:color w:val="auto"/>
          <w:sz w:val="21"/>
          <w:szCs w:val="21"/>
          <w:highlight w:val="none"/>
        </w:rPr>
        <w:t>:</w:t>
      </w:r>
      <w:r>
        <w:rPr>
          <w:rFonts w:hint="eastAsia"/>
          <w:color w:val="auto"/>
          <w:sz w:val="21"/>
          <w:szCs w:val="21"/>
          <w:highlight w:val="none"/>
          <w:u w:val="single"/>
        </w:rPr>
        <w:t xml:space="preserve"> 满足本项目监理服务要求。</w:t>
      </w:r>
      <w:bookmarkStart w:id="44" w:name="_bookmark166"/>
      <w:bookmarkEnd w:id="44"/>
    </w:p>
    <w:p>
      <w:pPr>
        <w:pStyle w:val="21"/>
        <w:tabs>
          <w:tab w:val="left" w:pos="925"/>
        </w:tabs>
        <w:adjustRightInd w:val="0"/>
        <w:snapToGrid w:val="0"/>
        <w:spacing w:line="400" w:lineRule="exact"/>
        <w:ind w:left="0" w:firstLine="0"/>
        <w:jc w:val="both"/>
        <w:rPr>
          <w:color w:val="auto"/>
          <w:sz w:val="24"/>
          <w:szCs w:val="24"/>
          <w:highlight w:val="none"/>
        </w:rPr>
      </w:pPr>
      <w:r>
        <w:rPr>
          <w:rFonts w:hint="eastAsia"/>
          <w:b/>
          <w:bCs/>
          <w:color w:val="auto"/>
          <w:sz w:val="24"/>
          <w:szCs w:val="24"/>
          <w:highlight w:val="none"/>
        </w:rPr>
        <w:t>四、委托人财产清单</w:t>
      </w:r>
    </w:p>
    <w:p>
      <w:pPr>
        <w:adjustRightInd w:val="0"/>
        <w:snapToGrid w:val="0"/>
        <w:spacing w:line="400" w:lineRule="exact"/>
        <w:ind w:firstLine="420" w:firstLineChars="200"/>
        <w:rPr>
          <w:color w:val="auto"/>
          <w:sz w:val="21"/>
          <w:szCs w:val="21"/>
          <w:highlight w:val="none"/>
        </w:rPr>
      </w:pPr>
      <w:bookmarkStart w:id="45" w:name="_bookmark167"/>
      <w:bookmarkEnd w:id="45"/>
      <w:r>
        <w:rPr>
          <w:rFonts w:hint="eastAsia"/>
          <w:color w:val="auto"/>
          <w:sz w:val="21"/>
          <w:szCs w:val="21"/>
          <w:highlight w:val="none"/>
        </w:rPr>
        <w:t>（一）委托人提供的设备、设施</w:t>
      </w:r>
    </w:p>
    <w:p>
      <w:pPr>
        <w:pStyle w:val="21"/>
        <w:tabs>
          <w:tab w:val="left" w:pos="925"/>
        </w:tabs>
        <w:adjustRightInd w:val="0"/>
        <w:snapToGrid w:val="0"/>
        <w:spacing w:line="400" w:lineRule="exact"/>
        <w:ind w:left="0" w:firstLine="408" w:firstLineChars="200"/>
        <w:jc w:val="both"/>
        <w:rPr>
          <w:color w:val="auto"/>
          <w:sz w:val="21"/>
          <w:szCs w:val="21"/>
          <w:highlight w:val="none"/>
        </w:rPr>
      </w:pPr>
      <w:r>
        <w:rPr>
          <w:rFonts w:hint="eastAsia"/>
          <w:color w:val="auto"/>
          <w:spacing w:val="-3"/>
          <w:sz w:val="21"/>
          <w:szCs w:val="21"/>
          <w:highlight w:val="none"/>
          <w:lang w:val="en-US"/>
        </w:rPr>
        <w:t>1.</w:t>
      </w:r>
      <w:r>
        <w:rPr>
          <w:rFonts w:hint="eastAsia"/>
          <w:color w:val="auto"/>
          <w:spacing w:val="-3"/>
          <w:sz w:val="21"/>
          <w:szCs w:val="21"/>
          <w:highlight w:val="none"/>
        </w:rPr>
        <w:t>委托人提供的办公房屋及冷暖设施</w:t>
      </w:r>
      <w:r>
        <w:rPr>
          <w:color w:val="auto"/>
          <w:sz w:val="21"/>
          <w:szCs w:val="21"/>
          <w:highlight w:val="none"/>
        </w:rPr>
        <w:t>：</w:t>
      </w:r>
      <w:r>
        <w:rPr>
          <w:rFonts w:hint="eastAsia"/>
          <w:color w:val="auto"/>
          <w:sz w:val="21"/>
          <w:szCs w:val="21"/>
          <w:highlight w:val="none"/>
          <w:u w:val="single"/>
        </w:rPr>
        <w:t>无；</w:t>
      </w:r>
    </w:p>
    <w:p>
      <w:pPr>
        <w:pStyle w:val="21"/>
        <w:tabs>
          <w:tab w:val="left" w:pos="925"/>
        </w:tabs>
        <w:adjustRightInd w:val="0"/>
        <w:snapToGrid w:val="0"/>
        <w:spacing w:line="400" w:lineRule="exact"/>
        <w:ind w:left="0" w:firstLine="408" w:firstLineChars="200"/>
        <w:jc w:val="both"/>
        <w:rPr>
          <w:color w:val="auto"/>
          <w:sz w:val="21"/>
          <w:szCs w:val="21"/>
          <w:highlight w:val="none"/>
        </w:rPr>
      </w:pPr>
      <w:r>
        <w:rPr>
          <w:rFonts w:hint="eastAsia"/>
          <w:color w:val="auto"/>
          <w:spacing w:val="-3"/>
          <w:sz w:val="21"/>
          <w:szCs w:val="21"/>
          <w:highlight w:val="none"/>
          <w:lang w:val="en-US"/>
        </w:rPr>
        <w:t>2.</w:t>
      </w:r>
      <w:r>
        <w:rPr>
          <w:rFonts w:hint="eastAsia"/>
          <w:color w:val="auto"/>
          <w:spacing w:val="-3"/>
          <w:sz w:val="21"/>
          <w:szCs w:val="21"/>
          <w:highlight w:val="none"/>
        </w:rPr>
        <w:t>委托人提供的设备清单</w:t>
      </w:r>
      <w:r>
        <w:rPr>
          <w:color w:val="auto"/>
          <w:sz w:val="21"/>
          <w:szCs w:val="21"/>
          <w:highlight w:val="none"/>
        </w:rPr>
        <w:t>：</w:t>
      </w:r>
      <w:r>
        <w:rPr>
          <w:rFonts w:hint="eastAsia"/>
          <w:color w:val="auto"/>
          <w:sz w:val="21"/>
          <w:szCs w:val="21"/>
          <w:highlight w:val="none"/>
          <w:u w:val="single"/>
        </w:rPr>
        <w:t>无；</w:t>
      </w:r>
    </w:p>
    <w:p>
      <w:pPr>
        <w:pStyle w:val="21"/>
        <w:tabs>
          <w:tab w:val="left" w:pos="925"/>
        </w:tabs>
        <w:adjustRightInd w:val="0"/>
        <w:snapToGrid w:val="0"/>
        <w:spacing w:line="400" w:lineRule="exact"/>
        <w:ind w:left="0" w:firstLine="408" w:firstLineChars="200"/>
        <w:jc w:val="both"/>
        <w:rPr>
          <w:color w:val="auto"/>
          <w:sz w:val="21"/>
          <w:szCs w:val="21"/>
          <w:highlight w:val="none"/>
        </w:rPr>
      </w:pPr>
      <w:r>
        <w:rPr>
          <w:rFonts w:hint="eastAsia"/>
          <w:color w:val="auto"/>
          <w:spacing w:val="-3"/>
          <w:sz w:val="21"/>
          <w:szCs w:val="21"/>
          <w:highlight w:val="none"/>
          <w:lang w:val="en-US"/>
        </w:rPr>
        <w:t>3.</w:t>
      </w:r>
      <w:r>
        <w:rPr>
          <w:rFonts w:hint="eastAsia"/>
          <w:color w:val="auto"/>
          <w:spacing w:val="-3"/>
          <w:sz w:val="21"/>
          <w:szCs w:val="21"/>
          <w:highlight w:val="none"/>
        </w:rPr>
        <w:t>委托人提供的设施清单</w:t>
      </w:r>
      <w:r>
        <w:rPr>
          <w:color w:val="auto"/>
          <w:sz w:val="21"/>
          <w:szCs w:val="21"/>
          <w:highlight w:val="none"/>
        </w:rPr>
        <w:t>：</w:t>
      </w:r>
      <w:r>
        <w:rPr>
          <w:rFonts w:hint="eastAsia"/>
          <w:color w:val="auto"/>
          <w:sz w:val="21"/>
          <w:szCs w:val="21"/>
          <w:highlight w:val="none"/>
          <w:u w:val="single"/>
        </w:rPr>
        <w:t>无；</w:t>
      </w:r>
    </w:p>
    <w:p>
      <w:pPr>
        <w:adjustRightInd w:val="0"/>
        <w:snapToGrid w:val="0"/>
        <w:spacing w:line="400" w:lineRule="exact"/>
        <w:rPr>
          <w:color w:val="auto"/>
          <w:sz w:val="24"/>
          <w:szCs w:val="24"/>
          <w:highlight w:val="none"/>
        </w:rPr>
      </w:pPr>
      <w:bookmarkStart w:id="46" w:name="_bookmark170"/>
      <w:bookmarkEnd w:id="46"/>
      <w:bookmarkStart w:id="47" w:name="_bookmark168"/>
      <w:bookmarkEnd w:id="47"/>
      <w:r>
        <w:rPr>
          <w:rFonts w:hint="eastAsia"/>
          <w:b/>
          <w:bCs/>
          <w:color w:val="auto"/>
          <w:sz w:val="24"/>
          <w:szCs w:val="24"/>
          <w:highlight w:val="none"/>
        </w:rPr>
        <w:t>五、委托人提供的便利条件</w:t>
      </w:r>
    </w:p>
    <w:p>
      <w:pPr>
        <w:pStyle w:val="21"/>
        <w:tabs>
          <w:tab w:val="left" w:pos="925"/>
        </w:tabs>
        <w:adjustRightInd w:val="0"/>
        <w:snapToGrid w:val="0"/>
        <w:spacing w:line="400" w:lineRule="exact"/>
        <w:ind w:left="0" w:firstLine="408" w:firstLineChars="200"/>
        <w:jc w:val="both"/>
        <w:rPr>
          <w:color w:val="auto"/>
          <w:sz w:val="21"/>
          <w:szCs w:val="21"/>
          <w:highlight w:val="none"/>
        </w:rPr>
      </w:pPr>
      <w:r>
        <w:rPr>
          <w:rFonts w:hint="eastAsia"/>
          <w:color w:val="auto"/>
          <w:spacing w:val="-3"/>
          <w:sz w:val="21"/>
          <w:szCs w:val="21"/>
          <w:highlight w:val="none"/>
          <w:lang w:val="en-US"/>
        </w:rPr>
        <w:t>1.</w:t>
      </w:r>
      <w:r>
        <w:rPr>
          <w:rFonts w:hint="eastAsia"/>
          <w:color w:val="auto"/>
          <w:spacing w:val="-3"/>
          <w:sz w:val="21"/>
          <w:szCs w:val="21"/>
          <w:highlight w:val="none"/>
        </w:rPr>
        <w:t>委托人提供的生活条件</w:t>
      </w:r>
      <w:r>
        <w:rPr>
          <w:color w:val="auto"/>
          <w:sz w:val="21"/>
          <w:szCs w:val="21"/>
          <w:highlight w:val="none"/>
        </w:rPr>
        <w:t>：</w:t>
      </w:r>
      <w:r>
        <w:rPr>
          <w:rFonts w:hint="eastAsia"/>
          <w:color w:val="auto"/>
          <w:sz w:val="21"/>
          <w:szCs w:val="21"/>
          <w:highlight w:val="none"/>
          <w:u w:val="single"/>
        </w:rPr>
        <w:t>无；</w:t>
      </w:r>
    </w:p>
    <w:p>
      <w:pPr>
        <w:pStyle w:val="21"/>
        <w:tabs>
          <w:tab w:val="left" w:pos="925"/>
        </w:tabs>
        <w:adjustRightInd w:val="0"/>
        <w:snapToGrid w:val="0"/>
        <w:spacing w:line="400" w:lineRule="exact"/>
        <w:ind w:left="0" w:firstLine="408" w:firstLineChars="200"/>
        <w:jc w:val="both"/>
        <w:rPr>
          <w:color w:val="auto"/>
          <w:sz w:val="21"/>
          <w:szCs w:val="21"/>
          <w:highlight w:val="none"/>
        </w:rPr>
      </w:pPr>
      <w:r>
        <w:rPr>
          <w:rFonts w:hint="eastAsia"/>
          <w:color w:val="auto"/>
          <w:spacing w:val="-3"/>
          <w:sz w:val="21"/>
          <w:szCs w:val="21"/>
          <w:highlight w:val="none"/>
          <w:lang w:val="en-US"/>
        </w:rPr>
        <w:t>2.</w:t>
      </w:r>
      <w:r>
        <w:rPr>
          <w:rFonts w:hint="eastAsia"/>
          <w:color w:val="auto"/>
          <w:spacing w:val="-3"/>
          <w:sz w:val="21"/>
          <w:szCs w:val="21"/>
          <w:highlight w:val="none"/>
        </w:rPr>
        <w:t>委托人提供的交通条件</w:t>
      </w:r>
      <w:r>
        <w:rPr>
          <w:color w:val="auto"/>
          <w:sz w:val="21"/>
          <w:szCs w:val="21"/>
          <w:highlight w:val="none"/>
        </w:rPr>
        <w:t>：</w:t>
      </w:r>
      <w:r>
        <w:rPr>
          <w:rFonts w:hint="eastAsia"/>
          <w:color w:val="auto"/>
          <w:sz w:val="21"/>
          <w:szCs w:val="21"/>
          <w:highlight w:val="none"/>
          <w:u w:val="single"/>
        </w:rPr>
        <w:t>无；</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3.</w:t>
      </w:r>
      <w:r>
        <w:rPr>
          <w:rFonts w:hint="eastAsia"/>
          <w:color w:val="auto"/>
          <w:spacing w:val="-3"/>
          <w:sz w:val="21"/>
          <w:szCs w:val="21"/>
          <w:highlight w:val="none"/>
        </w:rPr>
        <w:t>委托人提供的网络、通讯条件</w:t>
      </w:r>
      <w:r>
        <w:rPr>
          <w:color w:val="auto"/>
          <w:sz w:val="21"/>
          <w:szCs w:val="21"/>
          <w:highlight w:val="none"/>
        </w:rPr>
        <w:t>：</w:t>
      </w:r>
      <w:r>
        <w:rPr>
          <w:rFonts w:hint="eastAsia"/>
          <w:color w:val="auto"/>
          <w:sz w:val="21"/>
          <w:szCs w:val="21"/>
          <w:highlight w:val="none"/>
          <w:u w:val="single"/>
        </w:rPr>
        <w:t>无；</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4.</w:t>
      </w:r>
      <w:r>
        <w:rPr>
          <w:rFonts w:hint="eastAsia"/>
          <w:color w:val="auto"/>
          <w:spacing w:val="-3"/>
          <w:sz w:val="21"/>
          <w:szCs w:val="21"/>
          <w:highlight w:val="none"/>
        </w:rPr>
        <w:t>委托人提供的协助人员</w:t>
      </w:r>
      <w:r>
        <w:rPr>
          <w:color w:val="auto"/>
          <w:sz w:val="21"/>
          <w:szCs w:val="21"/>
          <w:highlight w:val="none"/>
        </w:rPr>
        <w:t>：</w:t>
      </w:r>
      <w:r>
        <w:rPr>
          <w:rFonts w:hint="eastAsia"/>
          <w:color w:val="auto"/>
          <w:sz w:val="21"/>
          <w:szCs w:val="21"/>
          <w:highlight w:val="none"/>
          <w:u w:val="single"/>
        </w:rPr>
        <w:t>无；</w:t>
      </w:r>
    </w:p>
    <w:p>
      <w:pPr>
        <w:adjustRightInd w:val="0"/>
        <w:snapToGrid w:val="0"/>
        <w:spacing w:line="400" w:lineRule="exact"/>
        <w:rPr>
          <w:color w:val="auto"/>
          <w:sz w:val="24"/>
          <w:szCs w:val="24"/>
          <w:highlight w:val="none"/>
        </w:rPr>
      </w:pPr>
      <w:bookmarkStart w:id="48" w:name="_bookmark171"/>
      <w:bookmarkEnd w:id="48"/>
      <w:r>
        <w:rPr>
          <w:rFonts w:hint="eastAsia"/>
          <w:b/>
          <w:bCs/>
          <w:color w:val="auto"/>
          <w:sz w:val="24"/>
          <w:szCs w:val="24"/>
          <w:highlight w:val="none"/>
        </w:rPr>
        <w:t>六、监理人需要自备的工作条件</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1.</w:t>
      </w:r>
      <w:r>
        <w:rPr>
          <w:rFonts w:hint="eastAsia"/>
          <w:color w:val="auto"/>
          <w:spacing w:val="-3"/>
          <w:sz w:val="21"/>
          <w:szCs w:val="21"/>
          <w:highlight w:val="none"/>
        </w:rPr>
        <w:t>监理人自备的工作手册：</w:t>
      </w:r>
      <w:r>
        <w:rPr>
          <w:rFonts w:hint="eastAsia"/>
          <w:color w:val="auto"/>
          <w:sz w:val="21"/>
          <w:szCs w:val="21"/>
          <w:highlight w:val="none"/>
          <w:u w:val="single"/>
        </w:rPr>
        <w:t>本项目必备的规范标准、图集等。</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2.</w:t>
      </w:r>
      <w:r>
        <w:rPr>
          <w:rFonts w:hint="eastAsia"/>
          <w:color w:val="auto"/>
          <w:spacing w:val="-3"/>
          <w:sz w:val="21"/>
          <w:szCs w:val="21"/>
          <w:highlight w:val="none"/>
        </w:rPr>
        <w:t>监理人自备的办公设备：</w:t>
      </w:r>
      <w:r>
        <w:rPr>
          <w:rFonts w:hint="eastAsia"/>
          <w:color w:val="auto"/>
          <w:sz w:val="21"/>
          <w:szCs w:val="21"/>
          <w:highlight w:val="none"/>
          <w:u w:val="single"/>
        </w:rPr>
        <w:t>电脑、软件、投影、打印机、复印机、照相机等。</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3.</w:t>
      </w:r>
      <w:r>
        <w:rPr>
          <w:rFonts w:hint="eastAsia"/>
          <w:color w:val="auto"/>
          <w:spacing w:val="-3"/>
          <w:sz w:val="21"/>
          <w:szCs w:val="21"/>
          <w:highlight w:val="none"/>
        </w:rPr>
        <w:t>监理人自备的交通工具：</w:t>
      </w:r>
      <w:r>
        <w:rPr>
          <w:rFonts w:hint="eastAsia"/>
          <w:color w:val="auto"/>
          <w:sz w:val="21"/>
          <w:szCs w:val="21"/>
          <w:highlight w:val="none"/>
          <w:u w:val="single"/>
        </w:rPr>
        <w:t>出行车辆等。</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4.</w:t>
      </w:r>
      <w:r>
        <w:rPr>
          <w:rFonts w:hint="eastAsia"/>
          <w:color w:val="auto"/>
          <w:spacing w:val="-3"/>
          <w:sz w:val="21"/>
          <w:szCs w:val="21"/>
          <w:highlight w:val="none"/>
        </w:rPr>
        <w:t>监理人自备的现场办公设施：</w:t>
      </w:r>
      <w:r>
        <w:rPr>
          <w:rFonts w:hint="eastAsia"/>
          <w:color w:val="auto"/>
          <w:sz w:val="21"/>
          <w:szCs w:val="21"/>
          <w:highlight w:val="none"/>
          <w:u w:val="single"/>
        </w:rPr>
        <w:t>与本项目监理人员规模相匹配的办公用房、办公桌椅、文件柜等。</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5.</w:t>
      </w:r>
      <w:r>
        <w:rPr>
          <w:rFonts w:hint="eastAsia"/>
          <w:color w:val="auto"/>
          <w:spacing w:val="-3"/>
          <w:sz w:val="21"/>
          <w:szCs w:val="21"/>
          <w:highlight w:val="none"/>
        </w:rPr>
        <w:t>监理人自备的安全设施：</w:t>
      </w:r>
      <w:r>
        <w:rPr>
          <w:rFonts w:hint="eastAsia"/>
          <w:color w:val="auto"/>
          <w:sz w:val="21"/>
          <w:szCs w:val="21"/>
          <w:highlight w:val="none"/>
          <w:u w:val="single"/>
        </w:rPr>
        <w:t>安全帽、安全鞋、手电筒等。</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6.</w:t>
      </w:r>
      <w:r>
        <w:rPr>
          <w:rFonts w:hint="eastAsia"/>
          <w:color w:val="auto"/>
          <w:spacing w:val="-3"/>
          <w:sz w:val="21"/>
          <w:szCs w:val="21"/>
          <w:highlight w:val="none"/>
        </w:rPr>
        <w:t>监理人自备的试验检测仪器、设备、工具</w:t>
      </w:r>
      <w:r>
        <w:rPr>
          <w:rFonts w:hint="eastAsia"/>
          <w:color w:val="auto"/>
          <w:sz w:val="21"/>
          <w:szCs w:val="21"/>
          <w:highlight w:val="none"/>
        </w:rPr>
        <w:t>：</w:t>
      </w:r>
      <w:r>
        <w:rPr>
          <w:rFonts w:hint="eastAsia"/>
          <w:color w:val="auto"/>
          <w:sz w:val="21"/>
          <w:szCs w:val="21"/>
          <w:highlight w:val="none"/>
          <w:u w:val="single"/>
        </w:rPr>
        <w:t>满足本项目监理服务要求。</w:t>
      </w:r>
    </w:p>
    <w:p>
      <w:pPr>
        <w:pStyle w:val="21"/>
        <w:tabs>
          <w:tab w:val="left" w:pos="925"/>
        </w:tabs>
        <w:adjustRightInd w:val="0"/>
        <w:snapToGrid w:val="0"/>
        <w:spacing w:line="400" w:lineRule="exact"/>
        <w:ind w:left="0" w:firstLine="408" w:firstLineChars="200"/>
        <w:rPr>
          <w:color w:val="auto"/>
          <w:sz w:val="21"/>
          <w:szCs w:val="21"/>
          <w:highlight w:val="none"/>
        </w:rPr>
      </w:pPr>
      <w:r>
        <w:rPr>
          <w:rFonts w:hint="eastAsia"/>
          <w:color w:val="auto"/>
          <w:spacing w:val="-3"/>
          <w:sz w:val="21"/>
          <w:szCs w:val="21"/>
          <w:highlight w:val="none"/>
          <w:lang w:val="en-US"/>
        </w:rPr>
        <w:t>7.</w:t>
      </w:r>
      <w:r>
        <w:rPr>
          <w:rFonts w:hint="eastAsia"/>
          <w:color w:val="auto"/>
          <w:spacing w:val="-3"/>
          <w:sz w:val="21"/>
          <w:szCs w:val="21"/>
          <w:highlight w:val="none"/>
        </w:rPr>
        <w:t>监理人自备的试验用房、样品用房</w:t>
      </w:r>
      <w:r>
        <w:rPr>
          <w:rFonts w:hint="eastAsia"/>
          <w:color w:val="auto"/>
          <w:sz w:val="21"/>
          <w:szCs w:val="21"/>
          <w:highlight w:val="none"/>
        </w:rPr>
        <w:t>：</w:t>
      </w:r>
      <w:r>
        <w:rPr>
          <w:rFonts w:hint="eastAsia"/>
          <w:color w:val="auto"/>
          <w:sz w:val="21"/>
          <w:szCs w:val="21"/>
          <w:highlight w:val="none"/>
          <w:u w:val="single"/>
        </w:rPr>
        <w:t>监理人根据现场实际情况自行准备。</w:t>
      </w:r>
    </w:p>
    <w:p>
      <w:pPr>
        <w:adjustRightInd w:val="0"/>
        <w:snapToGrid w:val="0"/>
        <w:spacing w:line="400" w:lineRule="exact"/>
        <w:rPr>
          <w:color w:val="auto"/>
          <w:sz w:val="24"/>
          <w:szCs w:val="24"/>
          <w:highlight w:val="none"/>
        </w:rPr>
      </w:pPr>
      <w:bookmarkStart w:id="49" w:name="_bookmark172"/>
      <w:bookmarkEnd w:id="49"/>
      <w:r>
        <w:rPr>
          <w:rFonts w:hint="eastAsia"/>
          <w:b/>
          <w:bCs/>
          <w:color w:val="auto"/>
          <w:sz w:val="24"/>
          <w:szCs w:val="24"/>
          <w:highlight w:val="none"/>
        </w:rPr>
        <w:t>七、委托人的其他要求</w:t>
      </w:r>
    </w:p>
    <w:p>
      <w:pPr>
        <w:pStyle w:val="7"/>
        <w:rPr>
          <w:color w:val="auto"/>
          <w:highlight w:val="none"/>
        </w:rPr>
        <w:sectPr>
          <w:pgSz w:w="11906" w:h="16838"/>
          <w:pgMar w:top="1380" w:right="1100" w:bottom="1120" w:left="1560" w:header="0" w:footer="841" w:gutter="0"/>
          <w:cols w:space="720" w:num="1"/>
          <w:docGrid w:linePitch="312" w:charSpace="2048"/>
        </w:sectPr>
      </w:pPr>
      <w:r>
        <w:rPr>
          <w:rFonts w:hint="eastAsia"/>
          <w:color w:val="auto"/>
          <w:highlight w:val="none"/>
        </w:rPr>
        <w:t>委托人的其他要求：其他要求详见监理</w:t>
      </w:r>
      <w:r>
        <w:rPr>
          <w:rFonts w:hint="eastAsia"/>
          <w:color w:val="auto"/>
          <w:highlight w:val="none"/>
          <w:lang w:val="en-US"/>
        </w:rPr>
        <w:t>及造价咨询</w:t>
      </w:r>
      <w:r>
        <w:rPr>
          <w:rFonts w:hint="eastAsia"/>
          <w:color w:val="auto"/>
          <w:highlight w:val="none"/>
        </w:rPr>
        <w:t>合同。</w:t>
      </w:r>
    </w:p>
    <w:p>
      <w:pPr>
        <w:pStyle w:val="7"/>
        <w:rPr>
          <w:color w:val="auto"/>
          <w:highlight w:val="none"/>
        </w:rPr>
      </w:pPr>
    </w:p>
    <w:p>
      <w:pPr>
        <w:pStyle w:val="2"/>
        <w:spacing w:line="360" w:lineRule="auto"/>
        <w:ind w:right="458"/>
        <w:rPr>
          <w:rFonts w:ascii="宋体" w:hAnsi="宋体" w:eastAsia="宋体" w:cs="宋体"/>
          <w:color w:val="auto"/>
          <w:highlight w:val="none"/>
        </w:rPr>
      </w:pPr>
      <w:bookmarkStart w:id="50" w:name="_Toc31926"/>
      <w:r>
        <w:rPr>
          <w:rFonts w:hint="eastAsia" w:ascii="宋体" w:hAnsi="宋体" w:eastAsia="宋体" w:cs="宋体"/>
          <w:color w:val="auto"/>
          <w:highlight w:val="none"/>
        </w:rPr>
        <w:t>第三卷</w:t>
      </w:r>
      <w:bookmarkEnd w:id="50"/>
    </w:p>
    <w:p>
      <w:pPr>
        <w:pStyle w:val="2"/>
        <w:spacing w:line="360" w:lineRule="auto"/>
        <w:rPr>
          <w:rFonts w:ascii="宋体" w:hAnsi="宋体" w:eastAsia="宋体" w:cs="宋体"/>
          <w:color w:val="auto"/>
          <w:highlight w:val="none"/>
        </w:rPr>
      </w:pPr>
      <w:bookmarkStart w:id="51" w:name="_Toc30980"/>
      <w:r>
        <w:rPr>
          <w:rFonts w:hint="eastAsia" w:ascii="宋体" w:hAnsi="宋体" w:eastAsia="宋体" w:cs="宋体"/>
          <w:color w:val="auto"/>
          <w:highlight w:val="none"/>
        </w:rPr>
        <w:t>第六章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投标文件格式</w:t>
      </w:r>
      <w:bookmarkEnd w:id="51"/>
    </w:p>
    <w:p>
      <w:pPr>
        <w:spacing w:line="360" w:lineRule="auto"/>
        <w:rPr>
          <w:color w:val="auto"/>
          <w:highlight w:val="none"/>
        </w:rPr>
        <w:sectPr>
          <w:pgSz w:w="11906" w:h="16838"/>
          <w:pgMar w:top="1420" w:right="1100" w:bottom="1120" w:left="1560" w:header="0" w:footer="841" w:gutter="0"/>
          <w:cols w:space="720" w:num="1"/>
          <w:docGrid w:linePitch="312" w:charSpace="2048"/>
        </w:sectPr>
      </w:pPr>
    </w:p>
    <w:p>
      <w:pPr>
        <w:pStyle w:val="7"/>
        <w:rPr>
          <w:color w:val="auto"/>
          <w:highlight w:val="none"/>
        </w:rPr>
      </w:pPr>
    </w:p>
    <w:p>
      <w:pPr>
        <w:pStyle w:val="7"/>
        <w:rPr>
          <w:color w:val="auto"/>
          <w:highlight w:val="none"/>
        </w:rPr>
      </w:pPr>
    </w:p>
    <w:p>
      <w:pPr>
        <w:pStyle w:val="7"/>
        <w:rPr>
          <w:color w:val="auto"/>
          <w:highlight w:val="none"/>
        </w:rPr>
      </w:pPr>
    </w:p>
    <w:p>
      <w:pPr>
        <w:tabs>
          <w:tab w:val="left" w:pos="1118"/>
        </w:tabs>
        <w:spacing w:before="70" w:line="360" w:lineRule="auto"/>
        <w:ind w:right="453"/>
        <w:jc w:val="center"/>
        <w:rPr>
          <w:color w:val="auto"/>
          <w:sz w:val="28"/>
          <w:highlight w:val="none"/>
        </w:rPr>
      </w:pP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u w:val="single"/>
        </w:rPr>
        <w:t>（</w:t>
      </w:r>
      <w:r>
        <w:rPr>
          <w:rFonts w:hint="eastAsia"/>
          <w:color w:val="auto"/>
          <w:spacing w:val="-1"/>
          <w:sz w:val="28"/>
          <w:highlight w:val="none"/>
        </w:rPr>
        <w:t>项目名称）</w:t>
      </w:r>
    </w:p>
    <w:p>
      <w:pPr>
        <w:pStyle w:val="7"/>
        <w:rPr>
          <w:color w:val="auto"/>
          <w:highlight w:val="none"/>
        </w:rPr>
      </w:pPr>
    </w:p>
    <w:p>
      <w:pPr>
        <w:spacing w:before="209" w:line="360" w:lineRule="auto"/>
        <w:ind w:right="455"/>
        <w:jc w:val="center"/>
        <w:rPr>
          <w:color w:val="auto"/>
          <w:sz w:val="44"/>
          <w:highlight w:val="none"/>
        </w:rPr>
      </w:pPr>
      <w:r>
        <w:rPr>
          <w:rFonts w:hint="eastAsia"/>
          <w:color w:val="auto"/>
          <w:sz w:val="44"/>
          <w:highlight w:val="none"/>
        </w:rPr>
        <w:t>投 标 文 件</w:t>
      </w: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tabs>
          <w:tab w:val="left" w:pos="5737"/>
          <w:tab w:val="left" w:pos="6685"/>
        </w:tabs>
        <w:spacing w:line="360" w:lineRule="auto"/>
        <w:ind w:left="1361" w:right="795"/>
        <w:rPr>
          <w:color w:val="auto"/>
          <w:sz w:val="28"/>
          <w:highlight w:val="none"/>
        </w:rPr>
      </w:pPr>
      <w:r>
        <w:rPr>
          <w:rFonts w:hint="eastAsia"/>
          <w:color w:val="auto"/>
          <w:sz w:val="28"/>
          <w:highlight w:val="none"/>
        </w:rPr>
        <w:t>投标人：</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u w:val="single"/>
        </w:rPr>
        <w:tab/>
      </w:r>
      <w:r>
        <w:rPr>
          <w:rFonts w:hint="eastAsia"/>
          <w:color w:val="auto"/>
          <w:sz w:val="28"/>
          <w:highlight w:val="none"/>
        </w:rPr>
        <w:t>（盖</w:t>
      </w:r>
      <w:r>
        <w:rPr>
          <w:rFonts w:hint="eastAsia"/>
          <w:color w:val="auto"/>
          <w:spacing w:val="-3"/>
          <w:sz w:val="28"/>
          <w:highlight w:val="none"/>
        </w:rPr>
        <w:t>单</w:t>
      </w:r>
      <w:r>
        <w:rPr>
          <w:rFonts w:hint="eastAsia"/>
          <w:color w:val="auto"/>
          <w:sz w:val="28"/>
          <w:highlight w:val="none"/>
        </w:rPr>
        <w:t>位</w:t>
      </w:r>
      <w:r>
        <w:rPr>
          <w:rFonts w:hint="eastAsia"/>
          <w:color w:val="auto"/>
          <w:spacing w:val="-3"/>
          <w:sz w:val="28"/>
          <w:highlight w:val="none"/>
        </w:rPr>
        <w:t>章</w:t>
      </w:r>
      <w:r>
        <w:rPr>
          <w:rFonts w:hint="eastAsia"/>
          <w:color w:val="auto"/>
          <w:spacing w:val="-16"/>
          <w:sz w:val="28"/>
          <w:highlight w:val="none"/>
        </w:rPr>
        <w:t xml:space="preserve">） </w:t>
      </w:r>
      <w:r>
        <w:rPr>
          <w:rFonts w:hint="eastAsia"/>
          <w:color w:val="auto"/>
          <w:sz w:val="28"/>
          <w:highlight w:val="none"/>
        </w:rPr>
        <w:t>法定代</w:t>
      </w:r>
      <w:r>
        <w:rPr>
          <w:rFonts w:hint="eastAsia"/>
          <w:color w:val="auto"/>
          <w:spacing w:val="-3"/>
          <w:sz w:val="28"/>
          <w:highlight w:val="none"/>
        </w:rPr>
        <w:t>表</w:t>
      </w:r>
      <w:r>
        <w:rPr>
          <w:rFonts w:hint="eastAsia"/>
          <w:color w:val="auto"/>
          <w:sz w:val="28"/>
          <w:highlight w:val="none"/>
        </w:rPr>
        <w:t>人或</w:t>
      </w:r>
      <w:r>
        <w:rPr>
          <w:rFonts w:hint="eastAsia"/>
          <w:color w:val="auto"/>
          <w:spacing w:val="-3"/>
          <w:sz w:val="28"/>
          <w:highlight w:val="none"/>
        </w:rPr>
        <w:t>其委</w:t>
      </w:r>
      <w:r>
        <w:rPr>
          <w:rFonts w:hint="eastAsia"/>
          <w:color w:val="auto"/>
          <w:sz w:val="28"/>
          <w:highlight w:val="none"/>
        </w:rPr>
        <w:t>托代理</w:t>
      </w:r>
      <w:r>
        <w:rPr>
          <w:rFonts w:hint="eastAsia"/>
          <w:color w:val="auto"/>
          <w:spacing w:val="-3"/>
          <w:sz w:val="28"/>
          <w:highlight w:val="none"/>
        </w:rPr>
        <w:t>人</w:t>
      </w:r>
      <w:r>
        <w:rPr>
          <w:rFonts w:hint="eastAsia"/>
          <w:color w:val="auto"/>
          <w:sz w:val="28"/>
          <w:highlight w:val="none"/>
        </w:rPr>
        <w:t>：</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pacing w:val="-3"/>
          <w:sz w:val="28"/>
          <w:highlight w:val="none"/>
        </w:rPr>
        <w:t>（</w:t>
      </w:r>
      <w:r>
        <w:rPr>
          <w:rFonts w:hint="eastAsia"/>
          <w:color w:val="auto"/>
          <w:sz w:val="28"/>
          <w:highlight w:val="none"/>
        </w:rPr>
        <w:t>签字</w:t>
      </w:r>
      <w:r>
        <w:rPr>
          <w:color w:val="auto"/>
          <w:sz w:val="28"/>
          <w:highlight w:val="none"/>
        </w:rPr>
        <w:t>或盖章</w:t>
      </w:r>
      <w:r>
        <w:rPr>
          <w:rFonts w:hint="eastAsia"/>
          <w:color w:val="auto"/>
          <w:sz w:val="28"/>
          <w:highlight w:val="none"/>
        </w:rPr>
        <w:t>）</w:t>
      </w:r>
    </w:p>
    <w:p>
      <w:pPr>
        <w:pStyle w:val="7"/>
        <w:rPr>
          <w:color w:val="auto"/>
          <w:highlight w:val="none"/>
        </w:rPr>
      </w:pPr>
    </w:p>
    <w:p>
      <w:pPr>
        <w:tabs>
          <w:tab w:val="left" w:pos="734"/>
          <w:tab w:val="left" w:pos="1749"/>
          <w:tab w:val="left" w:pos="2765"/>
        </w:tabs>
        <w:spacing w:before="62" w:line="360" w:lineRule="auto"/>
        <w:ind w:right="459"/>
        <w:jc w:val="center"/>
        <w:rPr>
          <w:color w:val="auto"/>
          <w:sz w:val="28"/>
          <w:highlight w:val="none"/>
        </w:rPr>
      </w:pP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年</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月</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日</w:t>
      </w:r>
    </w:p>
    <w:p>
      <w:pPr>
        <w:spacing w:line="360" w:lineRule="auto"/>
        <w:jc w:val="center"/>
        <w:rPr>
          <w:color w:val="auto"/>
          <w:sz w:val="28"/>
          <w:highlight w:val="none"/>
        </w:rPr>
      </w:pPr>
    </w:p>
    <w:p>
      <w:pPr>
        <w:pStyle w:val="3"/>
        <w:rPr>
          <w:rFonts w:ascii="宋体" w:hAnsi="宋体" w:eastAsia="宋体"/>
          <w:b w:val="0"/>
          <w:color w:val="auto"/>
          <w:sz w:val="21"/>
          <w:szCs w:val="21"/>
          <w:highlight w:val="none"/>
        </w:rPr>
        <w:sectPr>
          <w:pgSz w:w="11906" w:h="16838"/>
          <w:pgMar w:top="1500" w:right="1100" w:bottom="1120" w:left="1560" w:header="0" w:footer="841" w:gutter="0"/>
          <w:cols w:space="720" w:num="1"/>
          <w:docGrid w:linePitch="312" w:charSpace="2048"/>
        </w:sectPr>
      </w:pPr>
    </w:p>
    <w:p>
      <w:pPr>
        <w:pStyle w:val="3"/>
        <w:spacing w:line="360" w:lineRule="auto"/>
        <w:ind w:left="0" w:right="457" w:firstLine="0"/>
        <w:jc w:val="center"/>
        <w:rPr>
          <w:rFonts w:ascii="宋体" w:hAnsi="宋体" w:eastAsia="宋体" w:cs="宋体"/>
          <w:color w:val="auto"/>
          <w:highlight w:val="none"/>
        </w:rPr>
      </w:pPr>
      <w:bookmarkStart w:id="52" w:name="_bookmark175"/>
      <w:bookmarkEnd w:id="52"/>
      <w:r>
        <w:rPr>
          <w:rFonts w:hint="eastAsia" w:ascii="宋体" w:hAnsi="宋体" w:eastAsia="宋体" w:cs="宋体"/>
          <w:color w:val="auto"/>
          <w:highlight w:val="none"/>
        </w:rPr>
        <w:t>目录</w:t>
      </w: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bookmarkStart w:id="53" w:name="_bookmark176"/>
      <w:bookmarkEnd w:id="53"/>
      <w:r>
        <w:rPr>
          <w:rFonts w:hint="eastAsia"/>
          <w:color w:val="auto"/>
          <w:highlight w:val="none"/>
        </w:rPr>
        <w:t>一、投标函及投标函附录</w:t>
      </w:r>
    </w:p>
    <w:p>
      <w:pPr>
        <w:pStyle w:val="7"/>
        <w:rPr>
          <w:color w:val="auto"/>
          <w:highlight w:val="none"/>
        </w:rPr>
      </w:pPr>
      <w:r>
        <w:rPr>
          <w:rFonts w:hint="eastAsia"/>
          <w:color w:val="auto"/>
          <w:highlight w:val="none"/>
        </w:rPr>
        <w:t>二、法定代表人身份证明</w:t>
      </w:r>
    </w:p>
    <w:p>
      <w:pPr>
        <w:pStyle w:val="7"/>
        <w:rPr>
          <w:color w:val="auto"/>
          <w:highlight w:val="none"/>
        </w:rPr>
      </w:pPr>
      <w:r>
        <w:rPr>
          <w:rFonts w:hint="eastAsia"/>
          <w:color w:val="auto"/>
          <w:highlight w:val="none"/>
        </w:rPr>
        <w:t>三、授权委托书</w:t>
      </w:r>
    </w:p>
    <w:p>
      <w:pPr>
        <w:pStyle w:val="7"/>
        <w:rPr>
          <w:color w:val="auto"/>
          <w:highlight w:val="none"/>
          <w:lang w:val="en-US"/>
        </w:rPr>
      </w:pPr>
      <w:r>
        <w:rPr>
          <w:rFonts w:hint="eastAsia"/>
          <w:color w:val="auto"/>
          <w:highlight w:val="none"/>
        </w:rPr>
        <w:t>四、</w:t>
      </w:r>
      <w:r>
        <w:rPr>
          <w:rFonts w:hint="eastAsia"/>
          <w:color w:val="auto"/>
          <w:highlight w:val="none"/>
          <w:lang w:val="en-US"/>
        </w:rPr>
        <w:t>联合体协议书（如有）</w:t>
      </w:r>
    </w:p>
    <w:p>
      <w:pPr>
        <w:pStyle w:val="7"/>
        <w:rPr>
          <w:color w:val="auto"/>
          <w:highlight w:val="none"/>
        </w:rPr>
      </w:pPr>
      <w:r>
        <w:rPr>
          <w:rFonts w:hint="eastAsia"/>
          <w:color w:val="auto"/>
          <w:highlight w:val="none"/>
          <w:lang w:val="en-US"/>
        </w:rPr>
        <w:t>五、</w:t>
      </w:r>
      <w:r>
        <w:rPr>
          <w:rFonts w:hint="eastAsia"/>
          <w:color w:val="auto"/>
          <w:highlight w:val="none"/>
        </w:rPr>
        <w:t>报酬清单</w:t>
      </w:r>
    </w:p>
    <w:p>
      <w:pPr>
        <w:pStyle w:val="7"/>
        <w:rPr>
          <w:color w:val="auto"/>
          <w:highlight w:val="none"/>
        </w:rPr>
      </w:pPr>
      <w:r>
        <w:rPr>
          <w:rFonts w:hint="eastAsia"/>
          <w:color w:val="auto"/>
          <w:highlight w:val="none"/>
        </w:rPr>
        <w:t>六、资格审查资料</w:t>
      </w:r>
    </w:p>
    <w:p>
      <w:pPr>
        <w:pStyle w:val="7"/>
        <w:rPr>
          <w:color w:val="auto"/>
          <w:highlight w:val="none"/>
        </w:rPr>
      </w:pPr>
      <w:r>
        <w:rPr>
          <w:rFonts w:hint="eastAsia"/>
          <w:color w:val="auto"/>
          <w:highlight w:val="none"/>
        </w:rPr>
        <w:t>七、近年完成的类似项目情况表</w:t>
      </w:r>
    </w:p>
    <w:p>
      <w:pPr>
        <w:pStyle w:val="7"/>
        <w:rPr>
          <w:color w:val="auto"/>
          <w:spacing w:val="-3"/>
          <w:highlight w:val="none"/>
        </w:rPr>
      </w:pPr>
      <w:r>
        <w:rPr>
          <w:rFonts w:hint="eastAsia"/>
          <w:color w:val="auto"/>
          <w:spacing w:val="-3"/>
          <w:highlight w:val="none"/>
        </w:rPr>
        <w:t>八、</w:t>
      </w:r>
      <w:r>
        <w:rPr>
          <w:rFonts w:hint="eastAsia"/>
          <w:color w:val="auto"/>
          <w:highlight w:val="none"/>
        </w:rPr>
        <w:t>拟委任的主要人员汇总表</w:t>
      </w:r>
    </w:p>
    <w:p>
      <w:pPr>
        <w:pStyle w:val="7"/>
        <w:rPr>
          <w:color w:val="auto"/>
          <w:highlight w:val="none"/>
        </w:rPr>
      </w:pPr>
      <w:r>
        <w:rPr>
          <w:rFonts w:hint="eastAsia"/>
          <w:color w:val="auto"/>
          <w:spacing w:val="-3"/>
          <w:highlight w:val="none"/>
        </w:rPr>
        <w:t>九、</w:t>
      </w:r>
      <w:r>
        <w:rPr>
          <w:rFonts w:hint="eastAsia"/>
          <w:color w:val="auto"/>
          <w:highlight w:val="none"/>
        </w:rPr>
        <w:t>拟投入的试验检测仪器设备汇总表</w:t>
      </w:r>
    </w:p>
    <w:p>
      <w:pPr>
        <w:pStyle w:val="7"/>
        <w:rPr>
          <w:color w:val="auto"/>
          <w:highlight w:val="none"/>
        </w:rPr>
      </w:pPr>
      <w:r>
        <w:rPr>
          <w:rFonts w:hint="eastAsia"/>
          <w:color w:val="auto"/>
          <w:highlight w:val="none"/>
        </w:rPr>
        <w:t>十、</w:t>
      </w:r>
      <w:r>
        <w:rPr>
          <w:rFonts w:hint="eastAsia"/>
          <w:color w:val="auto"/>
          <w:highlight w:val="none"/>
          <w:lang w:val="en-US"/>
        </w:rPr>
        <w:t>技术服务方案</w:t>
      </w:r>
    </w:p>
    <w:p>
      <w:pPr>
        <w:pStyle w:val="7"/>
        <w:rPr>
          <w:color w:val="auto"/>
          <w:highlight w:val="none"/>
        </w:rPr>
        <w:sectPr>
          <w:pgSz w:w="11906" w:h="16838"/>
          <w:pgMar w:top="1400" w:right="1100" w:bottom="1120" w:left="1560" w:header="0" w:footer="841" w:gutter="0"/>
          <w:cols w:space="720" w:num="1"/>
          <w:docGrid w:linePitch="312" w:charSpace="2048"/>
        </w:sectPr>
      </w:pPr>
      <w:r>
        <w:rPr>
          <w:rFonts w:hint="eastAsia"/>
          <w:color w:val="auto"/>
          <w:highlight w:val="none"/>
        </w:rPr>
        <w:t>十</w:t>
      </w:r>
      <w:r>
        <w:rPr>
          <w:color w:val="auto"/>
          <w:highlight w:val="none"/>
        </w:rPr>
        <w:t>一</w:t>
      </w:r>
      <w:r>
        <w:rPr>
          <w:rFonts w:hint="eastAsia"/>
          <w:color w:val="auto"/>
          <w:highlight w:val="none"/>
        </w:rPr>
        <w:t>、其他资料</w:t>
      </w:r>
    </w:p>
    <w:p>
      <w:pPr>
        <w:spacing w:line="360" w:lineRule="auto"/>
        <w:ind w:right="456"/>
        <w:jc w:val="center"/>
        <w:rPr>
          <w:b/>
          <w:color w:val="auto"/>
          <w:sz w:val="32"/>
          <w:highlight w:val="none"/>
        </w:rPr>
      </w:pPr>
      <w:r>
        <w:rPr>
          <w:rFonts w:hint="eastAsia"/>
          <w:b/>
          <w:color w:val="auto"/>
          <w:sz w:val="32"/>
          <w:highlight w:val="none"/>
        </w:rPr>
        <w:t>一、投标函及投标函附录</w:t>
      </w:r>
    </w:p>
    <w:p>
      <w:pPr>
        <w:pStyle w:val="7"/>
        <w:rPr>
          <w:color w:val="auto"/>
          <w:highlight w:val="none"/>
        </w:rPr>
      </w:pPr>
    </w:p>
    <w:p>
      <w:pPr>
        <w:spacing w:before="62" w:line="360" w:lineRule="auto"/>
        <w:ind w:left="377"/>
        <w:jc w:val="both"/>
        <w:rPr>
          <w:color w:val="auto"/>
          <w:sz w:val="28"/>
          <w:highlight w:val="none"/>
        </w:rPr>
      </w:pPr>
      <w:bookmarkStart w:id="54" w:name="_bookmark177"/>
      <w:bookmarkEnd w:id="54"/>
      <w:r>
        <w:rPr>
          <w:rFonts w:hint="eastAsia"/>
          <w:color w:val="auto"/>
          <w:sz w:val="28"/>
          <w:highlight w:val="none"/>
        </w:rPr>
        <w:t>（一）投标函</w:t>
      </w:r>
    </w:p>
    <w:p>
      <w:pPr>
        <w:pStyle w:val="7"/>
        <w:rPr>
          <w:color w:val="auto"/>
          <w:highlight w:val="none"/>
        </w:rPr>
      </w:pPr>
    </w:p>
    <w:p>
      <w:pPr>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（招标人名称）：</w:t>
      </w:r>
    </w:p>
    <w:p>
      <w:pPr>
        <w:rPr>
          <w:color w:val="auto"/>
          <w:sz w:val="21"/>
          <w:szCs w:val="21"/>
          <w:highlight w:val="none"/>
        </w:rPr>
      </w:pPr>
      <w:r>
        <w:rPr>
          <w:rFonts w:hint="eastAsia"/>
          <w:color w:val="auto"/>
          <w:sz w:val="21"/>
          <w:szCs w:val="21"/>
          <w:highlight w:val="none"/>
        </w:rPr>
        <w:t>1．我方已仔细研究了</w:t>
      </w:r>
      <w:r>
        <w:rPr>
          <w:rFonts w:hint="eastAsia"/>
          <w:color w:val="auto"/>
          <w:sz w:val="21"/>
          <w:szCs w:val="21"/>
          <w:highlight w:val="none"/>
          <w:u w:val="single"/>
        </w:rPr>
        <w:t xml:space="preserve">                  </w:t>
      </w:r>
      <w:r>
        <w:rPr>
          <w:rFonts w:hint="eastAsia"/>
          <w:color w:val="auto"/>
          <w:sz w:val="21"/>
          <w:szCs w:val="21"/>
          <w:highlight w:val="none"/>
        </w:rPr>
        <w:t>（项目名称）招标文件的全部内容，愿意以《报酬清单》中的投标总报价，按合同约定完成监理</w:t>
      </w:r>
      <w:r>
        <w:rPr>
          <w:rFonts w:hint="eastAsia"/>
          <w:color w:val="auto"/>
          <w:szCs w:val="21"/>
          <w:highlight w:val="none"/>
          <w:lang w:val="en-US"/>
        </w:rPr>
        <w:t>及造价咨询</w:t>
      </w:r>
      <w:r>
        <w:rPr>
          <w:rFonts w:hint="eastAsia"/>
          <w:color w:val="auto"/>
          <w:sz w:val="21"/>
          <w:szCs w:val="21"/>
          <w:highlight w:val="none"/>
        </w:rPr>
        <w:t>工作。</w:t>
      </w:r>
      <w:r>
        <w:rPr>
          <w:color w:val="auto"/>
          <w:sz w:val="21"/>
          <w:szCs w:val="21"/>
          <w:highlight w:val="none"/>
        </w:rPr>
        <w:t>我方项目负责人（兼总监理工程师）为网上</w:t>
      </w:r>
      <w:bookmarkStart w:id="55" w:name="突出显示"/>
      <w:r>
        <w:rPr>
          <w:color w:val="auto"/>
          <w:sz w:val="21"/>
          <w:szCs w:val="21"/>
          <w:highlight w:val="none"/>
        </w:rPr>
        <w:t>投标登记</w:t>
      </w:r>
      <w:bookmarkEnd w:id="55"/>
      <w:r>
        <w:rPr>
          <w:color w:val="auto"/>
          <w:sz w:val="21"/>
          <w:szCs w:val="21"/>
          <w:highlight w:val="none"/>
        </w:rPr>
        <w:t>时选择的项目负责人。</w:t>
      </w:r>
    </w:p>
    <w:p>
      <w:pPr>
        <w:rPr>
          <w:color w:val="auto"/>
          <w:sz w:val="21"/>
          <w:szCs w:val="21"/>
          <w:highlight w:val="none"/>
        </w:rPr>
      </w:pPr>
      <w:r>
        <w:rPr>
          <w:rFonts w:hint="eastAsia"/>
          <w:color w:val="auto"/>
          <w:sz w:val="21"/>
          <w:szCs w:val="21"/>
          <w:highlight w:val="none"/>
        </w:rPr>
        <w:t>2. 我方的投标文件包括下列内容：</w:t>
      </w:r>
    </w:p>
    <w:p>
      <w:pPr>
        <w:pStyle w:val="7"/>
        <w:spacing w:line="240" w:lineRule="auto"/>
        <w:rPr>
          <w:color w:val="auto"/>
          <w:highlight w:val="none"/>
        </w:rPr>
      </w:pPr>
      <w:r>
        <w:rPr>
          <w:rFonts w:hint="eastAsia"/>
          <w:color w:val="auto"/>
          <w:highlight w:val="none"/>
        </w:rPr>
        <w:t>一、投标函及投标函附录；</w:t>
      </w:r>
    </w:p>
    <w:p>
      <w:pPr>
        <w:pStyle w:val="7"/>
        <w:spacing w:line="240" w:lineRule="auto"/>
        <w:rPr>
          <w:color w:val="auto"/>
          <w:highlight w:val="none"/>
        </w:rPr>
      </w:pPr>
      <w:r>
        <w:rPr>
          <w:rFonts w:hint="eastAsia"/>
          <w:color w:val="auto"/>
          <w:highlight w:val="none"/>
        </w:rPr>
        <w:t>二、法定代表人身份证明；</w:t>
      </w:r>
    </w:p>
    <w:p>
      <w:pPr>
        <w:pStyle w:val="7"/>
        <w:spacing w:line="240" w:lineRule="auto"/>
        <w:rPr>
          <w:color w:val="auto"/>
          <w:highlight w:val="none"/>
        </w:rPr>
      </w:pPr>
      <w:r>
        <w:rPr>
          <w:rFonts w:hint="eastAsia"/>
          <w:color w:val="auto"/>
          <w:highlight w:val="none"/>
        </w:rPr>
        <w:t>三、授权委托书；</w:t>
      </w:r>
    </w:p>
    <w:p>
      <w:pPr>
        <w:pStyle w:val="7"/>
        <w:spacing w:line="240" w:lineRule="auto"/>
        <w:rPr>
          <w:color w:val="auto"/>
          <w:highlight w:val="none"/>
          <w:lang w:val="en-US"/>
        </w:rPr>
      </w:pPr>
      <w:r>
        <w:rPr>
          <w:rFonts w:hint="eastAsia"/>
          <w:color w:val="auto"/>
          <w:highlight w:val="none"/>
        </w:rPr>
        <w:t>四、</w:t>
      </w:r>
      <w:r>
        <w:rPr>
          <w:rFonts w:hint="eastAsia"/>
          <w:color w:val="auto"/>
          <w:highlight w:val="none"/>
          <w:lang w:val="en-US"/>
        </w:rPr>
        <w:t>联合体协议书（如有）；</w:t>
      </w:r>
    </w:p>
    <w:p>
      <w:pPr>
        <w:pStyle w:val="7"/>
        <w:spacing w:line="240" w:lineRule="auto"/>
        <w:rPr>
          <w:color w:val="auto"/>
          <w:highlight w:val="none"/>
        </w:rPr>
      </w:pPr>
      <w:r>
        <w:rPr>
          <w:rFonts w:hint="eastAsia"/>
          <w:color w:val="auto"/>
          <w:highlight w:val="none"/>
          <w:lang w:val="en-US"/>
        </w:rPr>
        <w:t>五、</w:t>
      </w:r>
      <w:r>
        <w:rPr>
          <w:rFonts w:hint="eastAsia"/>
          <w:color w:val="auto"/>
          <w:highlight w:val="none"/>
        </w:rPr>
        <w:t>报酬清单；</w:t>
      </w:r>
    </w:p>
    <w:p>
      <w:pPr>
        <w:pStyle w:val="7"/>
        <w:spacing w:line="240" w:lineRule="auto"/>
        <w:rPr>
          <w:color w:val="auto"/>
          <w:highlight w:val="none"/>
        </w:rPr>
      </w:pPr>
      <w:r>
        <w:rPr>
          <w:rFonts w:hint="eastAsia"/>
          <w:color w:val="auto"/>
          <w:highlight w:val="none"/>
        </w:rPr>
        <w:t>六、资格审查资料；</w:t>
      </w:r>
    </w:p>
    <w:p>
      <w:pPr>
        <w:pStyle w:val="7"/>
        <w:spacing w:line="240" w:lineRule="auto"/>
        <w:rPr>
          <w:color w:val="auto"/>
          <w:highlight w:val="none"/>
        </w:rPr>
      </w:pPr>
      <w:r>
        <w:rPr>
          <w:rFonts w:hint="eastAsia"/>
          <w:color w:val="auto"/>
          <w:highlight w:val="none"/>
        </w:rPr>
        <w:t>七、近年完成的类似项目情况表；</w:t>
      </w:r>
    </w:p>
    <w:p>
      <w:pPr>
        <w:pStyle w:val="7"/>
        <w:spacing w:line="240" w:lineRule="auto"/>
        <w:rPr>
          <w:color w:val="auto"/>
          <w:spacing w:val="-3"/>
          <w:highlight w:val="none"/>
        </w:rPr>
      </w:pPr>
      <w:r>
        <w:rPr>
          <w:rFonts w:hint="eastAsia"/>
          <w:color w:val="auto"/>
          <w:spacing w:val="-3"/>
          <w:highlight w:val="none"/>
        </w:rPr>
        <w:t>八、</w:t>
      </w:r>
      <w:r>
        <w:rPr>
          <w:rFonts w:hint="eastAsia"/>
          <w:color w:val="auto"/>
          <w:highlight w:val="none"/>
        </w:rPr>
        <w:t>拟委任的主要人员汇总表；</w:t>
      </w:r>
    </w:p>
    <w:p>
      <w:pPr>
        <w:pStyle w:val="7"/>
        <w:spacing w:line="240" w:lineRule="auto"/>
        <w:rPr>
          <w:color w:val="auto"/>
          <w:highlight w:val="none"/>
        </w:rPr>
      </w:pPr>
      <w:r>
        <w:rPr>
          <w:rFonts w:hint="eastAsia"/>
          <w:color w:val="auto"/>
          <w:spacing w:val="-3"/>
          <w:highlight w:val="none"/>
        </w:rPr>
        <w:t>九、</w:t>
      </w:r>
      <w:r>
        <w:rPr>
          <w:rFonts w:hint="eastAsia"/>
          <w:color w:val="auto"/>
          <w:highlight w:val="none"/>
        </w:rPr>
        <w:t>拟投入的试验检测仪器设备汇总表；</w:t>
      </w:r>
    </w:p>
    <w:p>
      <w:pPr>
        <w:pStyle w:val="7"/>
        <w:spacing w:line="240" w:lineRule="auto"/>
        <w:rPr>
          <w:color w:val="auto"/>
          <w:highlight w:val="none"/>
        </w:rPr>
      </w:pPr>
      <w:r>
        <w:rPr>
          <w:rFonts w:hint="eastAsia"/>
          <w:color w:val="auto"/>
          <w:highlight w:val="none"/>
        </w:rPr>
        <w:t>十、</w:t>
      </w:r>
      <w:r>
        <w:rPr>
          <w:rFonts w:hint="eastAsia"/>
          <w:color w:val="auto"/>
          <w:highlight w:val="none"/>
          <w:lang w:val="en-US"/>
        </w:rPr>
        <w:t>技术服务方案；</w:t>
      </w:r>
    </w:p>
    <w:p>
      <w:pPr>
        <w:ind w:firstLine="315" w:firstLineChars="150"/>
        <w:rPr>
          <w:color w:val="auto"/>
          <w:highlight w:val="none"/>
        </w:rPr>
      </w:pPr>
      <w:r>
        <w:rPr>
          <w:rFonts w:hint="eastAsia"/>
          <w:color w:val="auto"/>
          <w:highlight w:val="none"/>
        </w:rPr>
        <w:t>十</w:t>
      </w:r>
      <w:r>
        <w:rPr>
          <w:color w:val="auto"/>
          <w:highlight w:val="none"/>
        </w:rPr>
        <w:t>一</w:t>
      </w:r>
      <w:r>
        <w:rPr>
          <w:rFonts w:hint="eastAsia"/>
          <w:color w:val="auto"/>
          <w:highlight w:val="none"/>
        </w:rPr>
        <w:t>、其他资料。</w:t>
      </w:r>
    </w:p>
    <w:p>
      <w:pPr>
        <w:rPr>
          <w:color w:val="auto"/>
          <w:sz w:val="21"/>
          <w:szCs w:val="21"/>
          <w:highlight w:val="none"/>
        </w:rPr>
      </w:pPr>
      <w:r>
        <w:rPr>
          <w:rFonts w:hint="eastAsia"/>
          <w:color w:val="auto"/>
          <w:sz w:val="21"/>
          <w:szCs w:val="21"/>
          <w:highlight w:val="none"/>
        </w:rPr>
        <w:t>投标文件的上述组成部分如存在内容不一致的，以投标函为准。</w:t>
      </w:r>
    </w:p>
    <w:p>
      <w:pPr>
        <w:rPr>
          <w:color w:val="auto"/>
          <w:sz w:val="21"/>
          <w:szCs w:val="21"/>
          <w:highlight w:val="none"/>
        </w:rPr>
      </w:pPr>
      <w:r>
        <w:rPr>
          <w:rFonts w:hint="eastAsia"/>
          <w:color w:val="auto"/>
          <w:sz w:val="21"/>
          <w:szCs w:val="21"/>
          <w:highlight w:val="none"/>
        </w:rPr>
        <w:t>3．我方承诺在招标文件规定的投标有效期内不撤销投标文件。</w:t>
      </w:r>
    </w:p>
    <w:p>
      <w:pPr>
        <w:rPr>
          <w:color w:val="auto"/>
          <w:sz w:val="21"/>
          <w:szCs w:val="21"/>
          <w:highlight w:val="none"/>
        </w:rPr>
      </w:pPr>
      <w:r>
        <w:rPr>
          <w:rFonts w:hint="eastAsia"/>
          <w:color w:val="auto"/>
          <w:sz w:val="21"/>
          <w:szCs w:val="21"/>
          <w:highlight w:val="none"/>
        </w:rPr>
        <w:t>4．如我方中标，我方承诺：</w:t>
      </w:r>
    </w:p>
    <w:p>
      <w:pPr>
        <w:rPr>
          <w:color w:val="auto"/>
          <w:sz w:val="21"/>
          <w:szCs w:val="21"/>
          <w:highlight w:val="none"/>
        </w:rPr>
      </w:pPr>
      <w:r>
        <w:rPr>
          <w:rFonts w:hint="eastAsia"/>
          <w:color w:val="auto"/>
          <w:sz w:val="21"/>
          <w:szCs w:val="21"/>
          <w:highlight w:val="none"/>
        </w:rPr>
        <w:t>（1）在收到中标通知书后，在中标通知书规定的期限内与你方签订合同；</w:t>
      </w:r>
    </w:p>
    <w:p>
      <w:pPr>
        <w:rPr>
          <w:color w:val="auto"/>
          <w:sz w:val="21"/>
          <w:szCs w:val="21"/>
          <w:highlight w:val="none"/>
        </w:rPr>
      </w:pPr>
      <w:r>
        <w:rPr>
          <w:rFonts w:hint="eastAsia"/>
          <w:color w:val="auto"/>
          <w:sz w:val="21"/>
          <w:szCs w:val="21"/>
          <w:highlight w:val="none"/>
        </w:rPr>
        <w:t>（2）在签订合同时不向你方提出附加条件；</w:t>
      </w:r>
    </w:p>
    <w:p>
      <w:pPr>
        <w:rPr>
          <w:color w:val="auto"/>
          <w:sz w:val="21"/>
          <w:szCs w:val="21"/>
          <w:highlight w:val="none"/>
        </w:rPr>
      </w:pPr>
      <w:r>
        <w:rPr>
          <w:rFonts w:hint="eastAsia"/>
          <w:color w:val="auto"/>
          <w:sz w:val="21"/>
          <w:szCs w:val="21"/>
          <w:highlight w:val="none"/>
        </w:rPr>
        <w:t>（3）在合同约定的期限内完成合同规定的全部义务。</w:t>
      </w:r>
    </w:p>
    <w:p>
      <w:pPr>
        <w:rPr>
          <w:color w:val="auto"/>
          <w:sz w:val="21"/>
          <w:szCs w:val="21"/>
          <w:highlight w:val="none"/>
        </w:rPr>
      </w:pPr>
      <w:r>
        <w:rPr>
          <w:rFonts w:hint="eastAsia"/>
          <w:color w:val="auto"/>
          <w:sz w:val="21"/>
          <w:szCs w:val="21"/>
          <w:highlight w:val="none"/>
        </w:rPr>
        <w:t>5．我方在此声明，所递交的投标文件及有关资料内容完整、真实和准确，且不存在第二章“投标人须知”第1.4.3项规定的任何一种情形。</w:t>
      </w:r>
    </w:p>
    <w:p>
      <w:pPr>
        <w:rPr>
          <w:color w:val="auto"/>
          <w:sz w:val="21"/>
          <w:szCs w:val="21"/>
          <w:highlight w:val="none"/>
        </w:rPr>
      </w:pPr>
      <w:r>
        <w:rPr>
          <w:rFonts w:hint="eastAsia"/>
          <w:color w:val="auto"/>
          <w:sz w:val="21"/>
          <w:szCs w:val="21"/>
          <w:highlight w:val="none"/>
        </w:rPr>
        <w:t>6．</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（其他补充说明）。</w:t>
      </w:r>
    </w:p>
    <w:p>
      <w:pPr>
        <w:rPr>
          <w:color w:val="auto"/>
          <w:sz w:val="21"/>
          <w:szCs w:val="21"/>
          <w:highlight w:val="none"/>
        </w:rPr>
      </w:pPr>
    </w:p>
    <w:p>
      <w:pPr>
        <w:spacing w:line="440" w:lineRule="exact"/>
        <w:ind w:firstLine="2520" w:firstLineChars="1200"/>
        <w:rPr>
          <w:color w:val="auto"/>
          <w:sz w:val="21"/>
          <w:szCs w:val="21"/>
          <w:highlight w:val="none"/>
        </w:rPr>
      </w:pPr>
      <w:r>
        <w:rPr>
          <w:rFonts w:hint="eastAsia"/>
          <w:color w:val="auto"/>
          <w:sz w:val="21"/>
          <w:szCs w:val="21"/>
          <w:highlight w:val="none"/>
        </w:rPr>
        <w:t>投 标 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（盖单位章）</w:t>
      </w:r>
    </w:p>
    <w:p>
      <w:pPr>
        <w:spacing w:line="440" w:lineRule="exact"/>
        <w:rPr>
          <w:color w:val="auto"/>
          <w:sz w:val="21"/>
          <w:szCs w:val="21"/>
          <w:highlight w:val="none"/>
        </w:rPr>
      </w:pPr>
      <w:r>
        <w:rPr>
          <w:rFonts w:hint="eastAsia"/>
          <w:color w:val="auto"/>
          <w:sz w:val="21"/>
          <w:szCs w:val="21"/>
          <w:highlight w:val="none"/>
        </w:rPr>
        <w:t xml:space="preserve">                        法定代表人或其委托代理人：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（签字</w:t>
      </w:r>
      <w:r>
        <w:rPr>
          <w:color w:val="auto"/>
          <w:sz w:val="21"/>
          <w:szCs w:val="21"/>
          <w:highlight w:val="none"/>
        </w:rPr>
        <w:t>或盖章</w:t>
      </w:r>
      <w:r>
        <w:rPr>
          <w:rFonts w:hint="eastAsia"/>
          <w:color w:val="auto"/>
          <w:sz w:val="21"/>
          <w:szCs w:val="21"/>
          <w:highlight w:val="none"/>
        </w:rPr>
        <w:t>）</w:t>
      </w:r>
    </w:p>
    <w:p>
      <w:pPr>
        <w:spacing w:line="440" w:lineRule="exact"/>
        <w:ind w:firstLine="2520" w:firstLineChars="1200"/>
        <w:rPr>
          <w:color w:val="auto"/>
          <w:sz w:val="21"/>
          <w:szCs w:val="21"/>
          <w:highlight w:val="none"/>
        </w:rPr>
      </w:pPr>
      <w:r>
        <w:rPr>
          <w:rFonts w:hint="eastAsia"/>
          <w:color w:val="auto"/>
          <w:sz w:val="21"/>
          <w:szCs w:val="21"/>
          <w:highlight w:val="none"/>
        </w:rPr>
        <w:t>地    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40" w:lineRule="exact"/>
        <w:ind w:firstLine="2520" w:firstLineChars="1200"/>
        <w:rPr>
          <w:color w:val="auto"/>
          <w:sz w:val="21"/>
          <w:szCs w:val="21"/>
          <w:highlight w:val="none"/>
        </w:rPr>
      </w:pPr>
      <w:r>
        <w:rPr>
          <w:rFonts w:hint="eastAsia"/>
          <w:color w:val="auto"/>
          <w:sz w:val="21"/>
          <w:szCs w:val="21"/>
          <w:highlight w:val="none"/>
        </w:rPr>
        <w:t>网    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p>
    <w:p>
      <w:pPr>
        <w:spacing w:line="440" w:lineRule="exact"/>
        <w:ind w:firstLine="2520" w:firstLineChars="1200"/>
        <w:rPr>
          <w:color w:val="auto"/>
          <w:sz w:val="21"/>
          <w:szCs w:val="21"/>
          <w:highlight w:val="none"/>
        </w:rPr>
      </w:pPr>
      <w:r>
        <w:rPr>
          <w:rFonts w:hint="eastAsia"/>
          <w:color w:val="auto"/>
          <w:sz w:val="21"/>
          <w:szCs w:val="21"/>
          <w:highlight w:val="none"/>
        </w:rPr>
        <w:t>电    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p>
    <w:p>
      <w:pPr>
        <w:spacing w:line="440" w:lineRule="exact"/>
        <w:ind w:firstLine="2520" w:firstLineChars="1200"/>
        <w:rPr>
          <w:color w:val="auto"/>
          <w:sz w:val="21"/>
          <w:szCs w:val="21"/>
          <w:highlight w:val="none"/>
        </w:rPr>
      </w:pPr>
      <w:r>
        <w:rPr>
          <w:rFonts w:hint="eastAsia"/>
          <w:color w:val="auto"/>
          <w:sz w:val="21"/>
          <w:szCs w:val="21"/>
          <w:highlight w:val="none"/>
        </w:rPr>
        <w:t>传    真：</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p>
    <w:p>
      <w:pPr>
        <w:spacing w:line="440" w:lineRule="exact"/>
        <w:ind w:firstLine="2520" w:firstLineChars="1200"/>
        <w:rPr>
          <w:color w:val="auto"/>
          <w:sz w:val="21"/>
          <w:szCs w:val="21"/>
          <w:highlight w:val="none"/>
        </w:rPr>
      </w:pP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7"/>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rPr>
          <w:color w:val="auto"/>
          <w:highlight w:val="none"/>
        </w:rPr>
      </w:pPr>
    </w:p>
    <w:p>
      <w:pPr>
        <w:pStyle w:val="3"/>
        <w:rPr>
          <w:rFonts w:eastAsia="宋体"/>
          <w:color w:val="auto"/>
          <w:highlight w:val="none"/>
        </w:rPr>
        <w:sectPr>
          <w:pgSz w:w="11906" w:h="16838"/>
          <w:pgMar w:top="1500" w:right="1100" w:bottom="1120" w:left="1560" w:header="0" w:footer="841" w:gutter="0"/>
          <w:cols w:space="720" w:num="1"/>
          <w:docGrid w:linePitch="312" w:charSpace="2048"/>
        </w:sectPr>
      </w:pPr>
    </w:p>
    <w:p>
      <w:pPr>
        <w:spacing w:before="43" w:line="360" w:lineRule="auto"/>
        <w:ind w:left="377"/>
        <w:rPr>
          <w:color w:val="auto"/>
          <w:sz w:val="28"/>
          <w:highlight w:val="none"/>
        </w:rPr>
      </w:pPr>
      <w:bookmarkStart w:id="56" w:name="_bookmark178"/>
      <w:bookmarkEnd w:id="56"/>
      <w:r>
        <w:rPr>
          <w:rFonts w:hint="eastAsia"/>
          <w:color w:val="auto"/>
          <w:sz w:val="28"/>
          <w:highlight w:val="none"/>
        </w:rPr>
        <w:t>（二）投标函附录</w:t>
      </w:r>
    </w:p>
    <w:p>
      <w:pPr>
        <w:pStyle w:val="7"/>
        <w:ind w:firstLine="0" w:firstLineChars="0"/>
        <w:rPr>
          <w:color w:val="auto"/>
          <w:highlight w:val="none"/>
        </w:rPr>
      </w:pPr>
    </w:p>
    <w:tbl>
      <w:tblPr>
        <w:tblStyle w:val="15"/>
        <w:tblW w:w="9258"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3109"/>
        <w:gridCol w:w="2893"/>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375" w:type="dxa"/>
            <w:vAlign w:val="center"/>
          </w:tcPr>
          <w:p>
            <w:pPr>
              <w:pStyle w:val="19"/>
              <w:spacing w:before="59" w:line="360" w:lineRule="auto"/>
              <w:ind w:left="446" w:right="439"/>
              <w:jc w:val="center"/>
              <w:rPr>
                <w:b/>
                <w:color w:val="auto"/>
                <w:sz w:val="21"/>
                <w:highlight w:val="none"/>
              </w:rPr>
            </w:pPr>
            <w:r>
              <w:rPr>
                <w:rFonts w:hint="eastAsia"/>
                <w:b/>
                <w:color w:val="auto"/>
                <w:sz w:val="21"/>
                <w:highlight w:val="none"/>
              </w:rPr>
              <w:t>序号</w:t>
            </w:r>
          </w:p>
        </w:tc>
        <w:tc>
          <w:tcPr>
            <w:tcW w:w="3109" w:type="dxa"/>
            <w:vAlign w:val="center"/>
          </w:tcPr>
          <w:p>
            <w:pPr>
              <w:pStyle w:val="19"/>
              <w:spacing w:before="59" w:line="360" w:lineRule="auto"/>
              <w:ind w:left="218" w:right="210"/>
              <w:jc w:val="center"/>
              <w:rPr>
                <w:b/>
                <w:color w:val="auto"/>
                <w:sz w:val="21"/>
                <w:highlight w:val="none"/>
              </w:rPr>
            </w:pPr>
            <w:r>
              <w:rPr>
                <w:rFonts w:hint="eastAsia"/>
                <w:b/>
                <w:color w:val="auto"/>
                <w:sz w:val="21"/>
                <w:highlight w:val="none"/>
              </w:rPr>
              <w:t>条款名称</w:t>
            </w:r>
          </w:p>
        </w:tc>
        <w:tc>
          <w:tcPr>
            <w:tcW w:w="2893" w:type="dxa"/>
            <w:vAlign w:val="center"/>
          </w:tcPr>
          <w:p>
            <w:pPr>
              <w:pStyle w:val="19"/>
              <w:spacing w:before="59" w:line="360" w:lineRule="auto"/>
              <w:jc w:val="center"/>
              <w:rPr>
                <w:b/>
                <w:color w:val="auto"/>
                <w:sz w:val="21"/>
                <w:highlight w:val="none"/>
              </w:rPr>
            </w:pPr>
            <w:r>
              <w:rPr>
                <w:rFonts w:hint="eastAsia"/>
                <w:b/>
                <w:color w:val="auto"/>
                <w:sz w:val="21"/>
                <w:highlight w:val="none"/>
              </w:rPr>
              <w:t>约定内容</w:t>
            </w:r>
          </w:p>
        </w:tc>
        <w:tc>
          <w:tcPr>
            <w:tcW w:w="1881" w:type="dxa"/>
            <w:vAlign w:val="center"/>
          </w:tcPr>
          <w:p>
            <w:pPr>
              <w:pStyle w:val="19"/>
              <w:spacing w:before="59" w:line="360" w:lineRule="auto"/>
              <w:ind w:left="502" w:right="502"/>
              <w:jc w:val="center"/>
              <w:rPr>
                <w:b/>
                <w:color w:val="auto"/>
                <w:sz w:val="21"/>
                <w:highlight w:val="none"/>
              </w:rPr>
            </w:pPr>
            <w:r>
              <w:rPr>
                <w:rFonts w:hint="eastAsia"/>
                <w:b/>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pPr>
              <w:pStyle w:val="19"/>
              <w:spacing w:before="94" w:line="360" w:lineRule="auto"/>
              <w:ind w:left="7"/>
              <w:jc w:val="center"/>
              <w:rPr>
                <w:color w:val="auto"/>
                <w:sz w:val="21"/>
                <w:highlight w:val="none"/>
              </w:rPr>
            </w:pPr>
            <w:r>
              <w:rPr>
                <w:rFonts w:hint="eastAsia"/>
                <w:color w:val="auto"/>
                <w:sz w:val="21"/>
                <w:highlight w:val="none"/>
              </w:rPr>
              <w:t>1</w:t>
            </w:r>
          </w:p>
        </w:tc>
        <w:tc>
          <w:tcPr>
            <w:tcW w:w="3109" w:type="dxa"/>
            <w:tcBorders>
              <w:left w:val="single" w:color="000000" w:sz="4" w:space="0"/>
            </w:tcBorders>
            <w:vAlign w:val="center"/>
          </w:tcPr>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项目负责人</w:t>
            </w:r>
          </w:p>
          <w:p>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（兼总监理工程师）</w:t>
            </w:r>
          </w:p>
        </w:tc>
        <w:tc>
          <w:tcPr>
            <w:tcW w:w="2893" w:type="dxa"/>
            <w:tcBorders>
              <w:left w:val="single" w:color="000000" w:sz="4" w:space="0"/>
            </w:tcBorders>
            <w:vAlign w:val="center"/>
          </w:tcPr>
          <w:p>
            <w:pPr>
              <w:pStyle w:val="19"/>
              <w:spacing w:before="142" w:line="360" w:lineRule="exact"/>
              <w:ind w:left="208" w:leftChars="99" w:right="210"/>
              <w:jc w:val="both"/>
              <w:rPr>
                <w:color w:val="auto"/>
                <w:sz w:val="21"/>
                <w:highlight w:val="none"/>
              </w:rPr>
            </w:pPr>
            <w:r>
              <w:rPr>
                <w:rFonts w:hint="eastAsia"/>
                <w:color w:val="auto"/>
                <w:sz w:val="21"/>
                <w:highlight w:val="none"/>
              </w:rPr>
              <w:t>姓名：</w:t>
            </w:r>
          </w:p>
          <w:p>
            <w:pPr>
              <w:pStyle w:val="19"/>
              <w:spacing w:before="142" w:line="360" w:lineRule="exact"/>
              <w:ind w:left="208" w:leftChars="99" w:right="210"/>
              <w:jc w:val="both"/>
              <w:rPr>
                <w:color w:val="auto"/>
                <w:sz w:val="21"/>
                <w:highlight w:val="none"/>
              </w:rPr>
            </w:pPr>
            <w:r>
              <w:rPr>
                <w:rFonts w:hint="eastAsia"/>
                <w:color w:val="auto"/>
                <w:sz w:val="21"/>
                <w:highlight w:val="none"/>
              </w:rPr>
              <w:t>技术职称 ：</w:t>
            </w:r>
          </w:p>
          <w:p>
            <w:pPr>
              <w:pStyle w:val="19"/>
              <w:spacing w:before="142" w:line="360" w:lineRule="exact"/>
              <w:ind w:left="208" w:leftChars="99" w:right="210"/>
              <w:jc w:val="both"/>
              <w:rPr>
                <w:color w:val="auto"/>
                <w:sz w:val="21"/>
                <w:highlight w:val="none"/>
              </w:rPr>
            </w:pPr>
            <w:r>
              <w:rPr>
                <w:rFonts w:hint="eastAsia"/>
                <w:color w:val="auto"/>
                <w:sz w:val="21"/>
                <w:highlight w:val="none"/>
              </w:rPr>
              <w:t>注册证号：</w:t>
            </w:r>
          </w:p>
        </w:tc>
        <w:tc>
          <w:tcPr>
            <w:tcW w:w="1881"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pPr>
              <w:pStyle w:val="19"/>
              <w:spacing w:before="91" w:line="360" w:lineRule="auto"/>
              <w:ind w:left="7"/>
              <w:jc w:val="center"/>
              <w:rPr>
                <w:color w:val="auto"/>
                <w:sz w:val="21"/>
                <w:highlight w:val="none"/>
              </w:rPr>
            </w:pPr>
            <w:r>
              <w:rPr>
                <w:rFonts w:hint="eastAsia"/>
                <w:color w:val="auto"/>
                <w:sz w:val="21"/>
                <w:highlight w:val="none"/>
              </w:rPr>
              <w:t>2</w:t>
            </w:r>
          </w:p>
        </w:tc>
        <w:tc>
          <w:tcPr>
            <w:tcW w:w="3109"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color w:val="auto"/>
                <w:sz w:val="21"/>
                <w:highlight w:val="none"/>
              </w:rPr>
              <w:t>服务期限</w:t>
            </w:r>
          </w:p>
        </w:tc>
        <w:tc>
          <w:tcPr>
            <w:tcW w:w="2893"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color w:val="auto"/>
                <w:sz w:val="21"/>
                <w:highlight w:val="none"/>
              </w:rPr>
              <w:t>按招标文件要求</w:t>
            </w:r>
          </w:p>
        </w:tc>
        <w:tc>
          <w:tcPr>
            <w:tcW w:w="1881"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pPr>
              <w:pStyle w:val="19"/>
              <w:spacing w:before="94" w:line="360" w:lineRule="auto"/>
              <w:ind w:left="7"/>
              <w:jc w:val="center"/>
              <w:rPr>
                <w:color w:val="auto"/>
                <w:sz w:val="21"/>
                <w:highlight w:val="none"/>
              </w:rPr>
            </w:pPr>
            <w:r>
              <w:rPr>
                <w:rFonts w:hint="eastAsia"/>
                <w:color w:val="auto"/>
                <w:sz w:val="21"/>
                <w:highlight w:val="none"/>
              </w:rPr>
              <w:t>3</w:t>
            </w:r>
          </w:p>
        </w:tc>
        <w:tc>
          <w:tcPr>
            <w:tcW w:w="3109"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color w:val="auto"/>
                <w:sz w:val="21"/>
                <w:highlight w:val="none"/>
              </w:rPr>
              <w:t>合同价款确定方式</w:t>
            </w:r>
          </w:p>
        </w:tc>
        <w:tc>
          <w:tcPr>
            <w:tcW w:w="2893"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bCs/>
                <w:color w:val="auto"/>
                <w:highlight w:val="none"/>
              </w:rPr>
              <w:t>暂定固定价格合同</w:t>
            </w:r>
          </w:p>
        </w:tc>
        <w:tc>
          <w:tcPr>
            <w:tcW w:w="1881"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75" w:type="dxa"/>
            <w:vAlign w:val="center"/>
          </w:tcPr>
          <w:p>
            <w:pPr>
              <w:pStyle w:val="19"/>
              <w:spacing w:line="360" w:lineRule="auto"/>
              <w:ind w:left="446" w:right="439"/>
              <w:jc w:val="center"/>
              <w:rPr>
                <w:color w:val="auto"/>
                <w:sz w:val="21"/>
                <w:highlight w:val="none"/>
              </w:rPr>
            </w:pPr>
            <w:r>
              <w:rPr>
                <w:rFonts w:hint="eastAsia"/>
                <w:color w:val="auto"/>
                <w:sz w:val="21"/>
                <w:highlight w:val="none"/>
                <w:lang w:val="en-US"/>
              </w:rPr>
              <w:t>4</w:t>
            </w:r>
          </w:p>
        </w:tc>
        <w:tc>
          <w:tcPr>
            <w:tcW w:w="3109"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color w:val="auto"/>
                <w:sz w:val="21"/>
                <w:highlight w:val="none"/>
              </w:rPr>
              <w:t>质量标准</w:t>
            </w:r>
          </w:p>
        </w:tc>
        <w:tc>
          <w:tcPr>
            <w:tcW w:w="2893"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color w:val="auto"/>
                <w:sz w:val="21"/>
                <w:highlight w:val="none"/>
              </w:rPr>
              <w:t>按招标文件要求</w:t>
            </w:r>
          </w:p>
        </w:tc>
        <w:tc>
          <w:tcPr>
            <w:tcW w:w="1881"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pPr>
              <w:pStyle w:val="19"/>
              <w:spacing w:line="360" w:lineRule="auto"/>
              <w:ind w:left="446" w:right="439"/>
              <w:jc w:val="center"/>
              <w:rPr>
                <w:color w:val="auto"/>
                <w:sz w:val="21"/>
                <w:highlight w:val="none"/>
                <w:lang w:val="en-US"/>
              </w:rPr>
            </w:pPr>
            <w:r>
              <w:rPr>
                <w:rFonts w:hint="eastAsia"/>
                <w:color w:val="auto"/>
                <w:sz w:val="21"/>
                <w:highlight w:val="none"/>
                <w:lang w:val="en-US"/>
              </w:rPr>
              <w:t>5</w:t>
            </w:r>
          </w:p>
        </w:tc>
        <w:tc>
          <w:tcPr>
            <w:tcW w:w="3109"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color w:val="auto"/>
                <w:sz w:val="21"/>
                <w:highlight w:val="none"/>
              </w:rPr>
              <w:t>投标总报价</w:t>
            </w:r>
          </w:p>
        </w:tc>
        <w:tc>
          <w:tcPr>
            <w:tcW w:w="2893" w:type="dxa"/>
            <w:tcBorders>
              <w:left w:val="single" w:color="000000" w:sz="4" w:space="0"/>
            </w:tcBorders>
            <w:vAlign w:val="center"/>
          </w:tcPr>
          <w:p>
            <w:pPr>
              <w:topLinePunct/>
              <w:autoSpaceDE w:val="0"/>
              <w:autoSpaceDN w:val="0"/>
              <w:spacing w:line="360" w:lineRule="exact"/>
              <w:rPr>
                <w:bCs/>
                <w:color w:val="auto"/>
                <w:kern w:val="2"/>
                <w:sz w:val="21"/>
                <w:szCs w:val="21"/>
                <w:highlight w:val="none"/>
                <w:u w:val="single"/>
              </w:rPr>
            </w:pPr>
            <w:r>
              <w:rPr>
                <w:rFonts w:hint="eastAsia"/>
                <w:bCs/>
                <w:color w:val="auto"/>
                <w:kern w:val="2"/>
                <w:sz w:val="21"/>
                <w:szCs w:val="21"/>
                <w:highlight w:val="none"/>
                <w:u w:val="single"/>
              </w:rPr>
              <w:t xml:space="preserve">大写：        </w:t>
            </w:r>
          </w:p>
          <w:p>
            <w:pPr>
              <w:topLinePunct/>
              <w:autoSpaceDE w:val="0"/>
              <w:autoSpaceDN w:val="0"/>
              <w:spacing w:line="360" w:lineRule="exact"/>
              <w:rPr>
                <w:bCs/>
                <w:color w:val="auto"/>
                <w:kern w:val="2"/>
                <w:sz w:val="21"/>
                <w:szCs w:val="21"/>
                <w:highlight w:val="none"/>
                <w:u w:val="single"/>
              </w:rPr>
            </w:pPr>
            <w:r>
              <w:rPr>
                <w:rFonts w:hint="eastAsia"/>
                <w:bCs/>
                <w:color w:val="auto"/>
                <w:kern w:val="2"/>
                <w:sz w:val="21"/>
                <w:szCs w:val="21"/>
                <w:highlight w:val="none"/>
                <w:u w:val="single"/>
              </w:rPr>
              <w:t xml:space="preserve">小写：        </w:t>
            </w:r>
          </w:p>
          <w:p>
            <w:pPr>
              <w:topLinePunct/>
              <w:autoSpaceDE w:val="0"/>
              <w:autoSpaceDN w:val="0"/>
              <w:spacing w:line="360" w:lineRule="exact"/>
              <w:rPr>
                <w:bCs/>
                <w:color w:val="auto"/>
                <w:kern w:val="2"/>
                <w:sz w:val="21"/>
                <w:szCs w:val="21"/>
                <w:highlight w:val="none"/>
              </w:rPr>
            </w:pPr>
            <w:r>
              <w:rPr>
                <w:rFonts w:hint="eastAsia"/>
                <w:bCs/>
                <w:color w:val="auto"/>
                <w:kern w:val="2"/>
                <w:sz w:val="21"/>
                <w:szCs w:val="21"/>
                <w:highlight w:val="none"/>
              </w:rPr>
              <w:t>其中：</w:t>
            </w:r>
          </w:p>
          <w:p>
            <w:pPr>
              <w:topLinePunct/>
              <w:autoSpaceDE w:val="0"/>
              <w:autoSpaceDN w:val="0"/>
              <w:spacing w:line="360" w:lineRule="exact"/>
              <w:rPr>
                <w:bCs/>
                <w:color w:val="auto"/>
                <w:kern w:val="2"/>
                <w:sz w:val="21"/>
                <w:szCs w:val="21"/>
                <w:highlight w:val="none"/>
                <w:u w:val="single"/>
              </w:rPr>
            </w:pPr>
            <w:r>
              <w:rPr>
                <w:rFonts w:hint="eastAsia"/>
                <w:bCs/>
                <w:color w:val="auto"/>
                <w:kern w:val="2"/>
                <w:sz w:val="21"/>
                <w:szCs w:val="21"/>
                <w:highlight w:val="none"/>
                <w:u w:val="single"/>
              </w:rPr>
              <w:t xml:space="preserve">监理服务费：         元 </w:t>
            </w:r>
          </w:p>
          <w:p>
            <w:pPr>
              <w:topLinePunct/>
              <w:autoSpaceDE w:val="0"/>
              <w:autoSpaceDN w:val="0"/>
              <w:spacing w:line="360" w:lineRule="exact"/>
              <w:rPr>
                <w:bCs/>
                <w:color w:val="auto"/>
                <w:kern w:val="2"/>
                <w:sz w:val="21"/>
                <w:szCs w:val="21"/>
                <w:highlight w:val="none"/>
                <w:u w:val="single"/>
              </w:rPr>
            </w:pPr>
            <w:r>
              <w:rPr>
                <w:rFonts w:hint="eastAsia"/>
                <w:bCs/>
                <w:color w:val="auto"/>
                <w:kern w:val="2"/>
                <w:sz w:val="21"/>
                <w:szCs w:val="21"/>
                <w:highlight w:val="none"/>
                <w:u w:val="single"/>
              </w:rPr>
              <w:t>造价咨询服务费：         元</w:t>
            </w:r>
          </w:p>
        </w:tc>
        <w:tc>
          <w:tcPr>
            <w:tcW w:w="1881"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pPr>
              <w:pStyle w:val="19"/>
              <w:spacing w:line="360" w:lineRule="auto"/>
              <w:ind w:left="446" w:right="439"/>
              <w:jc w:val="center"/>
              <w:rPr>
                <w:color w:val="auto"/>
                <w:sz w:val="21"/>
                <w:highlight w:val="none"/>
                <w:lang w:val="en-US"/>
              </w:rPr>
            </w:pPr>
            <w:r>
              <w:rPr>
                <w:rFonts w:hint="eastAsia"/>
                <w:color w:val="auto"/>
                <w:sz w:val="21"/>
                <w:highlight w:val="none"/>
                <w:lang w:val="en-US"/>
              </w:rPr>
              <w:t>6</w:t>
            </w:r>
          </w:p>
        </w:tc>
        <w:tc>
          <w:tcPr>
            <w:tcW w:w="3109"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color w:val="auto"/>
                <w:sz w:val="21"/>
                <w:highlight w:val="none"/>
              </w:rPr>
              <w:t>投标有效期</w:t>
            </w:r>
          </w:p>
        </w:tc>
        <w:tc>
          <w:tcPr>
            <w:tcW w:w="2893" w:type="dxa"/>
            <w:tcBorders>
              <w:left w:val="single" w:color="000000" w:sz="4" w:space="0"/>
            </w:tcBorders>
            <w:vAlign w:val="center"/>
          </w:tcPr>
          <w:p>
            <w:pPr>
              <w:pStyle w:val="19"/>
              <w:spacing w:before="142" w:line="360" w:lineRule="auto"/>
              <w:ind w:left="208" w:leftChars="99" w:right="210"/>
              <w:jc w:val="both"/>
              <w:rPr>
                <w:color w:val="auto"/>
                <w:sz w:val="21"/>
                <w:highlight w:val="none"/>
              </w:rPr>
            </w:pPr>
            <w:r>
              <w:rPr>
                <w:rFonts w:hint="eastAsia"/>
                <w:color w:val="auto"/>
                <w:sz w:val="21"/>
                <w:highlight w:val="none"/>
              </w:rPr>
              <w:t>按招标文件要求</w:t>
            </w:r>
          </w:p>
        </w:tc>
        <w:tc>
          <w:tcPr>
            <w:tcW w:w="1881"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tcBorders>
              <w:right w:val="single" w:color="000000" w:sz="4" w:space="0"/>
            </w:tcBorders>
            <w:vAlign w:val="center"/>
          </w:tcPr>
          <w:p>
            <w:pPr>
              <w:pStyle w:val="19"/>
              <w:spacing w:line="360" w:lineRule="auto"/>
              <w:ind w:left="446" w:right="439"/>
              <w:jc w:val="center"/>
              <w:rPr>
                <w:color w:val="auto"/>
                <w:sz w:val="21"/>
                <w:highlight w:val="none"/>
                <w:lang w:val="en-US"/>
              </w:rPr>
            </w:pPr>
            <w:r>
              <w:rPr>
                <w:color w:val="auto"/>
                <w:sz w:val="21"/>
                <w:highlight w:val="none"/>
                <w:lang w:val="en-US"/>
              </w:rPr>
              <w:t>7</w:t>
            </w:r>
          </w:p>
        </w:tc>
        <w:tc>
          <w:tcPr>
            <w:tcW w:w="3109" w:type="dxa"/>
            <w:tcBorders>
              <w:left w:val="single" w:color="000000" w:sz="4" w:space="0"/>
              <w:right w:val="single" w:color="000000" w:sz="4" w:space="0"/>
            </w:tcBorders>
            <w:vAlign w:val="center"/>
          </w:tcPr>
          <w:p>
            <w:pPr>
              <w:pStyle w:val="19"/>
              <w:spacing w:before="142" w:line="360" w:lineRule="auto"/>
              <w:ind w:left="208" w:leftChars="99" w:right="210"/>
              <w:jc w:val="both"/>
              <w:rPr>
                <w:color w:val="auto"/>
                <w:sz w:val="21"/>
                <w:highlight w:val="none"/>
              </w:rPr>
            </w:pPr>
            <w:r>
              <w:rPr>
                <w:color w:val="auto"/>
                <w:sz w:val="21"/>
                <w:highlight w:val="none"/>
              </w:rPr>
              <w:t>投标内容</w:t>
            </w:r>
          </w:p>
        </w:tc>
        <w:tc>
          <w:tcPr>
            <w:tcW w:w="2893" w:type="dxa"/>
            <w:tcBorders>
              <w:left w:val="single" w:color="000000" w:sz="4" w:space="0"/>
              <w:right w:val="single" w:color="000000" w:sz="4" w:space="0"/>
            </w:tcBorders>
            <w:vAlign w:val="center"/>
          </w:tcPr>
          <w:p>
            <w:pPr>
              <w:pStyle w:val="19"/>
              <w:spacing w:before="142" w:line="360" w:lineRule="auto"/>
              <w:ind w:left="208" w:leftChars="99" w:right="210"/>
              <w:jc w:val="both"/>
              <w:rPr>
                <w:color w:val="auto"/>
                <w:sz w:val="21"/>
                <w:highlight w:val="none"/>
              </w:rPr>
            </w:pPr>
            <w:r>
              <w:rPr>
                <w:color w:val="auto"/>
                <w:sz w:val="21"/>
                <w:highlight w:val="none"/>
              </w:rPr>
              <w:t>按招标文件要求</w:t>
            </w:r>
          </w:p>
        </w:tc>
        <w:tc>
          <w:tcPr>
            <w:tcW w:w="1881" w:type="dxa"/>
            <w:tcBorders>
              <w:left w:val="single" w:color="000000" w:sz="4" w:space="0"/>
            </w:tcBorders>
            <w:vAlign w:val="center"/>
          </w:tcPr>
          <w:p>
            <w:pPr>
              <w:pStyle w:val="19"/>
              <w:spacing w:line="360" w:lineRule="auto"/>
              <w:jc w:val="center"/>
              <w:rPr>
                <w:color w:val="auto"/>
                <w:sz w:val="20"/>
                <w:highlight w:val="none"/>
              </w:rPr>
            </w:pPr>
          </w:p>
        </w:tc>
      </w:tr>
    </w:tbl>
    <w:p>
      <w:pPr>
        <w:pStyle w:val="7"/>
        <w:rPr>
          <w:color w:val="auto"/>
          <w:highlight w:val="none"/>
          <w:lang w:val="en-US"/>
        </w:rPr>
      </w:pPr>
    </w:p>
    <w:p>
      <w:pPr>
        <w:pStyle w:val="7"/>
        <w:rPr>
          <w:color w:val="auto"/>
          <w:highlight w:val="none"/>
        </w:rPr>
      </w:pPr>
    </w:p>
    <w:p>
      <w:pPr>
        <w:pStyle w:val="7"/>
        <w:rPr>
          <w:color w:val="auto"/>
          <w:highlight w:val="none"/>
        </w:rPr>
      </w:pPr>
    </w:p>
    <w:p>
      <w:pPr>
        <w:pStyle w:val="7"/>
        <w:rPr>
          <w:color w:val="auto"/>
          <w:highlight w:val="none"/>
        </w:rPr>
      </w:pPr>
    </w:p>
    <w:p>
      <w:pPr>
        <w:pStyle w:val="7"/>
        <w:ind w:firstLine="4922" w:firstLineChars="2344"/>
        <w:rPr>
          <w:color w:val="auto"/>
          <w:highlight w:val="none"/>
        </w:rPr>
      </w:pPr>
      <w:r>
        <w:rPr>
          <w:rFonts w:hint="eastAsia"/>
          <w:color w:val="auto"/>
          <w:highlight w:val="none"/>
        </w:rPr>
        <w:t>投 标 人</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pPr>
        <w:pStyle w:val="7"/>
        <w:ind w:firstLine="4924" w:firstLineChars="2345"/>
        <w:rPr>
          <w:color w:val="auto"/>
          <w:highlight w:val="none"/>
        </w:rPr>
      </w:pPr>
      <w:r>
        <w:rPr>
          <w:rFonts w:hint="eastAsia"/>
          <w:color w:val="auto"/>
          <w:highlight w:val="none"/>
        </w:rPr>
        <w:t>法</w:t>
      </w:r>
      <w:r>
        <w:rPr>
          <w:rFonts w:hint="eastAsia"/>
          <w:color w:val="auto"/>
          <w:spacing w:val="-3"/>
          <w:highlight w:val="none"/>
        </w:rPr>
        <w:t>定</w:t>
      </w:r>
      <w:r>
        <w:rPr>
          <w:rFonts w:hint="eastAsia"/>
          <w:color w:val="auto"/>
          <w:highlight w:val="none"/>
        </w:rPr>
        <w:t>代</w:t>
      </w:r>
      <w:r>
        <w:rPr>
          <w:rFonts w:hint="eastAsia"/>
          <w:color w:val="auto"/>
          <w:spacing w:val="-3"/>
          <w:highlight w:val="none"/>
        </w:rPr>
        <w:t>表</w:t>
      </w:r>
      <w:r>
        <w:rPr>
          <w:rFonts w:hint="eastAsia"/>
          <w:color w:val="auto"/>
          <w:highlight w:val="none"/>
        </w:rPr>
        <w:t>人</w:t>
      </w:r>
      <w:r>
        <w:rPr>
          <w:rFonts w:hint="eastAsia"/>
          <w:color w:val="auto"/>
          <w:spacing w:val="-3"/>
          <w:highlight w:val="none"/>
        </w:rPr>
        <w:t>或</w:t>
      </w:r>
      <w:r>
        <w:rPr>
          <w:rFonts w:hint="eastAsia"/>
          <w:color w:val="auto"/>
          <w:highlight w:val="none"/>
        </w:rPr>
        <w:t>其</w:t>
      </w:r>
      <w:r>
        <w:rPr>
          <w:rFonts w:hint="eastAsia"/>
          <w:color w:val="auto"/>
          <w:spacing w:val="-3"/>
          <w:highlight w:val="none"/>
        </w:rPr>
        <w:t>委</w:t>
      </w:r>
      <w:r>
        <w:rPr>
          <w:rFonts w:hint="eastAsia"/>
          <w:color w:val="auto"/>
          <w:highlight w:val="none"/>
        </w:rPr>
        <w:t>托</w:t>
      </w:r>
      <w:r>
        <w:rPr>
          <w:rFonts w:hint="eastAsia"/>
          <w:color w:val="auto"/>
          <w:spacing w:val="-3"/>
          <w:highlight w:val="none"/>
        </w:rPr>
        <w:t>代理</w:t>
      </w:r>
      <w:r>
        <w:rPr>
          <w:rFonts w:hint="eastAsia"/>
          <w:color w:val="auto"/>
          <w:highlight w:val="none"/>
        </w:rPr>
        <w:t>人：</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（签</w:t>
      </w:r>
      <w:r>
        <w:rPr>
          <w:rFonts w:hint="eastAsia"/>
          <w:color w:val="auto"/>
          <w:spacing w:val="-3"/>
          <w:highlight w:val="none"/>
        </w:rPr>
        <w:t>字</w:t>
      </w:r>
      <w:r>
        <w:rPr>
          <w:color w:val="auto"/>
          <w:spacing w:val="-3"/>
          <w:highlight w:val="none"/>
        </w:rPr>
        <w:t>或盖章</w:t>
      </w:r>
      <w:r>
        <w:rPr>
          <w:rFonts w:hint="eastAsia"/>
          <w:color w:val="auto"/>
          <w:highlight w:val="none"/>
        </w:rPr>
        <w:t>）</w:t>
      </w:r>
    </w:p>
    <w:p>
      <w:pPr>
        <w:pStyle w:val="7"/>
        <w:rPr>
          <w:color w:val="auto"/>
          <w:highlight w:val="none"/>
        </w:rPr>
      </w:pPr>
      <w:r>
        <w:rPr>
          <w:rFonts w:hint="eastAsia"/>
          <w:color w:val="auto"/>
          <w:highlight w:val="none"/>
        </w:rPr>
        <w:t xml:space="preserve"> </w:t>
      </w:r>
      <w:r>
        <w:rPr>
          <w:rFonts w:hint="eastAsia"/>
          <w:color w:val="auto"/>
          <w:highlight w:val="none"/>
        </w:rPr>
        <w:tab/>
      </w:r>
      <w:r>
        <w:rPr>
          <w:rFonts w:hint="eastAsia"/>
          <w:color w:val="auto"/>
          <w:highlight w:val="none"/>
        </w:rPr>
        <w:t xml:space="preserve">                                                        年 </w:t>
      </w:r>
      <w:r>
        <w:rPr>
          <w:rFonts w:hint="eastAsia"/>
          <w:color w:val="auto"/>
          <w:highlight w:val="none"/>
        </w:rPr>
        <w:tab/>
      </w:r>
      <w:r>
        <w:rPr>
          <w:rFonts w:hint="eastAsia"/>
          <w:color w:val="auto"/>
          <w:highlight w:val="none"/>
        </w:rPr>
        <w:t xml:space="preserve">月 </w:t>
      </w:r>
      <w:r>
        <w:rPr>
          <w:rFonts w:hint="eastAsia"/>
          <w:color w:val="auto"/>
          <w:highlight w:val="none"/>
        </w:rPr>
        <w:tab/>
      </w:r>
      <w:r>
        <w:rPr>
          <w:rFonts w:hint="eastAsia"/>
          <w:color w:val="auto"/>
          <w:highlight w:val="none"/>
        </w:rPr>
        <w:t>日</w:t>
      </w:r>
    </w:p>
    <w:p>
      <w:pPr>
        <w:spacing w:line="360" w:lineRule="auto"/>
        <w:rPr>
          <w:color w:val="auto"/>
          <w:highlight w:val="none"/>
        </w:rPr>
      </w:pPr>
    </w:p>
    <w:p>
      <w:pPr>
        <w:pStyle w:val="3"/>
        <w:rPr>
          <w:rFonts w:eastAsia="宋体"/>
          <w:color w:val="auto"/>
          <w:highlight w:val="none"/>
        </w:rPr>
        <w:sectPr>
          <w:pgSz w:w="11906" w:h="16838"/>
          <w:pgMar w:top="1400" w:right="1100" w:bottom="1120" w:left="1560" w:header="0" w:footer="841" w:gutter="0"/>
          <w:cols w:space="720" w:num="1"/>
          <w:docGrid w:linePitch="312" w:charSpace="2048"/>
        </w:sectPr>
      </w:pPr>
    </w:p>
    <w:p>
      <w:pPr>
        <w:spacing w:line="360" w:lineRule="auto"/>
        <w:ind w:right="457"/>
        <w:jc w:val="center"/>
        <w:rPr>
          <w:b/>
          <w:color w:val="auto"/>
          <w:sz w:val="32"/>
          <w:highlight w:val="none"/>
        </w:rPr>
      </w:pPr>
      <w:bookmarkStart w:id="57" w:name="_bookmark179"/>
      <w:bookmarkEnd w:id="57"/>
      <w:r>
        <w:rPr>
          <w:rFonts w:hint="eastAsia"/>
          <w:b/>
          <w:color w:val="auto"/>
          <w:sz w:val="32"/>
          <w:highlight w:val="none"/>
        </w:rPr>
        <w:t>二、法定代表人身份证明（格式可自拟）</w:t>
      </w: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r>
        <w:rPr>
          <w:rFonts w:hint="eastAsia"/>
          <w:color w:val="auto"/>
          <w:spacing w:val="-1"/>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名</w:t>
      </w:r>
      <w:r>
        <w:rPr>
          <w:rFonts w:hint="eastAsia"/>
          <w:color w:val="auto"/>
          <w:spacing w:val="-3"/>
          <w:highlight w:val="none"/>
        </w:rPr>
        <w:t>称</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pPr>
        <w:pStyle w:val="7"/>
        <w:rPr>
          <w:color w:val="auto"/>
          <w:highlight w:val="none"/>
        </w:rPr>
      </w:pPr>
      <w:r>
        <w:rPr>
          <w:rFonts w:hint="eastAsia"/>
          <w:color w:val="auto"/>
          <w:highlight w:val="none"/>
        </w:rPr>
        <w:t>姓名</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性别</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年</w:t>
      </w:r>
      <w:r>
        <w:rPr>
          <w:rFonts w:hint="eastAsia"/>
          <w:color w:val="auto"/>
          <w:spacing w:val="-3"/>
          <w:highlight w:val="none"/>
        </w:rPr>
        <w:t>龄</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spacing w:val="-1"/>
          <w:highlight w:val="none"/>
        </w:rPr>
        <w:t>职</w:t>
      </w:r>
      <w:r>
        <w:rPr>
          <w:rFonts w:hint="eastAsia"/>
          <w:color w:val="auto"/>
          <w:spacing w:val="-3"/>
          <w:highlight w:val="none"/>
        </w:rPr>
        <w:t>务</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pPr>
        <w:pStyle w:val="7"/>
        <w:rPr>
          <w:color w:val="auto"/>
          <w:highlight w:val="none"/>
        </w:rPr>
      </w:pPr>
      <w:r>
        <w:rPr>
          <w:rFonts w:hint="eastAsia"/>
          <w:color w:val="auto"/>
          <w:highlight w:val="none"/>
        </w:rPr>
        <w:t>系</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w:t>
      </w:r>
      <w:r>
        <w:rPr>
          <w:rFonts w:hint="eastAsia"/>
          <w:color w:val="auto"/>
          <w:highlight w:val="none"/>
        </w:rPr>
        <w:t>投</w:t>
      </w:r>
      <w:r>
        <w:rPr>
          <w:rFonts w:hint="eastAsia"/>
          <w:color w:val="auto"/>
          <w:spacing w:val="-3"/>
          <w:highlight w:val="none"/>
        </w:rPr>
        <w:t>标</w:t>
      </w:r>
      <w:r>
        <w:rPr>
          <w:rFonts w:hint="eastAsia"/>
          <w:color w:val="auto"/>
          <w:highlight w:val="none"/>
        </w:rPr>
        <w:t>人</w:t>
      </w:r>
      <w:r>
        <w:rPr>
          <w:rFonts w:hint="eastAsia"/>
          <w:color w:val="auto"/>
          <w:spacing w:val="-3"/>
          <w:highlight w:val="none"/>
        </w:rPr>
        <w:t>名</w:t>
      </w:r>
      <w:r>
        <w:rPr>
          <w:rFonts w:hint="eastAsia"/>
          <w:color w:val="auto"/>
          <w:highlight w:val="none"/>
        </w:rPr>
        <w:t>称</w:t>
      </w:r>
      <w:r>
        <w:rPr>
          <w:rFonts w:hint="eastAsia"/>
          <w:color w:val="auto"/>
          <w:spacing w:val="-3"/>
          <w:highlight w:val="none"/>
        </w:rPr>
        <w:t>）</w:t>
      </w:r>
      <w:r>
        <w:rPr>
          <w:rFonts w:hint="eastAsia"/>
          <w:color w:val="auto"/>
          <w:highlight w:val="none"/>
        </w:rPr>
        <w:t>的</w:t>
      </w:r>
      <w:r>
        <w:rPr>
          <w:rFonts w:hint="eastAsia"/>
          <w:color w:val="auto"/>
          <w:spacing w:val="-3"/>
          <w:highlight w:val="none"/>
        </w:rPr>
        <w:t>法定</w:t>
      </w:r>
      <w:r>
        <w:rPr>
          <w:rFonts w:hint="eastAsia"/>
          <w:color w:val="auto"/>
          <w:highlight w:val="none"/>
        </w:rPr>
        <w:t>代表</w:t>
      </w:r>
      <w:r>
        <w:rPr>
          <w:rFonts w:hint="eastAsia"/>
          <w:color w:val="auto"/>
          <w:spacing w:val="-3"/>
          <w:highlight w:val="none"/>
        </w:rPr>
        <w:t>人</w:t>
      </w:r>
      <w:r>
        <w:rPr>
          <w:rFonts w:hint="eastAsia"/>
          <w:color w:val="auto"/>
          <w:highlight w:val="none"/>
        </w:rPr>
        <w:t>。</w:t>
      </w:r>
    </w:p>
    <w:p>
      <w:pPr>
        <w:pStyle w:val="7"/>
        <w:rPr>
          <w:color w:val="auto"/>
          <w:highlight w:val="none"/>
        </w:rPr>
      </w:pPr>
      <w:r>
        <w:rPr>
          <w:rFonts w:hint="eastAsia"/>
          <w:color w:val="auto"/>
          <w:highlight w:val="none"/>
        </w:rPr>
        <w:t>特此证明。</w:t>
      </w:r>
    </w:p>
    <w:p>
      <w:pPr>
        <w:pStyle w:val="7"/>
        <w:rPr>
          <w:color w:val="auto"/>
          <w:highlight w:val="none"/>
        </w:rPr>
      </w:pPr>
    </w:p>
    <w:p>
      <w:pPr>
        <w:pStyle w:val="7"/>
        <w:rPr>
          <w:color w:val="auto"/>
          <w:highlight w:val="none"/>
        </w:rPr>
      </w:pPr>
    </w:p>
    <w:p>
      <w:pPr>
        <w:pStyle w:val="7"/>
        <w:rPr>
          <w:color w:val="auto"/>
          <w:highlight w:val="none"/>
        </w:rPr>
      </w:pPr>
      <w:r>
        <w:rPr>
          <w:rFonts w:hint="eastAsia"/>
          <w:color w:val="auto"/>
          <w:highlight w:val="none"/>
        </w:rPr>
        <w:t>附：法定代表人身份证扫描件。</w:t>
      </w:r>
    </w:p>
    <w:p>
      <w:pPr>
        <w:pStyle w:val="7"/>
        <w:rPr>
          <w:color w:val="auto"/>
          <w:highlight w:val="none"/>
        </w:rPr>
      </w:pPr>
    </w:p>
    <w:p>
      <w:pPr>
        <w:pStyle w:val="7"/>
        <w:rPr>
          <w:color w:val="auto"/>
          <w:highlight w:val="none"/>
        </w:rPr>
      </w:pPr>
    </w:p>
    <w:p>
      <w:pPr>
        <w:pStyle w:val="7"/>
        <w:rPr>
          <w:color w:val="auto"/>
          <w:highlight w:val="none"/>
        </w:rPr>
      </w:pPr>
      <w:r>
        <w:rPr>
          <w:rFonts w:hint="eastAsia"/>
          <w:color w:val="auto"/>
          <w:highlight w:val="none"/>
        </w:rPr>
        <w:t>注：本身份证明需由投标人加盖单位公章。</w:t>
      </w: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ind w:firstLine="6211" w:firstLineChars="3045"/>
        <w:rPr>
          <w:color w:val="auto"/>
          <w:highlight w:val="none"/>
        </w:rPr>
      </w:pPr>
      <w:r>
        <w:rPr>
          <w:rFonts w:hint="eastAsia"/>
          <w:color w:val="auto"/>
          <w:spacing w:val="-3"/>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pPr>
        <w:pStyle w:val="7"/>
        <w:rPr>
          <w:color w:val="auto"/>
          <w:highlight w:val="none"/>
        </w:rPr>
      </w:pPr>
    </w:p>
    <w:p>
      <w:pPr>
        <w:pStyle w:val="7"/>
        <w:rPr>
          <w:color w:val="auto"/>
          <w:highlight w:val="none"/>
        </w:rPr>
      </w:pPr>
    </w:p>
    <w:p>
      <w:pPr>
        <w:pStyle w:val="7"/>
        <w:rPr>
          <w:color w:val="auto"/>
          <w:highlight w:val="none"/>
        </w:rPr>
      </w:pPr>
      <w:r>
        <w:rPr>
          <w:rFonts w:hint="eastAsia"/>
          <w:color w:val="auto"/>
          <w:highlight w:val="none"/>
        </w:rPr>
        <w:t xml:space="preserve"> </w:t>
      </w:r>
      <w:r>
        <w:rPr>
          <w:rFonts w:hint="eastAsia"/>
          <w:color w:val="auto"/>
          <w:highlight w:val="none"/>
        </w:rPr>
        <w:tab/>
      </w:r>
      <w:r>
        <w:rPr>
          <w:rFonts w:hint="eastAsia"/>
          <w:color w:val="auto"/>
          <w:highlight w:val="none"/>
        </w:rPr>
        <w:t xml:space="preserve">                                                             年 </w:t>
      </w:r>
      <w:r>
        <w:rPr>
          <w:rFonts w:hint="eastAsia"/>
          <w:color w:val="auto"/>
          <w:highlight w:val="none"/>
        </w:rPr>
        <w:tab/>
      </w:r>
      <w:r>
        <w:rPr>
          <w:rFonts w:hint="eastAsia"/>
          <w:color w:val="auto"/>
          <w:highlight w:val="none"/>
        </w:rPr>
        <w:t xml:space="preserve">月 </w:t>
      </w:r>
      <w:r>
        <w:rPr>
          <w:rFonts w:hint="eastAsia"/>
          <w:color w:val="auto"/>
          <w:highlight w:val="none"/>
        </w:rPr>
        <w:tab/>
      </w:r>
      <w:r>
        <w:rPr>
          <w:rFonts w:hint="eastAsia"/>
          <w:color w:val="auto"/>
          <w:highlight w:val="none"/>
        </w:rPr>
        <w:t>日</w:t>
      </w:r>
    </w:p>
    <w:p>
      <w:pPr>
        <w:spacing w:line="360" w:lineRule="auto"/>
        <w:rPr>
          <w:color w:val="auto"/>
          <w:highlight w:val="none"/>
        </w:rPr>
      </w:pPr>
    </w:p>
    <w:p>
      <w:pPr>
        <w:rPr>
          <w:color w:val="auto"/>
          <w:sz w:val="24"/>
          <w:highlight w:val="none"/>
        </w:rPr>
      </w:pPr>
      <w:r>
        <w:rPr>
          <w:rFonts w:hint="eastAsia"/>
          <w:color w:val="auto"/>
          <w:sz w:val="24"/>
          <w:highlight w:val="none"/>
        </w:rPr>
        <w:t>注：联合体投标的，由主办方提供。</w:t>
      </w:r>
    </w:p>
    <w:p>
      <w:pPr>
        <w:pStyle w:val="3"/>
        <w:rPr>
          <w:rFonts w:eastAsia="宋体"/>
          <w:color w:val="auto"/>
          <w:highlight w:val="none"/>
        </w:rPr>
        <w:sectPr>
          <w:pgSz w:w="11906" w:h="16838"/>
          <w:pgMar w:top="1400" w:right="1100" w:bottom="1120" w:left="1560" w:header="0" w:footer="841" w:gutter="0"/>
          <w:cols w:space="720" w:num="1"/>
          <w:docGrid w:linePitch="312" w:charSpace="2048"/>
        </w:sectPr>
      </w:pPr>
    </w:p>
    <w:p>
      <w:pPr>
        <w:spacing w:line="360" w:lineRule="auto"/>
        <w:ind w:right="459"/>
        <w:jc w:val="center"/>
        <w:rPr>
          <w:b/>
          <w:color w:val="auto"/>
          <w:sz w:val="32"/>
          <w:highlight w:val="none"/>
        </w:rPr>
      </w:pPr>
      <w:bookmarkStart w:id="58" w:name="_bookmark180"/>
      <w:bookmarkEnd w:id="58"/>
      <w:r>
        <w:rPr>
          <w:rFonts w:hint="eastAsia"/>
          <w:b/>
          <w:color w:val="auto"/>
          <w:sz w:val="32"/>
          <w:highlight w:val="none"/>
        </w:rPr>
        <w:t>三、授权委托书（格式可自拟）</w:t>
      </w:r>
    </w:p>
    <w:p>
      <w:pPr>
        <w:pStyle w:val="7"/>
        <w:rPr>
          <w:color w:val="auto"/>
          <w:highlight w:val="none"/>
        </w:rPr>
      </w:pPr>
    </w:p>
    <w:p>
      <w:pPr>
        <w:pStyle w:val="7"/>
        <w:rPr>
          <w:color w:val="auto"/>
          <w:highlight w:val="none"/>
        </w:rPr>
      </w:pPr>
    </w:p>
    <w:p>
      <w:pPr>
        <w:pStyle w:val="7"/>
        <w:rPr>
          <w:color w:val="auto"/>
          <w:highlight w:val="none"/>
        </w:rPr>
      </w:pPr>
      <w:r>
        <w:rPr>
          <w:rFonts w:hint="eastAsia"/>
          <w:color w:val="auto"/>
          <w:highlight w:val="none"/>
        </w:rPr>
        <w:t>本人</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w:t>
      </w:r>
      <w:r>
        <w:rPr>
          <w:rFonts w:hint="eastAsia"/>
          <w:color w:val="auto"/>
          <w:spacing w:val="-3"/>
          <w:highlight w:val="none"/>
        </w:rPr>
        <w:t>姓</w:t>
      </w:r>
      <w:r>
        <w:rPr>
          <w:rFonts w:hint="eastAsia"/>
          <w:color w:val="auto"/>
          <w:highlight w:val="none"/>
        </w:rPr>
        <w:t>名）系</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（投标人</w:t>
      </w:r>
      <w:r>
        <w:rPr>
          <w:rFonts w:hint="eastAsia"/>
          <w:color w:val="auto"/>
          <w:spacing w:val="-3"/>
          <w:highlight w:val="none"/>
        </w:rPr>
        <w:t>名</w:t>
      </w:r>
      <w:r>
        <w:rPr>
          <w:rFonts w:hint="eastAsia"/>
          <w:color w:val="auto"/>
          <w:highlight w:val="none"/>
        </w:rPr>
        <w:t>称）的</w:t>
      </w:r>
      <w:r>
        <w:rPr>
          <w:rFonts w:hint="eastAsia"/>
          <w:color w:val="auto"/>
          <w:spacing w:val="-3"/>
          <w:highlight w:val="none"/>
        </w:rPr>
        <w:t>法定</w:t>
      </w:r>
      <w:r>
        <w:rPr>
          <w:rFonts w:hint="eastAsia"/>
          <w:color w:val="auto"/>
          <w:highlight w:val="none"/>
        </w:rPr>
        <w:t>代表人</w:t>
      </w:r>
      <w:r>
        <w:rPr>
          <w:rFonts w:hint="eastAsia"/>
          <w:color w:val="auto"/>
          <w:spacing w:val="-3"/>
          <w:highlight w:val="none"/>
        </w:rPr>
        <w:t>，</w:t>
      </w:r>
      <w:r>
        <w:rPr>
          <w:rFonts w:hint="eastAsia"/>
          <w:color w:val="auto"/>
          <w:highlight w:val="none"/>
        </w:rPr>
        <w:t>现委托</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（姓</w:t>
      </w:r>
      <w:r>
        <w:rPr>
          <w:rFonts w:hint="eastAsia"/>
          <w:color w:val="auto"/>
          <w:spacing w:val="-3"/>
          <w:highlight w:val="none"/>
        </w:rPr>
        <w:t>名</w:t>
      </w:r>
      <w:r>
        <w:rPr>
          <w:rFonts w:hint="eastAsia"/>
          <w:color w:val="auto"/>
          <w:highlight w:val="none"/>
        </w:rPr>
        <w:t>）为我方代</w:t>
      </w:r>
      <w:r>
        <w:rPr>
          <w:rFonts w:hint="eastAsia"/>
          <w:color w:val="auto"/>
          <w:spacing w:val="-3"/>
          <w:highlight w:val="none"/>
        </w:rPr>
        <w:t>理</w:t>
      </w:r>
      <w:r>
        <w:rPr>
          <w:rFonts w:hint="eastAsia"/>
          <w:color w:val="auto"/>
          <w:highlight w:val="none"/>
        </w:rPr>
        <w:t>人。代理</w:t>
      </w:r>
      <w:r>
        <w:rPr>
          <w:rFonts w:hint="eastAsia"/>
          <w:color w:val="auto"/>
          <w:spacing w:val="-3"/>
          <w:highlight w:val="none"/>
        </w:rPr>
        <w:t>人</w:t>
      </w:r>
      <w:r>
        <w:rPr>
          <w:rFonts w:hint="eastAsia"/>
          <w:color w:val="auto"/>
          <w:highlight w:val="none"/>
        </w:rPr>
        <w:t>根据授权，</w:t>
      </w:r>
      <w:r>
        <w:rPr>
          <w:rFonts w:hint="eastAsia"/>
          <w:color w:val="auto"/>
          <w:spacing w:val="-3"/>
          <w:highlight w:val="none"/>
        </w:rPr>
        <w:t>以</w:t>
      </w:r>
      <w:r>
        <w:rPr>
          <w:rFonts w:hint="eastAsia"/>
          <w:color w:val="auto"/>
          <w:highlight w:val="none"/>
        </w:rPr>
        <w:t>我</w:t>
      </w:r>
      <w:r>
        <w:rPr>
          <w:rFonts w:hint="eastAsia"/>
          <w:color w:val="auto"/>
          <w:spacing w:val="-3"/>
          <w:highlight w:val="none"/>
        </w:rPr>
        <w:t>方名义签署、澄清确认、递交、撤回、修改</w:t>
      </w:r>
      <w:r>
        <w:rPr>
          <w:rFonts w:hint="eastAsia"/>
          <w:bCs/>
          <w:color w:val="auto"/>
          <w:spacing w:val="-3"/>
          <w:highlight w:val="none"/>
          <w:u w:val="single"/>
          <w:lang w:eastAsia="zh-CN"/>
        </w:rPr>
        <w:t>广州市海珠区滨江街小港路片区基础设施升级改造工程全过程工程咨询服务（工程监理、工程造价咨询）</w:t>
      </w:r>
      <w:r>
        <w:rPr>
          <w:rFonts w:hint="eastAsia"/>
          <w:color w:val="auto"/>
          <w:highlight w:val="none"/>
        </w:rPr>
        <w:t>项目</w:t>
      </w:r>
      <w:r>
        <w:rPr>
          <w:rFonts w:hint="eastAsia"/>
          <w:color w:val="auto"/>
          <w:spacing w:val="-3"/>
          <w:highlight w:val="none"/>
        </w:rPr>
        <w:t>投</w:t>
      </w:r>
      <w:r>
        <w:rPr>
          <w:rFonts w:hint="eastAsia"/>
          <w:color w:val="auto"/>
          <w:highlight w:val="none"/>
        </w:rPr>
        <w:t>标</w:t>
      </w:r>
      <w:r>
        <w:rPr>
          <w:rFonts w:hint="eastAsia"/>
          <w:color w:val="auto"/>
          <w:spacing w:val="-3"/>
          <w:highlight w:val="none"/>
        </w:rPr>
        <w:t>文</w:t>
      </w:r>
      <w:r>
        <w:rPr>
          <w:rFonts w:hint="eastAsia"/>
          <w:color w:val="auto"/>
          <w:highlight w:val="none"/>
        </w:rPr>
        <w:t>件</w:t>
      </w:r>
      <w:r>
        <w:rPr>
          <w:rFonts w:hint="eastAsia"/>
          <w:color w:val="auto"/>
          <w:spacing w:val="-3"/>
          <w:highlight w:val="none"/>
        </w:rPr>
        <w:t>、</w:t>
      </w:r>
      <w:r>
        <w:rPr>
          <w:rFonts w:hint="eastAsia"/>
          <w:color w:val="auto"/>
          <w:highlight w:val="none"/>
        </w:rPr>
        <w:t>签</w:t>
      </w:r>
      <w:r>
        <w:rPr>
          <w:rFonts w:hint="eastAsia"/>
          <w:color w:val="auto"/>
          <w:spacing w:val="-3"/>
          <w:highlight w:val="none"/>
        </w:rPr>
        <w:t>订</w:t>
      </w:r>
      <w:r>
        <w:rPr>
          <w:rFonts w:hint="eastAsia"/>
          <w:color w:val="auto"/>
          <w:highlight w:val="none"/>
        </w:rPr>
        <w:t>合</w:t>
      </w:r>
      <w:r>
        <w:rPr>
          <w:rFonts w:hint="eastAsia"/>
          <w:color w:val="auto"/>
          <w:spacing w:val="-3"/>
          <w:highlight w:val="none"/>
        </w:rPr>
        <w:t>同</w:t>
      </w:r>
      <w:r>
        <w:rPr>
          <w:rFonts w:hint="eastAsia"/>
          <w:color w:val="auto"/>
          <w:highlight w:val="none"/>
        </w:rPr>
        <w:t>和处</w:t>
      </w:r>
      <w:r>
        <w:rPr>
          <w:rFonts w:hint="eastAsia"/>
          <w:color w:val="auto"/>
          <w:spacing w:val="-3"/>
          <w:highlight w:val="none"/>
        </w:rPr>
        <w:t>理</w:t>
      </w:r>
      <w:r>
        <w:rPr>
          <w:rFonts w:hint="eastAsia"/>
          <w:color w:val="auto"/>
          <w:highlight w:val="none"/>
        </w:rPr>
        <w:t>有</w:t>
      </w:r>
      <w:r>
        <w:rPr>
          <w:rFonts w:hint="eastAsia"/>
          <w:color w:val="auto"/>
          <w:spacing w:val="-3"/>
          <w:highlight w:val="none"/>
        </w:rPr>
        <w:t>关</w:t>
      </w:r>
      <w:r>
        <w:rPr>
          <w:rFonts w:hint="eastAsia"/>
          <w:color w:val="auto"/>
          <w:highlight w:val="none"/>
        </w:rPr>
        <w:t>事</w:t>
      </w:r>
      <w:r>
        <w:rPr>
          <w:rFonts w:hint="eastAsia"/>
          <w:color w:val="auto"/>
          <w:spacing w:val="-3"/>
          <w:highlight w:val="none"/>
        </w:rPr>
        <w:t>宜</w:t>
      </w:r>
      <w:r>
        <w:rPr>
          <w:rFonts w:hint="eastAsia"/>
          <w:color w:val="auto"/>
          <w:highlight w:val="none"/>
        </w:rPr>
        <w:t>，</w:t>
      </w:r>
      <w:r>
        <w:rPr>
          <w:rFonts w:hint="eastAsia"/>
          <w:color w:val="auto"/>
          <w:spacing w:val="-3"/>
          <w:highlight w:val="none"/>
        </w:rPr>
        <w:t>其</w:t>
      </w:r>
      <w:r>
        <w:rPr>
          <w:rFonts w:hint="eastAsia"/>
          <w:color w:val="auto"/>
          <w:highlight w:val="none"/>
        </w:rPr>
        <w:t>法</w:t>
      </w:r>
      <w:r>
        <w:rPr>
          <w:rFonts w:hint="eastAsia"/>
          <w:color w:val="auto"/>
          <w:spacing w:val="-3"/>
          <w:highlight w:val="none"/>
        </w:rPr>
        <w:t>律</w:t>
      </w:r>
      <w:r>
        <w:rPr>
          <w:rFonts w:hint="eastAsia"/>
          <w:color w:val="auto"/>
          <w:highlight w:val="none"/>
        </w:rPr>
        <w:t>后果</w:t>
      </w:r>
      <w:r>
        <w:rPr>
          <w:rFonts w:hint="eastAsia"/>
          <w:color w:val="auto"/>
          <w:spacing w:val="-3"/>
          <w:highlight w:val="none"/>
        </w:rPr>
        <w:t>由</w:t>
      </w:r>
      <w:r>
        <w:rPr>
          <w:rFonts w:hint="eastAsia"/>
          <w:color w:val="auto"/>
          <w:highlight w:val="none"/>
        </w:rPr>
        <w:t>我</w:t>
      </w:r>
      <w:r>
        <w:rPr>
          <w:rFonts w:hint="eastAsia"/>
          <w:color w:val="auto"/>
          <w:spacing w:val="-3"/>
          <w:highlight w:val="none"/>
        </w:rPr>
        <w:t>方</w:t>
      </w:r>
      <w:r>
        <w:rPr>
          <w:rFonts w:hint="eastAsia"/>
          <w:color w:val="auto"/>
          <w:highlight w:val="none"/>
        </w:rPr>
        <w:t>承</w:t>
      </w:r>
      <w:r>
        <w:rPr>
          <w:rFonts w:hint="eastAsia"/>
          <w:color w:val="auto"/>
          <w:spacing w:val="-3"/>
          <w:highlight w:val="none"/>
        </w:rPr>
        <w:t>担</w:t>
      </w:r>
      <w:r>
        <w:rPr>
          <w:rFonts w:hint="eastAsia"/>
          <w:color w:val="auto"/>
          <w:highlight w:val="none"/>
        </w:rPr>
        <w:t>。</w:t>
      </w:r>
    </w:p>
    <w:p>
      <w:pPr>
        <w:pStyle w:val="7"/>
        <w:rPr>
          <w:color w:val="auto"/>
          <w:highlight w:val="none"/>
        </w:rPr>
      </w:pPr>
      <w:r>
        <w:rPr>
          <w:rFonts w:hint="eastAsia"/>
          <w:color w:val="auto"/>
          <w:highlight w:val="none"/>
        </w:rPr>
        <w:t>委托</w:t>
      </w:r>
      <w:r>
        <w:rPr>
          <w:rFonts w:hint="eastAsia"/>
          <w:color w:val="auto"/>
          <w:spacing w:val="-3"/>
          <w:highlight w:val="none"/>
        </w:rPr>
        <w:t>期</w:t>
      </w:r>
      <w:r>
        <w:rPr>
          <w:rFonts w:hint="eastAsia"/>
          <w:color w:val="auto"/>
          <w:highlight w:val="none"/>
        </w:rPr>
        <w:t>限</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w:t>
      </w:r>
    </w:p>
    <w:p>
      <w:pPr>
        <w:pStyle w:val="7"/>
        <w:rPr>
          <w:color w:val="auto"/>
          <w:highlight w:val="none"/>
        </w:rPr>
      </w:pPr>
      <w:r>
        <w:rPr>
          <w:rFonts w:hint="eastAsia"/>
          <w:color w:val="auto"/>
          <w:highlight w:val="none"/>
        </w:rPr>
        <w:t>代理人无转委托权。</w:t>
      </w:r>
    </w:p>
    <w:p>
      <w:pPr>
        <w:pStyle w:val="7"/>
        <w:rPr>
          <w:color w:val="auto"/>
          <w:highlight w:val="none"/>
        </w:rPr>
      </w:pPr>
    </w:p>
    <w:p>
      <w:pPr>
        <w:pStyle w:val="7"/>
        <w:rPr>
          <w:color w:val="auto"/>
          <w:highlight w:val="none"/>
        </w:rPr>
      </w:pPr>
    </w:p>
    <w:p>
      <w:pPr>
        <w:pStyle w:val="7"/>
        <w:rPr>
          <w:color w:val="auto"/>
          <w:highlight w:val="none"/>
        </w:rPr>
      </w:pPr>
      <w:r>
        <w:rPr>
          <w:rFonts w:hint="eastAsia"/>
          <w:color w:val="auto"/>
          <w:highlight w:val="none"/>
        </w:rPr>
        <w:t>附：法定代表人身份证复印件及委托代理人身份证扫描件</w:t>
      </w: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ind w:firstLine="5764" w:firstLineChars="2745"/>
        <w:rPr>
          <w:color w:val="auto"/>
          <w:highlight w:val="none"/>
        </w:rPr>
      </w:pPr>
      <w:r>
        <w:rPr>
          <w:rFonts w:hint="eastAsia"/>
          <w:color w:val="auto"/>
          <w:highlight w:val="none"/>
        </w:rPr>
        <w:t>投</w:t>
      </w:r>
      <w:r>
        <w:rPr>
          <w:rFonts w:hint="eastAsia"/>
          <w:color w:val="auto"/>
          <w:highlight w:val="none"/>
        </w:rPr>
        <w:tab/>
      </w:r>
      <w:r>
        <w:rPr>
          <w:rFonts w:hint="eastAsia"/>
          <w:color w:val="auto"/>
          <w:highlight w:val="none"/>
        </w:rPr>
        <w:t>标</w:t>
      </w:r>
      <w:r>
        <w:rPr>
          <w:rFonts w:hint="eastAsia"/>
          <w:color w:val="auto"/>
          <w:highlight w:val="none"/>
        </w:rPr>
        <w:tab/>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spacing w:val="-3"/>
          <w:highlight w:val="none"/>
          <w:u w:val="single"/>
        </w:rPr>
        <w:t xml:space="preserve"> </w:t>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pPr>
        <w:pStyle w:val="7"/>
        <w:ind w:firstLine="5764" w:firstLineChars="2745"/>
        <w:rPr>
          <w:color w:val="auto"/>
          <w:highlight w:val="none"/>
        </w:rPr>
      </w:pP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（签</w:t>
      </w:r>
      <w:r>
        <w:rPr>
          <w:rFonts w:hint="eastAsia"/>
          <w:color w:val="auto"/>
          <w:spacing w:val="-3"/>
          <w:highlight w:val="none"/>
        </w:rPr>
        <w:t>字</w:t>
      </w:r>
      <w:r>
        <w:rPr>
          <w:color w:val="auto"/>
          <w:spacing w:val="-3"/>
          <w:highlight w:val="none"/>
        </w:rPr>
        <w:t>或盖章</w:t>
      </w:r>
      <w:r>
        <w:rPr>
          <w:rFonts w:hint="eastAsia"/>
          <w:color w:val="auto"/>
          <w:highlight w:val="none"/>
        </w:rPr>
        <w:t>）</w:t>
      </w:r>
    </w:p>
    <w:p>
      <w:pPr>
        <w:pStyle w:val="7"/>
        <w:ind w:firstLine="5764" w:firstLineChars="2745"/>
        <w:rPr>
          <w:color w:val="auto"/>
          <w:highlight w:val="none"/>
        </w:rPr>
      </w:pPr>
      <w:r>
        <w:rPr>
          <w:rFonts w:hint="eastAsia"/>
          <w:color w:val="auto"/>
          <w:highlight w:val="none"/>
        </w:rPr>
        <w:t>身份</w:t>
      </w:r>
      <w:r>
        <w:rPr>
          <w:rFonts w:hint="eastAsia"/>
          <w:color w:val="auto"/>
          <w:spacing w:val="-3"/>
          <w:highlight w:val="none"/>
        </w:rPr>
        <w:t>证</w:t>
      </w:r>
      <w:r>
        <w:rPr>
          <w:rFonts w:hint="eastAsia"/>
          <w:color w:val="auto"/>
          <w:highlight w:val="none"/>
        </w:rPr>
        <w:t>号</w:t>
      </w:r>
      <w:r>
        <w:rPr>
          <w:rFonts w:hint="eastAsia"/>
          <w:color w:val="auto"/>
          <w:spacing w:val="-3"/>
          <w:highlight w:val="none"/>
        </w:rPr>
        <w:t>码：</w:t>
      </w:r>
      <w:r>
        <w:rPr>
          <w:rFonts w:hint="eastAsia"/>
          <w:color w:val="auto"/>
          <w:highlight w:val="none"/>
          <w:u w:val="single"/>
        </w:rPr>
        <w:t xml:space="preserve">   </w:t>
      </w:r>
      <w:r>
        <w:rPr>
          <w:rFonts w:hint="eastAsia"/>
          <w:color w:val="auto"/>
          <w:highlight w:val="none"/>
          <w:u w:val="single"/>
        </w:rPr>
        <w:tab/>
      </w:r>
    </w:p>
    <w:p>
      <w:pPr>
        <w:pStyle w:val="7"/>
        <w:ind w:firstLine="5764" w:firstLineChars="2745"/>
        <w:rPr>
          <w:color w:val="auto"/>
          <w:highlight w:val="none"/>
        </w:rPr>
      </w:pPr>
      <w:r>
        <w:rPr>
          <w:rFonts w:hint="eastAsia"/>
          <w:color w:val="auto"/>
          <w:highlight w:val="none"/>
        </w:rPr>
        <w:t>委托</w:t>
      </w:r>
      <w:r>
        <w:rPr>
          <w:rFonts w:hint="eastAsia"/>
          <w:color w:val="auto"/>
          <w:spacing w:val="-3"/>
          <w:highlight w:val="none"/>
        </w:rPr>
        <w:t>代</w:t>
      </w:r>
      <w:r>
        <w:rPr>
          <w:rFonts w:hint="eastAsia"/>
          <w:color w:val="auto"/>
          <w:highlight w:val="none"/>
        </w:rPr>
        <w:t>理</w:t>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（签</w:t>
      </w:r>
      <w:r>
        <w:rPr>
          <w:rFonts w:hint="eastAsia"/>
          <w:color w:val="auto"/>
          <w:spacing w:val="-3"/>
          <w:highlight w:val="none"/>
        </w:rPr>
        <w:t>字</w:t>
      </w:r>
      <w:r>
        <w:rPr>
          <w:color w:val="auto"/>
          <w:spacing w:val="-3"/>
          <w:highlight w:val="none"/>
        </w:rPr>
        <w:t>或盖章</w:t>
      </w:r>
      <w:r>
        <w:rPr>
          <w:rFonts w:hint="eastAsia"/>
          <w:color w:val="auto"/>
          <w:highlight w:val="none"/>
        </w:rPr>
        <w:t>）</w:t>
      </w:r>
    </w:p>
    <w:p>
      <w:pPr>
        <w:pStyle w:val="7"/>
        <w:ind w:firstLine="5764" w:firstLineChars="2745"/>
        <w:rPr>
          <w:color w:val="auto"/>
          <w:highlight w:val="none"/>
        </w:rPr>
      </w:pPr>
      <w:r>
        <w:rPr>
          <w:rFonts w:hint="eastAsia"/>
          <w:color w:val="auto"/>
          <w:highlight w:val="none"/>
        </w:rPr>
        <w:t>身份</w:t>
      </w:r>
      <w:r>
        <w:rPr>
          <w:rFonts w:hint="eastAsia"/>
          <w:color w:val="auto"/>
          <w:spacing w:val="-3"/>
          <w:highlight w:val="none"/>
        </w:rPr>
        <w:t>证</w:t>
      </w:r>
      <w:r>
        <w:rPr>
          <w:rFonts w:hint="eastAsia"/>
          <w:color w:val="auto"/>
          <w:highlight w:val="none"/>
        </w:rPr>
        <w:t>号</w:t>
      </w:r>
      <w:r>
        <w:rPr>
          <w:rFonts w:hint="eastAsia"/>
          <w:color w:val="auto"/>
          <w:spacing w:val="-3"/>
          <w:highlight w:val="none"/>
        </w:rPr>
        <w:t>码：</w:t>
      </w:r>
      <w:r>
        <w:rPr>
          <w:rFonts w:hint="eastAsia"/>
          <w:color w:val="auto"/>
          <w:highlight w:val="none"/>
          <w:u w:val="single"/>
        </w:rPr>
        <w:t xml:space="preserve">   </w:t>
      </w:r>
      <w:r>
        <w:rPr>
          <w:rFonts w:hint="eastAsia"/>
          <w:color w:val="auto"/>
          <w:highlight w:val="none"/>
          <w:u w:val="single"/>
        </w:rPr>
        <w:tab/>
      </w:r>
    </w:p>
    <w:p>
      <w:pPr>
        <w:pStyle w:val="7"/>
        <w:rPr>
          <w:color w:val="auto"/>
          <w:highlight w:val="none"/>
        </w:rPr>
      </w:pPr>
      <w:r>
        <w:rPr>
          <w:rFonts w:hint="eastAsia"/>
          <w:color w:val="auto"/>
          <w:highlight w:val="none"/>
        </w:rPr>
        <w:t xml:space="preserve">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spacing w:val="-3"/>
          <w:highlight w:val="none"/>
        </w:rPr>
        <w:t xml:space="preserve">月 </w:t>
      </w:r>
      <w:r>
        <w:rPr>
          <w:rFonts w:hint="eastAsia"/>
          <w:color w:val="auto"/>
          <w:spacing w:val="-3"/>
          <w:highlight w:val="none"/>
        </w:rPr>
        <w:tab/>
      </w:r>
      <w:r>
        <w:rPr>
          <w:rFonts w:hint="eastAsia"/>
          <w:color w:val="auto"/>
          <w:highlight w:val="none"/>
        </w:rPr>
        <w:t>日</w:t>
      </w:r>
    </w:p>
    <w:p>
      <w:pPr>
        <w:spacing w:line="360" w:lineRule="auto"/>
        <w:rPr>
          <w:color w:val="auto"/>
          <w:highlight w:val="none"/>
        </w:rPr>
      </w:pPr>
    </w:p>
    <w:p>
      <w:pPr>
        <w:rPr>
          <w:color w:val="auto"/>
          <w:sz w:val="24"/>
          <w:highlight w:val="none"/>
        </w:rPr>
      </w:pPr>
      <w:r>
        <w:rPr>
          <w:rFonts w:hint="eastAsia"/>
          <w:color w:val="auto"/>
          <w:sz w:val="24"/>
          <w:highlight w:val="none"/>
        </w:rPr>
        <w:t>注：联合体投标的，由主办方提供。</w:t>
      </w:r>
    </w:p>
    <w:p>
      <w:pPr>
        <w:pStyle w:val="3"/>
        <w:rPr>
          <w:rFonts w:eastAsia="宋体"/>
          <w:color w:val="auto"/>
          <w:highlight w:val="none"/>
        </w:rPr>
        <w:sectPr>
          <w:pgSz w:w="11906" w:h="16838"/>
          <w:pgMar w:top="1400" w:right="1100" w:bottom="1120" w:left="1560" w:header="0" w:footer="841" w:gutter="0"/>
          <w:cols w:space="720" w:num="1"/>
          <w:docGrid w:linePitch="312" w:charSpace="2048"/>
        </w:sectPr>
      </w:pPr>
    </w:p>
    <w:p>
      <w:pPr>
        <w:spacing w:line="360" w:lineRule="auto"/>
        <w:ind w:right="457"/>
        <w:jc w:val="center"/>
        <w:rPr>
          <w:b/>
          <w:color w:val="auto"/>
          <w:sz w:val="32"/>
          <w:highlight w:val="none"/>
          <w:lang w:val="en-US"/>
        </w:rPr>
      </w:pPr>
      <w:bookmarkStart w:id="59" w:name="_bookmark183"/>
      <w:bookmarkEnd w:id="59"/>
      <w:bookmarkStart w:id="60" w:name="_bookmark182"/>
      <w:bookmarkEnd w:id="60"/>
      <w:bookmarkStart w:id="61" w:name="_bookmark181"/>
      <w:bookmarkEnd w:id="61"/>
      <w:r>
        <w:rPr>
          <w:rFonts w:hint="eastAsia"/>
          <w:b/>
          <w:color w:val="auto"/>
          <w:sz w:val="32"/>
          <w:highlight w:val="none"/>
        </w:rPr>
        <w:t>四、</w:t>
      </w:r>
      <w:r>
        <w:rPr>
          <w:rFonts w:hint="eastAsia"/>
          <w:b/>
          <w:color w:val="auto"/>
          <w:sz w:val="32"/>
          <w:highlight w:val="none"/>
          <w:lang w:val="en-US"/>
        </w:rPr>
        <w:t>联合体协议书</w:t>
      </w:r>
    </w:p>
    <w:p>
      <w:pPr>
        <w:topLinePunct/>
        <w:autoSpaceDE w:val="0"/>
        <w:autoSpaceDN w:val="0"/>
        <w:adjustRightInd w:val="0"/>
        <w:snapToGrid w:val="0"/>
        <w:spacing w:line="440" w:lineRule="exact"/>
        <w:ind w:firstLine="420" w:firstLineChars="200"/>
        <w:rPr>
          <w:color w:val="auto"/>
          <w:szCs w:val="21"/>
          <w:highlight w:val="none"/>
        </w:rPr>
      </w:pPr>
      <w:r>
        <w:rPr>
          <w:color w:val="auto"/>
          <w:highlight w:val="none"/>
          <w:u w:val="single"/>
        </w:rPr>
        <w:t xml:space="preserve">          </w:t>
      </w:r>
      <w:r>
        <w:rPr>
          <w:color w:val="auto"/>
          <w:highlight w:val="none"/>
        </w:rPr>
        <w:t>（所有成员单位名称）自愿组成</w:t>
      </w:r>
      <w:r>
        <w:rPr>
          <w:rFonts w:hint="eastAsia"/>
          <w:color w:val="auto"/>
          <w:highlight w:val="none"/>
        </w:rPr>
        <w:t>联合体</w:t>
      </w:r>
      <w:r>
        <w:rPr>
          <w:color w:val="auto"/>
          <w:highlight w:val="none"/>
        </w:rPr>
        <w:t>，共同参加</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（项目名称）投标。现就联合体投标事宜订立如下协议。</w:t>
      </w:r>
    </w:p>
    <w:p>
      <w:pPr>
        <w:topLinePunct/>
        <w:autoSpaceDE w:val="0"/>
        <w:autoSpaceDN w:val="0"/>
        <w:adjustRightInd w:val="0"/>
        <w:snapToGrid w:val="0"/>
        <w:spacing w:line="440" w:lineRule="exact"/>
        <w:ind w:firstLine="420" w:firstLineChars="200"/>
        <w:rPr>
          <w:color w:val="auto"/>
          <w:highlight w:val="none"/>
        </w:rPr>
      </w:pPr>
      <w:r>
        <w:rPr>
          <w:color w:val="auto"/>
          <w:highlight w:val="none"/>
        </w:rPr>
        <w:t>1</w:t>
      </w:r>
      <w:r>
        <w:rPr>
          <w:rFonts w:hint="eastAsia"/>
          <w:color w:val="auto"/>
          <w:highlight w:val="none"/>
        </w:rPr>
        <w:t>、</w:t>
      </w:r>
      <w:r>
        <w:rPr>
          <w:color w:val="auto"/>
          <w:highlight w:val="none"/>
          <w:u w:val="single"/>
        </w:rPr>
        <w:t xml:space="preserve">       </w:t>
      </w:r>
      <w:r>
        <w:rPr>
          <w:color w:val="auto"/>
          <w:highlight w:val="none"/>
        </w:rPr>
        <w:t>（某成员单位名称）为</w:t>
      </w:r>
      <w:r>
        <w:rPr>
          <w:rFonts w:hint="eastAsia"/>
          <w:color w:val="auto"/>
          <w:highlight w:val="none"/>
        </w:rPr>
        <w:t>主办方</w:t>
      </w:r>
      <w:r>
        <w:rPr>
          <w:color w:val="auto"/>
          <w:highlight w:val="none"/>
        </w:rPr>
        <w:t>。</w:t>
      </w:r>
    </w:p>
    <w:p>
      <w:pPr>
        <w:topLinePunct/>
        <w:autoSpaceDE w:val="0"/>
        <w:autoSpaceDN w:val="0"/>
        <w:adjustRightInd w:val="0"/>
        <w:snapToGrid w:val="0"/>
        <w:spacing w:line="440" w:lineRule="exact"/>
        <w:ind w:firstLine="420" w:firstLineChars="200"/>
        <w:rPr>
          <w:color w:val="auto"/>
          <w:highlight w:val="none"/>
        </w:rPr>
      </w:pPr>
      <w:r>
        <w:rPr>
          <w:color w:val="auto"/>
          <w:highlight w:val="none"/>
        </w:rPr>
        <w:t>2、联合体</w:t>
      </w:r>
      <w:r>
        <w:rPr>
          <w:rFonts w:hint="eastAsia"/>
          <w:color w:val="auto"/>
          <w:highlight w:val="none"/>
        </w:rPr>
        <w:t>主办方合法代表联合体各成员负责本招标项目投标文件编制和合同谈判活动，并代表联合体提交和接收相关的资料、信息及指示，并处理与之有关的一切事务，所有投标资料需要盖章签字的全部由联合体主办方盖章签字，</w:t>
      </w:r>
      <w:r>
        <w:rPr>
          <w:color w:val="auto"/>
          <w:highlight w:val="none"/>
        </w:rPr>
        <w:t>负责合同实施阶段的主办、组织和协调工作。</w:t>
      </w:r>
    </w:p>
    <w:p>
      <w:pPr>
        <w:topLinePunct/>
        <w:autoSpaceDE w:val="0"/>
        <w:autoSpaceDN w:val="0"/>
        <w:adjustRightInd w:val="0"/>
        <w:snapToGrid w:val="0"/>
        <w:spacing w:line="440" w:lineRule="exact"/>
        <w:ind w:firstLine="420" w:firstLineChars="200"/>
        <w:rPr>
          <w:color w:val="auto"/>
          <w:highlight w:val="none"/>
        </w:rPr>
      </w:pPr>
      <w:r>
        <w:rPr>
          <w:color w:val="auto"/>
          <w:highlight w:val="none"/>
        </w:rPr>
        <w:t>3、联合体将严格按照招标文件的各项要求，递交投标文件，履行合同，并对外承担连带责任。</w:t>
      </w:r>
    </w:p>
    <w:p>
      <w:pPr>
        <w:topLinePunct/>
        <w:autoSpaceDE w:val="0"/>
        <w:autoSpaceDN w:val="0"/>
        <w:adjustRightInd w:val="0"/>
        <w:snapToGrid w:val="0"/>
        <w:spacing w:line="440" w:lineRule="exact"/>
        <w:ind w:firstLine="420" w:firstLineChars="200"/>
        <w:rPr>
          <w:color w:val="auto"/>
          <w:highlight w:val="none"/>
        </w:rPr>
      </w:pPr>
      <w:r>
        <w:rPr>
          <w:color w:val="auto"/>
          <w:highlight w:val="none"/>
        </w:rPr>
        <w:t xml:space="preserve">4、本协议书自签署之日起生效，合同履行完毕后自动失效。 </w:t>
      </w:r>
    </w:p>
    <w:p>
      <w:pPr>
        <w:topLinePunct/>
        <w:autoSpaceDE w:val="0"/>
        <w:autoSpaceDN w:val="0"/>
        <w:adjustRightInd w:val="0"/>
        <w:snapToGrid w:val="0"/>
        <w:spacing w:line="440" w:lineRule="exact"/>
        <w:ind w:firstLine="420" w:firstLineChars="200"/>
        <w:rPr>
          <w:color w:val="auto"/>
          <w:highlight w:val="none"/>
        </w:rPr>
      </w:pPr>
      <w:r>
        <w:rPr>
          <w:rFonts w:hint="eastAsia"/>
          <w:color w:val="auto"/>
          <w:highlight w:val="none"/>
        </w:rPr>
        <w:t>5</w:t>
      </w:r>
      <w:r>
        <w:rPr>
          <w:color w:val="auto"/>
          <w:highlight w:val="none"/>
        </w:rPr>
        <w:t>、</w:t>
      </w:r>
      <w:r>
        <w:rPr>
          <w:rFonts w:hint="eastAsia"/>
          <w:color w:val="auto"/>
          <w:highlight w:val="none"/>
        </w:rPr>
        <w:t>本投标协议同时作为法人证明书或法人授权委托书。共同委托联合体主办方的员工为本项目的委托代理人。</w:t>
      </w:r>
    </w:p>
    <w:p>
      <w:pPr>
        <w:adjustRightInd w:val="0"/>
        <w:snapToGrid w:val="0"/>
        <w:spacing w:line="360" w:lineRule="auto"/>
        <w:ind w:firstLine="420" w:firstLineChars="200"/>
        <w:rPr>
          <w:color w:val="auto"/>
          <w:highlight w:val="none"/>
        </w:rPr>
      </w:pPr>
      <w:r>
        <w:rPr>
          <w:rFonts w:hint="eastAsia"/>
          <w:color w:val="auto"/>
          <w:highlight w:val="none"/>
        </w:rPr>
        <w:t xml:space="preserve"> </w:t>
      </w:r>
    </w:p>
    <w:p>
      <w:pPr>
        <w:pStyle w:val="10"/>
        <w:adjustRightInd w:val="0"/>
        <w:snapToGrid w:val="0"/>
        <w:spacing w:line="360" w:lineRule="auto"/>
        <w:ind w:firstLine="420" w:firstLineChars="200"/>
        <w:rPr>
          <w:color w:val="auto"/>
          <w:highlight w:val="none"/>
        </w:rPr>
      </w:pPr>
      <w:r>
        <w:rPr>
          <w:rFonts w:hint="eastAsia"/>
          <w:color w:val="auto"/>
          <w:highlight w:val="none"/>
        </w:rPr>
        <w:t xml:space="preserve">    联合体主办方：（盖章）</w:t>
      </w:r>
      <w:r>
        <w:rPr>
          <w:rFonts w:hint="eastAsia" w:ascii="楷体_GB2312" w:eastAsia="楷体_GB2312"/>
          <w:b/>
          <w:bCs/>
          <w:color w:val="auto"/>
          <w:highlight w:val="none"/>
          <w:u w:val="single"/>
        </w:rPr>
        <w:t xml:space="preserve">                        </w:t>
      </w:r>
    </w:p>
    <w:p>
      <w:pPr>
        <w:pStyle w:val="10"/>
        <w:adjustRightInd w:val="0"/>
        <w:snapToGrid w:val="0"/>
        <w:spacing w:line="360" w:lineRule="auto"/>
        <w:ind w:firstLine="420" w:firstLineChars="200"/>
        <w:rPr>
          <w:color w:val="auto"/>
          <w:highlight w:val="none"/>
        </w:rPr>
      </w:pPr>
      <w:r>
        <w:rPr>
          <w:rFonts w:hint="eastAsia"/>
          <w:color w:val="auto"/>
          <w:highlight w:val="none"/>
        </w:rPr>
        <w:t xml:space="preserve">    法定代表人：（签字）</w:t>
      </w:r>
      <w:r>
        <w:rPr>
          <w:rFonts w:hint="eastAsia" w:ascii="楷体_GB2312" w:eastAsia="楷体_GB2312"/>
          <w:b/>
          <w:bCs/>
          <w:color w:val="auto"/>
          <w:highlight w:val="none"/>
          <w:u w:val="single"/>
        </w:rPr>
        <w:t xml:space="preserve">                                      </w:t>
      </w:r>
    </w:p>
    <w:p>
      <w:pPr>
        <w:pStyle w:val="10"/>
        <w:adjustRightInd w:val="0"/>
        <w:snapToGrid w:val="0"/>
        <w:spacing w:line="360" w:lineRule="auto"/>
        <w:ind w:firstLine="420" w:firstLineChars="200"/>
        <w:rPr>
          <w:color w:val="auto"/>
          <w:highlight w:val="none"/>
        </w:rPr>
      </w:pPr>
      <w:r>
        <w:rPr>
          <w:rFonts w:hint="eastAsia"/>
          <w:color w:val="auto"/>
          <w:highlight w:val="none"/>
        </w:rPr>
        <w:t xml:space="preserve">    委托代理人：（签字）</w:t>
      </w:r>
      <w:r>
        <w:rPr>
          <w:rFonts w:hint="eastAsia" w:ascii="楷体_GB2312" w:eastAsia="楷体_GB2312"/>
          <w:b/>
          <w:bCs/>
          <w:color w:val="auto"/>
          <w:highlight w:val="none"/>
          <w:u w:val="single"/>
        </w:rPr>
        <w:t xml:space="preserve">                                            </w:t>
      </w:r>
    </w:p>
    <w:p>
      <w:pPr>
        <w:pStyle w:val="10"/>
        <w:adjustRightInd w:val="0"/>
        <w:snapToGrid w:val="0"/>
        <w:spacing w:line="360" w:lineRule="auto"/>
        <w:ind w:firstLine="840" w:firstLineChars="400"/>
        <w:rPr>
          <w:color w:val="auto"/>
          <w:highlight w:val="none"/>
        </w:rPr>
      </w:pPr>
      <w:r>
        <w:rPr>
          <w:rFonts w:hint="eastAsia"/>
          <w:color w:val="auto"/>
          <w:highlight w:val="none"/>
        </w:rPr>
        <w:t>地址：</w:t>
      </w:r>
      <w:r>
        <w:rPr>
          <w:rFonts w:hint="eastAsia" w:ascii="楷体_GB2312" w:eastAsia="楷体_GB2312"/>
          <w:b/>
          <w:bCs/>
          <w:color w:val="auto"/>
          <w:highlight w:val="none"/>
          <w:u w:val="single"/>
        </w:rPr>
        <w:t xml:space="preserve">                         </w:t>
      </w:r>
      <w:r>
        <w:rPr>
          <w:rFonts w:hint="eastAsia"/>
          <w:color w:val="auto"/>
          <w:highlight w:val="none"/>
        </w:rPr>
        <w:t>邮政编码：</w:t>
      </w:r>
      <w:r>
        <w:rPr>
          <w:rFonts w:hint="eastAsia" w:ascii="楷体_GB2312" w:eastAsia="楷体_GB2312"/>
          <w:b/>
          <w:bCs/>
          <w:color w:val="auto"/>
          <w:highlight w:val="none"/>
          <w:u w:val="single"/>
        </w:rPr>
        <w:t xml:space="preserve">         </w:t>
      </w:r>
      <w:r>
        <w:rPr>
          <w:rFonts w:hint="eastAsia"/>
          <w:color w:val="auto"/>
          <w:highlight w:val="none"/>
        </w:rPr>
        <w:t>电话/传真：</w:t>
      </w:r>
      <w:r>
        <w:rPr>
          <w:rFonts w:hint="eastAsia" w:ascii="楷体_GB2312" w:eastAsia="楷体_GB2312"/>
          <w:b/>
          <w:bCs/>
          <w:color w:val="auto"/>
          <w:highlight w:val="none"/>
          <w:u w:val="single"/>
        </w:rPr>
        <w:t xml:space="preserve">         </w:t>
      </w:r>
    </w:p>
    <w:p>
      <w:pPr>
        <w:pStyle w:val="10"/>
        <w:adjustRightInd w:val="0"/>
        <w:snapToGrid w:val="0"/>
        <w:spacing w:line="360" w:lineRule="auto"/>
        <w:ind w:firstLine="420" w:firstLineChars="200"/>
        <w:rPr>
          <w:color w:val="auto"/>
          <w:highlight w:val="none"/>
          <w:u w:val="single"/>
        </w:rPr>
      </w:pPr>
      <w:r>
        <w:rPr>
          <w:rFonts w:hint="eastAsia"/>
          <w:color w:val="auto"/>
          <w:highlight w:val="none"/>
        </w:rPr>
        <w:t xml:space="preserve">    分工内容：</w:t>
      </w:r>
      <w:r>
        <w:rPr>
          <w:rFonts w:hint="eastAsia"/>
          <w:color w:val="auto"/>
          <w:highlight w:val="none"/>
          <w:u w:val="single"/>
          <w:lang w:val="en-US"/>
        </w:rPr>
        <w:t>本项目监理工作</w:t>
      </w:r>
      <w:r>
        <w:rPr>
          <w:rFonts w:hint="eastAsia"/>
          <w:color w:val="auto"/>
          <w:highlight w:val="none"/>
          <w:u w:val="single"/>
        </w:rPr>
        <w:t>。</w:t>
      </w:r>
    </w:p>
    <w:p>
      <w:pPr>
        <w:pStyle w:val="10"/>
        <w:adjustRightInd w:val="0"/>
        <w:snapToGrid w:val="0"/>
        <w:spacing w:line="360" w:lineRule="auto"/>
        <w:ind w:firstLine="840" w:firstLineChars="400"/>
        <w:rPr>
          <w:color w:val="auto"/>
          <w:highlight w:val="none"/>
          <w:u w:val="single"/>
        </w:rPr>
      </w:pPr>
      <w:r>
        <w:rPr>
          <w:rFonts w:hint="eastAsia"/>
          <w:color w:val="auto"/>
          <w:highlight w:val="none"/>
        </w:rPr>
        <w:t>联合体成员：（盖章）</w:t>
      </w:r>
      <w:r>
        <w:rPr>
          <w:rFonts w:hint="eastAsia" w:ascii="楷体_GB2312" w:eastAsia="楷体_GB2312"/>
          <w:b/>
          <w:bCs/>
          <w:color w:val="auto"/>
          <w:highlight w:val="none"/>
          <w:u w:val="single"/>
        </w:rPr>
        <w:t xml:space="preserve">                         </w:t>
      </w:r>
    </w:p>
    <w:p>
      <w:pPr>
        <w:pStyle w:val="10"/>
        <w:adjustRightInd w:val="0"/>
        <w:snapToGrid w:val="0"/>
        <w:spacing w:line="360" w:lineRule="auto"/>
        <w:ind w:firstLine="840" w:firstLineChars="400"/>
        <w:rPr>
          <w:color w:val="auto"/>
          <w:highlight w:val="none"/>
        </w:rPr>
      </w:pPr>
      <w:r>
        <w:rPr>
          <w:rFonts w:hint="eastAsia"/>
          <w:color w:val="auto"/>
          <w:highlight w:val="none"/>
        </w:rPr>
        <w:t>法定代表人：（签字）</w:t>
      </w:r>
      <w:r>
        <w:rPr>
          <w:rFonts w:hint="eastAsia" w:ascii="楷体_GB2312" w:eastAsia="楷体_GB2312"/>
          <w:b/>
          <w:bCs/>
          <w:color w:val="auto"/>
          <w:highlight w:val="none"/>
          <w:u w:val="single"/>
        </w:rPr>
        <w:t xml:space="preserve">                                        </w:t>
      </w:r>
    </w:p>
    <w:p>
      <w:pPr>
        <w:pStyle w:val="10"/>
        <w:adjustRightInd w:val="0"/>
        <w:snapToGrid w:val="0"/>
        <w:spacing w:line="360" w:lineRule="auto"/>
        <w:ind w:firstLine="420" w:firstLineChars="200"/>
        <w:rPr>
          <w:color w:val="auto"/>
          <w:highlight w:val="none"/>
        </w:rPr>
      </w:pPr>
      <w:r>
        <w:rPr>
          <w:rFonts w:hint="eastAsia"/>
          <w:color w:val="auto"/>
          <w:highlight w:val="none"/>
        </w:rPr>
        <w:t xml:space="preserve">    委托代理人：（签字）</w:t>
      </w:r>
      <w:r>
        <w:rPr>
          <w:rFonts w:hint="eastAsia"/>
          <w:color w:val="auto"/>
          <w:highlight w:val="none"/>
          <w:u w:val="single"/>
        </w:rPr>
        <w:t xml:space="preserve"> </w:t>
      </w:r>
      <w:r>
        <w:rPr>
          <w:rFonts w:hint="eastAsia" w:ascii="楷体_GB2312" w:eastAsia="楷体_GB2312"/>
          <w:b/>
          <w:bCs/>
          <w:color w:val="auto"/>
          <w:highlight w:val="none"/>
          <w:u w:val="single"/>
        </w:rPr>
        <w:t xml:space="preserve">         </w:t>
      </w:r>
      <w:r>
        <w:rPr>
          <w:rFonts w:hint="eastAsia"/>
          <w:color w:val="auto"/>
          <w:highlight w:val="none"/>
          <w:u w:val="single"/>
        </w:rPr>
        <w:t xml:space="preserve">                                 </w:t>
      </w:r>
    </w:p>
    <w:p>
      <w:pPr>
        <w:pStyle w:val="10"/>
        <w:adjustRightInd w:val="0"/>
        <w:snapToGrid w:val="0"/>
        <w:spacing w:line="360" w:lineRule="auto"/>
        <w:ind w:firstLine="420" w:firstLineChars="200"/>
        <w:rPr>
          <w:color w:val="auto"/>
          <w:highlight w:val="none"/>
        </w:rPr>
      </w:pPr>
      <w:r>
        <w:rPr>
          <w:rFonts w:hint="eastAsia"/>
          <w:color w:val="auto"/>
          <w:highlight w:val="none"/>
        </w:rPr>
        <w:t xml:space="preserve">    地址：</w:t>
      </w:r>
      <w:r>
        <w:rPr>
          <w:rFonts w:hint="eastAsia" w:ascii="楷体_GB2312" w:eastAsia="楷体_GB2312"/>
          <w:b/>
          <w:bCs/>
          <w:color w:val="auto"/>
          <w:highlight w:val="none"/>
          <w:u w:val="single"/>
        </w:rPr>
        <w:t xml:space="preserve">                       </w:t>
      </w:r>
      <w:r>
        <w:rPr>
          <w:rFonts w:hint="eastAsia"/>
          <w:color w:val="auto"/>
          <w:highlight w:val="none"/>
        </w:rPr>
        <w:t xml:space="preserve">    邮政编码：</w:t>
      </w:r>
      <w:r>
        <w:rPr>
          <w:rFonts w:hint="eastAsia" w:ascii="楷体_GB2312" w:eastAsia="楷体_GB2312"/>
          <w:b/>
          <w:bCs/>
          <w:color w:val="auto"/>
          <w:highlight w:val="none"/>
          <w:u w:val="single"/>
        </w:rPr>
        <w:t xml:space="preserve">      </w:t>
      </w:r>
      <w:r>
        <w:rPr>
          <w:rFonts w:hint="eastAsia"/>
          <w:color w:val="auto"/>
          <w:highlight w:val="none"/>
        </w:rPr>
        <w:t>电话/传真：</w:t>
      </w:r>
      <w:r>
        <w:rPr>
          <w:rFonts w:hint="eastAsia" w:ascii="楷体_GB2312" w:eastAsia="楷体_GB2312"/>
          <w:b/>
          <w:bCs/>
          <w:color w:val="auto"/>
          <w:highlight w:val="none"/>
          <w:u w:val="single"/>
        </w:rPr>
        <w:t xml:space="preserve">         </w:t>
      </w:r>
    </w:p>
    <w:p>
      <w:pPr>
        <w:pStyle w:val="10"/>
        <w:adjustRightInd w:val="0"/>
        <w:snapToGrid w:val="0"/>
        <w:spacing w:line="360" w:lineRule="auto"/>
        <w:ind w:firstLine="420" w:firstLineChars="200"/>
        <w:rPr>
          <w:color w:val="auto"/>
          <w:highlight w:val="none"/>
        </w:rPr>
      </w:pPr>
      <w:r>
        <w:rPr>
          <w:rFonts w:hint="eastAsia"/>
          <w:color w:val="auto"/>
          <w:highlight w:val="none"/>
        </w:rPr>
        <w:t xml:space="preserve">   分工内容：</w:t>
      </w:r>
      <w:r>
        <w:rPr>
          <w:rFonts w:hint="eastAsia"/>
          <w:color w:val="auto"/>
          <w:highlight w:val="none"/>
          <w:u w:val="single"/>
          <w:lang w:val="en-US"/>
        </w:rPr>
        <w:t>本项目造价咨询工作</w:t>
      </w:r>
      <w:r>
        <w:rPr>
          <w:rFonts w:hint="eastAsia"/>
          <w:color w:val="auto"/>
          <w:highlight w:val="none"/>
          <w:u w:val="single"/>
        </w:rPr>
        <w:t>。</w:t>
      </w:r>
    </w:p>
    <w:p>
      <w:pPr>
        <w:pStyle w:val="10"/>
        <w:adjustRightInd w:val="0"/>
        <w:snapToGrid w:val="0"/>
        <w:spacing w:line="360" w:lineRule="auto"/>
        <w:ind w:firstLine="420" w:firstLineChars="200"/>
        <w:rPr>
          <w:color w:val="auto"/>
          <w:highlight w:val="none"/>
        </w:rPr>
      </w:pPr>
      <w:r>
        <w:rPr>
          <w:rFonts w:hint="eastAsia"/>
          <w:color w:val="auto"/>
          <w:highlight w:val="none"/>
        </w:rPr>
        <w:t>注：如有其他联合体成员可按联合体成员格式扩展。</w:t>
      </w:r>
    </w:p>
    <w:p>
      <w:pPr>
        <w:rPr>
          <w:b/>
          <w:color w:val="auto"/>
          <w:sz w:val="32"/>
          <w:highlight w:val="none"/>
          <w:lang w:val="en-US"/>
        </w:rPr>
      </w:pPr>
      <w:r>
        <w:rPr>
          <w:rFonts w:hint="eastAsia"/>
          <w:color w:val="auto"/>
          <w:highlight w:val="none"/>
        </w:rPr>
        <w:t xml:space="preserve">                                 签订日期：</w:t>
      </w:r>
      <w:r>
        <w:rPr>
          <w:rFonts w:hint="eastAsia" w:ascii="楷体_GB2312" w:eastAsia="楷体_GB2312"/>
          <w:b/>
          <w:bCs/>
          <w:color w:val="auto"/>
          <w:highlight w:val="none"/>
          <w:u w:val="single"/>
        </w:rPr>
        <w:t xml:space="preserve">      </w:t>
      </w:r>
      <w:r>
        <w:rPr>
          <w:rFonts w:hint="eastAsia"/>
          <w:color w:val="auto"/>
          <w:highlight w:val="none"/>
        </w:rPr>
        <w:t>年</w:t>
      </w:r>
      <w:r>
        <w:rPr>
          <w:rFonts w:hint="eastAsia" w:ascii="楷体_GB2312" w:eastAsia="楷体_GB2312"/>
          <w:b/>
          <w:bCs/>
          <w:color w:val="auto"/>
          <w:highlight w:val="none"/>
          <w:u w:val="single"/>
        </w:rPr>
        <w:t xml:space="preserve">      </w:t>
      </w:r>
      <w:r>
        <w:rPr>
          <w:rFonts w:hint="eastAsia"/>
          <w:color w:val="auto"/>
          <w:highlight w:val="none"/>
        </w:rPr>
        <w:t>月</w:t>
      </w:r>
      <w:r>
        <w:rPr>
          <w:rFonts w:hint="eastAsia" w:ascii="楷体_GB2312" w:eastAsia="楷体_GB2312"/>
          <w:b/>
          <w:bCs/>
          <w:color w:val="auto"/>
          <w:highlight w:val="none"/>
          <w:u w:val="single"/>
        </w:rPr>
        <w:t xml:space="preserve">     </w:t>
      </w:r>
      <w:r>
        <w:rPr>
          <w:rFonts w:hint="eastAsia"/>
          <w:color w:val="auto"/>
          <w:highlight w:val="none"/>
        </w:rPr>
        <w:t>日</w:t>
      </w:r>
    </w:p>
    <w:p>
      <w:pPr>
        <w:rPr>
          <w:b/>
          <w:color w:val="auto"/>
          <w:sz w:val="32"/>
          <w:highlight w:val="none"/>
          <w:lang w:val="en-US"/>
        </w:rPr>
      </w:pPr>
      <w:r>
        <w:rPr>
          <w:rFonts w:hint="eastAsia"/>
          <w:b/>
          <w:color w:val="auto"/>
          <w:sz w:val="32"/>
          <w:highlight w:val="none"/>
          <w:lang w:val="en-US"/>
        </w:rPr>
        <w:br w:type="page"/>
      </w:r>
    </w:p>
    <w:p>
      <w:pPr>
        <w:spacing w:line="360" w:lineRule="auto"/>
        <w:ind w:right="458"/>
        <w:jc w:val="center"/>
        <w:rPr>
          <w:color w:val="auto"/>
          <w:sz w:val="32"/>
          <w:highlight w:val="none"/>
        </w:rPr>
      </w:pPr>
      <w:r>
        <w:rPr>
          <w:rFonts w:hint="eastAsia"/>
          <w:b/>
          <w:color w:val="auto"/>
          <w:sz w:val="32"/>
          <w:highlight w:val="none"/>
        </w:rPr>
        <w:t>五、报酬清单（格式可自拟）</w:t>
      </w:r>
    </w:p>
    <w:p>
      <w:pPr>
        <w:pStyle w:val="7"/>
        <w:rPr>
          <w:color w:val="auto"/>
          <w:highlight w:val="none"/>
        </w:rPr>
      </w:pPr>
    </w:p>
    <w:p>
      <w:pPr>
        <w:spacing w:before="170" w:after="27" w:line="360" w:lineRule="auto"/>
        <w:ind w:right="694"/>
        <w:jc w:val="right"/>
        <w:rPr>
          <w:color w:val="auto"/>
          <w:sz w:val="21"/>
          <w:szCs w:val="21"/>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20"/>
        <w:gridCol w:w="1724"/>
        <w:gridCol w:w="1701"/>
        <w:gridCol w:w="18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5" w:type="dxa"/>
            <w:vMerge w:val="restart"/>
            <w:vAlign w:val="center"/>
          </w:tcPr>
          <w:p>
            <w:pPr>
              <w:jc w:val="center"/>
              <w:rPr>
                <w:color w:val="auto"/>
                <w:szCs w:val="21"/>
                <w:highlight w:val="none"/>
              </w:rPr>
            </w:pPr>
            <w:r>
              <w:rPr>
                <w:rFonts w:hint="eastAsia"/>
                <w:color w:val="auto"/>
                <w:szCs w:val="21"/>
                <w:highlight w:val="none"/>
              </w:rPr>
              <w:t>序号</w:t>
            </w:r>
          </w:p>
        </w:tc>
        <w:tc>
          <w:tcPr>
            <w:tcW w:w="1820" w:type="dxa"/>
            <w:vMerge w:val="restart"/>
            <w:vAlign w:val="center"/>
          </w:tcPr>
          <w:p>
            <w:pPr>
              <w:jc w:val="center"/>
              <w:rPr>
                <w:color w:val="auto"/>
                <w:szCs w:val="21"/>
                <w:highlight w:val="none"/>
              </w:rPr>
            </w:pPr>
            <w:r>
              <w:rPr>
                <w:rFonts w:hint="eastAsia"/>
                <w:color w:val="auto"/>
                <w:szCs w:val="21"/>
                <w:highlight w:val="none"/>
              </w:rPr>
              <w:t>服务内容</w:t>
            </w:r>
          </w:p>
        </w:tc>
        <w:tc>
          <w:tcPr>
            <w:tcW w:w="1724" w:type="dxa"/>
            <w:vMerge w:val="restart"/>
            <w:vAlign w:val="center"/>
          </w:tcPr>
          <w:p>
            <w:pPr>
              <w:jc w:val="center"/>
              <w:rPr>
                <w:color w:val="auto"/>
                <w:szCs w:val="21"/>
                <w:highlight w:val="none"/>
              </w:rPr>
            </w:pPr>
            <w:r>
              <w:rPr>
                <w:rFonts w:hint="eastAsia"/>
                <w:color w:val="auto"/>
                <w:szCs w:val="21"/>
                <w:highlight w:val="none"/>
              </w:rPr>
              <w:t>最高投标限价</w:t>
            </w:r>
          </w:p>
          <w:p>
            <w:pPr>
              <w:jc w:val="center"/>
              <w:rPr>
                <w:color w:val="auto"/>
                <w:szCs w:val="21"/>
                <w:highlight w:val="none"/>
              </w:rPr>
            </w:pPr>
            <w:r>
              <w:rPr>
                <w:rFonts w:hint="eastAsia"/>
                <w:color w:val="auto"/>
                <w:szCs w:val="21"/>
                <w:highlight w:val="none"/>
              </w:rPr>
              <w:t>（元）</w:t>
            </w:r>
          </w:p>
        </w:tc>
        <w:tc>
          <w:tcPr>
            <w:tcW w:w="3543" w:type="dxa"/>
            <w:gridSpan w:val="2"/>
            <w:vAlign w:val="center"/>
          </w:tcPr>
          <w:p>
            <w:pPr>
              <w:jc w:val="center"/>
              <w:rPr>
                <w:color w:val="auto"/>
                <w:szCs w:val="21"/>
                <w:highlight w:val="none"/>
              </w:rPr>
            </w:pPr>
            <w:r>
              <w:rPr>
                <w:rFonts w:hint="eastAsia"/>
                <w:color w:val="auto"/>
                <w:szCs w:val="21"/>
                <w:highlight w:val="none"/>
              </w:rPr>
              <w:t>投标报价（投标人填报）</w:t>
            </w:r>
          </w:p>
        </w:tc>
        <w:tc>
          <w:tcPr>
            <w:tcW w:w="1559" w:type="dxa"/>
            <w:vMerge w:val="restart"/>
            <w:vAlign w:val="center"/>
          </w:tcPr>
          <w:p>
            <w:pPr>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vMerge w:val="continue"/>
            <w:vAlign w:val="center"/>
          </w:tcPr>
          <w:p>
            <w:pPr>
              <w:rPr>
                <w:color w:val="auto"/>
                <w:highlight w:val="none"/>
              </w:rPr>
            </w:pPr>
          </w:p>
        </w:tc>
        <w:tc>
          <w:tcPr>
            <w:tcW w:w="1820" w:type="dxa"/>
            <w:vMerge w:val="continue"/>
            <w:tcBorders>
              <w:left w:val="single" w:color="auto" w:sz="4" w:space="0"/>
            </w:tcBorders>
            <w:vAlign w:val="center"/>
          </w:tcPr>
          <w:p>
            <w:pPr>
              <w:rPr>
                <w:color w:val="auto"/>
                <w:highlight w:val="none"/>
              </w:rPr>
            </w:pPr>
          </w:p>
        </w:tc>
        <w:tc>
          <w:tcPr>
            <w:tcW w:w="1724" w:type="dxa"/>
            <w:vMerge w:val="continue"/>
            <w:tcBorders>
              <w:left w:val="single" w:color="auto" w:sz="4" w:space="0"/>
            </w:tcBorders>
          </w:tcPr>
          <w:p>
            <w:pPr>
              <w:rPr>
                <w:color w:val="auto"/>
                <w:highlight w:val="none"/>
              </w:rPr>
            </w:pPr>
          </w:p>
        </w:tc>
        <w:tc>
          <w:tcPr>
            <w:tcW w:w="1701" w:type="dxa"/>
            <w:tcBorders>
              <w:left w:val="single" w:color="auto" w:sz="4" w:space="0"/>
            </w:tcBorders>
            <w:vAlign w:val="center"/>
          </w:tcPr>
          <w:p>
            <w:pPr>
              <w:jc w:val="center"/>
              <w:rPr>
                <w:color w:val="auto"/>
                <w:szCs w:val="21"/>
                <w:highlight w:val="none"/>
              </w:rPr>
            </w:pPr>
            <w:r>
              <w:rPr>
                <w:rFonts w:hint="eastAsia"/>
                <w:color w:val="auto"/>
                <w:szCs w:val="21"/>
                <w:highlight w:val="none"/>
              </w:rPr>
              <w:t>下浮率（%）</w:t>
            </w:r>
          </w:p>
        </w:tc>
        <w:tc>
          <w:tcPr>
            <w:tcW w:w="1842" w:type="dxa"/>
            <w:tcBorders>
              <w:left w:val="single" w:color="auto" w:sz="4" w:space="0"/>
            </w:tcBorders>
            <w:vAlign w:val="center"/>
          </w:tcPr>
          <w:p>
            <w:pPr>
              <w:jc w:val="center"/>
              <w:rPr>
                <w:color w:val="auto"/>
                <w:szCs w:val="21"/>
                <w:highlight w:val="none"/>
              </w:rPr>
            </w:pPr>
            <w:r>
              <w:rPr>
                <w:rFonts w:hint="eastAsia"/>
                <w:color w:val="auto"/>
                <w:szCs w:val="21"/>
                <w:highlight w:val="none"/>
              </w:rPr>
              <w:t>投标报价</w:t>
            </w:r>
          </w:p>
          <w:p>
            <w:pPr>
              <w:jc w:val="center"/>
              <w:rPr>
                <w:color w:val="auto"/>
                <w:szCs w:val="21"/>
                <w:highlight w:val="none"/>
              </w:rPr>
            </w:pPr>
            <w:r>
              <w:rPr>
                <w:rFonts w:hint="eastAsia"/>
                <w:color w:val="auto"/>
                <w:szCs w:val="21"/>
                <w:highlight w:val="none"/>
              </w:rPr>
              <w:t>（元）</w:t>
            </w:r>
          </w:p>
        </w:tc>
        <w:tc>
          <w:tcPr>
            <w:tcW w:w="1559" w:type="dxa"/>
            <w:vMerge w:val="continue"/>
            <w:tcBorders>
              <w:lef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pPr>
              <w:jc w:val="center"/>
              <w:rPr>
                <w:color w:val="auto"/>
                <w:szCs w:val="21"/>
                <w:highlight w:val="none"/>
              </w:rPr>
            </w:pPr>
            <w:r>
              <w:rPr>
                <w:rFonts w:hint="eastAsia"/>
                <w:color w:val="auto"/>
                <w:szCs w:val="21"/>
                <w:highlight w:val="none"/>
              </w:rPr>
              <w:t>1</w:t>
            </w:r>
          </w:p>
        </w:tc>
        <w:tc>
          <w:tcPr>
            <w:tcW w:w="1820" w:type="dxa"/>
            <w:tcBorders>
              <w:left w:val="single" w:color="auto" w:sz="4" w:space="0"/>
            </w:tcBorders>
            <w:vAlign w:val="center"/>
          </w:tcPr>
          <w:p>
            <w:pPr>
              <w:jc w:val="center"/>
              <w:rPr>
                <w:color w:val="auto"/>
                <w:szCs w:val="21"/>
                <w:highlight w:val="none"/>
              </w:rPr>
            </w:pPr>
            <w:r>
              <w:rPr>
                <w:rFonts w:hint="eastAsia"/>
                <w:color w:val="auto"/>
                <w:szCs w:val="21"/>
                <w:highlight w:val="none"/>
              </w:rPr>
              <w:t>施工监理</w:t>
            </w:r>
          </w:p>
        </w:tc>
        <w:tc>
          <w:tcPr>
            <w:tcW w:w="1724" w:type="dxa"/>
            <w:tcBorders>
              <w:left w:val="single" w:color="auto" w:sz="4" w:space="0"/>
            </w:tcBorders>
            <w:vAlign w:val="center"/>
          </w:tcPr>
          <w:p>
            <w:pPr>
              <w:jc w:val="center"/>
              <w:rPr>
                <w:color w:val="auto"/>
                <w:szCs w:val="21"/>
                <w:highlight w:val="none"/>
                <w:lang w:val="en-US"/>
              </w:rPr>
            </w:pPr>
          </w:p>
        </w:tc>
        <w:tc>
          <w:tcPr>
            <w:tcW w:w="1701" w:type="dxa"/>
            <w:vMerge w:val="restart"/>
            <w:tcBorders>
              <w:left w:val="single" w:color="auto" w:sz="4" w:space="0"/>
            </w:tcBorders>
            <w:vAlign w:val="center"/>
          </w:tcPr>
          <w:p>
            <w:pPr>
              <w:jc w:val="center"/>
              <w:rPr>
                <w:color w:val="auto"/>
                <w:szCs w:val="21"/>
                <w:highlight w:val="none"/>
              </w:rPr>
            </w:pPr>
          </w:p>
        </w:tc>
        <w:tc>
          <w:tcPr>
            <w:tcW w:w="1842" w:type="dxa"/>
            <w:tcBorders>
              <w:left w:val="single" w:color="auto" w:sz="4" w:space="0"/>
            </w:tcBorders>
            <w:vAlign w:val="center"/>
          </w:tcPr>
          <w:p>
            <w:pPr>
              <w:jc w:val="center"/>
              <w:rPr>
                <w:color w:val="auto"/>
                <w:szCs w:val="21"/>
                <w:highlight w:val="none"/>
              </w:rPr>
            </w:pPr>
          </w:p>
        </w:tc>
        <w:tc>
          <w:tcPr>
            <w:tcW w:w="1559" w:type="dxa"/>
            <w:tcBorders>
              <w:left w:val="single" w:color="auto" w:sz="4" w:space="0"/>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Align w:val="center"/>
          </w:tcPr>
          <w:p>
            <w:pPr>
              <w:jc w:val="center"/>
              <w:rPr>
                <w:color w:val="auto"/>
                <w:szCs w:val="21"/>
                <w:highlight w:val="none"/>
              </w:rPr>
            </w:pPr>
            <w:r>
              <w:rPr>
                <w:rFonts w:hint="eastAsia"/>
                <w:color w:val="auto"/>
                <w:szCs w:val="21"/>
                <w:highlight w:val="none"/>
              </w:rPr>
              <w:t>2</w:t>
            </w:r>
          </w:p>
        </w:tc>
        <w:tc>
          <w:tcPr>
            <w:tcW w:w="1820" w:type="dxa"/>
            <w:tcBorders>
              <w:left w:val="single" w:color="auto" w:sz="4" w:space="0"/>
            </w:tcBorders>
            <w:vAlign w:val="center"/>
          </w:tcPr>
          <w:p>
            <w:pPr>
              <w:jc w:val="center"/>
              <w:rPr>
                <w:color w:val="auto"/>
                <w:szCs w:val="21"/>
                <w:highlight w:val="none"/>
              </w:rPr>
            </w:pPr>
            <w:r>
              <w:rPr>
                <w:rFonts w:hint="eastAsia"/>
                <w:color w:val="auto"/>
                <w:szCs w:val="21"/>
                <w:highlight w:val="none"/>
              </w:rPr>
              <w:t>造价咨询</w:t>
            </w:r>
          </w:p>
        </w:tc>
        <w:tc>
          <w:tcPr>
            <w:tcW w:w="1724" w:type="dxa"/>
            <w:tcBorders>
              <w:left w:val="single" w:color="auto" w:sz="4" w:space="0"/>
            </w:tcBorders>
            <w:vAlign w:val="center"/>
          </w:tcPr>
          <w:p>
            <w:pPr>
              <w:jc w:val="center"/>
              <w:rPr>
                <w:color w:val="auto"/>
                <w:szCs w:val="21"/>
                <w:highlight w:val="none"/>
                <w:lang w:val="en-US"/>
              </w:rPr>
            </w:pPr>
          </w:p>
        </w:tc>
        <w:tc>
          <w:tcPr>
            <w:tcW w:w="1701" w:type="dxa"/>
            <w:vMerge w:val="continue"/>
            <w:tcBorders>
              <w:left w:val="single" w:color="auto" w:sz="4" w:space="0"/>
            </w:tcBorders>
            <w:vAlign w:val="center"/>
          </w:tcPr>
          <w:p>
            <w:pPr>
              <w:rPr>
                <w:color w:val="auto"/>
                <w:highlight w:val="none"/>
              </w:rPr>
            </w:pPr>
          </w:p>
        </w:tc>
        <w:tc>
          <w:tcPr>
            <w:tcW w:w="1842" w:type="dxa"/>
            <w:tcBorders>
              <w:left w:val="single" w:color="auto" w:sz="4" w:space="0"/>
            </w:tcBorders>
            <w:vAlign w:val="center"/>
          </w:tcPr>
          <w:p>
            <w:pPr>
              <w:jc w:val="center"/>
              <w:rPr>
                <w:color w:val="auto"/>
                <w:szCs w:val="21"/>
                <w:highlight w:val="none"/>
              </w:rPr>
            </w:pPr>
          </w:p>
        </w:tc>
        <w:tc>
          <w:tcPr>
            <w:tcW w:w="1559" w:type="dxa"/>
            <w:tcBorders>
              <w:left w:val="single" w:color="auto" w:sz="4" w:space="0"/>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pPr>
              <w:jc w:val="center"/>
              <w:rPr>
                <w:color w:val="auto"/>
                <w:szCs w:val="21"/>
                <w:highlight w:val="none"/>
              </w:rPr>
            </w:pPr>
            <w:r>
              <w:rPr>
                <w:rFonts w:hint="eastAsia"/>
                <w:color w:val="auto"/>
                <w:szCs w:val="21"/>
                <w:highlight w:val="none"/>
              </w:rPr>
              <w:t>3</w:t>
            </w:r>
          </w:p>
        </w:tc>
        <w:tc>
          <w:tcPr>
            <w:tcW w:w="1820" w:type="dxa"/>
            <w:tcBorders>
              <w:left w:val="single" w:color="auto" w:sz="4" w:space="0"/>
            </w:tcBorders>
            <w:vAlign w:val="center"/>
          </w:tcPr>
          <w:p>
            <w:pPr>
              <w:jc w:val="center"/>
              <w:rPr>
                <w:color w:val="auto"/>
                <w:szCs w:val="21"/>
                <w:highlight w:val="none"/>
              </w:rPr>
            </w:pPr>
            <w:r>
              <w:rPr>
                <w:rFonts w:hint="eastAsia"/>
                <w:color w:val="auto"/>
                <w:szCs w:val="21"/>
                <w:highlight w:val="none"/>
              </w:rPr>
              <w:t>投标总报价</w:t>
            </w:r>
          </w:p>
        </w:tc>
        <w:tc>
          <w:tcPr>
            <w:tcW w:w="1724" w:type="dxa"/>
            <w:tcBorders>
              <w:left w:val="single" w:color="auto" w:sz="4" w:space="0"/>
            </w:tcBorders>
            <w:vAlign w:val="center"/>
          </w:tcPr>
          <w:p>
            <w:pPr>
              <w:jc w:val="center"/>
              <w:rPr>
                <w:color w:val="auto"/>
                <w:szCs w:val="21"/>
                <w:highlight w:val="none"/>
                <w:lang w:val="en-US"/>
              </w:rPr>
            </w:pPr>
          </w:p>
        </w:tc>
        <w:tc>
          <w:tcPr>
            <w:tcW w:w="1701" w:type="dxa"/>
            <w:vMerge w:val="continue"/>
            <w:tcBorders>
              <w:left w:val="single" w:color="auto" w:sz="4" w:space="0"/>
            </w:tcBorders>
            <w:vAlign w:val="center"/>
          </w:tcPr>
          <w:p>
            <w:pPr>
              <w:rPr>
                <w:color w:val="auto"/>
                <w:highlight w:val="none"/>
              </w:rPr>
            </w:pPr>
          </w:p>
        </w:tc>
        <w:tc>
          <w:tcPr>
            <w:tcW w:w="1842" w:type="dxa"/>
            <w:tcBorders>
              <w:left w:val="single" w:color="auto" w:sz="4" w:space="0"/>
            </w:tcBorders>
            <w:vAlign w:val="center"/>
          </w:tcPr>
          <w:p>
            <w:pPr>
              <w:jc w:val="center"/>
              <w:rPr>
                <w:color w:val="auto"/>
                <w:szCs w:val="21"/>
                <w:highlight w:val="none"/>
              </w:rPr>
            </w:pPr>
          </w:p>
        </w:tc>
        <w:tc>
          <w:tcPr>
            <w:tcW w:w="1559" w:type="dxa"/>
            <w:tcBorders>
              <w:left w:val="single" w:color="auto" w:sz="4" w:space="0"/>
            </w:tcBorders>
            <w:vAlign w:val="center"/>
          </w:tcPr>
          <w:p>
            <w:pPr>
              <w:jc w:val="center"/>
              <w:rPr>
                <w:color w:val="auto"/>
                <w:szCs w:val="21"/>
                <w:highlight w:val="none"/>
              </w:rPr>
            </w:pPr>
          </w:p>
        </w:tc>
      </w:tr>
    </w:tbl>
    <w:p>
      <w:pPr>
        <w:spacing w:line="360" w:lineRule="auto"/>
        <w:rPr>
          <w:color w:val="auto"/>
          <w:szCs w:val="21"/>
          <w:highlight w:val="none"/>
          <w:u w:val="single"/>
        </w:rPr>
      </w:pPr>
    </w:p>
    <w:p>
      <w:pPr>
        <w:spacing w:line="360" w:lineRule="auto"/>
        <w:rPr>
          <w:color w:val="auto"/>
          <w:szCs w:val="21"/>
          <w:highlight w:val="none"/>
          <w:u w:val="single"/>
        </w:rPr>
      </w:pPr>
      <w:r>
        <w:rPr>
          <w:rFonts w:hint="eastAsia"/>
          <w:color w:val="auto"/>
          <w:szCs w:val="21"/>
          <w:highlight w:val="none"/>
          <w:u w:val="single"/>
        </w:rPr>
        <w:t>注：1、报价总金额不能超过最高投标限价，并按此计算</w:t>
      </w:r>
      <w:r>
        <w:rPr>
          <w:rFonts w:hint="eastAsia"/>
          <w:color w:val="auto"/>
          <w:szCs w:val="21"/>
          <w:highlight w:val="none"/>
          <w:u w:val="single"/>
          <w:lang w:val="en-US"/>
        </w:rPr>
        <w:t>投标</w:t>
      </w:r>
      <w:r>
        <w:rPr>
          <w:rFonts w:hint="eastAsia"/>
          <w:color w:val="auto"/>
          <w:szCs w:val="21"/>
          <w:highlight w:val="none"/>
          <w:u w:val="single"/>
        </w:rPr>
        <w:t>下浮率[</w:t>
      </w:r>
      <w:r>
        <w:rPr>
          <w:rFonts w:hint="eastAsia"/>
          <w:color w:val="auto"/>
          <w:szCs w:val="21"/>
          <w:highlight w:val="none"/>
          <w:u w:val="single"/>
          <w:lang w:val="en-US"/>
        </w:rPr>
        <w:t>投标</w:t>
      </w:r>
      <w:r>
        <w:rPr>
          <w:rFonts w:hint="eastAsia"/>
          <w:color w:val="auto"/>
          <w:szCs w:val="21"/>
          <w:highlight w:val="none"/>
          <w:u w:val="single"/>
        </w:rPr>
        <w:t>下浮率=1-（</w:t>
      </w:r>
      <w:r>
        <w:rPr>
          <w:rFonts w:hint="eastAsia"/>
          <w:color w:val="auto"/>
          <w:szCs w:val="21"/>
          <w:highlight w:val="none"/>
          <w:u w:val="single"/>
          <w:lang w:val="en-US"/>
        </w:rPr>
        <w:t>投标</w:t>
      </w:r>
      <w:r>
        <w:rPr>
          <w:rFonts w:hint="eastAsia"/>
          <w:color w:val="auto"/>
          <w:szCs w:val="21"/>
          <w:highlight w:val="none"/>
          <w:u w:val="single"/>
        </w:rPr>
        <w:t>总报价/最高投标限价）×100%]，其中</w:t>
      </w:r>
      <w:r>
        <w:rPr>
          <w:rFonts w:hint="eastAsia"/>
          <w:color w:val="auto"/>
          <w:szCs w:val="21"/>
          <w:highlight w:val="none"/>
          <w:u w:val="single"/>
          <w:lang w:val="en-US"/>
        </w:rPr>
        <w:t>监理</w:t>
      </w:r>
      <w:r>
        <w:rPr>
          <w:rFonts w:hint="eastAsia"/>
          <w:color w:val="auto"/>
          <w:szCs w:val="21"/>
          <w:highlight w:val="none"/>
          <w:u w:val="single"/>
        </w:rPr>
        <w:t>调整系数为：专业调整系数为1.0，工程复杂程度调整系数为</w:t>
      </w:r>
      <w:r>
        <w:rPr>
          <w:rFonts w:hint="eastAsia"/>
          <w:color w:val="auto"/>
          <w:szCs w:val="21"/>
          <w:highlight w:val="none"/>
          <w:u w:val="single"/>
          <w:lang w:val="en-US" w:eastAsia="zh-CN"/>
        </w:rPr>
        <w:t>0.85</w:t>
      </w:r>
      <w:r>
        <w:rPr>
          <w:rFonts w:hint="eastAsia"/>
          <w:color w:val="auto"/>
          <w:szCs w:val="21"/>
          <w:highlight w:val="none"/>
          <w:u w:val="single"/>
        </w:rPr>
        <w:t>，高程调整系数为1.0。</w:t>
      </w:r>
      <w:r>
        <w:rPr>
          <w:rFonts w:hint="eastAsia"/>
          <w:color w:val="auto"/>
          <w:szCs w:val="21"/>
          <w:highlight w:val="none"/>
          <w:u w:val="single"/>
          <w:lang w:val="en-US"/>
        </w:rPr>
        <w:t>投标</w:t>
      </w:r>
      <w:r>
        <w:rPr>
          <w:rFonts w:hint="eastAsia"/>
          <w:color w:val="auto"/>
          <w:szCs w:val="21"/>
          <w:highlight w:val="none"/>
          <w:u w:val="single"/>
        </w:rPr>
        <w:t>下浮率和调整系数在</w:t>
      </w:r>
      <w:r>
        <w:rPr>
          <w:rFonts w:hint="eastAsia"/>
          <w:color w:val="auto"/>
          <w:szCs w:val="21"/>
          <w:highlight w:val="none"/>
          <w:u w:val="single"/>
          <w:lang w:val="en-US"/>
        </w:rPr>
        <w:t>费用</w:t>
      </w:r>
      <w:r>
        <w:rPr>
          <w:rFonts w:hint="eastAsia"/>
          <w:color w:val="auto"/>
          <w:szCs w:val="21"/>
          <w:highlight w:val="none"/>
          <w:u w:val="single"/>
        </w:rPr>
        <w:t>结算时不予调整。投标报价超过最高投标限价的投标文件</w:t>
      </w:r>
      <w:r>
        <w:rPr>
          <w:rFonts w:hint="eastAsia"/>
          <w:color w:val="auto"/>
          <w:highlight w:val="none"/>
          <w:u w:val="single"/>
        </w:rPr>
        <w:t>将被否决其投标</w:t>
      </w:r>
      <w:r>
        <w:rPr>
          <w:rFonts w:hint="eastAsia"/>
          <w:color w:val="auto"/>
          <w:szCs w:val="21"/>
          <w:highlight w:val="none"/>
          <w:u w:val="single"/>
        </w:rPr>
        <w:t>。</w:t>
      </w:r>
    </w:p>
    <w:p>
      <w:pPr>
        <w:numPr>
          <w:ilvl w:val="0"/>
          <w:numId w:val="2"/>
        </w:numPr>
        <w:spacing w:line="360" w:lineRule="auto"/>
        <w:rPr>
          <w:color w:val="auto"/>
          <w:szCs w:val="21"/>
          <w:highlight w:val="none"/>
          <w:u w:val="single"/>
        </w:rPr>
      </w:pPr>
      <w:r>
        <w:rPr>
          <w:rFonts w:hint="eastAsia"/>
          <w:color w:val="auto"/>
          <w:szCs w:val="21"/>
          <w:highlight w:val="none"/>
          <w:u w:val="single"/>
        </w:rPr>
        <w:t>报价以元为单位，保留两位小数，第三位小数四舍五入。</w:t>
      </w:r>
    </w:p>
    <w:p>
      <w:pPr>
        <w:spacing w:line="360" w:lineRule="auto"/>
        <w:rPr>
          <w:color w:val="auto"/>
          <w:highlight w:val="none"/>
        </w:rPr>
      </w:pPr>
    </w:p>
    <w:p>
      <w:pPr>
        <w:adjustRightInd w:val="0"/>
        <w:spacing w:line="420" w:lineRule="atLeast"/>
        <w:textAlignment w:val="baseline"/>
        <w:rPr>
          <w:color w:val="auto"/>
          <w:szCs w:val="20"/>
          <w:highlight w:val="none"/>
        </w:rPr>
      </w:pPr>
    </w:p>
    <w:p>
      <w:pPr>
        <w:adjustRightInd w:val="0"/>
        <w:spacing w:line="420" w:lineRule="atLeast"/>
        <w:textAlignment w:val="baseline"/>
        <w:rPr>
          <w:color w:val="auto"/>
          <w:szCs w:val="20"/>
          <w:highlight w:val="none"/>
        </w:rPr>
        <w:sectPr>
          <w:pgSz w:w="11906" w:h="16838"/>
          <w:pgMar w:top="1400" w:right="1100" w:bottom="1120" w:left="1560" w:header="0" w:footer="841" w:gutter="0"/>
          <w:cols w:space="720" w:num="1"/>
          <w:docGrid w:linePitch="312" w:charSpace="2048"/>
        </w:sectPr>
      </w:pPr>
    </w:p>
    <w:p>
      <w:pPr>
        <w:spacing w:line="360" w:lineRule="auto"/>
        <w:ind w:right="461"/>
        <w:jc w:val="center"/>
        <w:rPr>
          <w:b/>
          <w:color w:val="auto"/>
          <w:sz w:val="32"/>
          <w:highlight w:val="none"/>
        </w:rPr>
      </w:pPr>
      <w:bookmarkStart w:id="62" w:name="_bookmark184"/>
      <w:bookmarkEnd w:id="62"/>
      <w:r>
        <w:rPr>
          <w:rFonts w:hint="eastAsia"/>
          <w:b/>
          <w:color w:val="auto"/>
          <w:sz w:val="32"/>
          <w:highlight w:val="none"/>
        </w:rPr>
        <w:t>六、资格审查资料</w:t>
      </w:r>
    </w:p>
    <w:p>
      <w:pPr>
        <w:pStyle w:val="7"/>
        <w:rPr>
          <w:color w:val="auto"/>
          <w:highlight w:val="none"/>
        </w:rPr>
      </w:pPr>
    </w:p>
    <w:p>
      <w:pPr>
        <w:spacing w:before="62" w:line="360" w:lineRule="auto"/>
        <w:ind w:left="377"/>
        <w:rPr>
          <w:color w:val="auto"/>
          <w:sz w:val="28"/>
          <w:highlight w:val="none"/>
        </w:rPr>
      </w:pPr>
      <w:bookmarkStart w:id="63" w:name="_bookmark185"/>
      <w:bookmarkEnd w:id="63"/>
      <w:r>
        <w:rPr>
          <w:rFonts w:hint="eastAsia"/>
          <w:color w:val="auto"/>
          <w:sz w:val="28"/>
          <w:highlight w:val="none"/>
        </w:rPr>
        <w:t>（一）基本情况表</w:t>
      </w:r>
    </w:p>
    <w:tbl>
      <w:tblPr>
        <w:tblStyle w:val="1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709"/>
        <w:gridCol w:w="992"/>
        <w:gridCol w:w="1122"/>
        <w:gridCol w:w="415"/>
        <w:gridCol w:w="871"/>
        <w:gridCol w:w="828"/>
        <w:gridCol w:w="286"/>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19"/>
              <w:spacing w:before="142" w:line="360" w:lineRule="auto"/>
              <w:ind w:left="496"/>
              <w:rPr>
                <w:color w:val="auto"/>
                <w:sz w:val="21"/>
                <w:highlight w:val="none"/>
              </w:rPr>
            </w:pPr>
            <w:r>
              <w:rPr>
                <w:rFonts w:hint="eastAsia"/>
                <w:color w:val="auto"/>
                <w:sz w:val="21"/>
                <w:highlight w:val="none"/>
              </w:rPr>
              <w:t>投标人名称</w:t>
            </w:r>
          </w:p>
        </w:tc>
        <w:tc>
          <w:tcPr>
            <w:tcW w:w="6662" w:type="dxa"/>
            <w:gridSpan w:val="8"/>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19"/>
              <w:spacing w:before="142" w:line="360" w:lineRule="auto"/>
              <w:ind w:left="602"/>
              <w:rPr>
                <w:color w:val="auto"/>
                <w:sz w:val="21"/>
                <w:highlight w:val="none"/>
              </w:rPr>
            </w:pPr>
            <w:r>
              <w:rPr>
                <w:rFonts w:hint="eastAsia"/>
                <w:color w:val="auto"/>
                <w:sz w:val="21"/>
                <w:highlight w:val="none"/>
              </w:rPr>
              <w:t>注册地址</w:t>
            </w:r>
          </w:p>
        </w:tc>
        <w:tc>
          <w:tcPr>
            <w:tcW w:w="2823" w:type="dxa"/>
            <w:gridSpan w:val="3"/>
            <w:tcBorders>
              <w:left w:val="single" w:color="000000" w:sz="4" w:space="0"/>
            </w:tcBorders>
          </w:tcPr>
          <w:p>
            <w:pPr>
              <w:pStyle w:val="19"/>
              <w:spacing w:line="360" w:lineRule="auto"/>
              <w:rPr>
                <w:color w:val="auto"/>
                <w:sz w:val="20"/>
                <w:highlight w:val="none"/>
              </w:rPr>
            </w:pPr>
          </w:p>
        </w:tc>
        <w:tc>
          <w:tcPr>
            <w:tcW w:w="1286" w:type="dxa"/>
            <w:gridSpan w:val="2"/>
            <w:tcBorders>
              <w:left w:val="single" w:color="000000" w:sz="4" w:space="0"/>
            </w:tcBorders>
          </w:tcPr>
          <w:p>
            <w:pPr>
              <w:pStyle w:val="19"/>
              <w:spacing w:before="142" w:line="360" w:lineRule="auto"/>
              <w:ind w:left="222"/>
              <w:rPr>
                <w:color w:val="auto"/>
                <w:sz w:val="21"/>
                <w:highlight w:val="none"/>
              </w:rPr>
            </w:pPr>
            <w:r>
              <w:rPr>
                <w:rFonts w:hint="eastAsia"/>
                <w:color w:val="auto"/>
                <w:sz w:val="21"/>
                <w:highlight w:val="none"/>
              </w:rPr>
              <w:t>邮政编码</w:t>
            </w:r>
          </w:p>
        </w:tc>
        <w:tc>
          <w:tcPr>
            <w:tcW w:w="2553" w:type="dxa"/>
            <w:gridSpan w:val="3"/>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vMerge w:val="restart"/>
          </w:tcPr>
          <w:p>
            <w:pPr>
              <w:pStyle w:val="19"/>
              <w:spacing w:before="10" w:line="360" w:lineRule="auto"/>
              <w:rPr>
                <w:color w:val="auto"/>
                <w:sz w:val="28"/>
                <w:highlight w:val="none"/>
              </w:rPr>
            </w:pPr>
          </w:p>
          <w:p>
            <w:pPr>
              <w:pStyle w:val="19"/>
              <w:spacing w:line="360" w:lineRule="auto"/>
              <w:ind w:left="602"/>
              <w:rPr>
                <w:color w:val="auto"/>
                <w:sz w:val="21"/>
                <w:highlight w:val="none"/>
              </w:rPr>
            </w:pPr>
            <w:r>
              <w:rPr>
                <w:rFonts w:hint="eastAsia"/>
                <w:color w:val="auto"/>
                <w:sz w:val="21"/>
                <w:highlight w:val="none"/>
              </w:rPr>
              <w:t>联系方式</w:t>
            </w:r>
          </w:p>
        </w:tc>
        <w:tc>
          <w:tcPr>
            <w:tcW w:w="709" w:type="dxa"/>
            <w:tcBorders>
              <w:left w:val="single" w:color="000000" w:sz="4" w:space="0"/>
            </w:tcBorders>
          </w:tcPr>
          <w:p>
            <w:pPr>
              <w:pStyle w:val="19"/>
              <w:spacing w:before="142" w:line="360" w:lineRule="auto"/>
              <w:ind w:left="8"/>
              <w:jc w:val="center"/>
              <w:rPr>
                <w:color w:val="auto"/>
                <w:sz w:val="21"/>
                <w:highlight w:val="none"/>
              </w:rPr>
            </w:pPr>
            <w:r>
              <w:rPr>
                <w:rFonts w:hint="eastAsia"/>
                <w:color w:val="auto"/>
                <w:sz w:val="21"/>
                <w:highlight w:val="none"/>
              </w:rPr>
              <w:t>联系人</w:t>
            </w:r>
          </w:p>
        </w:tc>
        <w:tc>
          <w:tcPr>
            <w:tcW w:w="2114" w:type="dxa"/>
            <w:gridSpan w:val="2"/>
            <w:tcBorders>
              <w:left w:val="single" w:color="000000" w:sz="4" w:space="0"/>
            </w:tcBorders>
          </w:tcPr>
          <w:p>
            <w:pPr>
              <w:pStyle w:val="19"/>
              <w:spacing w:line="360" w:lineRule="auto"/>
              <w:rPr>
                <w:color w:val="auto"/>
                <w:sz w:val="20"/>
                <w:highlight w:val="none"/>
              </w:rPr>
            </w:pPr>
          </w:p>
        </w:tc>
        <w:tc>
          <w:tcPr>
            <w:tcW w:w="1286" w:type="dxa"/>
            <w:gridSpan w:val="2"/>
            <w:tcBorders>
              <w:left w:val="single" w:color="000000" w:sz="4" w:space="0"/>
            </w:tcBorders>
          </w:tcPr>
          <w:p>
            <w:pPr>
              <w:pStyle w:val="19"/>
              <w:spacing w:before="142" w:line="360" w:lineRule="auto"/>
              <w:ind w:left="378"/>
              <w:rPr>
                <w:color w:val="auto"/>
                <w:sz w:val="21"/>
                <w:highlight w:val="none"/>
              </w:rPr>
            </w:pPr>
            <w:r>
              <w:rPr>
                <w:rFonts w:hint="eastAsia"/>
                <w:color w:val="auto"/>
                <w:sz w:val="21"/>
                <w:highlight w:val="none"/>
              </w:rPr>
              <w:t>电 话</w:t>
            </w:r>
          </w:p>
        </w:tc>
        <w:tc>
          <w:tcPr>
            <w:tcW w:w="2553" w:type="dxa"/>
            <w:gridSpan w:val="3"/>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vMerge w:val="continue"/>
            <w:tcBorders>
              <w:top w:val="nil"/>
            </w:tcBorders>
          </w:tcPr>
          <w:p>
            <w:pPr>
              <w:rPr>
                <w:color w:val="auto"/>
                <w:highlight w:val="none"/>
              </w:rPr>
            </w:pPr>
          </w:p>
        </w:tc>
        <w:tc>
          <w:tcPr>
            <w:tcW w:w="709" w:type="dxa"/>
            <w:tcBorders>
              <w:left w:val="single" w:color="000000" w:sz="4" w:space="0"/>
            </w:tcBorders>
          </w:tcPr>
          <w:p>
            <w:pPr>
              <w:pStyle w:val="19"/>
              <w:tabs>
                <w:tab w:val="left" w:pos="432"/>
              </w:tabs>
              <w:spacing w:before="143" w:line="360" w:lineRule="auto"/>
              <w:ind w:left="9"/>
              <w:jc w:val="center"/>
              <w:rPr>
                <w:color w:val="auto"/>
                <w:sz w:val="21"/>
                <w:highlight w:val="none"/>
              </w:rPr>
            </w:pPr>
            <w:r>
              <w:rPr>
                <w:rFonts w:hint="eastAsia"/>
                <w:color w:val="auto"/>
                <w:sz w:val="21"/>
                <w:highlight w:val="none"/>
              </w:rPr>
              <w:t>传</w:t>
            </w:r>
            <w:r>
              <w:rPr>
                <w:rFonts w:hint="eastAsia"/>
                <w:color w:val="auto"/>
                <w:sz w:val="21"/>
                <w:highlight w:val="none"/>
              </w:rPr>
              <w:tab/>
            </w:r>
            <w:r>
              <w:rPr>
                <w:rFonts w:hint="eastAsia"/>
                <w:color w:val="auto"/>
                <w:sz w:val="21"/>
                <w:highlight w:val="none"/>
              </w:rPr>
              <w:t>真</w:t>
            </w:r>
          </w:p>
        </w:tc>
        <w:tc>
          <w:tcPr>
            <w:tcW w:w="2114" w:type="dxa"/>
            <w:gridSpan w:val="2"/>
            <w:tcBorders>
              <w:left w:val="single" w:color="000000" w:sz="4" w:space="0"/>
            </w:tcBorders>
          </w:tcPr>
          <w:p>
            <w:pPr>
              <w:pStyle w:val="19"/>
              <w:spacing w:line="360" w:lineRule="auto"/>
              <w:rPr>
                <w:color w:val="auto"/>
                <w:sz w:val="20"/>
                <w:highlight w:val="none"/>
              </w:rPr>
            </w:pPr>
          </w:p>
        </w:tc>
        <w:tc>
          <w:tcPr>
            <w:tcW w:w="1286" w:type="dxa"/>
            <w:gridSpan w:val="2"/>
            <w:tcBorders>
              <w:left w:val="single" w:color="000000" w:sz="4" w:space="0"/>
            </w:tcBorders>
          </w:tcPr>
          <w:p>
            <w:pPr>
              <w:pStyle w:val="19"/>
              <w:spacing w:before="143" w:line="360" w:lineRule="auto"/>
              <w:ind w:left="378"/>
              <w:rPr>
                <w:color w:val="auto"/>
                <w:sz w:val="21"/>
                <w:highlight w:val="none"/>
              </w:rPr>
            </w:pPr>
            <w:r>
              <w:rPr>
                <w:rFonts w:hint="eastAsia"/>
                <w:color w:val="auto"/>
                <w:sz w:val="21"/>
                <w:highlight w:val="none"/>
              </w:rPr>
              <w:t>网 址</w:t>
            </w:r>
          </w:p>
        </w:tc>
        <w:tc>
          <w:tcPr>
            <w:tcW w:w="2553" w:type="dxa"/>
            <w:gridSpan w:val="3"/>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19"/>
              <w:spacing w:before="142" w:line="360" w:lineRule="auto"/>
              <w:ind w:left="496"/>
              <w:rPr>
                <w:color w:val="auto"/>
                <w:sz w:val="21"/>
                <w:highlight w:val="none"/>
              </w:rPr>
            </w:pPr>
            <w:r>
              <w:rPr>
                <w:rFonts w:hint="eastAsia"/>
                <w:color w:val="auto"/>
                <w:sz w:val="21"/>
                <w:highlight w:val="none"/>
              </w:rPr>
              <w:t>法定代表人</w:t>
            </w:r>
          </w:p>
        </w:tc>
        <w:tc>
          <w:tcPr>
            <w:tcW w:w="709" w:type="dxa"/>
            <w:tcBorders>
              <w:left w:val="single" w:color="000000" w:sz="4" w:space="0"/>
            </w:tcBorders>
          </w:tcPr>
          <w:p>
            <w:pPr>
              <w:pStyle w:val="19"/>
              <w:spacing w:before="142" w:line="360" w:lineRule="auto"/>
              <w:ind w:left="8"/>
              <w:jc w:val="center"/>
              <w:rPr>
                <w:color w:val="auto"/>
                <w:sz w:val="21"/>
                <w:highlight w:val="none"/>
              </w:rPr>
            </w:pPr>
            <w:r>
              <w:rPr>
                <w:rFonts w:hint="eastAsia"/>
                <w:color w:val="auto"/>
                <w:sz w:val="21"/>
                <w:highlight w:val="none"/>
              </w:rPr>
              <w:t>姓名</w:t>
            </w:r>
          </w:p>
        </w:tc>
        <w:tc>
          <w:tcPr>
            <w:tcW w:w="992" w:type="dxa"/>
            <w:tcBorders>
              <w:left w:val="single" w:color="000000" w:sz="4" w:space="0"/>
            </w:tcBorders>
          </w:tcPr>
          <w:p>
            <w:pPr>
              <w:pStyle w:val="19"/>
              <w:spacing w:line="360" w:lineRule="auto"/>
              <w:rPr>
                <w:color w:val="auto"/>
                <w:sz w:val="20"/>
                <w:highlight w:val="none"/>
              </w:rPr>
            </w:pPr>
          </w:p>
        </w:tc>
        <w:tc>
          <w:tcPr>
            <w:tcW w:w="1122" w:type="dxa"/>
            <w:tcBorders>
              <w:left w:val="single" w:color="000000" w:sz="4" w:space="0"/>
            </w:tcBorders>
          </w:tcPr>
          <w:p>
            <w:pPr>
              <w:pStyle w:val="19"/>
              <w:spacing w:before="142" w:line="360" w:lineRule="auto"/>
              <w:jc w:val="center"/>
              <w:rPr>
                <w:color w:val="auto"/>
                <w:sz w:val="21"/>
                <w:highlight w:val="none"/>
              </w:rPr>
            </w:pPr>
            <w:r>
              <w:rPr>
                <w:rFonts w:hint="eastAsia"/>
                <w:color w:val="auto"/>
                <w:sz w:val="21"/>
                <w:highlight w:val="none"/>
              </w:rPr>
              <w:t>技术职称</w:t>
            </w:r>
          </w:p>
        </w:tc>
        <w:tc>
          <w:tcPr>
            <w:tcW w:w="1286" w:type="dxa"/>
            <w:gridSpan w:val="2"/>
            <w:tcBorders>
              <w:left w:val="single" w:color="000000" w:sz="4" w:space="0"/>
            </w:tcBorders>
          </w:tcPr>
          <w:p>
            <w:pPr>
              <w:pStyle w:val="19"/>
              <w:spacing w:line="360" w:lineRule="auto"/>
              <w:rPr>
                <w:color w:val="auto"/>
                <w:sz w:val="20"/>
                <w:highlight w:val="none"/>
              </w:rPr>
            </w:pPr>
          </w:p>
        </w:tc>
        <w:tc>
          <w:tcPr>
            <w:tcW w:w="1114" w:type="dxa"/>
            <w:gridSpan w:val="2"/>
            <w:tcBorders>
              <w:left w:val="single" w:color="000000" w:sz="4" w:space="0"/>
            </w:tcBorders>
          </w:tcPr>
          <w:p>
            <w:pPr>
              <w:pStyle w:val="19"/>
              <w:spacing w:before="142" w:line="360" w:lineRule="auto"/>
              <w:ind w:left="345"/>
              <w:rPr>
                <w:color w:val="auto"/>
                <w:sz w:val="21"/>
                <w:highlight w:val="none"/>
              </w:rPr>
            </w:pPr>
            <w:r>
              <w:rPr>
                <w:rFonts w:hint="eastAsia"/>
                <w:color w:val="auto"/>
                <w:sz w:val="21"/>
                <w:highlight w:val="none"/>
              </w:rPr>
              <w:t>电话</w:t>
            </w:r>
          </w:p>
        </w:tc>
        <w:tc>
          <w:tcPr>
            <w:tcW w:w="1439" w:type="dxa"/>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19"/>
              <w:spacing w:before="142" w:line="360" w:lineRule="auto"/>
              <w:ind w:left="496"/>
              <w:rPr>
                <w:color w:val="auto"/>
                <w:sz w:val="21"/>
                <w:highlight w:val="none"/>
              </w:rPr>
            </w:pPr>
            <w:r>
              <w:rPr>
                <w:rFonts w:hint="eastAsia"/>
                <w:color w:val="auto"/>
                <w:sz w:val="21"/>
                <w:highlight w:val="none"/>
              </w:rPr>
              <w:t>技术负责人</w:t>
            </w:r>
          </w:p>
        </w:tc>
        <w:tc>
          <w:tcPr>
            <w:tcW w:w="709" w:type="dxa"/>
            <w:tcBorders>
              <w:left w:val="single" w:color="000000" w:sz="4" w:space="0"/>
            </w:tcBorders>
          </w:tcPr>
          <w:p>
            <w:pPr>
              <w:pStyle w:val="19"/>
              <w:spacing w:before="142" w:line="360" w:lineRule="auto"/>
              <w:ind w:left="8"/>
              <w:jc w:val="center"/>
              <w:rPr>
                <w:color w:val="auto"/>
                <w:sz w:val="21"/>
                <w:highlight w:val="none"/>
              </w:rPr>
            </w:pPr>
            <w:r>
              <w:rPr>
                <w:rFonts w:hint="eastAsia"/>
                <w:color w:val="auto"/>
                <w:sz w:val="21"/>
                <w:highlight w:val="none"/>
              </w:rPr>
              <w:t>姓名</w:t>
            </w:r>
          </w:p>
        </w:tc>
        <w:tc>
          <w:tcPr>
            <w:tcW w:w="992" w:type="dxa"/>
            <w:tcBorders>
              <w:left w:val="single" w:color="000000" w:sz="4" w:space="0"/>
            </w:tcBorders>
          </w:tcPr>
          <w:p>
            <w:pPr>
              <w:pStyle w:val="19"/>
              <w:spacing w:line="360" w:lineRule="auto"/>
              <w:rPr>
                <w:color w:val="auto"/>
                <w:sz w:val="20"/>
                <w:highlight w:val="none"/>
              </w:rPr>
            </w:pPr>
          </w:p>
        </w:tc>
        <w:tc>
          <w:tcPr>
            <w:tcW w:w="1122" w:type="dxa"/>
            <w:tcBorders>
              <w:left w:val="single" w:color="000000" w:sz="4" w:space="0"/>
            </w:tcBorders>
          </w:tcPr>
          <w:p>
            <w:pPr>
              <w:pStyle w:val="19"/>
              <w:spacing w:before="142" w:line="360" w:lineRule="auto"/>
              <w:jc w:val="center"/>
              <w:rPr>
                <w:color w:val="auto"/>
                <w:sz w:val="21"/>
                <w:highlight w:val="none"/>
              </w:rPr>
            </w:pPr>
            <w:r>
              <w:rPr>
                <w:rFonts w:hint="eastAsia"/>
                <w:color w:val="auto"/>
                <w:sz w:val="21"/>
                <w:highlight w:val="none"/>
              </w:rPr>
              <w:t>技术职称</w:t>
            </w:r>
          </w:p>
        </w:tc>
        <w:tc>
          <w:tcPr>
            <w:tcW w:w="1286" w:type="dxa"/>
            <w:gridSpan w:val="2"/>
            <w:tcBorders>
              <w:left w:val="single" w:color="000000" w:sz="4" w:space="0"/>
            </w:tcBorders>
          </w:tcPr>
          <w:p>
            <w:pPr>
              <w:pStyle w:val="19"/>
              <w:spacing w:line="360" w:lineRule="auto"/>
              <w:rPr>
                <w:color w:val="auto"/>
                <w:sz w:val="20"/>
                <w:highlight w:val="none"/>
              </w:rPr>
            </w:pPr>
          </w:p>
        </w:tc>
        <w:tc>
          <w:tcPr>
            <w:tcW w:w="1114" w:type="dxa"/>
            <w:gridSpan w:val="2"/>
            <w:tcBorders>
              <w:left w:val="single" w:color="000000" w:sz="4" w:space="0"/>
            </w:tcBorders>
          </w:tcPr>
          <w:p>
            <w:pPr>
              <w:pStyle w:val="19"/>
              <w:spacing w:before="142" w:line="360" w:lineRule="auto"/>
              <w:ind w:left="345"/>
              <w:rPr>
                <w:color w:val="auto"/>
                <w:sz w:val="21"/>
                <w:highlight w:val="none"/>
              </w:rPr>
            </w:pPr>
            <w:r>
              <w:rPr>
                <w:rFonts w:hint="eastAsia"/>
                <w:color w:val="auto"/>
                <w:sz w:val="21"/>
                <w:highlight w:val="none"/>
              </w:rPr>
              <w:t>电话</w:t>
            </w:r>
          </w:p>
        </w:tc>
        <w:tc>
          <w:tcPr>
            <w:tcW w:w="1439" w:type="dxa"/>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19"/>
              <w:spacing w:before="142" w:line="360" w:lineRule="auto"/>
              <w:ind w:left="182"/>
              <w:rPr>
                <w:color w:val="auto"/>
                <w:sz w:val="21"/>
                <w:highlight w:val="none"/>
              </w:rPr>
            </w:pPr>
            <w:r>
              <w:rPr>
                <w:rFonts w:hint="eastAsia"/>
                <w:color w:val="auto"/>
                <w:sz w:val="21"/>
                <w:highlight w:val="none"/>
              </w:rPr>
              <w:t>企业监理资质证书</w:t>
            </w:r>
          </w:p>
        </w:tc>
        <w:tc>
          <w:tcPr>
            <w:tcW w:w="6662" w:type="dxa"/>
            <w:gridSpan w:val="8"/>
            <w:tcBorders>
              <w:left w:val="single" w:color="000000" w:sz="4" w:space="0"/>
            </w:tcBorders>
          </w:tcPr>
          <w:p>
            <w:pPr>
              <w:pStyle w:val="19"/>
              <w:tabs>
                <w:tab w:val="left" w:pos="2848"/>
                <w:tab w:val="left" w:pos="4108"/>
              </w:tabs>
              <w:spacing w:before="142" w:line="360" w:lineRule="auto"/>
              <w:ind w:left="116"/>
              <w:jc w:val="center"/>
              <w:rPr>
                <w:color w:val="auto"/>
                <w:sz w:val="21"/>
                <w:highlight w:val="none"/>
              </w:rPr>
            </w:pPr>
            <w:r>
              <w:rPr>
                <w:rFonts w:hint="eastAsia"/>
                <w:color w:val="auto"/>
                <w:sz w:val="21"/>
                <w:highlight w:val="none"/>
              </w:rPr>
              <w:t>类型：</w:t>
            </w:r>
            <w:r>
              <w:rPr>
                <w:rFonts w:hint="eastAsia"/>
                <w:color w:val="auto"/>
                <w:sz w:val="21"/>
                <w:highlight w:val="none"/>
              </w:rPr>
              <w:tab/>
            </w:r>
            <w:r>
              <w:rPr>
                <w:rFonts w:hint="eastAsia"/>
                <w:color w:val="auto"/>
                <w:spacing w:val="-3"/>
                <w:sz w:val="21"/>
                <w:highlight w:val="none"/>
              </w:rPr>
              <w:t>等</w:t>
            </w:r>
            <w:r>
              <w:rPr>
                <w:rFonts w:hint="eastAsia"/>
                <w:color w:val="auto"/>
                <w:sz w:val="21"/>
                <w:highlight w:val="none"/>
              </w:rPr>
              <w:t>级：</w:t>
            </w:r>
            <w:r>
              <w:rPr>
                <w:rFonts w:hint="eastAsia"/>
                <w:color w:val="auto"/>
                <w:sz w:val="21"/>
                <w:highlight w:val="none"/>
              </w:rPr>
              <w:tab/>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号</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434" w:type="dxa"/>
          </w:tcPr>
          <w:p>
            <w:pPr>
              <w:pStyle w:val="19"/>
              <w:spacing w:before="142"/>
              <w:ind w:left="182"/>
              <w:rPr>
                <w:color w:val="auto"/>
                <w:sz w:val="21"/>
                <w:highlight w:val="none"/>
              </w:rPr>
            </w:pPr>
            <w:r>
              <w:rPr>
                <w:rFonts w:hint="eastAsia"/>
                <w:color w:val="auto"/>
                <w:sz w:val="21"/>
                <w:highlight w:val="none"/>
              </w:rPr>
              <w:t>质量管理体系证书</w:t>
            </w:r>
          </w:p>
          <w:p>
            <w:pPr>
              <w:pStyle w:val="19"/>
              <w:spacing w:before="170"/>
              <w:ind w:left="549"/>
              <w:rPr>
                <w:color w:val="auto"/>
                <w:sz w:val="21"/>
                <w:highlight w:val="none"/>
              </w:rPr>
            </w:pPr>
            <w:r>
              <w:rPr>
                <w:rFonts w:hint="eastAsia"/>
                <w:color w:val="auto"/>
                <w:sz w:val="21"/>
                <w:highlight w:val="none"/>
              </w:rPr>
              <w:t>（如有）</w:t>
            </w:r>
          </w:p>
        </w:tc>
        <w:tc>
          <w:tcPr>
            <w:tcW w:w="6662" w:type="dxa"/>
            <w:gridSpan w:val="8"/>
            <w:tcBorders>
              <w:left w:val="single" w:color="000000" w:sz="4" w:space="0"/>
            </w:tcBorders>
          </w:tcPr>
          <w:p>
            <w:pPr>
              <w:pStyle w:val="19"/>
              <w:spacing w:before="4" w:line="360" w:lineRule="auto"/>
              <w:rPr>
                <w:color w:val="auto"/>
                <w:sz w:val="28"/>
                <w:highlight w:val="none"/>
              </w:rPr>
            </w:pPr>
          </w:p>
          <w:p>
            <w:pPr>
              <w:pStyle w:val="19"/>
              <w:tabs>
                <w:tab w:val="left" w:pos="2848"/>
                <w:tab w:val="left" w:pos="4108"/>
              </w:tabs>
              <w:spacing w:line="360" w:lineRule="auto"/>
              <w:ind w:left="116"/>
              <w:jc w:val="center"/>
              <w:rPr>
                <w:color w:val="auto"/>
                <w:sz w:val="21"/>
                <w:highlight w:val="none"/>
              </w:rPr>
            </w:pPr>
            <w:r>
              <w:rPr>
                <w:rFonts w:hint="eastAsia"/>
                <w:color w:val="auto"/>
                <w:sz w:val="21"/>
                <w:highlight w:val="none"/>
              </w:rPr>
              <w:t>类型：</w:t>
            </w:r>
            <w:r>
              <w:rPr>
                <w:rFonts w:hint="eastAsia"/>
                <w:color w:val="auto"/>
                <w:sz w:val="21"/>
                <w:highlight w:val="none"/>
              </w:rPr>
              <w:tab/>
            </w:r>
            <w:r>
              <w:rPr>
                <w:rFonts w:hint="eastAsia"/>
                <w:color w:val="auto"/>
                <w:spacing w:val="-3"/>
                <w:sz w:val="21"/>
                <w:highlight w:val="none"/>
              </w:rPr>
              <w:t>等</w:t>
            </w:r>
            <w:r>
              <w:rPr>
                <w:rFonts w:hint="eastAsia"/>
                <w:color w:val="auto"/>
                <w:sz w:val="21"/>
                <w:highlight w:val="none"/>
              </w:rPr>
              <w:t>级：</w:t>
            </w:r>
            <w:r>
              <w:rPr>
                <w:rFonts w:hint="eastAsia"/>
                <w:color w:val="auto"/>
                <w:sz w:val="21"/>
                <w:highlight w:val="none"/>
              </w:rPr>
              <w:tab/>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号</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tcPr>
          <w:p>
            <w:pPr>
              <w:pStyle w:val="19"/>
              <w:spacing w:before="142" w:line="360" w:lineRule="auto"/>
              <w:ind w:left="496"/>
              <w:rPr>
                <w:color w:val="auto"/>
                <w:sz w:val="21"/>
                <w:highlight w:val="none"/>
              </w:rPr>
            </w:pPr>
            <w:r>
              <w:rPr>
                <w:rFonts w:hint="eastAsia"/>
                <w:color w:val="auto"/>
                <w:sz w:val="21"/>
                <w:highlight w:val="none"/>
              </w:rPr>
              <w:t>营业执照号</w:t>
            </w:r>
          </w:p>
        </w:tc>
        <w:tc>
          <w:tcPr>
            <w:tcW w:w="2823" w:type="dxa"/>
            <w:gridSpan w:val="3"/>
            <w:tcBorders>
              <w:left w:val="single" w:color="000000" w:sz="4" w:space="0"/>
            </w:tcBorders>
          </w:tcPr>
          <w:p>
            <w:pPr>
              <w:pStyle w:val="19"/>
              <w:spacing w:line="360" w:lineRule="auto"/>
              <w:rPr>
                <w:color w:val="auto"/>
                <w:sz w:val="20"/>
                <w:highlight w:val="none"/>
              </w:rPr>
            </w:pPr>
          </w:p>
        </w:tc>
        <w:tc>
          <w:tcPr>
            <w:tcW w:w="3839" w:type="dxa"/>
            <w:gridSpan w:val="5"/>
            <w:tcBorders>
              <w:left w:val="single" w:color="000000" w:sz="4" w:space="0"/>
            </w:tcBorders>
          </w:tcPr>
          <w:p>
            <w:pPr>
              <w:pStyle w:val="19"/>
              <w:spacing w:before="142" w:line="360" w:lineRule="auto"/>
              <w:ind w:left="1182"/>
              <w:rPr>
                <w:color w:val="auto"/>
                <w:sz w:val="21"/>
                <w:highlight w:val="none"/>
              </w:rPr>
            </w:pPr>
            <w:r>
              <w:rPr>
                <w:rFonts w:hint="eastAsia"/>
                <w:color w:val="auto"/>
                <w:sz w:val="21"/>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19"/>
              <w:spacing w:before="142" w:line="360" w:lineRule="auto"/>
              <w:ind w:left="602"/>
              <w:rPr>
                <w:color w:val="auto"/>
                <w:sz w:val="21"/>
                <w:highlight w:val="none"/>
              </w:rPr>
            </w:pPr>
            <w:r>
              <w:rPr>
                <w:rFonts w:hint="eastAsia"/>
                <w:color w:val="auto"/>
                <w:sz w:val="21"/>
                <w:highlight w:val="none"/>
              </w:rPr>
              <w:t>注册资本</w:t>
            </w:r>
          </w:p>
        </w:tc>
        <w:tc>
          <w:tcPr>
            <w:tcW w:w="2823" w:type="dxa"/>
            <w:gridSpan w:val="3"/>
            <w:tcBorders>
              <w:left w:val="single" w:color="000000" w:sz="4" w:space="0"/>
            </w:tcBorders>
          </w:tcPr>
          <w:p>
            <w:pPr>
              <w:pStyle w:val="19"/>
              <w:spacing w:line="360" w:lineRule="auto"/>
              <w:rPr>
                <w:color w:val="auto"/>
                <w:sz w:val="20"/>
                <w:highlight w:val="none"/>
              </w:rPr>
            </w:pPr>
          </w:p>
        </w:tc>
        <w:tc>
          <w:tcPr>
            <w:tcW w:w="415" w:type="dxa"/>
            <w:vMerge w:val="restart"/>
            <w:tcBorders>
              <w:left w:val="single" w:color="000000" w:sz="4" w:space="0"/>
            </w:tcBorders>
          </w:tcPr>
          <w:p>
            <w:pPr>
              <w:pStyle w:val="19"/>
              <w:spacing w:line="360" w:lineRule="auto"/>
              <w:rPr>
                <w:color w:val="auto"/>
                <w:sz w:val="20"/>
                <w:highlight w:val="none"/>
              </w:rPr>
            </w:pPr>
          </w:p>
          <w:p>
            <w:pPr>
              <w:pStyle w:val="19"/>
              <w:spacing w:before="9" w:line="360" w:lineRule="auto"/>
              <w:rPr>
                <w:color w:val="auto"/>
                <w:sz w:val="26"/>
                <w:highlight w:val="none"/>
              </w:rPr>
            </w:pPr>
          </w:p>
          <w:p>
            <w:pPr>
              <w:pStyle w:val="19"/>
              <w:spacing w:line="360" w:lineRule="auto"/>
              <w:ind w:left="107" w:right="84"/>
              <w:rPr>
                <w:color w:val="auto"/>
                <w:sz w:val="21"/>
                <w:highlight w:val="none"/>
              </w:rPr>
            </w:pPr>
            <w:r>
              <w:rPr>
                <w:rFonts w:hint="eastAsia"/>
                <w:color w:val="auto"/>
                <w:sz w:val="21"/>
                <w:highlight w:val="none"/>
              </w:rPr>
              <w:t>其中</w:t>
            </w:r>
          </w:p>
        </w:tc>
        <w:tc>
          <w:tcPr>
            <w:tcW w:w="1699" w:type="dxa"/>
            <w:gridSpan w:val="2"/>
            <w:tcBorders>
              <w:left w:val="single" w:color="000000" w:sz="4" w:space="0"/>
            </w:tcBorders>
          </w:tcPr>
          <w:p>
            <w:pPr>
              <w:pStyle w:val="19"/>
              <w:spacing w:before="142" w:line="360" w:lineRule="auto"/>
              <w:ind w:left="220"/>
              <w:rPr>
                <w:color w:val="auto"/>
                <w:sz w:val="21"/>
                <w:highlight w:val="none"/>
              </w:rPr>
            </w:pPr>
            <w:r>
              <w:rPr>
                <w:rFonts w:hint="eastAsia"/>
                <w:color w:val="auto"/>
                <w:sz w:val="21"/>
                <w:highlight w:val="none"/>
              </w:rPr>
              <w:t>高级职称人员</w:t>
            </w:r>
          </w:p>
        </w:tc>
        <w:tc>
          <w:tcPr>
            <w:tcW w:w="1725"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19"/>
              <w:spacing w:before="142" w:line="360" w:lineRule="auto"/>
              <w:ind w:left="602"/>
              <w:rPr>
                <w:color w:val="auto"/>
                <w:sz w:val="21"/>
                <w:highlight w:val="none"/>
              </w:rPr>
            </w:pPr>
            <w:r>
              <w:rPr>
                <w:rFonts w:hint="eastAsia"/>
                <w:color w:val="auto"/>
                <w:sz w:val="21"/>
                <w:highlight w:val="none"/>
              </w:rPr>
              <w:t>成立日期</w:t>
            </w:r>
          </w:p>
        </w:tc>
        <w:tc>
          <w:tcPr>
            <w:tcW w:w="2823" w:type="dxa"/>
            <w:gridSpan w:val="3"/>
            <w:tcBorders>
              <w:left w:val="single" w:color="000000" w:sz="4" w:space="0"/>
            </w:tcBorders>
          </w:tcPr>
          <w:p>
            <w:pPr>
              <w:pStyle w:val="19"/>
              <w:spacing w:line="360" w:lineRule="auto"/>
              <w:rPr>
                <w:color w:val="auto"/>
                <w:sz w:val="20"/>
                <w:highlight w:val="none"/>
              </w:rPr>
            </w:pPr>
          </w:p>
        </w:tc>
        <w:tc>
          <w:tcPr>
            <w:tcW w:w="415" w:type="dxa"/>
            <w:vMerge w:val="continue"/>
            <w:tcBorders>
              <w:top w:val="nil"/>
            </w:tcBorders>
          </w:tcPr>
          <w:p>
            <w:pPr>
              <w:rPr>
                <w:color w:val="auto"/>
                <w:highlight w:val="none"/>
              </w:rPr>
            </w:pPr>
          </w:p>
        </w:tc>
        <w:tc>
          <w:tcPr>
            <w:tcW w:w="1699" w:type="dxa"/>
            <w:gridSpan w:val="2"/>
            <w:tcBorders>
              <w:left w:val="single" w:color="000000" w:sz="4" w:space="0"/>
            </w:tcBorders>
          </w:tcPr>
          <w:p>
            <w:pPr>
              <w:pStyle w:val="19"/>
              <w:spacing w:before="142" w:line="360" w:lineRule="auto"/>
              <w:ind w:left="220"/>
              <w:rPr>
                <w:color w:val="auto"/>
                <w:sz w:val="21"/>
                <w:highlight w:val="none"/>
              </w:rPr>
            </w:pPr>
            <w:r>
              <w:rPr>
                <w:rFonts w:hint="eastAsia"/>
                <w:color w:val="auto"/>
                <w:sz w:val="21"/>
                <w:highlight w:val="none"/>
              </w:rPr>
              <w:t>中级职称人员</w:t>
            </w:r>
          </w:p>
        </w:tc>
        <w:tc>
          <w:tcPr>
            <w:tcW w:w="1725"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19"/>
              <w:spacing w:before="142" w:line="360" w:lineRule="auto"/>
              <w:ind w:left="182"/>
              <w:rPr>
                <w:color w:val="auto"/>
                <w:sz w:val="21"/>
                <w:highlight w:val="none"/>
              </w:rPr>
            </w:pPr>
            <w:r>
              <w:rPr>
                <w:rFonts w:hint="eastAsia"/>
                <w:color w:val="auto"/>
                <w:sz w:val="21"/>
                <w:highlight w:val="none"/>
              </w:rPr>
              <w:t>基本账户开户银行</w:t>
            </w:r>
          </w:p>
        </w:tc>
        <w:tc>
          <w:tcPr>
            <w:tcW w:w="2823" w:type="dxa"/>
            <w:gridSpan w:val="3"/>
            <w:tcBorders>
              <w:left w:val="single" w:color="000000" w:sz="4" w:space="0"/>
            </w:tcBorders>
          </w:tcPr>
          <w:p>
            <w:pPr>
              <w:pStyle w:val="19"/>
              <w:spacing w:line="360" w:lineRule="auto"/>
              <w:rPr>
                <w:color w:val="auto"/>
                <w:sz w:val="20"/>
                <w:highlight w:val="none"/>
              </w:rPr>
            </w:pPr>
          </w:p>
        </w:tc>
        <w:tc>
          <w:tcPr>
            <w:tcW w:w="415" w:type="dxa"/>
            <w:vMerge w:val="continue"/>
            <w:tcBorders>
              <w:top w:val="nil"/>
            </w:tcBorders>
          </w:tcPr>
          <w:p>
            <w:pPr>
              <w:rPr>
                <w:color w:val="auto"/>
                <w:highlight w:val="none"/>
              </w:rPr>
            </w:pPr>
          </w:p>
        </w:tc>
        <w:tc>
          <w:tcPr>
            <w:tcW w:w="1699" w:type="dxa"/>
            <w:gridSpan w:val="2"/>
            <w:tcBorders>
              <w:left w:val="single" w:color="000000" w:sz="4" w:space="0"/>
            </w:tcBorders>
          </w:tcPr>
          <w:p>
            <w:pPr>
              <w:pStyle w:val="19"/>
              <w:spacing w:before="142" w:line="360" w:lineRule="auto"/>
              <w:ind w:left="220"/>
              <w:rPr>
                <w:color w:val="auto"/>
                <w:sz w:val="21"/>
                <w:highlight w:val="none"/>
              </w:rPr>
            </w:pPr>
            <w:r>
              <w:rPr>
                <w:rFonts w:hint="eastAsia"/>
                <w:color w:val="auto"/>
                <w:sz w:val="21"/>
                <w:highlight w:val="none"/>
              </w:rPr>
              <w:t>技术人员数量</w:t>
            </w:r>
          </w:p>
        </w:tc>
        <w:tc>
          <w:tcPr>
            <w:tcW w:w="1725"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19"/>
              <w:spacing w:before="142" w:line="360" w:lineRule="auto"/>
              <w:ind w:left="182"/>
              <w:rPr>
                <w:color w:val="auto"/>
                <w:sz w:val="21"/>
                <w:highlight w:val="none"/>
              </w:rPr>
            </w:pPr>
            <w:r>
              <w:rPr>
                <w:rFonts w:hint="eastAsia"/>
                <w:color w:val="auto"/>
                <w:sz w:val="21"/>
                <w:highlight w:val="none"/>
              </w:rPr>
              <w:t>基本账户银行账号</w:t>
            </w:r>
          </w:p>
        </w:tc>
        <w:tc>
          <w:tcPr>
            <w:tcW w:w="2823" w:type="dxa"/>
            <w:gridSpan w:val="3"/>
            <w:tcBorders>
              <w:left w:val="single" w:color="000000" w:sz="4" w:space="0"/>
            </w:tcBorders>
          </w:tcPr>
          <w:p>
            <w:pPr>
              <w:pStyle w:val="19"/>
              <w:spacing w:line="360" w:lineRule="auto"/>
              <w:rPr>
                <w:color w:val="auto"/>
                <w:sz w:val="20"/>
                <w:highlight w:val="none"/>
              </w:rPr>
            </w:pPr>
          </w:p>
        </w:tc>
        <w:tc>
          <w:tcPr>
            <w:tcW w:w="415" w:type="dxa"/>
            <w:vMerge w:val="continue"/>
            <w:tcBorders>
              <w:top w:val="nil"/>
            </w:tcBorders>
          </w:tcPr>
          <w:p>
            <w:pPr>
              <w:rPr>
                <w:color w:val="auto"/>
                <w:highlight w:val="none"/>
              </w:rPr>
            </w:pPr>
          </w:p>
        </w:tc>
        <w:tc>
          <w:tcPr>
            <w:tcW w:w="1699" w:type="dxa"/>
            <w:gridSpan w:val="2"/>
            <w:tcBorders>
              <w:left w:val="single" w:color="000000" w:sz="4" w:space="0"/>
            </w:tcBorders>
          </w:tcPr>
          <w:p>
            <w:pPr>
              <w:pStyle w:val="19"/>
              <w:spacing w:before="142" w:line="360" w:lineRule="auto"/>
              <w:ind w:left="220"/>
              <w:rPr>
                <w:color w:val="auto"/>
                <w:sz w:val="21"/>
                <w:highlight w:val="none"/>
              </w:rPr>
            </w:pPr>
            <w:r>
              <w:rPr>
                <w:rFonts w:hint="eastAsia"/>
                <w:color w:val="auto"/>
                <w:sz w:val="21"/>
                <w:highlight w:val="none"/>
              </w:rPr>
              <w:t>各类注册人员</w:t>
            </w:r>
          </w:p>
        </w:tc>
        <w:tc>
          <w:tcPr>
            <w:tcW w:w="1725"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19"/>
              <w:spacing w:before="142" w:line="360" w:lineRule="auto"/>
              <w:ind w:left="707"/>
              <w:rPr>
                <w:color w:val="auto"/>
                <w:sz w:val="21"/>
                <w:highlight w:val="none"/>
              </w:rPr>
            </w:pPr>
            <w:r>
              <w:rPr>
                <w:rFonts w:hint="eastAsia"/>
                <w:color w:val="auto"/>
                <w:sz w:val="21"/>
                <w:highlight w:val="none"/>
              </w:rPr>
              <w:t>经营范围</w:t>
            </w:r>
          </w:p>
        </w:tc>
        <w:tc>
          <w:tcPr>
            <w:tcW w:w="6662" w:type="dxa"/>
            <w:gridSpan w:val="8"/>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2434" w:type="dxa"/>
          </w:tcPr>
          <w:p>
            <w:pPr>
              <w:pStyle w:val="19"/>
              <w:spacing w:before="142"/>
              <w:ind w:left="108" w:right="91" w:hanging="6"/>
              <w:rPr>
                <w:color w:val="auto"/>
                <w:sz w:val="21"/>
                <w:highlight w:val="none"/>
              </w:rPr>
            </w:pPr>
            <w:r>
              <w:rPr>
                <w:rFonts w:hint="eastAsia"/>
                <w:color w:val="auto"/>
                <w:spacing w:val="-3"/>
                <w:sz w:val="21"/>
                <w:highlight w:val="none"/>
              </w:rPr>
              <w:t>投标人关联企业情</w:t>
            </w:r>
            <w:r>
              <w:rPr>
                <w:rFonts w:hint="eastAsia"/>
                <w:color w:val="auto"/>
                <w:spacing w:val="-60"/>
                <w:sz w:val="21"/>
                <w:highlight w:val="none"/>
              </w:rPr>
              <w:t>况</w:t>
            </w:r>
            <w:r>
              <w:rPr>
                <w:rFonts w:hint="eastAsia"/>
                <w:color w:val="auto"/>
                <w:sz w:val="21"/>
                <w:highlight w:val="none"/>
              </w:rPr>
              <w:t>（</w:t>
            </w:r>
            <w:r>
              <w:rPr>
                <w:rFonts w:hint="eastAsia"/>
                <w:color w:val="auto"/>
                <w:spacing w:val="-5"/>
                <w:sz w:val="21"/>
                <w:highlight w:val="none"/>
              </w:rPr>
              <w:t>包括但不限于与</w:t>
            </w:r>
            <w:r>
              <w:rPr>
                <w:rFonts w:hint="eastAsia"/>
                <w:color w:val="auto"/>
                <w:spacing w:val="-3"/>
                <w:sz w:val="21"/>
                <w:highlight w:val="none"/>
              </w:rPr>
              <w:t>投标人法定代表人为同一人或者存在</w:t>
            </w:r>
            <w:r>
              <w:rPr>
                <w:rFonts w:hint="eastAsia"/>
                <w:color w:val="auto"/>
                <w:spacing w:val="-12"/>
                <w:sz w:val="21"/>
                <w:highlight w:val="none"/>
              </w:rPr>
              <w:t>控股、管理关系的不</w:t>
            </w:r>
            <w:r>
              <w:rPr>
                <w:rFonts w:hint="eastAsia"/>
                <w:color w:val="auto"/>
                <w:sz w:val="21"/>
                <w:highlight w:val="none"/>
              </w:rPr>
              <w:t>同单位）</w:t>
            </w:r>
          </w:p>
        </w:tc>
        <w:tc>
          <w:tcPr>
            <w:tcW w:w="6662" w:type="dxa"/>
            <w:gridSpan w:val="8"/>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19"/>
              <w:spacing w:before="142" w:line="360" w:lineRule="auto"/>
              <w:ind w:left="583" w:right="569"/>
              <w:jc w:val="center"/>
              <w:rPr>
                <w:color w:val="auto"/>
                <w:sz w:val="21"/>
                <w:highlight w:val="none"/>
              </w:rPr>
            </w:pPr>
            <w:r>
              <w:rPr>
                <w:rFonts w:hint="eastAsia"/>
                <w:color w:val="auto"/>
                <w:sz w:val="21"/>
                <w:highlight w:val="none"/>
              </w:rPr>
              <w:t>备注</w:t>
            </w:r>
          </w:p>
        </w:tc>
        <w:tc>
          <w:tcPr>
            <w:tcW w:w="6662" w:type="dxa"/>
            <w:gridSpan w:val="8"/>
            <w:tcBorders>
              <w:left w:val="single" w:color="000000" w:sz="4" w:space="0"/>
            </w:tcBorders>
          </w:tcPr>
          <w:p>
            <w:pPr>
              <w:pStyle w:val="19"/>
              <w:spacing w:line="360" w:lineRule="auto"/>
              <w:rPr>
                <w:color w:val="auto"/>
                <w:sz w:val="20"/>
                <w:highlight w:val="none"/>
              </w:rPr>
            </w:pPr>
          </w:p>
        </w:tc>
      </w:tr>
    </w:tbl>
    <w:p>
      <w:pPr>
        <w:pStyle w:val="7"/>
        <w:rPr>
          <w:color w:val="auto"/>
          <w:highlight w:val="none"/>
        </w:rPr>
      </w:pPr>
      <w:r>
        <w:rPr>
          <w:rFonts w:hint="eastAsia"/>
          <w:color w:val="auto"/>
          <w:highlight w:val="none"/>
        </w:rPr>
        <w:t>注：</w:t>
      </w:r>
      <w:r>
        <w:rPr>
          <w:color w:val="auto"/>
          <w:highlight w:val="none"/>
        </w:rPr>
        <w:t>1.</w:t>
      </w:r>
      <w:r>
        <w:rPr>
          <w:rFonts w:hint="eastAsia"/>
          <w:color w:val="auto"/>
          <w:highlight w:val="none"/>
        </w:rPr>
        <w:t>投标人应根据投标人须知第 3.5</w:t>
      </w:r>
      <w:r>
        <w:rPr>
          <w:rFonts w:hint="eastAsia"/>
          <w:color w:val="auto"/>
          <w:spacing w:val="-6"/>
          <w:highlight w:val="none"/>
        </w:rPr>
        <w:t>项的要求和招标公告第3条投标人资格要求在本表后附相关证明材料。</w:t>
      </w:r>
      <w:r>
        <w:rPr>
          <w:rFonts w:hint="eastAsia"/>
          <w:color w:val="auto"/>
          <w:highlight w:val="none"/>
        </w:rPr>
        <w:t>香港企业投标的，须按照招标公告“投标人资格要求”另行提供在香港公司注册证书及</w:t>
      </w:r>
      <w:r>
        <w:rPr>
          <w:color w:val="auto"/>
          <w:highlight w:val="none"/>
        </w:rPr>
        <w:t>商业登记</w:t>
      </w:r>
      <w:r>
        <w:rPr>
          <w:rFonts w:hint="eastAsia"/>
          <w:color w:val="auto"/>
          <w:highlight w:val="none"/>
        </w:rPr>
        <w:t>证及经广东省住房和城乡建设主管部门备案的企业和人员的备案证明文件。</w:t>
      </w:r>
    </w:p>
    <w:p>
      <w:pPr>
        <w:rPr>
          <w:color w:val="auto"/>
          <w:sz w:val="24"/>
          <w:highlight w:val="none"/>
        </w:rPr>
      </w:pPr>
    </w:p>
    <w:p>
      <w:pPr>
        <w:rPr>
          <w:color w:val="auto"/>
          <w:sz w:val="21"/>
          <w:szCs w:val="21"/>
          <w:highlight w:val="none"/>
        </w:rPr>
      </w:pPr>
      <w:r>
        <w:rPr>
          <w:color w:val="auto"/>
          <w:sz w:val="21"/>
          <w:szCs w:val="21"/>
          <w:highlight w:val="none"/>
        </w:rPr>
        <w:t>2.</w:t>
      </w:r>
      <w:r>
        <w:rPr>
          <w:rFonts w:hint="eastAsia"/>
          <w:color w:val="auto"/>
          <w:sz w:val="21"/>
          <w:szCs w:val="21"/>
          <w:highlight w:val="none"/>
        </w:rPr>
        <w:t>联合体投标的，各方均应提供。</w:t>
      </w:r>
    </w:p>
    <w:p>
      <w:pPr>
        <w:spacing w:line="360" w:lineRule="auto"/>
        <w:ind w:right="461"/>
        <w:rPr>
          <w:color w:val="auto"/>
          <w:sz w:val="28"/>
          <w:szCs w:val="28"/>
          <w:highlight w:val="none"/>
        </w:rPr>
      </w:pPr>
      <w:r>
        <w:rPr>
          <w:color w:val="auto"/>
          <w:spacing w:val="-10"/>
          <w:highlight w:val="none"/>
        </w:rPr>
        <w:br w:type="page"/>
      </w:r>
      <w:r>
        <w:rPr>
          <w:rFonts w:hint="eastAsia"/>
          <w:color w:val="auto"/>
          <w:sz w:val="28"/>
          <w:szCs w:val="28"/>
          <w:highlight w:val="none"/>
        </w:rPr>
        <w:t>（二）主要人员简历表（格式可自拟）</w:t>
      </w:r>
    </w:p>
    <w:p>
      <w:pPr>
        <w:pStyle w:val="7"/>
        <w:rPr>
          <w:color w:val="auto"/>
          <w:highlight w:val="none"/>
        </w:rPr>
      </w:pPr>
    </w:p>
    <w:tbl>
      <w:tblPr>
        <w:tblStyle w:val="1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pPr>
              <w:pStyle w:val="19"/>
              <w:tabs>
                <w:tab w:val="left" w:pos="436"/>
              </w:tabs>
              <w:spacing w:line="360" w:lineRule="auto"/>
              <w:ind w:left="13"/>
              <w:jc w:val="center"/>
              <w:rPr>
                <w:color w:val="auto"/>
                <w:sz w:val="21"/>
                <w:highlight w:val="none"/>
              </w:rPr>
            </w:pPr>
            <w:r>
              <w:rPr>
                <w:rFonts w:hint="eastAsia"/>
                <w:color w:val="auto"/>
                <w:sz w:val="21"/>
                <w:highlight w:val="none"/>
              </w:rPr>
              <w:t>姓</w:t>
            </w:r>
            <w:r>
              <w:rPr>
                <w:rFonts w:hint="eastAsia"/>
                <w:color w:val="auto"/>
                <w:sz w:val="21"/>
                <w:highlight w:val="none"/>
              </w:rPr>
              <w:tab/>
            </w:r>
            <w:r>
              <w:rPr>
                <w:rFonts w:hint="eastAsia"/>
                <w:color w:val="auto"/>
                <w:sz w:val="21"/>
                <w:highlight w:val="none"/>
              </w:rPr>
              <w:t>名</w:t>
            </w:r>
          </w:p>
        </w:tc>
        <w:tc>
          <w:tcPr>
            <w:tcW w:w="1108" w:type="dxa"/>
            <w:gridSpan w:val="2"/>
            <w:vAlign w:val="center"/>
          </w:tcPr>
          <w:p>
            <w:pPr>
              <w:pStyle w:val="19"/>
              <w:spacing w:line="360" w:lineRule="auto"/>
              <w:jc w:val="center"/>
              <w:rPr>
                <w:color w:val="auto"/>
                <w:sz w:val="20"/>
                <w:highlight w:val="none"/>
              </w:rPr>
            </w:pPr>
          </w:p>
        </w:tc>
        <w:tc>
          <w:tcPr>
            <w:tcW w:w="1011" w:type="dxa"/>
            <w:vAlign w:val="center"/>
          </w:tcPr>
          <w:p>
            <w:pPr>
              <w:pStyle w:val="19"/>
              <w:spacing w:line="360" w:lineRule="auto"/>
              <w:ind w:right="256"/>
              <w:jc w:val="center"/>
              <w:rPr>
                <w:color w:val="auto"/>
                <w:sz w:val="21"/>
                <w:highlight w:val="none"/>
              </w:rPr>
            </w:pPr>
            <w:r>
              <w:rPr>
                <w:rFonts w:hint="eastAsia"/>
                <w:color w:val="auto"/>
                <w:sz w:val="21"/>
                <w:highlight w:val="none"/>
              </w:rPr>
              <w:t>年龄</w:t>
            </w:r>
          </w:p>
        </w:tc>
        <w:tc>
          <w:tcPr>
            <w:tcW w:w="1126" w:type="dxa"/>
            <w:vAlign w:val="center"/>
          </w:tcPr>
          <w:p>
            <w:pPr>
              <w:pStyle w:val="19"/>
              <w:spacing w:line="360" w:lineRule="auto"/>
              <w:jc w:val="center"/>
              <w:rPr>
                <w:color w:val="auto"/>
                <w:sz w:val="20"/>
                <w:highlight w:val="none"/>
              </w:rPr>
            </w:pPr>
          </w:p>
        </w:tc>
        <w:tc>
          <w:tcPr>
            <w:tcW w:w="2499" w:type="dxa"/>
            <w:gridSpan w:val="3"/>
            <w:vAlign w:val="center"/>
          </w:tcPr>
          <w:p>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执业资格证书（或上岗证书）名称</w:t>
            </w:r>
          </w:p>
        </w:tc>
        <w:tc>
          <w:tcPr>
            <w:tcW w:w="2003" w:type="dxa"/>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pPr>
              <w:pStyle w:val="19"/>
              <w:tabs>
                <w:tab w:val="left" w:pos="436"/>
              </w:tabs>
              <w:spacing w:line="360" w:lineRule="auto"/>
              <w:ind w:left="13"/>
              <w:jc w:val="center"/>
              <w:rPr>
                <w:color w:val="auto"/>
                <w:sz w:val="21"/>
                <w:highlight w:val="none"/>
              </w:rPr>
            </w:pPr>
            <w:r>
              <w:rPr>
                <w:rFonts w:hint="eastAsia"/>
                <w:color w:val="auto"/>
                <w:sz w:val="21"/>
                <w:highlight w:val="none"/>
              </w:rPr>
              <w:t>职</w:t>
            </w:r>
            <w:r>
              <w:rPr>
                <w:rFonts w:hint="eastAsia"/>
                <w:color w:val="auto"/>
                <w:sz w:val="21"/>
                <w:highlight w:val="none"/>
              </w:rPr>
              <w:tab/>
            </w:r>
            <w:r>
              <w:rPr>
                <w:rFonts w:hint="eastAsia"/>
                <w:color w:val="auto"/>
                <w:sz w:val="21"/>
                <w:highlight w:val="none"/>
              </w:rPr>
              <w:t>称</w:t>
            </w:r>
          </w:p>
        </w:tc>
        <w:tc>
          <w:tcPr>
            <w:tcW w:w="1108" w:type="dxa"/>
            <w:gridSpan w:val="2"/>
            <w:tcBorders>
              <w:left w:val="single" w:color="000000" w:sz="4" w:space="0"/>
            </w:tcBorders>
            <w:vAlign w:val="center"/>
          </w:tcPr>
          <w:p>
            <w:pPr>
              <w:pStyle w:val="19"/>
              <w:spacing w:line="360" w:lineRule="auto"/>
              <w:jc w:val="center"/>
              <w:rPr>
                <w:color w:val="auto"/>
                <w:sz w:val="20"/>
                <w:highlight w:val="none"/>
              </w:rPr>
            </w:pPr>
          </w:p>
        </w:tc>
        <w:tc>
          <w:tcPr>
            <w:tcW w:w="1011" w:type="dxa"/>
            <w:tcBorders>
              <w:left w:val="single" w:color="000000" w:sz="4" w:space="0"/>
            </w:tcBorders>
            <w:vAlign w:val="center"/>
          </w:tcPr>
          <w:p>
            <w:pPr>
              <w:pStyle w:val="19"/>
              <w:spacing w:line="360" w:lineRule="auto"/>
              <w:ind w:right="256"/>
              <w:jc w:val="center"/>
              <w:rPr>
                <w:color w:val="auto"/>
                <w:sz w:val="21"/>
                <w:highlight w:val="none"/>
              </w:rPr>
            </w:pPr>
            <w:r>
              <w:rPr>
                <w:rFonts w:hint="eastAsia"/>
                <w:color w:val="auto"/>
                <w:sz w:val="21"/>
                <w:highlight w:val="none"/>
              </w:rPr>
              <w:t>学历</w:t>
            </w:r>
          </w:p>
        </w:tc>
        <w:tc>
          <w:tcPr>
            <w:tcW w:w="1126" w:type="dxa"/>
            <w:tcBorders>
              <w:left w:val="single" w:color="000000" w:sz="4" w:space="0"/>
            </w:tcBorders>
            <w:vAlign w:val="center"/>
          </w:tcPr>
          <w:p>
            <w:pPr>
              <w:pStyle w:val="19"/>
              <w:spacing w:line="360" w:lineRule="auto"/>
              <w:jc w:val="center"/>
              <w:rPr>
                <w:color w:val="auto"/>
                <w:sz w:val="20"/>
                <w:highlight w:val="none"/>
              </w:rPr>
            </w:pPr>
          </w:p>
        </w:tc>
        <w:tc>
          <w:tcPr>
            <w:tcW w:w="2499" w:type="dxa"/>
            <w:gridSpan w:val="3"/>
            <w:tcBorders>
              <w:left w:val="single" w:color="000000" w:sz="4" w:space="0"/>
            </w:tcBorders>
            <w:vAlign w:val="center"/>
          </w:tcPr>
          <w:p>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拟在本项目任职</w:t>
            </w:r>
          </w:p>
        </w:tc>
        <w:tc>
          <w:tcPr>
            <w:tcW w:w="2003"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pPr>
              <w:pStyle w:val="19"/>
              <w:spacing w:line="360" w:lineRule="auto"/>
              <w:ind w:left="11"/>
              <w:jc w:val="center"/>
              <w:rPr>
                <w:color w:val="auto"/>
                <w:sz w:val="21"/>
                <w:highlight w:val="none"/>
              </w:rPr>
            </w:pPr>
            <w:r>
              <w:rPr>
                <w:rFonts w:hint="eastAsia"/>
                <w:color w:val="auto"/>
                <w:sz w:val="21"/>
                <w:highlight w:val="none"/>
              </w:rPr>
              <w:t>工作年限</w:t>
            </w:r>
          </w:p>
        </w:tc>
        <w:tc>
          <w:tcPr>
            <w:tcW w:w="3245" w:type="dxa"/>
            <w:gridSpan w:val="4"/>
            <w:tcBorders>
              <w:left w:val="single" w:color="000000" w:sz="4" w:space="0"/>
            </w:tcBorders>
            <w:vAlign w:val="center"/>
          </w:tcPr>
          <w:p>
            <w:pPr>
              <w:pStyle w:val="19"/>
              <w:spacing w:line="360" w:lineRule="auto"/>
              <w:jc w:val="center"/>
              <w:rPr>
                <w:color w:val="auto"/>
                <w:sz w:val="20"/>
                <w:highlight w:val="none"/>
              </w:rPr>
            </w:pPr>
          </w:p>
        </w:tc>
        <w:tc>
          <w:tcPr>
            <w:tcW w:w="2499" w:type="dxa"/>
            <w:gridSpan w:val="3"/>
            <w:tcBorders>
              <w:left w:val="single" w:color="000000" w:sz="4" w:space="0"/>
            </w:tcBorders>
            <w:vAlign w:val="center"/>
          </w:tcPr>
          <w:p>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从事</w:t>
            </w:r>
            <w:r>
              <w:rPr>
                <w:rFonts w:hint="eastAsia"/>
                <w:color w:val="auto"/>
                <w:sz w:val="21"/>
                <w:highlight w:val="none"/>
                <w:lang w:val="en-US"/>
              </w:rPr>
              <w:t>本</w:t>
            </w:r>
            <w:r>
              <w:rPr>
                <w:rFonts w:hint="eastAsia"/>
                <w:color w:val="auto"/>
                <w:sz w:val="21"/>
                <w:highlight w:val="none"/>
              </w:rPr>
              <w:t>工作年限</w:t>
            </w:r>
          </w:p>
        </w:tc>
        <w:tc>
          <w:tcPr>
            <w:tcW w:w="2003"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pPr>
              <w:pStyle w:val="19"/>
              <w:spacing w:line="360" w:lineRule="auto"/>
              <w:ind w:left="11"/>
              <w:jc w:val="center"/>
              <w:rPr>
                <w:color w:val="auto"/>
                <w:sz w:val="21"/>
                <w:highlight w:val="none"/>
              </w:rPr>
            </w:pPr>
            <w:r>
              <w:rPr>
                <w:rFonts w:hint="eastAsia"/>
                <w:color w:val="auto"/>
                <w:sz w:val="21"/>
                <w:highlight w:val="none"/>
              </w:rPr>
              <w:t>毕业学校</w:t>
            </w:r>
          </w:p>
        </w:tc>
        <w:tc>
          <w:tcPr>
            <w:tcW w:w="7747" w:type="dxa"/>
            <w:gridSpan w:val="8"/>
            <w:tcBorders>
              <w:left w:val="single" w:color="000000" w:sz="4" w:space="0"/>
            </w:tcBorders>
            <w:vAlign w:val="center"/>
          </w:tcPr>
          <w:p>
            <w:pPr>
              <w:pStyle w:val="19"/>
              <w:tabs>
                <w:tab w:val="left" w:pos="3364"/>
                <w:tab w:val="left" w:pos="4625"/>
              </w:tabs>
              <w:spacing w:line="360" w:lineRule="auto"/>
              <w:ind w:left="1262"/>
              <w:jc w:val="center"/>
              <w:rPr>
                <w:color w:val="auto"/>
                <w:sz w:val="21"/>
                <w:highlight w:val="none"/>
              </w:rPr>
            </w:pPr>
            <w:r>
              <w:rPr>
                <w:rFonts w:hint="eastAsia"/>
                <w:color w:val="auto"/>
                <w:sz w:val="21"/>
                <w:highlight w:val="none"/>
              </w:rPr>
              <w:t>年毕</w:t>
            </w:r>
            <w:r>
              <w:rPr>
                <w:rFonts w:hint="eastAsia"/>
                <w:color w:val="auto"/>
                <w:spacing w:val="-3"/>
                <w:sz w:val="21"/>
                <w:highlight w:val="none"/>
              </w:rPr>
              <w:t>业</w:t>
            </w:r>
            <w:r>
              <w:rPr>
                <w:rFonts w:hint="eastAsia"/>
                <w:color w:val="auto"/>
                <w:sz w:val="21"/>
                <w:highlight w:val="none"/>
              </w:rPr>
              <w:t>于</w:t>
            </w:r>
            <w:r>
              <w:rPr>
                <w:rFonts w:hint="eastAsia"/>
                <w:color w:val="auto"/>
                <w:sz w:val="21"/>
                <w:highlight w:val="none"/>
              </w:rPr>
              <w:tab/>
            </w:r>
            <w:r>
              <w:rPr>
                <w:rFonts w:hint="eastAsia"/>
                <w:color w:val="auto"/>
                <w:spacing w:val="-3"/>
                <w:sz w:val="21"/>
                <w:highlight w:val="none"/>
              </w:rPr>
              <w:t>学</w:t>
            </w:r>
            <w:r>
              <w:rPr>
                <w:rFonts w:hint="eastAsia"/>
                <w:color w:val="auto"/>
                <w:sz w:val="21"/>
                <w:highlight w:val="none"/>
              </w:rPr>
              <w:t>校</w:t>
            </w:r>
            <w:r>
              <w:rPr>
                <w:rFonts w:hint="eastAsia"/>
                <w:color w:val="auto"/>
                <w:sz w:val="21"/>
                <w:highlight w:val="none"/>
              </w:rPr>
              <w:tab/>
            </w:r>
            <w:r>
              <w:rPr>
                <w:rFonts w:hint="eastAsia"/>
                <w:color w:val="auto"/>
                <w:sz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pPr>
              <w:pStyle w:val="19"/>
              <w:spacing w:line="360" w:lineRule="auto"/>
              <w:ind w:left="107"/>
              <w:jc w:val="center"/>
              <w:rPr>
                <w:color w:val="auto"/>
                <w:sz w:val="21"/>
                <w:highlight w:val="none"/>
              </w:rPr>
            </w:pPr>
            <w:r>
              <w:rPr>
                <w:rFonts w:hint="eastAsia"/>
                <w:color w:val="auto"/>
                <w:sz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pPr>
              <w:pStyle w:val="19"/>
              <w:tabs>
                <w:tab w:val="left" w:pos="878"/>
              </w:tabs>
              <w:adjustRightInd w:val="0"/>
              <w:snapToGrid w:val="0"/>
              <w:spacing w:line="360" w:lineRule="auto"/>
              <w:jc w:val="center"/>
              <w:rPr>
                <w:color w:val="auto"/>
                <w:sz w:val="21"/>
                <w:highlight w:val="none"/>
              </w:rPr>
            </w:pPr>
            <w:r>
              <w:rPr>
                <w:rFonts w:hint="eastAsia"/>
                <w:color w:val="auto"/>
                <w:sz w:val="21"/>
                <w:highlight w:val="none"/>
              </w:rPr>
              <w:t>时</w:t>
            </w:r>
            <w:r>
              <w:rPr>
                <w:rFonts w:hint="eastAsia"/>
                <w:color w:val="auto"/>
                <w:sz w:val="21"/>
                <w:highlight w:val="none"/>
              </w:rPr>
              <w:tab/>
            </w:r>
            <w:r>
              <w:rPr>
                <w:rFonts w:hint="eastAsia"/>
                <w:color w:val="auto"/>
                <w:sz w:val="21"/>
                <w:highlight w:val="none"/>
              </w:rPr>
              <w:t>间</w:t>
            </w:r>
          </w:p>
        </w:tc>
        <w:tc>
          <w:tcPr>
            <w:tcW w:w="3612" w:type="dxa"/>
            <w:gridSpan w:val="4"/>
            <w:tcBorders>
              <w:left w:val="single" w:color="000000" w:sz="4" w:space="0"/>
            </w:tcBorders>
            <w:vAlign w:val="center"/>
          </w:tcPr>
          <w:p>
            <w:pPr>
              <w:pStyle w:val="19"/>
              <w:adjustRightInd w:val="0"/>
              <w:snapToGrid w:val="0"/>
              <w:spacing w:line="360" w:lineRule="auto"/>
              <w:jc w:val="center"/>
              <w:rPr>
                <w:color w:val="auto"/>
                <w:sz w:val="21"/>
                <w:highlight w:val="none"/>
              </w:rPr>
            </w:pPr>
            <w:r>
              <w:rPr>
                <w:rFonts w:hint="eastAsia"/>
                <w:color w:val="auto"/>
                <w:sz w:val="21"/>
                <w:highlight w:val="none"/>
              </w:rPr>
              <w:t>参加过的类似项目</w:t>
            </w:r>
          </w:p>
        </w:tc>
        <w:tc>
          <w:tcPr>
            <w:tcW w:w="1331" w:type="dxa"/>
            <w:tcBorders>
              <w:left w:val="single" w:color="000000" w:sz="4" w:space="0"/>
            </w:tcBorders>
            <w:vAlign w:val="center"/>
          </w:tcPr>
          <w:p>
            <w:pPr>
              <w:pStyle w:val="19"/>
              <w:adjustRightInd w:val="0"/>
              <w:snapToGrid w:val="0"/>
              <w:spacing w:line="360" w:lineRule="auto"/>
              <w:jc w:val="center"/>
              <w:rPr>
                <w:color w:val="auto"/>
                <w:sz w:val="21"/>
                <w:highlight w:val="none"/>
              </w:rPr>
            </w:pPr>
            <w:r>
              <w:rPr>
                <w:rFonts w:hint="eastAsia"/>
                <w:color w:val="auto"/>
                <w:sz w:val="21"/>
                <w:highlight w:val="none"/>
              </w:rPr>
              <w:t>担任职务</w:t>
            </w:r>
          </w:p>
        </w:tc>
        <w:tc>
          <w:tcPr>
            <w:tcW w:w="2427" w:type="dxa"/>
            <w:gridSpan w:val="2"/>
            <w:tcBorders>
              <w:left w:val="single" w:color="000000" w:sz="4" w:space="0"/>
            </w:tcBorders>
            <w:vAlign w:val="center"/>
          </w:tcPr>
          <w:p>
            <w:pPr>
              <w:pStyle w:val="19"/>
              <w:adjustRightInd w:val="0"/>
              <w:snapToGrid w:val="0"/>
              <w:spacing w:line="360" w:lineRule="auto"/>
              <w:jc w:val="center"/>
              <w:rPr>
                <w:color w:val="auto"/>
                <w:sz w:val="21"/>
                <w:highlight w:val="none"/>
              </w:rPr>
            </w:pPr>
            <w:r>
              <w:rPr>
                <w:rFonts w:hint="eastAsia"/>
                <w:color w:val="auto"/>
                <w:sz w:val="21"/>
                <w:highlight w:val="no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bl>
    <w:p>
      <w:pPr>
        <w:spacing w:line="440" w:lineRule="exact"/>
        <w:rPr>
          <w:color w:val="auto"/>
          <w:highlight w:val="none"/>
        </w:rPr>
      </w:pPr>
      <w:r>
        <w:rPr>
          <w:rFonts w:hint="eastAsia"/>
          <w:color w:val="auto"/>
          <w:sz w:val="21"/>
          <w:szCs w:val="21"/>
          <w:highlight w:val="none"/>
        </w:rPr>
        <w:t>注：投标人应根据投标人须知第 3.5项和</w:t>
      </w:r>
      <w:r>
        <w:rPr>
          <w:rFonts w:hint="eastAsia"/>
          <w:color w:val="auto"/>
          <w:spacing w:val="-6"/>
          <w:highlight w:val="none"/>
        </w:rPr>
        <w:t>的要求和</w:t>
      </w:r>
      <w:r>
        <w:rPr>
          <w:rFonts w:hint="eastAsia"/>
          <w:color w:val="auto"/>
          <w:spacing w:val="-6"/>
          <w:sz w:val="21"/>
          <w:szCs w:val="21"/>
          <w:highlight w:val="none"/>
        </w:rPr>
        <w:t>招标公告第3条投标人资格要求</w:t>
      </w:r>
      <w:r>
        <w:rPr>
          <w:rFonts w:hint="eastAsia"/>
          <w:color w:val="auto"/>
          <w:spacing w:val="-6"/>
          <w:highlight w:val="none"/>
        </w:rPr>
        <w:t>在本表后附相关证明材料。</w:t>
      </w:r>
    </w:p>
    <w:p>
      <w:pPr>
        <w:spacing w:line="360" w:lineRule="auto"/>
        <w:ind w:right="366"/>
        <w:jc w:val="center"/>
        <w:rPr>
          <w:color w:val="auto"/>
          <w:highlight w:val="none"/>
        </w:rPr>
        <w:sectPr>
          <w:pgSz w:w="11906" w:h="16838"/>
          <w:pgMar w:top="1400" w:right="1100" w:bottom="1120" w:left="1560" w:header="0" w:footer="841" w:gutter="0"/>
          <w:cols w:space="720" w:num="1"/>
          <w:docGrid w:linePitch="312" w:charSpace="2048"/>
        </w:sectPr>
      </w:pPr>
    </w:p>
    <w:p>
      <w:pPr>
        <w:spacing w:before="43"/>
        <w:jc w:val="both"/>
        <w:rPr>
          <w:b/>
          <w:color w:val="auto"/>
          <w:sz w:val="28"/>
          <w:szCs w:val="28"/>
          <w:highlight w:val="none"/>
        </w:rPr>
      </w:pPr>
      <w:r>
        <w:rPr>
          <w:rFonts w:hint="eastAsia"/>
          <w:b/>
          <w:color w:val="auto"/>
          <w:sz w:val="28"/>
          <w:szCs w:val="28"/>
          <w:highlight w:val="none"/>
          <w:lang w:eastAsia="zh-CN"/>
        </w:rPr>
        <w:t>（三）</w:t>
      </w:r>
      <w:r>
        <w:rPr>
          <w:rFonts w:hint="eastAsia"/>
          <w:b/>
          <w:color w:val="auto"/>
          <w:sz w:val="28"/>
          <w:szCs w:val="28"/>
          <w:highlight w:val="none"/>
        </w:rPr>
        <w:t>投标人声明格式</w:t>
      </w:r>
    </w:p>
    <w:p>
      <w:pPr>
        <w:widowControl/>
        <w:snapToGrid w:val="0"/>
        <w:spacing w:before="260" w:after="260"/>
        <w:ind w:right="386"/>
        <w:jc w:val="center"/>
        <w:rPr>
          <w:color w:val="auto"/>
          <w:sz w:val="28"/>
          <w:szCs w:val="28"/>
          <w:highlight w:val="none"/>
        </w:rPr>
      </w:pPr>
      <w:r>
        <w:rPr>
          <w:rFonts w:hint="eastAsia"/>
          <w:color w:val="auto"/>
          <w:sz w:val="28"/>
          <w:szCs w:val="28"/>
          <w:highlight w:val="none"/>
        </w:rPr>
        <w:t>投标人声明</w:t>
      </w:r>
    </w:p>
    <w:p>
      <w:pPr>
        <w:snapToGrid w:val="0"/>
        <w:spacing w:line="400" w:lineRule="exact"/>
        <w:ind w:firstLine="480" w:firstLineChars="200"/>
        <w:rPr>
          <w:color w:val="auto"/>
          <w:sz w:val="24"/>
          <w:szCs w:val="24"/>
          <w:highlight w:val="none"/>
        </w:rPr>
      </w:pPr>
      <w:r>
        <w:rPr>
          <w:rFonts w:hint="eastAsia"/>
          <w:color w:val="auto"/>
          <w:sz w:val="24"/>
          <w:szCs w:val="24"/>
          <w:highlight w:val="none"/>
        </w:rPr>
        <w:t>广州市交通运输局、本招标项目招标人及招标监管机构：</w:t>
      </w:r>
    </w:p>
    <w:p>
      <w:pPr>
        <w:snapToGrid w:val="0"/>
        <w:spacing w:line="400" w:lineRule="exact"/>
        <w:ind w:firstLine="480" w:firstLineChars="200"/>
        <w:rPr>
          <w:color w:val="auto"/>
          <w:sz w:val="24"/>
          <w:szCs w:val="24"/>
          <w:highlight w:val="none"/>
        </w:rPr>
      </w:pPr>
      <w:r>
        <w:rPr>
          <w:rFonts w:hint="eastAsia"/>
          <w:color w:val="auto"/>
          <w:sz w:val="24"/>
          <w:szCs w:val="24"/>
          <w:highlight w:val="none"/>
        </w:rPr>
        <w:t>本公司就参加</w:t>
      </w:r>
      <w:r>
        <w:rPr>
          <w:rFonts w:hint="eastAsia"/>
          <w:color w:val="auto"/>
          <w:sz w:val="24"/>
          <w:szCs w:val="24"/>
          <w:highlight w:val="none"/>
          <w:u w:val="single"/>
        </w:rPr>
        <w:t>                </w:t>
      </w:r>
      <w:r>
        <w:rPr>
          <w:rFonts w:hint="eastAsia"/>
          <w:color w:val="auto"/>
          <w:sz w:val="24"/>
          <w:szCs w:val="24"/>
          <w:highlight w:val="none"/>
        </w:rPr>
        <w:t>项目投标工作，作出郑重声明：</w:t>
      </w:r>
    </w:p>
    <w:p>
      <w:pPr>
        <w:snapToGrid w:val="0"/>
        <w:spacing w:line="400" w:lineRule="exact"/>
        <w:ind w:firstLine="480" w:firstLineChars="200"/>
        <w:rPr>
          <w:color w:val="auto"/>
          <w:sz w:val="24"/>
          <w:szCs w:val="24"/>
          <w:highlight w:val="none"/>
        </w:rPr>
      </w:pPr>
      <w:r>
        <w:rPr>
          <w:rFonts w:hint="eastAsia"/>
          <w:color w:val="auto"/>
          <w:sz w:val="24"/>
          <w:szCs w:val="24"/>
          <w:highlight w:val="none"/>
        </w:rPr>
        <w:t>一、本公司保证投标登记材料及其后提供的一切材料都是真实的。如我司成为本项目中标候选人，我司同意并授权招标人将我司投标文件商务部分的人员、业绩、奖项等资料进行公开。</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二、本公司承诺遵循公平公正、公开、诚实信用原则，如实投标，真实反映企业实力，公平竞争，不弄虚作假，不以低于监理</w:t>
      </w:r>
      <w:r>
        <w:rPr>
          <w:rFonts w:hint="eastAsia"/>
          <w:bCs/>
          <w:color w:val="auto"/>
          <w:sz w:val="24"/>
          <w:szCs w:val="24"/>
          <w:highlight w:val="none"/>
          <w:lang w:val="en-US"/>
        </w:rPr>
        <w:t>及造价咨询</w:t>
      </w:r>
      <w:r>
        <w:rPr>
          <w:rFonts w:hint="eastAsia"/>
          <w:bCs/>
          <w:color w:val="auto"/>
          <w:sz w:val="24"/>
          <w:szCs w:val="24"/>
          <w:highlight w:val="none"/>
        </w:rPr>
        <w:t>企业成本价竞标而降低服务质量，不与任何建设单位订立违背监理</w:t>
      </w:r>
      <w:r>
        <w:rPr>
          <w:rFonts w:hint="eastAsia"/>
          <w:bCs/>
          <w:color w:val="auto"/>
          <w:sz w:val="24"/>
          <w:szCs w:val="24"/>
          <w:highlight w:val="none"/>
          <w:lang w:val="en-US"/>
        </w:rPr>
        <w:t>及造价咨询</w:t>
      </w:r>
      <w:r>
        <w:rPr>
          <w:rFonts w:hint="eastAsia"/>
          <w:bCs/>
          <w:color w:val="auto"/>
          <w:sz w:val="24"/>
          <w:szCs w:val="24"/>
          <w:highlight w:val="none"/>
        </w:rPr>
        <w:t>企业成本取费标准及相关规定的“阴阳合同”进行恶性竞争，扰乱市场秩序，不与其他单位串通投标或以行贿手段谋取中标，不出借资质、转包或违法分包监理</w:t>
      </w:r>
      <w:r>
        <w:rPr>
          <w:rFonts w:hint="eastAsia"/>
          <w:bCs/>
          <w:color w:val="auto"/>
          <w:sz w:val="24"/>
          <w:szCs w:val="24"/>
          <w:highlight w:val="none"/>
          <w:lang w:val="en-US"/>
        </w:rPr>
        <w:t>及造价咨询</w:t>
      </w:r>
      <w:r>
        <w:rPr>
          <w:rFonts w:hint="eastAsia"/>
          <w:bCs/>
          <w:color w:val="auto"/>
          <w:sz w:val="24"/>
          <w:szCs w:val="24"/>
          <w:highlight w:val="none"/>
        </w:rPr>
        <w:t>业务。</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三、本公司不存在招标文件第二章投标人须知第1.4.3项所规定的任何一种情形。</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四、本公司及其有隶属关系的机构，没有参加本项目招标文件的编写工作；本公司与本次招标的招标代理机构没有隶属关系或其他利害关系。</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五、本公司承诺，中标后严格执行安全生产相关管理规定。</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六、与本公司单位负责人为同一人或者与本公司存在控股、管理关系的其他单位包括：</w:t>
      </w:r>
      <w:r>
        <w:rPr>
          <w:rFonts w:hint="eastAsia"/>
          <w:bCs/>
          <w:color w:val="auto"/>
          <w:sz w:val="24"/>
          <w:szCs w:val="24"/>
          <w:highlight w:val="none"/>
          <w:u w:val="single"/>
        </w:rPr>
        <w:t xml:space="preserve">                          </w:t>
      </w:r>
      <w:r>
        <w:rPr>
          <w:rFonts w:hint="eastAsia"/>
          <w:bCs/>
          <w:color w:val="auto"/>
          <w:sz w:val="24"/>
          <w:szCs w:val="24"/>
          <w:highlight w:val="none"/>
        </w:rPr>
        <w:t>。（注：本条由投标人如实填写，如有，应列出全部满足招标公告资质要求的相关单位的名称；如无，则填写“无”。）</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本公司违反上述承诺，或本声明陈述与事实不符，经查实，本公司愿意接受公开通报，愿意按照《广州市建筑市场信用管理办法》（穗建规字﹝20</w:t>
      </w:r>
      <w:r>
        <w:rPr>
          <w:rFonts w:hint="eastAsia"/>
          <w:bCs/>
          <w:color w:val="auto"/>
          <w:sz w:val="24"/>
          <w:szCs w:val="24"/>
          <w:highlight w:val="none"/>
          <w:lang w:val="en-US"/>
        </w:rPr>
        <w:t>19</w:t>
      </w:r>
      <w:r>
        <w:rPr>
          <w:rFonts w:hint="eastAsia"/>
          <w:bCs/>
          <w:color w:val="auto"/>
          <w:sz w:val="24"/>
          <w:szCs w:val="24"/>
          <w:highlight w:val="none"/>
        </w:rPr>
        <w:t>﹞16号）的规定被记录为失信信息，承担由此带来的一切后果，并自愿停止参加广州市行政辖区内的招标投标活动三个月。</w:t>
      </w:r>
    </w:p>
    <w:p>
      <w:pPr>
        <w:widowControl/>
        <w:shd w:val="clear" w:color="auto" w:fill="FFFFFF"/>
        <w:snapToGrid w:val="0"/>
        <w:spacing w:line="400" w:lineRule="exact"/>
        <w:ind w:firstLine="480" w:firstLineChars="200"/>
        <w:rPr>
          <w:color w:val="auto"/>
          <w:sz w:val="24"/>
          <w:szCs w:val="24"/>
          <w:highlight w:val="none"/>
        </w:rPr>
      </w:pPr>
      <w:r>
        <w:rPr>
          <w:rFonts w:hint="eastAsia"/>
          <w:color w:val="auto"/>
          <w:sz w:val="24"/>
          <w:szCs w:val="24"/>
          <w:highlight w:val="none"/>
        </w:rPr>
        <w:t>特此声明。</w:t>
      </w:r>
    </w:p>
    <w:p>
      <w:pPr>
        <w:snapToGrid w:val="0"/>
        <w:spacing w:line="360" w:lineRule="auto"/>
        <w:ind w:firstLine="4320" w:firstLineChars="1800"/>
        <w:rPr>
          <w:color w:val="auto"/>
          <w:sz w:val="24"/>
          <w:szCs w:val="24"/>
          <w:highlight w:val="none"/>
        </w:rPr>
      </w:pPr>
      <w:r>
        <w:rPr>
          <w:rFonts w:hint="eastAsia"/>
          <w:color w:val="auto"/>
          <w:sz w:val="24"/>
          <w:szCs w:val="24"/>
          <w:highlight w:val="none"/>
        </w:rPr>
        <w:t>声明企业：            (企业公章)</w:t>
      </w:r>
    </w:p>
    <w:p>
      <w:pPr>
        <w:snapToGrid w:val="0"/>
        <w:spacing w:line="360" w:lineRule="auto"/>
        <w:ind w:firstLine="4320" w:firstLineChars="1800"/>
        <w:rPr>
          <w:color w:val="auto"/>
          <w:sz w:val="24"/>
          <w:szCs w:val="24"/>
          <w:highlight w:val="none"/>
        </w:rPr>
      </w:pPr>
      <w:r>
        <w:rPr>
          <w:rFonts w:hint="eastAsia"/>
          <w:color w:val="auto"/>
          <w:sz w:val="24"/>
          <w:szCs w:val="24"/>
          <w:highlight w:val="none"/>
          <w:lang w:val="en-US" w:eastAsia="zh-CN"/>
        </w:rPr>
        <w:t>总监理工程师</w:t>
      </w:r>
      <w:r>
        <w:rPr>
          <w:rFonts w:hint="eastAsia"/>
          <w:color w:val="auto"/>
          <w:sz w:val="24"/>
          <w:szCs w:val="24"/>
          <w:highlight w:val="none"/>
        </w:rPr>
        <w:t>：         （签字）</w:t>
      </w:r>
    </w:p>
    <w:p>
      <w:pPr>
        <w:snapToGrid w:val="0"/>
        <w:spacing w:line="360" w:lineRule="auto"/>
        <w:ind w:firstLine="4320" w:firstLineChars="1800"/>
        <w:rPr>
          <w:color w:val="auto"/>
          <w:sz w:val="24"/>
          <w:szCs w:val="24"/>
          <w:highlight w:val="none"/>
        </w:rPr>
      </w:pPr>
      <w:r>
        <w:rPr>
          <w:rFonts w:hint="eastAsia"/>
          <w:color w:val="auto"/>
          <w:sz w:val="24"/>
          <w:szCs w:val="24"/>
          <w:highlight w:val="none"/>
        </w:rPr>
        <w:t>法定代表人签字：</w:t>
      </w:r>
    </w:p>
    <w:p>
      <w:pPr>
        <w:widowControl/>
        <w:snapToGrid w:val="0"/>
        <w:spacing w:line="360" w:lineRule="auto"/>
        <w:ind w:firstLine="4248" w:firstLineChars="1770"/>
        <w:rPr>
          <w:color w:val="auto"/>
          <w:sz w:val="24"/>
          <w:szCs w:val="24"/>
          <w:highlight w:val="none"/>
        </w:rPr>
      </w:pPr>
      <w:r>
        <w:rPr>
          <w:rFonts w:hint="eastAsia"/>
          <w:color w:val="auto"/>
          <w:sz w:val="24"/>
          <w:szCs w:val="24"/>
          <w:highlight w:val="none"/>
          <w:lang w:val="en-US"/>
        </w:rPr>
        <w:t xml:space="preserve"> </w:t>
      </w:r>
      <w:r>
        <w:rPr>
          <w:rFonts w:hint="eastAsia"/>
          <w:color w:val="auto"/>
          <w:sz w:val="24"/>
          <w:szCs w:val="24"/>
          <w:highlight w:val="none"/>
        </w:rPr>
        <w:t xml:space="preserve">年   月  日 </w:t>
      </w:r>
    </w:p>
    <w:p>
      <w:pPr>
        <w:pStyle w:val="3"/>
        <w:rPr>
          <w:rFonts w:eastAsia="宋体"/>
          <w:color w:val="auto"/>
          <w:highlight w:val="none"/>
        </w:rPr>
      </w:pPr>
    </w:p>
    <w:p>
      <w:pPr>
        <w:rPr>
          <w:color w:val="auto"/>
          <w:sz w:val="24"/>
          <w:highlight w:val="none"/>
        </w:rPr>
      </w:pPr>
      <w:r>
        <w:rPr>
          <w:rFonts w:hint="eastAsia"/>
          <w:color w:val="auto"/>
          <w:sz w:val="24"/>
          <w:highlight w:val="none"/>
        </w:rPr>
        <w:t>注：联合体投标的，“</w:t>
      </w:r>
      <w:r>
        <w:rPr>
          <w:rFonts w:hint="eastAsia"/>
          <w:color w:val="auto"/>
          <w:sz w:val="24"/>
          <w:highlight w:val="none"/>
          <w:lang w:val="en-US"/>
        </w:rPr>
        <w:t>声明企业</w:t>
      </w:r>
      <w:r>
        <w:rPr>
          <w:rFonts w:hint="eastAsia"/>
          <w:color w:val="auto"/>
          <w:sz w:val="24"/>
          <w:highlight w:val="none"/>
        </w:rPr>
        <w:t>”一栏需书写所有联合体成员的单位全称，由主办方签署、盖章。</w:t>
      </w:r>
    </w:p>
    <w:p>
      <w:pPr>
        <w:spacing w:line="360" w:lineRule="auto"/>
        <w:ind w:right="366"/>
        <w:jc w:val="center"/>
        <w:rPr>
          <w:color w:val="auto"/>
          <w:highlight w:val="none"/>
        </w:rPr>
        <w:sectPr>
          <w:pgSz w:w="11906" w:h="16838"/>
          <w:pgMar w:top="1400" w:right="1100" w:bottom="1120" w:left="1560" w:header="0" w:footer="841" w:gutter="0"/>
          <w:cols w:space="720" w:num="1"/>
          <w:docGrid w:linePitch="312" w:charSpace="2048"/>
        </w:sectPr>
      </w:pPr>
    </w:p>
    <w:p>
      <w:pPr>
        <w:spacing w:line="360" w:lineRule="auto"/>
        <w:ind w:right="366"/>
        <w:jc w:val="center"/>
        <w:rPr>
          <w:b/>
          <w:color w:val="auto"/>
          <w:sz w:val="32"/>
          <w:szCs w:val="32"/>
          <w:highlight w:val="none"/>
        </w:rPr>
      </w:pPr>
      <w:bookmarkStart w:id="64" w:name="_bookmark187"/>
      <w:bookmarkEnd w:id="64"/>
      <w:bookmarkStart w:id="65" w:name="_bookmark186"/>
      <w:bookmarkEnd w:id="65"/>
      <w:r>
        <w:rPr>
          <w:rFonts w:hint="eastAsia"/>
          <w:b/>
          <w:color w:val="auto"/>
          <w:sz w:val="32"/>
          <w:szCs w:val="32"/>
          <w:highlight w:val="none"/>
        </w:rPr>
        <w:t>七、近年完成的类似项目情况表（格式可自拟）</w:t>
      </w:r>
    </w:p>
    <w:p>
      <w:pPr>
        <w:spacing w:line="440" w:lineRule="exact"/>
        <w:rPr>
          <w:color w:val="auto"/>
          <w:sz w:val="21"/>
          <w:szCs w:val="21"/>
          <w:highlight w:val="none"/>
        </w:rPr>
      </w:pPr>
      <w:r>
        <w:rPr>
          <w:rFonts w:hint="eastAsia"/>
          <w:color w:val="auto"/>
          <w:sz w:val="21"/>
          <w:szCs w:val="21"/>
          <w:highlight w:val="none"/>
        </w:rPr>
        <w:t>注：投标人应根据第三章评标办法前附表评分标准及说明的要求在本表后附相关证明材料。</w:t>
      </w:r>
    </w:p>
    <w:p>
      <w:pPr>
        <w:pStyle w:val="7"/>
        <w:rPr>
          <w:color w:val="auto"/>
          <w:highlight w:val="none"/>
        </w:rPr>
        <w:sectPr>
          <w:pgSz w:w="11906" w:h="16838"/>
          <w:pgMar w:top="1400" w:right="1100" w:bottom="1120" w:left="1560" w:header="0" w:footer="841" w:gutter="0"/>
          <w:cols w:space="720" w:num="1"/>
          <w:docGrid w:linePitch="312" w:charSpace="2048"/>
        </w:sectPr>
      </w:pPr>
    </w:p>
    <w:p>
      <w:pPr>
        <w:spacing w:before="35" w:line="360" w:lineRule="auto"/>
        <w:rPr>
          <w:color w:val="auto"/>
          <w:highlight w:val="none"/>
        </w:rPr>
      </w:pPr>
      <w:bookmarkStart w:id="66" w:name="_bookmark189"/>
      <w:bookmarkEnd w:id="66"/>
      <w:bookmarkStart w:id="67" w:name="_bookmark188"/>
      <w:bookmarkEnd w:id="67"/>
    </w:p>
    <w:p>
      <w:pPr>
        <w:spacing w:line="360" w:lineRule="auto"/>
        <w:ind w:right="461"/>
        <w:jc w:val="center"/>
        <w:rPr>
          <w:b/>
          <w:color w:val="auto"/>
          <w:sz w:val="32"/>
          <w:szCs w:val="32"/>
          <w:highlight w:val="none"/>
        </w:rPr>
      </w:pPr>
      <w:bookmarkStart w:id="68" w:name="_bookmark190"/>
      <w:bookmarkEnd w:id="68"/>
      <w:r>
        <w:rPr>
          <w:rFonts w:hint="eastAsia"/>
          <w:b/>
          <w:color w:val="auto"/>
          <w:sz w:val="32"/>
          <w:szCs w:val="32"/>
          <w:highlight w:val="none"/>
        </w:rPr>
        <w:t>八、拟委任的主要人员汇总表（格式可自拟）</w:t>
      </w:r>
    </w:p>
    <w:p>
      <w:pPr>
        <w:spacing w:before="20" w:line="413" w:lineRule="auto"/>
        <w:ind w:firstLine="137"/>
        <w:jc w:val="center"/>
        <w:outlineLvl w:val="2"/>
        <w:rPr>
          <w:rFonts w:ascii="宋体" w:hAnsi="宋体" w:cs="宋体"/>
          <w:b/>
          <w:color w:val="auto"/>
          <w:sz w:val="32"/>
          <w:szCs w:val="32"/>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538"/>
        <w:gridCol w:w="1115"/>
        <w:gridCol w:w="810"/>
        <w:gridCol w:w="710"/>
        <w:gridCol w:w="1246"/>
        <w:gridCol w:w="856"/>
        <w:gridCol w:w="1051"/>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vMerge w:val="restart"/>
            <w:noWrap/>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538" w:type="dxa"/>
            <w:vMerge w:val="restart"/>
            <w:noWrap/>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本项目任职</w:t>
            </w:r>
          </w:p>
        </w:tc>
        <w:tc>
          <w:tcPr>
            <w:tcW w:w="1115" w:type="dxa"/>
            <w:vMerge w:val="restart"/>
            <w:noWrap/>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810" w:type="dxa"/>
            <w:vMerge w:val="restart"/>
            <w:noWrap/>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710" w:type="dxa"/>
            <w:vMerge w:val="restart"/>
            <w:noWrap/>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3153" w:type="dxa"/>
            <w:gridSpan w:val="3"/>
            <w:noWrap/>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1369" w:type="dxa"/>
            <w:noWrap/>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85" w:type="dxa"/>
            <w:vMerge w:val="continue"/>
            <w:noWrap/>
            <w:vAlign w:val="center"/>
          </w:tcPr>
          <w:p>
            <w:pPr>
              <w:rPr>
                <w:color w:val="auto"/>
                <w:highlight w:val="none"/>
              </w:rPr>
            </w:pPr>
          </w:p>
        </w:tc>
        <w:tc>
          <w:tcPr>
            <w:tcW w:w="1538" w:type="dxa"/>
            <w:vMerge w:val="continue"/>
            <w:tcBorders>
              <w:left w:val="single" w:color="auto" w:sz="4" w:space="0"/>
            </w:tcBorders>
            <w:noWrap/>
          </w:tcPr>
          <w:p>
            <w:pPr>
              <w:rPr>
                <w:color w:val="auto"/>
                <w:highlight w:val="none"/>
              </w:rPr>
            </w:pPr>
          </w:p>
        </w:tc>
        <w:tc>
          <w:tcPr>
            <w:tcW w:w="1115" w:type="dxa"/>
            <w:vMerge w:val="continue"/>
            <w:tcBorders>
              <w:left w:val="single" w:color="auto" w:sz="4" w:space="0"/>
            </w:tcBorders>
            <w:noWrap/>
            <w:vAlign w:val="center"/>
          </w:tcPr>
          <w:p>
            <w:pPr>
              <w:rPr>
                <w:color w:val="auto"/>
                <w:highlight w:val="none"/>
              </w:rPr>
            </w:pPr>
          </w:p>
        </w:tc>
        <w:tc>
          <w:tcPr>
            <w:tcW w:w="810" w:type="dxa"/>
            <w:vMerge w:val="continue"/>
            <w:tcBorders>
              <w:left w:val="single" w:color="auto" w:sz="4" w:space="0"/>
            </w:tcBorders>
            <w:noWrap/>
            <w:vAlign w:val="center"/>
          </w:tcPr>
          <w:p>
            <w:pPr>
              <w:rPr>
                <w:color w:val="auto"/>
                <w:highlight w:val="none"/>
              </w:rPr>
            </w:pPr>
          </w:p>
        </w:tc>
        <w:tc>
          <w:tcPr>
            <w:tcW w:w="710" w:type="dxa"/>
            <w:vMerge w:val="continue"/>
            <w:tcBorders>
              <w:left w:val="single" w:color="auto" w:sz="4" w:space="0"/>
            </w:tcBorders>
            <w:noWrap/>
            <w:vAlign w:val="center"/>
          </w:tcPr>
          <w:p>
            <w:pPr>
              <w:rPr>
                <w:color w:val="auto"/>
                <w:highlight w:val="none"/>
              </w:rPr>
            </w:pPr>
          </w:p>
        </w:tc>
        <w:tc>
          <w:tcPr>
            <w:tcW w:w="1246" w:type="dxa"/>
            <w:tcBorders>
              <w:left w:val="single" w:color="auto" w:sz="4" w:space="0"/>
            </w:tcBorders>
            <w:noWrap/>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证书名称</w:t>
            </w:r>
          </w:p>
        </w:tc>
        <w:tc>
          <w:tcPr>
            <w:tcW w:w="856" w:type="dxa"/>
            <w:tcBorders>
              <w:left w:val="single" w:color="auto" w:sz="4" w:space="0"/>
            </w:tcBorders>
            <w:noWrap/>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级别</w:t>
            </w:r>
          </w:p>
        </w:tc>
        <w:tc>
          <w:tcPr>
            <w:tcW w:w="1051" w:type="dxa"/>
            <w:tcBorders>
              <w:left w:val="single" w:color="auto" w:sz="4" w:space="0"/>
            </w:tcBorders>
            <w:noWrap/>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证号</w:t>
            </w:r>
          </w:p>
        </w:tc>
        <w:tc>
          <w:tcPr>
            <w:tcW w:w="1369" w:type="dxa"/>
            <w:tcBorders>
              <w:left w:val="single" w:color="auto" w:sz="4" w:space="0"/>
            </w:tcBorders>
            <w:noWrap/>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vAlign w:val="center"/>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vAlign w:val="center"/>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vAlign w:val="center"/>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vAlign w:val="center"/>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vAlign w:val="center"/>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vAlign w:val="center"/>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vAlign w:val="center"/>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85" w:type="dxa"/>
            <w:noWrap/>
          </w:tcPr>
          <w:p>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pPr>
              <w:spacing w:line="440" w:lineRule="exact"/>
              <w:jc w:val="center"/>
              <w:rPr>
                <w:rFonts w:ascii="宋体" w:hAnsi="宋体" w:cs="宋体"/>
                <w:color w:val="auto"/>
                <w:sz w:val="24"/>
                <w:szCs w:val="24"/>
                <w:highlight w:val="none"/>
              </w:rPr>
            </w:pPr>
          </w:p>
        </w:tc>
      </w:tr>
    </w:tbl>
    <w:p>
      <w:pPr>
        <w:pStyle w:val="7"/>
        <w:rPr>
          <w:color w:val="auto"/>
          <w:highlight w:val="none"/>
        </w:rPr>
      </w:pPr>
    </w:p>
    <w:p>
      <w:pPr>
        <w:spacing w:line="440" w:lineRule="exact"/>
        <w:rPr>
          <w:color w:val="auto"/>
          <w:sz w:val="21"/>
          <w:szCs w:val="21"/>
          <w:highlight w:val="none"/>
        </w:rPr>
      </w:pPr>
      <w:r>
        <w:rPr>
          <w:rFonts w:hint="eastAsia"/>
          <w:color w:val="auto"/>
          <w:sz w:val="21"/>
          <w:szCs w:val="21"/>
          <w:highlight w:val="none"/>
        </w:rPr>
        <w:t>注：投标人应根据第三章评标办法前附表评分标准及说明的要求在本表后附相关证明材料。</w:t>
      </w:r>
    </w:p>
    <w:p>
      <w:pPr>
        <w:spacing w:line="360" w:lineRule="auto"/>
        <w:rPr>
          <w:color w:val="auto"/>
          <w:highlight w:val="none"/>
        </w:rPr>
      </w:pPr>
    </w:p>
    <w:p>
      <w:pPr>
        <w:pStyle w:val="3"/>
        <w:rPr>
          <w:rFonts w:eastAsia="宋体"/>
          <w:color w:val="auto"/>
          <w:highlight w:val="none"/>
        </w:rPr>
        <w:sectPr>
          <w:pgSz w:w="11906" w:h="16838"/>
          <w:pgMar w:top="1400" w:right="1100" w:bottom="1120" w:left="1560" w:header="0" w:footer="841" w:gutter="0"/>
          <w:cols w:space="720" w:num="1"/>
          <w:docGrid w:linePitch="312" w:charSpace="2048"/>
        </w:sectPr>
      </w:pPr>
    </w:p>
    <w:p>
      <w:pPr>
        <w:spacing w:line="360" w:lineRule="auto"/>
        <w:ind w:right="461"/>
        <w:rPr>
          <w:b/>
          <w:color w:val="auto"/>
          <w:sz w:val="28"/>
          <w:szCs w:val="28"/>
          <w:highlight w:val="none"/>
        </w:rPr>
      </w:pPr>
      <w:bookmarkStart w:id="69" w:name="_bookmark191"/>
      <w:bookmarkEnd w:id="69"/>
      <w:r>
        <w:rPr>
          <w:rFonts w:hint="eastAsia"/>
          <w:b/>
          <w:color w:val="auto"/>
          <w:sz w:val="28"/>
          <w:szCs w:val="28"/>
          <w:highlight w:val="none"/>
        </w:rPr>
        <w:t>（一）、主要人员简历表（格式可自拟）</w:t>
      </w:r>
    </w:p>
    <w:p>
      <w:pPr>
        <w:pStyle w:val="7"/>
        <w:rPr>
          <w:color w:val="auto"/>
          <w:highlight w:val="none"/>
        </w:rPr>
      </w:pPr>
    </w:p>
    <w:tbl>
      <w:tblPr>
        <w:tblStyle w:val="1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pPr>
              <w:pStyle w:val="19"/>
              <w:tabs>
                <w:tab w:val="left" w:pos="436"/>
              </w:tabs>
              <w:spacing w:line="360" w:lineRule="auto"/>
              <w:ind w:left="13"/>
              <w:jc w:val="center"/>
              <w:rPr>
                <w:color w:val="auto"/>
                <w:sz w:val="21"/>
                <w:highlight w:val="none"/>
              </w:rPr>
            </w:pPr>
            <w:r>
              <w:rPr>
                <w:rFonts w:hint="eastAsia"/>
                <w:color w:val="auto"/>
                <w:sz w:val="21"/>
                <w:highlight w:val="none"/>
              </w:rPr>
              <w:t>姓</w:t>
            </w:r>
            <w:r>
              <w:rPr>
                <w:rFonts w:hint="eastAsia"/>
                <w:color w:val="auto"/>
                <w:sz w:val="21"/>
                <w:highlight w:val="none"/>
              </w:rPr>
              <w:tab/>
            </w:r>
            <w:r>
              <w:rPr>
                <w:rFonts w:hint="eastAsia"/>
                <w:color w:val="auto"/>
                <w:sz w:val="21"/>
                <w:highlight w:val="none"/>
              </w:rPr>
              <w:t>名</w:t>
            </w:r>
          </w:p>
        </w:tc>
        <w:tc>
          <w:tcPr>
            <w:tcW w:w="1108" w:type="dxa"/>
            <w:gridSpan w:val="2"/>
            <w:vAlign w:val="center"/>
          </w:tcPr>
          <w:p>
            <w:pPr>
              <w:pStyle w:val="19"/>
              <w:spacing w:line="360" w:lineRule="auto"/>
              <w:jc w:val="center"/>
              <w:rPr>
                <w:color w:val="auto"/>
                <w:sz w:val="20"/>
                <w:highlight w:val="none"/>
              </w:rPr>
            </w:pPr>
          </w:p>
        </w:tc>
        <w:tc>
          <w:tcPr>
            <w:tcW w:w="1011" w:type="dxa"/>
            <w:vAlign w:val="center"/>
          </w:tcPr>
          <w:p>
            <w:pPr>
              <w:pStyle w:val="19"/>
              <w:spacing w:line="360" w:lineRule="auto"/>
              <w:ind w:right="256"/>
              <w:jc w:val="center"/>
              <w:rPr>
                <w:color w:val="auto"/>
                <w:sz w:val="21"/>
                <w:highlight w:val="none"/>
              </w:rPr>
            </w:pPr>
            <w:r>
              <w:rPr>
                <w:rFonts w:hint="eastAsia"/>
                <w:color w:val="auto"/>
                <w:sz w:val="21"/>
                <w:highlight w:val="none"/>
              </w:rPr>
              <w:t>年龄</w:t>
            </w:r>
          </w:p>
        </w:tc>
        <w:tc>
          <w:tcPr>
            <w:tcW w:w="1126" w:type="dxa"/>
            <w:vAlign w:val="center"/>
          </w:tcPr>
          <w:p>
            <w:pPr>
              <w:pStyle w:val="19"/>
              <w:spacing w:line="360" w:lineRule="auto"/>
              <w:jc w:val="center"/>
              <w:rPr>
                <w:color w:val="auto"/>
                <w:sz w:val="20"/>
                <w:highlight w:val="none"/>
              </w:rPr>
            </w:pPr>
          </w:p>
        </w:tc>
        <w:tc>
          <w:tcPr>
            <w:tcW w:w="2499" w:type="dxa"/>
            <w:gridSpan w:val="3"/>
            <w:vAlign w:val="center"/>
          </w:tcPr>
          <w:p>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执业资格证书（或上岗证书）名称</w:t>
            </w:r>
          </w:p>
        </w:tc>
        <w:tc>
          <w:tcPr>
            <w:tcW w:w="2003" w:type="dxa"/>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pPr>
              <w:pStyle w:val="19"/>
              <w:tabs>
                <w:tab w:val="left" w:pos="436"/>
              </w:tabs>
              <w:spacing w:line="360" w:lineRule="auto"/>
              <w:ind w:left="13"/>
              <w:jc w:val="center"/>
              <w:rPr>
                <w:color w:val="auto"/>
                <w:sz w:val="21"/>
                <w:highlight w:val="none"/>
              </w:rPr>
            </w:pPr>
            <w:r>
              <w:rPr>
                <w:rFonts w:hint="eastAsia"/>
                <w:color w:val="auto"/>
                <w:sz w:val="21"/>
                <w:highlight w:val="none"/>
              </w:rPr>
              <w:t>职</w:t>
            </w:r>
            <w:r>
              <w:rPr>
                <w:rFonts w:hint="eastAsia"/>
                <w:color w:val="auto"/>
                <w:sz w:val="21"/>
                <w:highlight w:val="none"/>
              </w:rPr>
              <w:tab/>
            </w:r>
            <w:r>
              <w:rPr>
                <w:rFonts w:hint="eastAsia"/>
                <w:color w:val="auto"/>
                <w:sz w:val="21"/>
                <w:highlight w:val="none"/>
              </w:rPr>
              <w:t>称</w:t>
            </w:r>
          </w:p>
        </w:tc>
        <w:tc>
          <w:tcPr>
            <w:tcW w:w="1108" w:type="dxa"/>
            <w:gridSpan w:val="2"/>
            <w:tcBorders>
              <w:left w:val="single" w:color="000000" w:sz="4" w:space="0"/>
            </w:tcBorders>
            <w:vAlign w:val="center"/>
          </w:tcPr>
          <w:p>
            <w:pPr>
              <w:pStyle w:val="19"/>
              <w:spacing w:line="360" w:lineRule="auto"/>
              <w:jc w:val="center"/>
              <w:rPr>
                <w:color w:val="auto"/>
                <w:sz w:val="20"/>
                <w:highlight w:val="none"/>
              </w:rPr>
            </w:pPr>
          </w:p>
        </w:tc>
        <w:tc>
          <w:tcPr>
            <w:tcW w:w="1011" w:type="dxa"/>
            <w:tcBorders>
              <w:left w:val="single" w:color="000000" w:sz="4" w:space="0"/>
            </w:tcBorders>
            <w:vAlign w:val="center"/>
          </w:tcPr>
          <w:p>
            <w:pPr>
              <w:pStyle w:val="19"/>
              <w:spacing w:line="360" w:lineRule="auto"/>
              <w:ind w:right="256"/>
              <w:jc w:val="center"/>
              <w:rPr>
                <w:color w:val="auto"/>
                <w:sz w:val="21"/>
                <w:highlight w:val="none"/>
              </w:rPr>
            </w:pPr>
            <w:r>
              <w:rPr>
                <w:rFonts w:hint="eastAsia"/>
                <w:color w:val="auto"/>
                <w:sz w:val="21"/>
                <w:highlight w:val="none"/>
              </w:rPr>
              <w:t>学历</w:t>
            </w:r>
          </w:p>
        </w:tc>
        <w:tc>
          <w:tcPr>
            <w:tcW w:w="1126" w:type="dxa"/>
            <w:tcBorders>
              <w:left w:val="single" w:color="000000" w:sz="4" w:space="0"/>
            </w:tcBorders>
            <w:vAlign w:val="center"/>
          </w:tcPr>
          <w:p>
            <w:pPr>
              <w:pStyle w:val="19"/>
              <w:spacing w:line="360" w:lineRule="auto"/>
              <w:jc w:val="center"/>
              <w:rPr>
                <w:color w:val="auto"/>
                <w:sz w:val="20"/>
                <w:highlight w:val="none"/>
              </w:rPr>
            </w:pPr>
          </w:p>
        </w:tc>
        <w:tc>
          <w:tcPr>
            <w:tcW w:w="2499" w:type="dxa"/>
            <w:gridSpan w:val="3"/>
            <w:tcBorders>
              <w:left w:val="single" w:color="000000" w:sz="4" w:space="0"/>
            </w:tcBorders>
            <w:vAlign w:val="center"/>
          </w:tcPr>
          <w:p>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拟在本项目任职</w:t>
            </w:r>
          </w:p>
        </w:tc>
        <w:tc>
          <w:tcPr>
            <w:tcW w:w="2003"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pPr>
              <w:pStyle w:val="19"/>
              <w:spacing w:line="360" w:lineRule="auto"/>
              <w:ind w:left="11"/>
              <w:jc w:val="center"/>
              <w:rPr>
                <w:color w:val="auto"/>
                <w:sz w:val="21"/>
                <w:highlight w:val="none"/>
              </w:rPr>
            </w:pPr>
            <w:r>
              <w:rPr>
                <w:rFonts w:hint="eastAsia"/>
                <w:color w:val="auto"/>
                <w:sz w:val="21"/>
                <w:highlight w:val="none"/>
              </w:rPr>
              <w:t>工作年限</w:t>
            </w:r>
          </w:p>
        </w:tc>
        <w:tc>
          <w:tcPr>
            <w:tcW w:w="3245" w:type="dxa"/>
            <w:gridSpan w:val="4"/>
            <w:tcBorders>
              <w:left w:val="single" w:color="000000" w:sz="4" w:space="0"/>
            </w:tcBorders>
            <w:vAlign w:val="center"/>
          </w:tcPr>
          <w:p>
            <w:pPr>
              <w:pStyle w:val="19"/>
              <w:spacing w:line="360" w:lineRule="auto"/>
              <w:jc w:val="center"/>
              <w:rPr>
                <w:color w:val="auto"/>
                <w:sz w:val="20"/>
                <w:highlight w:val="none"/>
              </w:rPr>
            </w:pPr>
          </w:p>
        </w:tc>
        <w:tc>
          <w:tcPr>
            <w:tcW w:w="2499" w:type="dxa"/>
            <w:gridSpan w:val="3"/>
            <w:tcBorders>
              <w:left w:val="single" w:color="000000" w:sz="4" w:space="0"/>
            </w:tcBorders>
            <w:vAlign w:val="center"/>
          </w:tcPr>
          <w:p>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从事本工作年限</w:t>
            </w:r>
          </w:p>
        </w:tc>
        <w:tc>
          <w:tcPr>
            <w:tcW w:w="2003" w:type="dxa"/>
            <w:tcBorders>
              <w:left w:val="single" w:color="000000" w:sz="4" w:space="0"/>
            </w:tcBorders>
            <w:vAlign w:val="center"/>
          </w:tcPr>
          <w:p>
            <w:pPr>
              <w:pStyle w:val="19"/>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pPr>
              <w:pStyle w:val="19"/>
              <w:spacing w:line="360" w:lineRule="auto"/>
              <w:ind w:left="11"/>
              <w:jc w:val="center"/>
              <w:rPr>
                <w:color w:val="auto"/>
                <w:sz w:val="21"/>
                <w:highlight w:val="none"/>
              </w:rPr>
            </w:pPr>
            <w:r>
              <w:rPr>
                <w:rFonts w:hint="eastAsia"/>
                <w:color w:val="auto"/>
                <w:sz w:val="21"/>
                <w:highlight w:val="none"/>
              </w:rPr>
              <w:t>毕业学校</w:t>
            </w:r>
          </w:p>
        </w:tc>
        <w:tc>
          <w:tcPr>
            <w:tcW w:w="7747" w:type="dxa"/>
            <w:gridSpan w:val="8"/>
            <w:tcBorders>
              <w:left w:val="single" w:color="000000" w:sz="4" w:space="0"/>
            </w:tcBorders>
            <w:vAlign w:val="center"/>
          </w:tcPr>
          <w:p>
            <w:pPr>
              <w:pStyle w:val="19"/>
              <w:tabs>
                <w:tab w:val="left" w:pos="3364"/>
                <w:tab w:val="left" w:pos="4625"/>
              </w:tabs>
              <w:spacing w:line="360" w:lineRule="auto"/>
              <w:ind w:left="1262"/>
              <w:jc w:val="center"/>
              <w:rPr>
                <w:color w:val="auto"/>
                <w:sz w:val="21"/>
                <w:highlight w:val="none"/>
              </w:rPr>
            </w:pPr>
            <w:r>
              <w:rPr>
                <w:rFonts w:hint="eastAsia"/>
                <w:color w:val="auto"/>
                <w:sz w:val="21"/>
                <w:highlight w:val="none"/>
              </w:rPr>
              <w:t>年毕</w:t>
            </w:r>
            <w:r>
              <w:rPr>
                <w:rFonts w:hint="eastAsia"/>
                <w:color w:val="auto"/>
                <w:spacing w:val="-3"/>
                <w:sz w:val="21"/>
                <w:highlight w:val="none"/>
              </w:rPr>
              <w:t>业</w:t>
            </w:r>
            <w:r>
              <w:rPr>
                <w:rFonts w:hint="eastAsia"/>
                <w:color w:val="auto"/>
                <w:sz w:val="21"/>
                <w:highlight w:val="none"/>
              </w:rPr>
              <w:t>于</w:t>
            </w:r>
            <w:r>
              <w:rPr>
                <w:rFonts w:hint="eastAsia"/>
                <w:color w:val="auto"/>
                <w:sz w:val="21"/>
                <w:highlight w:val="none"/>
              </w:rPr>
              <w:tab/>
            </w:r>
            <w:r>
              <w:rPr>
                <w:rFonts w:hint="eastAsia"/>
                <w:color w:val="auto"/>
                <w:spacing w:val="-3"/>
                <w:sz w:val="21"/>
                <w:highlight w:val="none"/>
              </w:rPr>
              <w:t>学</w:t>
            </w:r>
            <w:r>
              <w:rPr>
                <w:rFonts w:hint="eastAsia"/>
                <w:color w:val="auto"/>
                <w:sz w:val="21"/>
                <w:highlight w:val="none"/>
              </w:rPr>
              <w:t>校</w:t>
            </w:r>
            <w:r>
              <w:rPr>
                <w:rFonts w:hint="eastAsia"/>
                <w:color w:val="auto"/>
                <w:sz w:val="21"/>
                <w:highlight w:val="none"/>
              </w:rPr>
              <w:tab/>
            </w:r>
            <w:r>
              <w:rPr>
                <w:rFonts w:hint="eastAsia"/>
                <w:color w:val="auto"/>
                <w:sz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pPr>
              <w:pStyle w:val="19"/>
              <w:spacing w:line="360" w:lineRule="auto"/>
              <w:ind w:left="107"/>
              <w:jc w:val="center"/>
              <w:rPr>
                <w:color w:val="auto"/>
                <w:sz w:val="21"/>
                <w:highlight w:val="none"/>
              </w:rPr>
            </w:pPr>
            <w:r>
              <w:rPr>
                <w:rFonts w:hint="eastAsia"/>
                <w:color w:val="auto"/>
                <w:sz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pPr>
              <w:pStyle w:val="19"/>
              <w:tabs>
                <w:tab w:val="left" w:pos="878"/>
              </w:tabs>
              <w:adjustRightInd w:val="0"/>
              <w:snapToGrid w:val="0"/>
              <w:spacing w:line="360" w:lineRule="auto"/>
              <w:jc w:val="center"/>
              <w:rPr>
                <w:color w:val="auto"/>
                <w:sz w:val="21"/>
                <w:highlight w:val="none"/>
              </w:rPr>
            </w:pPr>
            <w:r>
              <w:rPr>
                <w:rFonts w:hint="eastAsia"/>
                <w:color w:val="auto"/>
                <w:sz w:val="21"/>
                <w:highlight w:val="none"/>
              </w:rPr>
              <w:t>时</w:t>
            </w:r>
            <w:r>
              <w:rPr>
                <w:rFonts w:hint="eastAsia"/>
                <w:color w:val="auto"/>
                <w:sz w:val="21"/>
                <w:highlight w:val="none"/>
              </w:rPr>
              <w:tab/>
            </w:r>
            <w:r>
              <w:rPr>
                <w:rFonts w:hint="eastAsia"/>
                <w:color w:val="auto"/>
                <w:sz w:val="21"/>
                <w:highlight w:val="none"/>
              </w:rPr>
              <w:t>间</w:t>
            </w:r>
          </w:p>
        </w:tc>
        <w:tc>
          <w:tcPr>
            <w:tcW w:w="3612" w:type="dxa"/>
            <w:gridSpan w:val="4"/>
            <w:tcBorders>
              <w:left w:val="single" w:color="000000" w:sz="4" w:space="0"/>
            </w:tcBorders>
            <w:vAlign w:val="center"/>
          </w:tcPr>
          <w:p>
            <w:pPr>
              <w:pStyle w:val="19"/>
              <w:adjustRightInd w:val="0"/>
              <w:snapToGrid w:val="0"/>
              <w:spacing w:line="360" w:lineRule="auto"/>
              <w:jc w:val="center"/>
              <w:rPr>
                <w:color w:val="auto"/>
                <w:sz w:val="21"/>
                <w:highlight w:val="none"/>
              </w:rPr>
            </w:pPr>
            <w:r>
              <w:rPr>
                <w:rFonts w:hint="eastAsia"/>
                <w:color w:val="auto"/>
                <w:sz w:val="21"/>
                <w:highlight w:val="none"/>
              </w:rPr>
              <w:t>参加过的类似项目</w:t>
            </w:r>
          </w:p>
        </w:tc>
        <w:tc>
          <w:tcPr>
            <w:tcW w:w="1331" w:type="dxa"/>
            <w:tcBorders>
              <w:left w:val="single" w:color="000000" w:sz="4" w:space="0"/>
            </w:tcBorders>
            <w:vAlign w:val="center"/>
          </w:tcPr>
          <w:p>
            <w:pPr>
              <w:pStyle w:val="19"/>
              <w:adjustRightInd w:val="0"/>
              <w:snapToGrid w:val="0"/>
              <w:spacing w:line="360" w:lineRule="auto"/>
              <w:jc w:val="center"/>
              <w:rPr>
                <w:color w:val="auto"/>
                <w:sz w:val="21"/>
                <w:highlight w:val="none"/>
              </w:rPr>
            </w:pPr>
            <w:r>
              <w:rPr>
                <w:rFonts w:hint="eastAsia"/>
                <w:color w:val="auto"/>
                <w:sz w:val="21"/>
                <w:highlight w:val="none"/>
              </w:rPr>
              <w:t>担任职务</w:t>
            </w:r>
          </w:p>
        </w:tc>
        <w:tc>
          <w:tcPr>
            <w:tcW w:w="2427" w:type="dxa"/>
            <w:gridSpan w:val="2"/>
            <w:tcBorders>
              <w:left w:val="single" w:color="000000" w:sz="4" w:space="0"/>
            </w:tcBorders>
            <w:vAlign w:val="center"/>
          </w:tcPr>
          <w:p>
            <w:pPr>
              <w:pStyle w:val="19"/>
              <w:adjustRightInd w:val="0"/>
              <w:snapToGrid w:val="0"/>
              <w:spacing w:line="360" w:lineRule="auto"/>
              <w:jc w:val="center"/>
              <w:rPr>
                <w:color w:val="auto"/>
                <w:sz w:val="21"/>
                <w:highlight w:val="none"/>
              </w:rPr>
            </w:pPr>
            <w:r>
              <w:rPr>
                <w:rFonts w:hint="eastAsia"/>
                <w:color w:val="auto"/>
                <w:sz w:val="21"/>
                <w:highlight w:val="no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19"/>
              <w:spacing w:line="360" w:lineRule="auto"/>
              <w:rPr>
                <w:color w:val="auto"/>
                <w:sz w:val="20"/>
                <w:highlight w:val="none"/>
              </w:rPr>
            </w:pPr>
          </w:p>
        </w:tc>
        <w:tc>
          <w:tcPr>
            <w:tcW w:w="3612" w:type="dxa"/>
            <w:gridSpan w:val="4"/>
            <w:tcBorders>
              <w:left w:val="single" w:color="000000" w:sz="4" w:space="0"/>
            </w:tcBorders>
          </w:tcPr>
          <w:p>
            <w:pPr>
              <w:pStyle w:val="19"/>
              <w:spacing w:line="360" w:lineRule="auto"/>
              <w:rPr>
                <w:color w:val="auto"/>
                <w:sz w:val="20"/>
                <w:highlight w:val="none"/>
              </w:rPr>
            </w:pPr>
          </w:p>
        </w:tc>
        <w:tc>
          <w:tcPr>
            <w:tcW w:w="1331" w:type="dxa"/>
            <w:tcBorders>
              <w:left w:val="single" w:color="000000" w:sz="4" w:space="0"/>
            </w:tcBorders>
          </w:tcPr>
          <w:p>
            <w:pPr>
              <w:pStyle w:val="19"/>
              <w:spacing w:line="360" w:lineRule="auto"/>
              <w:rPr>
                <w:color w:val="auto"/>
                <w:sz w:val="20"/>
                <w:highlight w:val="none"/>
              </w:rPr>
            </w:pPr>
          </w:p>
        </w:tc>
        <w:tc>
          <w:tcPr>
            <w:tcW w:w="2427" w:type="dxa"/>
            <w:gridSpan w:val="2"/>
            <w:tcBorders>
              <w:left w:val="single" w:color="000000" w:sz="4" w:space="0"/>
            </w:tcBorders>
          </w:tcPr>
          <w:p>
            <w:pPr>
              <w:pStyle w:val="19"/>
              <w:spacing w:line="360" w:lineRule="auto"/>
              <w:rPr>
                <w:color w:val="auto"/>
                <w:sz w:val="20"/>
                <w:highlight w:val="none"/>
              </w:rPr>
            </w:pPr>
          </w:p>
        </w:tc>
      </w:tr>
    </w:tbl>
    <w:p>
      <w:pPr>
        <w:spacing w:line="440" w:lineRule="exact"/>
        <w:rPr>
          <w:color w:val="auto"/>
          <w:sz w:val="21"/>
          <w:szCs w:val="21"/>
          <w:highlight w:val="none"/>
        </w:rPr>
      </w:pPr>
      <w:r>
        <w:rPr>
          <w:rFonts w:hint="eastAsia"/>
          <w:color w:val="auto"/>
          <w:sz w:val="21"/>
          <w:szCs w:val="21"/>
          <w:highlight w:val="none"/>
        </w:rPr>
        <w:t>注：投标人应根据第三章评标办法前附表评分标准及说明的要求在本表后附相关证明材料。</w:t>
      </w:r>
    </w:p>
    <w:p>
      <w:pPr>
        <w:pStyle w:val="7"/>
        <w:rPr>
          <w:color w:val="auto"/>
          <w:highlight w:val="none"/>
        </w:rPr>
        <w:sectPr>
          <w:pgSz w:w="11906" w:h="16838"/>
          <w:pgMar w:top="1400" w:right="1100" w:bottom="1120" w:left="1560" w:header="0" w:footer="841" w:gutter="0"/>
          <w:cols w:space="720" w:num="1"/>
          <w:docGrid w:linePitch="312" w:charSpace="2048"/>
        </w:sectPr>
      </w:pPr>
    </w:p>
    <w:p>
      <w:pPr>
        <w:spacing w:before="43" w:line="360" w:lineRule="auto"/>
        <w:ind w:left="377"/>
        <w:jc w:val="center"/>
        <w:rPr>
          <w:color w:val="auto"/>
          <w:sz w:val="28"/>
          <w:szCs w:val="28"/>
          <w:highlight w:val="none"/>
        </w:rPr>
      </w:pPr>
      <w:bookmarkStart w:id="70" w:name="_bookmark192"/>
      <w:bookmarkEnd w:id="70"/>
      <w:r>
        <w:rPr>
          <w:rFonts w:hint="eastAsia"/>
          <w:b/>
          <w:color w:val="auto"/>
          <w:sz w:val="28"/>
          <w:szCs w:val="28"/>
          <w:highlight w:val="none"/>
        </w:rPr>
        <w:t>九、拟投入的试验检测仪器设备汇总表（格式可自拟）</w:t>
      </w:r>
    </w:p>
    <w:tbl>
      <w:tblPr>
        <w:tblStyle w:val="15"/>
        <w:tblpPr w:leftFromText="180" w:rightFromText="180" w:vertAnchor="text" w:horzAnchor="page" w:tblpX="1799" w:tblpY="3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369"/>
        <w:gridCol w:w="1006"/>
        <w:gridCol w:w="802"/>
        <w:gridCol w:w="912"/>
        <w:gridCol w:w="1067"/>
        <w:gridCol w:w="152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83" w:type="dxa"/>
            <w:vAlign w:val="center"/>
          </w:tcPr>
          <w:p>
            <w:pPr>
              <w:pStyle w:val="19"/>
              <w:spacing w:before="133" w:line="360" w:lineRule="auto"/>
              <w:ind w:left="107"/>
              <w:jc w:val="center"/>
              <w:rPr>
                <w:color w:val="auto"/>
                <w:sz w:val="21"/>
                <w:highlight w:val="none"/>
              </w:rPr>
            </w:pPr>
            <w:r>
              <w:rPr>
                <w:rFonts w:hint="eastAsia"/>
                <w:color w:val="auto"/>
                <w:sz w:val="21"/>
                <w:highlight w:val="none"/>
              </w:rPr>
              <w:t>序号</w:t>
            </w:r>
          </w:p>
        </w:tc>
        <w:tc>
          <w:tcPr>
            <w:tcW w:w="1369" w:type="dxa"/>
            <w:tcBorders>
              <w:right w:val="single" w:color="000000" w:sz="6" w:space="0"/>
            </w:tcBorders>
            <w:vAlign w:val="center"/>
          </w:tcPr>
          <w:p>
            <w:pPr>
              <w:pStyle w:val="19"/>
              <w:spacing w:before="27" w:line="360" w:lineRule="auto"/>
              <w:ind w:left="425" w:right="202" w:hanging="212"/>
              <w:jc w:val="center"/>
              <w:rPr>
                <w:color w:val="auto"/>
                <w:sz w:val="21"/>
                <w:highlight w:val="none"/>
              </w:rPr>
            </w:pPr>
            <w:r>
              <w:rPr>
                <w:rFonts w:hint="eastAsia"/>
                <w:color w:val="auto"/>
                <w:sz w:val="21"/>
                <w:highlight w:val="none"/>
              </w:rPr>
              <w:t>仪器设备名称</w:t>
            </w:r>
          </w:p>
        </w:tc>
        <w:tc>
          <w:tcPr>
            <w:tcW w:w="1006" w:type="dxa"/>
            <w:tcBorders>
              <w:left w:val="single" w:color="000000" w:sz="6" w:space="0"/>
            </w:tcBorders>
            <w:vAlign w:val="center"/>
          </w:tcPr>
          <w:p>
            <w:pPr>
              <w:pStyle w:val="19"/>
              <w:spacing w:before="27" w:line="360" w:lineRule="auto"/>
              <w:ind w:left="253" w:right="246"/>
              <w:jc w:val="center"/>
              <w:rPr>
                <w:color w:val="auto"/>
                <w:sz w:val="21"/>
                <w:highlight w:val="none"/>
              </w:rPr>
            </w:pPr>
            <w:r>
              <w:rPr>
                <w:rFonts w:hint="eastAsia"/>
                <w:color w:val="auto"/>
                <w:sz w:val="21"/>
                <w:highlight w:val="none"/>
              </w:rPr>
              <w:t>型号规格</w:t>
            </w:r>
          </w:p>
        </w:tc>
        <w:tc>
          <w:tcPr>
            <w:tcW w:w="802" w:type="dxa"/>
            <w:vAlign w:val="center"/>
          </w:tcPr>
          <w:p>
            <w:pPr>
              <w:pStyle w:val="19"/>
              <w:spacing w:before="133" w:line="360" w:lineRule="auto"/>
              <w:ind w:left="161"/>
              <w:jc w:val="center"/>
              <w:rPr>
                <w:color w:val="auto"/>
                <w:sz w:val="21"/>
                <w:highlight w:val="none"/>
              </w:rPr>
            </w:pPr>
            <w:r>
              <w:rPr>
                <w:rFonts w:hint="eastAsia"/>
                <w:color w:val="auto"/>
                <w:sz w:val="21"/>
                <w:highlight w:val="none"/>
              </w:rPr>
              <w:t>数量</w:t>
            </w:r>
          </w:p>
        </w:tc>
        <w:tc>
          <w:tcPr>
            <w:tcW w:w="912" w:type="dxa"/>
            <w:vAlign w:val="center"/>
          </w:tcPr>
          <w:p>
            <w:pPr>
              <w:pStyle w:val="19"/>
              <w:spacing w:before="27" w:line="360" w:lineRule="auto"/>
              <w:ind w:left="211" w:right="204"/>
              <w:jc w:val="center"/>
              <w:rPr>
                <w:color w:val="auto"/>
                <w:sz w:val="21"/>
                <w:highlight w:val="none"/>
              </w:rPr>
            </w:pPr>
            <w:r>
              <w:rPr>
                <w:rFonts w:hint="eastAsia"/>
                <w:color w:val="auto"/>
                <w:sz w:val="21"/>
                <w:highlight w:val="none"/>
              </w:rPr>
              <w:t>国别产地</w:t>
            </w:r>
          </w:p>
        </w:tc>
        <w:tc>
          <w:tcPr>
            <w:tcW w:w="1067" w:type="dxa"/>
            <w:vAlign w:val="center"/>
          </w:tcPr>
          <w:p>
            <w:pPr>
              <w:pStyle w:val="19"/>
              <w:spacing w:before="27" w:line="360" w:lineRule="auto"/>
              <w:ind w:left="283" w:right="276"/>
              <w:jc w:val="center"/>
              <w:rPr>
                <w:color w:val="auto"/>
                <w:sz w:val="21"/>
                <w:highlight w:val="none"/>
              </w:rPr>
            </w:pPr>
            <w:r>
              <w:rPr>
                <w:rFonts w:hint="eastAsia"/>
                <w:color w:val="auto"/>
                <w:sz w:val="21"/>
                <w:highlight w:val="none"/>
              </w:rPr>
              <w:t>制造年份</w:t>
            </w:r>
          </w:p>
        </w:tc>
        <w:tc>
          <w:tcPr>
            <w:tcW w:w="1522" w:type="dxa"/>
            <w:vAlign w:val="center"/>
          </w:tcPr>
          <w:p>
            <w:pPr>
              <w:pStyle w:val="19"/>
              <w:spacing w:before="133" w:line="360" w:lineRule="auto"/>
              <w:ind w:left="477" w:right="470"/>
              <w:jc w:val="center"/>
              <w:rPr>
                <w:color w:val="auto"/>
                <w:sz w:val="21"/>
                <w:highlight w:val="none"/>
              </w:rPr>
            </w:pPr>
            <w:r>
              <w:rPr>
                <w:rFonts w:hint="eastAsia"/>
                <w:color w:val="auto"/>
                <w:sz w:val="21"/>
                <w:highlight w:val="none"/>
              </w:rPr>
              <w:t>用途</w:t>
            </w:r>
          </w:p>
        </w:tc>
        <w:tc>
          <w:tcPr>
            <w:tcW w:w="1247" w:type="dxa"/>
            <w:vAlign w:val="center"/>
          </w:tcPr>
          <w:p>
            <w:pPr>
              <w:pStyle w:val="19"/>
              <w:spacing w:before="133" w:line="360" w:lineRule="auto"/>
              <w:ind w:left="367"/>
              <w:rPr>
                <w:color w:val="auto"/>
                <w:sz w:val="21"/>
                <w:highlight w:val="none"/>
              </w:rPr>
            </w:pPr>
            <w:r>
              <w:rPr>
                <w:rFonts w:hint="eastAsia"/>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83" w:type="dxa"/>
          </w:tcPr>
          <w:p>
            <w:pPr>
              <w:pStyle w:val="19"/>
              <w:spacing w:line="360" w:lineRule="auto"/>
              <w:rPr>
                <w:color w:val="auto"/>
                <w:sz w:val="24"/>
                <w:highlight w:val="none"/>
              </w:rPr>
            </w:pPr>
          </w:p>
        </w:tc>
        <w:tc>
          <w:tcPr>
            <w:tcW w:w="1369" w:type="dxa"/>
            <w:tcBorders>
              <w:right w:val="single" w:color="000000" w:sz="6" w:space="0"/>
            </w:tcBorders>
          </w:tcPr>
          <w:p>
            <w:pPr>
              <w:pStyle w:val="19"/>
              <w:spacing w:line="360" w:lineRule="auto"/>
              <w:rPr>
                <w:color w:val="auto"/>
                <w:sz w:val="24"/>
                <w:highlight w:val="none"/>
              </w:rPr>
            </w:pPr>
          </w:p>
        </w:tc>
        <w:tc>
          <w:tcPr>
            <w:tcW w:w="1006" w:type="dxa"/>
            <w:tcBorders>
              <w:left w:val="single" w:color="000000" w:sz="6" w:space="0"/>
            </w:tcBorders>
          </w:tcPr>
          <w:p>
            <w:pPr>
              <w:pStyle w:val="19"/>
              <w:spacing w:line="360" w:lineRule="auto"/>
              <w:rPr>
                <w:color w:val="auto"/>
                <w:sz w:val="24"/>
                <w:highlight w:val="none"/>
              </w:rPr>
            </w:pPr>
          </w:p>
        </w:tc>
        <w:tc>
          <w:tcPr>
            <w:tcW w:w="802" w:type="dxa"/>
            <w:tcBorders>
              <w:left w:val="single" w:color="000000" w:sz="4" w:space="0"/>
            </w:tcBorders>
          </w:tcPr>
          <w:p>
            <w:pPr>
              <w:pStyle w:val="19"/>
              <w:spacing w:line="360" w:lineRule="auto"/>
              <w:rPr>
                <w:color w:val="auto"/>
                <w:sz w:val="24"/>
                <w:highlight w:val="none"/>
              </w:rPr>
            </w:pPr>
          </w:p>
        </w:tc>
        <w:tc>
          <w:tcPr>
            <w:tcW w:w="912" w:type="dxa"/>
            <w:tcBorders>
              <w:left w:val="single" w:color="000000" w:sz="4" w:space="0"/>
            </w:tcBorders>
          </w:tcPr>
          <w:p>
            <w:pPr>
              <w:pStyle w:val="19"/>
              <w:spacing w:line="360" w:lineRule="auto"/>
              <w:rPr>
                <w:color w:val="auto"/>
                <w:sz w:val="24"/>
                <w:highlight w:val="none"/>
              </w:rPr>
            </w:pPr>
          </w:p>
        </w:tc>
        <w:tc>
          <w:tcPr>
            <w:tcW w:w="1067" w:type="dxa"/>
            <w:tcBorders>
              <w:left w:val="single" w:color="000000" w:sz="4" w:space="0"/>
            </w:tcBorders>
          </w:tcPr>
          <w:p>
            <w:pPr>
              <w:pStyle w:val="19"/>
              <w:spacing w:line="360" w:lineRule="auto"/>
              <w:rPr>
                <w:color w:val="auto"/>
                <w:sz w:val="24"/>
                <w:highlight w:val="none"/>
              </w:rPr>
            </w:pPr>
          </w:p>
        </w:tc>
        <w:tc>
          <w:tcPr>
            <w:tcW w:w="1522" w:type="dxa"/>
            <w:tcBorders>
              <w:left w:val="single" w:color="000000" w:sz="4" w:space="0"/>
            </w:tcBorders>
          </w:tcPr>
          <w:p>
            <w:pPr>
              <w:pStyle w:val="19"/>
              <w:spacing w:line="360" w:lineRule="auto"/>
              <w:rPr>
                <w:color w:val="auto"/>
                <w:sz w:val="24"/>
                <w:highlight w:val="none"/>
              </w:rPr>
            </w:pPr>
          </w:p>
        </w:tc>
        <w:tc>
          <w:tcPr>
            <w:tcW w:w="1247" w:type="dxa"/>
            <w:tcBorders>
              <w:left w:val="single" w:color="000000" w:sz="4" w:space="0"/>
            </w:tcBorders>
          </w:tcPr>
          <w:p>
            <w:pPr>
              <w:pStyle w:val="19"/>
              <w:spacing w:line="360" w:lineRule="auto"/>
              <w:rPr>
                <w:color w:val="auto"/>
                <w:sz w:val="24"/>
                <w:highlight w:val="none"/>
              </w:rPr>
            </w:pPr>
          </w:p>
        </w:tc>
      </w:tr>
    </w:tbl>
    <w:p>
      <w:pPr>
        <w:spacing w:line="360" w:lineRule="auto"/>
        <w:rPr>
          <w:color w:val="auto"/>
          <w:sz w:val="24"/>
          <w:highlight w:val="none"/>
        </w:rPr>
        <w:sectPr>
          <w:pgSz w:w="11906" w:h="16838"/>
          <w:pgMar w:top="1400" w:right="1100" w:bottom="1120" w:left="1560" w:header="0" w:footer="841" w:gutter="0"/>
          <w:cols w:space="720" w:num="1"/>
          <w:docGrid w:linePitch="312" w:charSpace="2048"/>
        </w:sectPr>
      </w:pPr>
    </w:p>
    <w:p>
      <w:pPr>
        <w:spacing w:line="360" w:lineRule="auto"/>
        <w:ind w:right="458"/>
        <w:jc w:val="center"/>
        <w:rPr>
          <w:b/>
          <w:color w:val="auto"/>
          <w:sz w:val="28"/>
          <w:szCs w:val="28"/>
          <w:highlight w:val="none"/>
        </w:rPr>
      </w:pPr>
      <w:bookmarkStart w:id="71" w:name="_bookmark193"/>
      <w:bookmarkEnd w:id="71"/>
      <w:r>
        <w:rPr>
          <w:rFonts w:hint="eastAsia"/>
          <w:b/>
          <w:color w:val="auto"/>
          <w:sz w:val="28"/>
          <w:szCs w:val="28"/>
          <w:highlight w:val="none"/>
        </w:rPr>
        <w:t>十、技术服务方案</w:t>
      </w:r>
    </w:p>
    <w:p>
      <w:pPr>
        <w:spacing w:line="360" w:lineRule="auto"/>
        <w:ind w:right="457"/>
        <w:jc w:val="center"/>
        <w:rPr>
          <w:color w:val="auto"/>
          <w:sz w:val="24"/>
          <w:highlight w:val="none"/>
          <w:lang w:val="en-US"/>
        </w:rPr>
      </w:pPr>
      <w:r>
        <w:rPr>
          <w:rFonts w:hint="eastAsia"/>
          <w:color w:val="auto"/>
          <w:sz w:val="24"/>
          <w:highlight w:val="none"/>
        </w:rPr>
        <w:t>格式自</w:t>
      </w:r>
      <w:r>
        <w:rPr>
          <w:rFonts w:hint="eastAsia"/>
          <w:color w:val="auto"/>
          <w:sz w:val="24"/>
          <w:highlight w:val="none"/>
          <w:lang w:val="en-US"/>
        </w:rPr>
        <w:t>拟</w:t>
      </w:r>
    </w:p>
    <w:p>
      <w:pPr>
        <w:tabs>
          <w:tab w:val="left" w:pos="923"/>
        </w:tabs>
        <w:rPr>
          <w:color w:val="auto"/>
          <w:highlight w:val="none"/>
          <w:lang w:val="en-US"/>
        </w:rPr>
      </w:pPr>
    </w:p>
    <w:p>
      <w:pPr>
        <w:adjustRightInd w:val="0"/>
        <w:spacing w:line="420" w:lineRule="atLeast"/>
        <w:textAlignment w:val="baseline"/>
        <w:rPr>
          <w:color w:val="auto"/>
          <w:szCs w:val="20"/>
          <w:highlight w:val="none"/>
          <w:lang w:val="en-US"/>
        </w:rPr>
      </w:pPr>
    </w:p>
    <w:p>
      <w:pPr>
        <w:rPr>
          <w:color w:val="auto"/>
          <w:sz w:val="24"/>
          <w:highlight w:val="none"/>
        </w:rPr>
      </w:pPr>
      <w:r>
        <w:rPr>
          <w:rFonts w:hint="eastAsia"/>
          <w:color w:val="auto"/>
          <w:sz w:val="24"/>
          <w:highlight w:val="none"/>
        </w:rPr>
        <w:t>注：联合体投标的，由主办方提供。</w:t>
      </w:r>
    </w:p>
    <w:p>
      <w:pPr>
        <w:tabs>
          <w:tab w:val="left" w:pos="923"/>
        </w:tabs>
        <w:rPr>
          <w:color w:val="auto"/>
          <w:highlight w:val="none"/>
          <w:lang w:val="en-US"/>
        </w:rPr>
        <w:sectPr>
          <w:pgSz w:w="11906" w:h="16838"/>
          <w:pgMar w:top="1400" w:right="1100" w:bottom="1120" w:left="1560" w:header="0" w:footer="841" w:gutter="0"/>
          <w:cols w:space="720" w:num="1"/>
          <w:docGrid w:linePitch="312" w:charSpace="2048"/>
        </w:sectPr>
      </w:pPr>
    </w:p>
    <w:p>
      <w:pPr>
        <w:spacing w:line="360" w:lineRule="auto"/>
        <w:ind w:right="457" w:firstLine="2530" w:firstLineChars="900"/>
        <w:jc w:val="both"/>
        <w:rPr>
          <w:b/>
          <w:color w:val="auto"/>
          <w:sz w:val="28"/>
          <w:szCs w:val="28"/>
          <w:highlight w:val="none"/>
        </w:rPr>
      </w:pPr>
      <w:bookmarkStart w:id="72" w:name="_bookmark194"/>
      <w:bookmarkEnd w:id="72"/>
      <w:r>
        <w:rPr>
          <w:rFonts w:hint="eastAsia"/>
          <w:b/>
          <w:color w:val="auto"/>
          <w:sz w:val="28"/>
          <w:szCs w:val="28"/>
          <w:highlight w:val="none"/>
        </w:rPr>
        <w:t>十</w:t>
      </w:r>
      <w:r>
        <w:rPr>
          <w:b/>
          <w:color w:val="auto"/>
          <w:sz w:val="28"/>
          <w:szCs w:val="28"/>
          <w:highlight w:val="none"/>
        </w:rPr>
        <w:t>一</w:t>
      </w:r>
      <w:r>
        <w:rPr>
          <w:rFonts w:hint="eastAsia"/>
          <w:b/>
          <w:color w:val="auto"/>
          <w:sz w:val="28"/>
          <w:szCs w:val="28"/>
          <w:highlight w:val="none"/>
        </w:rPr>
        <w:t>、其他资料</w:t>
      </w:r>
    </w:p>
    <w:p>
      <w:pPr>
        <w:spacing w:line="360" w:lineRule="auto"/>
        <w:ind w:right="457"/>
        <w:jc w:val="center"/>
        <w:rPr>
          <w:b/>
          <w:color w:val="auto"/>
          <w:sz w:val="21"/>
          <w:szCs w:val="21"/>
          <w:highlight w:val="none"/>
        </w:rPr>
      </w:pPr>
      <w:r>
        <w:rPr>
          <w:rFonts w:hint="eastAsia"/>
          <w:color w:val="auto"/>
          <w:sz w:val="21"/>
          <w:szCs w:val="21"/>
          <w:highlight w:val="none"/>
        </w:rPr>
        <w:t>投标人认为有必要提交的其他资料，格式自定。</w:t>
      </w:r>
    </w:p>
    <w:p>
      <w:pPr>
        <w:rPr>
          <w:color w:val="auto"/>
          <w:highlight w:val="none"/>
        </w:rPr>
      </w:pPr>
    </w:p>
    <w:sectPr>
      <w:pgSz w:w="11906" w:h="16838"/>
      <w:pgMar w:top="1400" w:right="1100" w:bottom="1120" w:left="1560" w:header="0" w:footer="841" w:gutter="0"/>
      <w:cols w:space="720" w:num="1"/>
      <w:docGrid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12"/>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4" name="文本框 1025"/>
              <wp:cNvGraphicFramePr/>
              <a:graphic xmlns:a="http://schemas.openxmlformats.org/drawingml/2006/main">
                <a:graphicData uri="http://schemas.microsoft.com/office/word/2010/wordprocessingShape">
                  <wps:wsp>
                    <wps:cNvSpPr/>
                    <wps:spPr>
                      <a:xfrm>
                        <a:off x="0" y="0"/>
                        <a:ext cx="76200" cy="133052"/>
                      </a:xfrm>
                      <a:prstGeom prst="rect">
                        <a:avLst/>
                      </a:prstGeom>
                      <a:noFill/>
                      <a:ln cap="flat" cmpd="sng">
                        <a:noFill/>
                        <a:prstDash val="solid"/>
                        <a:round/>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025" o:spid="_x0000_s1026" o:spt="1"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BsON0AAAAAMBAAAPAAAAAAAAAAEAIAAAACIAAABkcnMvZG93bnJldi54bWxQ&#10;SwECFAAUAAAACACHTuJAvL7z+P8BAADtAwAADgAAAAAAAAABACAAAAAfAQAAZHJzL2Uyb0RvYy54&#10;bWxQSwUGAAAAAAYABgBZAQAAkAUAAAAA&#10;">
              <v:fill on="f" focussize="0,0"/>
              <v:stroke on="f" joinstyle="round"/>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12"/>
      </w:rPr>
    </w:pPr>
    <w:r>
      <w:rPr>
        <w:lang w:val="en-US" w:bidi="ar-SA"/>
      </w:rPr>
      <mc:AlternateContent>
        <mc:Choice Requires="wps">
          <w:drawing>
            <wp:anchor distT="0" distB="0" distL="114300" distR="114300" simplePos="0" relativeHeight="251659264" behindDoc="0" locked="0" layoutInCell="1" allowOverlap="1">
              <wp:simplePos x="0" y="0"/>
              <wp:positionH relativeFrom="margin">
                <wp:posOffset>3008630</wp:posOffset>
              </wp:positionH>
              <wp:positionV relativeFrom="paragraph">
                <wp:posOffset>-635</wp:posOffset>
              </wp:positionV>
              <wp:extent cx="349885" cy="195580"/>
              <wp:effectExtent l="0" t="0" r="0" b="0"/>
              <wp:wrapNone/>
              <wp:docPr id="1" name="文本框 1025"/>
              <wp:cNvGraphicFramePr/>
              <a:graphic xmlns:a="http://schemas.openxmlformats.org/drawingml/2006/main">
                <a:graphicData uri="http://schemas.microsoft.com/office/word/2010/wordprocessingShape">
                  <wps:wsp>
                    <wps:cNvSpPr/>
                    <wps:spPr>
                      <a:xfrm>
                        <a:off x="0" y="0"/>
                        <a:ext cx="349885" cy="195579"/>
                      </a:xfrm>
                      <a:prstGeom prst="rect">
                        <a:avLst/>
                      </a:prstGeom>
                      <a:noFill/>
                      <a:ln cap="flat" cmpd="sng">
                        <a:noFill/>
                        <a:prstDash val="solid"/>
                        <a:round/>
                      </a:ln>
                    </wps:spPr>
                    <wps:txbx>
                      <w:txbxContent>
                        <w:p>
                          <w:pPr>
                            <w:pStyle w:val="11"/>
                          </w:pPr>
                          <w:r>
                            <w:fldChar w:fldCharType="begin"/>
                          </w:r>
                          <w:r>
                            <w:instrText xml:space="preserve"> PAGE  \* MERGEFORMAT </w:instrText>
                          </w:r>
                          <w:r>
                            <w:fldChar w:fldCharType="separate"/>
                          </w:r>
                          <w:r>
                            <w:t>54</w:t>
                          </w:r>
                          <w:r>
                            <w:fldChar w:fldCharType="end"/>
                          </w:r>
                        </w:p>
                      </w:txbxContent>
                    </wps:txbx>
                    <wps:bodyPr vert="horz" wrap="square" lIns="0" tIns="0" rIns="0" bIns="0" anchor="t" anchorCtr="0" upright="0">
                      <a:noAutofit/>
                    </wps:bodyPr>
                  </wps:wsp>
                </a:graphicData>
              </a:graphic>
            </wp:anchor>
          </w:drawing>
        </mc:Choice>
        <mc:Fallback>
          <w:pict>
            <v:rect id="文本框 1025" o:spid="_x0000_s1026" o:spt="1" style="position:absolute;left:0pt;margin-left:236.9pt;margin-top:-0.05pt;height:15.4pt;width:27.55pt;mso-position-horizontal-relative:margin;z-index:251659264;mso-width-relative:page;mso-height-relative:page;" filled="f" stroked="f" coordsize="21600,21600" o:gfxdata="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yr2k2gAAAAgBAAAPAAAAAAAAAAEAIAAAACIAAABkcnMv&#10;ZG93bnJldi54bWxQSwECFAAUAAAACACHTuJAJe+hVQECAADwAwAADgAAAAAAAAABACAAAAApAQAA&#10;ZHJzL2Uyb0RvYy54bWxQSwUGAAAAAAYABgBZAQAAnAUAAAAA&#10;">
              <v:fill on="f" focussize="0,0"/>
              <v:stroke on="f" joinstyle="round"/>
              <v:imagedata o:title=""/>
              <o:lock v:ext="edit" aspectratio="f"/>
              <v:textbox inset="0mm,0mm,0mm,0mm">
                <w:txbxContent>
                  <w:p>
                    <w:pPr>
                      <w:pStyle w:val="11"/>
                    </w:pPr>
                    <w:r>
                      <w:fldChar w:fldCharType="begin"/>
                    </w:r>
                    <w:r>
                      <w:instrText xml:space="preserve"> PAGE  \* MERGEFORMAT </w:instrText>
                    </w:r>
                    <w:r>
                      <w:fldChar w:fldCharType="separate"/>
                    </w:r>
                    <w:r>
                      <w:t>54</w:t>
                    </w:r>
                    <w:r>
                      <w:fldChar w:fldCharType="end"/>
                    </w:r>
                  </w:p>
                </w:txbxContent>
              </v:textbox>
            </v:rect>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31AA5"/>
    <w:multiLevelType w:val="singleLevel"/>
    <w:tmpl w:val="97D31AA5"/>
    <w:lvl w:ilvl="0" w:tentative="0">
      <w:start w:val="2"/>
      <w:numFmt w:val="decimal"/>
      <w:suff w:val="nothing"/>
      <w:lvlText w:val="%1、"/>
      <w:lvlJc w:val="left"/>
    </w:lvl>
  </w:abstractNum>
  <w:abstractNum w:abstractNumId="1">
    <w:nsid w:val="ECDE0E89"/>
    <w:multiLevelType w:val="singleLevel"/>
    <w:tmpl w:val="ECDE0E8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F6982"/>
    <w:rsid w:val="45DF6982"/>
    <w:rsid w:val="76F7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line="702" w:lineRule="exact"/>
      <w:ind w:right="457"/>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0"/>
    <w:pPr>
      <w:ind w:left="640" w:hanging="402"/>
      <w:outlineLvl w:val="1"/>
    </w:pPr>
    <w:rPr>
      <w:rFonts w:ascii="Microsoft JhengHei" w:hAnsi="Microsoft JhengHei" w:eastAsia="Microsoft JhengHei" w:cs="Microsoft JhengHei"/>
      <w:b/>
      <w:bCs/>
      <w:sz w:val="32"/>
      <w:szCs w:val="32"/>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rPr>
      <w:color w:val="000000"/>
      <w:sz w:val="21"/>
      <w:szCs w:val="21"/>
    </w:rPr>
  </w:style>
  <w:style w:type="paragraph" w:styleId="5">
    <w:name w:val="annotation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adjustRightInd w:val="0"/>
      <w:snapToGrid w:val="0"/>
      <w:spacing w:line="400" w:lineRule="exact"/>
      <w:ind w:firstLine="195" w:firstLineChars="195"/>
    </w:pPr>
    <w:rPr>
      <w:sz w:val="21"/>
      <w:szCs w:val="21"/>
    </w:rPr>
  </w:style>
  <w:style w:type="paragraph" w:styleId="8">
    <w:name w:val="Body Text Indent"/>
    <w:basedOn w:val="1"/>
    <w:next w:val="9"/>
    <w:qFormat/>
    <w:uiPriority w:val="0"/>
    <w:pPr>
      <w:spacing w:after="120"/>
      <w:ind w:left="200" w:leftChars="200"/>
    </w:pPr>
  </w:style>
  <w:style w:type="paragraph" w:styleId="9">
    <w:name w:val="envelope return"/>
    <w:basedOn w:val="1"/>
    <w:qFormat/>
    <w:uiPriority w:val="0"/>
    <w:pPr>
      <w:snapToGrid w:val="0"/>
    </w:pPr>
    <w:rPr>
      <w:rFonts w:ascii="Arial" w:hAnsi="Arial" w:eastAsia="宋体" w:cs="Times New Roman"/>
      <w:szCs w:val="24"/>
      <w:lang w:bidi="ar-SA"/>
    </w:rPr>
  </w:style>
  <w:style w:type="paragraph" w:styleId="10">
    <w:name w:val="Plain Text"/>
    <w:basedOn w:val="1"/>
    <w:qFormat/>
    <w:uiPriority w:val="0"/>
  </w:style>
  <w:style w:type="paragraph" w:styleId="11">
    <w:name w:val="footer"/>
    <w:basedOn w:val="1"/>
    <w:qFormat/>
    <w:uiPriority w:val="0"/>
    <w:pPr>
      <w:tabs>
        <w:tab w:val="center" w:pos="4153"/>
        <w:tab w:val="right" w:pos="8306"/>
      </w:tabs>
      <w:snapToGrid w:val="0"/>
    </w:pPr>
    <w:rPr>
      <w:sz w:val="18"/>
    </w:rPr>
  </w:style>
  <w:style w:type="paragraph" w:styleId="12">
    <w:name w:val="toc 1"/>
    <w:basedOn w:val="1"/>
    <w:next w:val="1"/>
    <w:qFormat/>
    <w:uiPriority w:val="0"/>
    <w:pPr>
      <w:spacing w:before="2"/>
      <w:ind w:right="703"/>
      <w:jc w:val="right"/>
    </w:pPr>
    <w:rPr>
      <w:sz w:val="21"/>
      <w:szCs w:val="21"/>
    </w:rPr>
  </w:style>
  <w:style w:type="paragraph" w:styleId="13">
    <w:name w:val="Body Text First Indent"/>
    <w:basedOn w:val="1"/>
    <w:next w:val="14"/>
    <w:qFormat/>
    <w:uiPriority w:val="0"/>
    <w:pPr>
      <w:widowControl w:val="0"/>
      <w:adjustRightInd w:val="0"/>
      <w:snapToGrid w:val="0"/>
      <w:spacing w:line="312" w:lineRule="auto"/>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ody Text First Indent 2"/>
    <w:basedOn w:val="8"/>
    <w:qFormat/>
    <w:uiPriority w:val="0"/>
    <w:pPr>
      <w:ind w:firstLine="200" w:firstLineChars="200"/>
    </w:pPr>
  </w:style>
  <w:style w:type="paragraph" w:customStyle="1" w:styleId="17">
    <w:name w:val="WPSOffice手动目录 1"/>
    <w:qFormat/>
    <w:uiPriority w:val="0"/>
    <w:rPr>
      <w:rFonts w:ascii="Times New Roman" w:hAnsi="Times New Roman" w:eastAsia="宋体" w:cs="Times New Roman"/>
      <w:sz w:val="20"/>
      <w:szCs w:val="20"/>
      <w:lang w:val="en-US" w:eastAsia="zh-CN" w:bidi="ar-SA"/>
    </w:rPr>
  </w:style>
  <w:style w:type="paragraph" w:customStyle="1" w:styleId="18">
    <w:name w:val="文一"/>
    <w:basedOn w:val="1"/>
    <w:qFormat/>
    <w:uiPriority w:val="0"/>
    <w:pPr>
      <w:topLinePunct/>
      <w:autoSpaceDE w:val="0"/>
      <w:autoSpaceDN w:val="0"/>
      <w:adjustRightInd w:val="0"/>
      <w:snapToGrid w:val="0"/>
      <w:spacing w:line="360" w:lineRule="auto"/>
      <w:ind w:firstLine="200" w:firstLineChars="200"/>
    </w:pPr>
    <w:rPr>
      <w:rFonts w:ascii="Times New Roman" w:hAnsi="Times New Roman" w:cs="Times New Roman"/>
      <w:spacing w:val="4"/>
      <w:sz w:val="24"/>
      <w:szCs w:val="24"/>
    </w:rPr>
  </w:style>
  <w:style w:type="paragraph" w:customStyle="1" w:styleId="19">
    <w:name w:val="Table Paragraph"/>
    <w:basedOn w:val="1"/>
    <w:next w:val="14"/>
    <w:qFormat/>
    <w:uiPriority w:val="0"/>
    <w:pPr>
      <w:widowControl w:val="0"/>
      <w:autoSpaceDE w:val="0"/>
      <w:autoSpaceDN w:val="0"/>
      <w:jc w:val="left"/>
    </w:pPr>
    <w:rPr>
      <w:rFonts w:ascii="宋体" w:hAnsi="Times New Roman" w:eastAsia="宋体" w:cs="宋体"/>
      <w:kern w:val="0"/>
      <w:sz w:val="22"/>
      <w:szCs w:val="22"/>
      <w:lang w:val="zh-CN" w:eastAsia="zh-CN" w:bidi="zh-CN"/>
    </w:rPr>
  </w:style>
  <w:style w:type="paragraph" w:customStyle="1" w:styleId="20">
    <w:name w:val="正文文本 31"/>
    <w:basedOn w:val="1"/>
    <w:qFormat/>
    <w:uiPriority w:val="0"/>
    <w:rPr>
      <w:sz w:val="16"/>
      <w:szCs w:val="16"/>
    </w:rPr>
  </w:style>
  <w:style w:type="paragraph" w:styleId="21">
    <w:name w:val="List Paragraph"/>
    <w:basedOn w:val="1"/>
    <w:qFormat/>
    <w:uiPriority w:val="0"/>
    <w:pPr>
      <w:ind w:left="240" w:firstLine="419"/>
    </w:pPr>
  </w:style>
  <w:style w:type="paragraph" w:customStyle="1" w:styleId="22">
    <w:name w:val="_Style 39"/>
    <w:basedOn w:val="1"/>
    <w:next w:val="21"/>
    <w:qFormat/>
    <w:uiPriority w:val="0"/>
    <w:pPr>
      <w:ind w:left="240" w:firstLine="41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2024-09-02T01:30:00Z</dcterms:created>
  <dc:creator>吴嘉鹏</dc:creator>
  <cp:lastModifiedBy>吴嘉鹏</cp:lastModifiedBy>
  <dcterms:modified xsi:type="dcterms:W3CDTF">2024-09-02T08:34:40Z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2341B0919B674CC292F8DB0C4AEAA682</vt:lpwstr>
  </property>
</Properties>
</file>