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793095">
      <w:pPr>
        <w:spacing w:line="360" w:lineRule="auto"/>
        <w:jc w:val="left"/>
        <w:outlineLvl w:val="1"/>
        <w:rPr>
          <w:rFonts w:hint="default" w:ascii="黑体" w:hAnsi="黑体" w:eastAsia="黑体"/>
          <w:b/>
          <w:bCs/>
          <w:color w:val="auto"/>
          <w:sz w:val="28"/>
          <w:szCs w:val="28"/>
          <w:highlight w:val="none"/>
          <w:lang w:val="en-US" w:eastAsia="zh-CN"/>
        </w:rPr>
      </w:pPr>
      <w:bookmarkStart w:id="0" w:name="_Toc144974567"/>
      <w:bookmarkStart w:id="1" w:name="_Toc300835010"/>
      <w:bookmarkStart w:id="2" w:name="_Toc247527625"/>
      <w:bookmarkStart w:id="3" w:name="_Toc1985"/>
      <w:bookmarkStart w:id="4" w:name="_Toc152042377"/>
      <w:bookmarkStart w:id="5" w:name="_Toc152045600"/>
      <w:bookmarkStart w:id="6" w:name="_Toc247514024"/>
      <w:r>
        <w:rPr>
          <w:rFonts w:hint="eastAsia" w:ascii="宋体" w:hAnsi="宋体" w:eastAsia="宋体" w:cs="宋体"/>
          <w:b/>
          <w:bCs/>
          <w:color w:val="auto"/>
          <w:sz w:val="28"/>
          <w:szCs w:val="28"/>
          <w:highlight w:val="none"/>
          <w:lang w:eastAsia="zh-CN"/>
        </w:rPr>
        <w:t>附件</w:t>
      </w:r>
      <w:r>
        <w:rPr>
          <w:rFonts w:hint="eastAsia" w:ascii="宋体" w:hAnsi="宋体" w:eastAsia="宋体" w:cs="宋体"/>
          <w:b/>
          <w:bCs/>
          <w:color w:val="auto"/>
          <w:sz w:val="28"/>
          <w:szCs w:val="28"/>
          <w:highlight w:val="none"/>
          <w:lang w:val="en-US" w:eastAsia="zh-CN"/>
        </w:rPr>
        <w:t>3：</w:t>
      </w:r>
    </w:p>
    <w:bookmarkEnd w:id="0"/>
    <w:bookmarkEnd w:id="1"/>
    <w:bookmarkEnd w:id="2"/>
    <w:bookmarkEnd w:id="3"/>
    <w:bookmarkEnd w:id="4"/>
    <w:bookmarkEnd w:id="5"/>
    <w:bookmarkEnd w:id="6"/>
    <w:p w14:paraId="39BE2701">
      <w:pPr>
        <w:spacing w:line="360" w:lineRule="auto"/>
        <w:jc w:val="center"/>
        <w:outlineLvl w:val="1"/>
        <w:rPr>
          <w:rFonts w:ascii="黑体" w:hAnsi="黑体" w:eastAsia="黑体"/>
          <w:color w:val="auto"/>
          <w:sz w:val="28"/>
          <w:szCs w:val="28"/>
          <w:highlight w:val="none"/>
        </w:rPr>
      </w:pPr>
      <w:r>
        <w:rPr>
          <w:rFonts w:ascii="黑体" w:hAnsi="黑体" w:eastAsia="黑体"/>
          <w:color w:val="auto"/>
          <w:sz w:val="28"/>
          <w:szCs w:val="28"/>
          <w:highlight w:val="none"/>
        </w:rPr>
        <w:t>第三章</w:t>
      </w:r>
      <w:r>
        <w:rPr>
          <w:rFonts w:hint="eastAsia" w:ascii="黑体" w:hAnsi="黑体" w:eastAsia="黑体"/>
          <w:color w:val="auto"/>
          <w:sz w:val="28"/>
          <w:szCs w:val="28"/>
          <w:highlight w:val="none"/>
        </w:rPr>
        <w:t xml:space="preserve"> </w:t>
      </w:r>
      <w:r>
        <w:rPr>
          <w:rFonts w:ascii="黑体" w:hAnsi="黑体" w:eastAsia="黑体"/>
          <w:color w:val="auto"/>
          <w:sz w:val="28"/>
          <w:szCs w:val="28"/>
          <w:highlight w:val="none"/>
        </w:rPr>
        <w:t xml:space="preserve"> 评标办法（</w:t>
      </w:r>
      <w:r>
        <w:rPr>
          <w:rFonts w:hint="eastAsia" w:ascii="黑体" w:hAnsi="黑体" w:eastAsia="黑体"/>
          <w:color w:val="auto"/>
          <w:sz w:val="28"/>
          <w:szCs w:val="28"/>
          <w:highlight w:val="none"/>
        </w:rPr>
        <w:t>双信封的技术评分最低标价法</w:t>
      </w:r>
      <w:r>
        <w:rPr>
          <w:rFonts w:ascii="黑体" w:hAnsi="黑体" w:eastAsia="黑体"/>
          <w:color w:val="auto"/>
          <w:sz w:val="28"/>
          <w:szCs w:val="28"/>
          <w:highlight w:val="none"/>
        </w:rPr>
        <w:t>）</w:t>
      </w:r>
    </w:p>
    <w:p w14:paraId="34A21C0E">
      <w:pPr>
        <w:spacing w:line="360" w:lineRule="auto"/>
        <w:ind w:firstLine="480" w:firstLineChars="200"/>
        <w:rPr>
          <w:color w:val="auto"/>
          <w:sz w:val="24"/>
          <w:highlight w:val="none"/>
        </w:rPr>
      </w:pPr>
      <w:r>
        <w:rPr>
          <w:color w:val="auto"/>
          <w:sz w:val="24"/>
          <w:highlight w:val="none"/>
        </w:rPr>
        <w:t>评标办法前附表</w:t>
      </w:r>
    </w:p>
    <w:p w14:paraId="1EA28F22">
      <w:pPr>
        <w:spacing w:before="10"/>
        <w:rPr>
          <w:rFonts w:ascii="宋体" w:hAnsi="宋体" w:cs="宋体"/>
          <w:color w:val="auto"/>
          <w:sz w:val="3"/>
          <w:szCs w:val="3"/>
          <w:highlight w:val="none"/>
        </w:rPr>
      </w:pPr>
    </w:p>
    <w:tbl>
      <w:tblPr>
        <w:tblStyle w:val="4"/>
        <w:tblW w:w="0" w:type="auto"/>
        <w:jc w:val="center"/>
        <w:tblLayout w:type="fixed"/>
        <w:tblCellMar>
          <w:top w:w="0" w:type="dxa"/>
          <w:left w:w="0" w:type="dxa"/>
          <w:bottom w:w="0" w:type="dxa"/>
          <w:right w:w="0" w:type="dxa"/>
        </w:tblCellMar>
      </w:tblPr>
      <w:tblGrid>
        <w:gridCol w:w="911"/>
        <w:gridCol w:w="1130"/>
        <w:gridCol w:w="6920"/>
      </w:tblGrid>
      <w:tr w14:paraId="44D8695A">
        <w:tblPrEx>
          <w:tblCellMar>
            <w:top w:w="0" w:type="dxa"/>
            <w:left w:w="0" w:type="dxa"/>
            <w:bottom w:w="0" w:type="dxa"/>
            <w:right w:w="0" w:type="dxa"/>
          </w:tblCellMar>
        </w:tblPrEx>
        <w:trPr>
          <w:trHeight w:val="553" w:hRule="atLeast"/>
          <w:jc w:val="center"/>
        </w:trPr>
        <w:tc>
          <w:tcPr>
            <w:tcW w:w="2041" w:type="dxa"/>
            <w:gridSpan w:val="2"/>
            <w:tcBorders>
              <w:top w:val="single" w:color="010101" w:sz="4" w:space="0"/>
              <w:left w:val="single" w:color="010101" w:sz="4" w:space="0"/>
              <w:bottom w:val="single" w:color="010101" w:sz="4" w:space="0"/>
              <w:right w:val="single" w:color="010101" w:sz="4" w:space="0"/>
            </w:tcBorders>
            <w:noWrap w:val="0"/>
            <w:vAlign w:val="center"/>
          </w:tcPr>
          <w:p w14:paraId="525DFDE5">
            <w:pPr>
              <w:pStyle w:val="6"/>
              <w:spacing w:line="360" w:lineRule="exact"/>
              <w:ind w:left="1"/>
              <w:jc w:val="center"/>
              <w:rPr>
                <w:rFonts w:ascii="宋体" w:hAnsi="宋体" w:cs="宋体"/>
                <w:b/>
                <w:color w:val="auto"/>
                <w:szCs w:val="21"/>
                <w:highlight w:val="none"/>
              </w:rPr>
            </w:pPr>
            <w:r>
              <w:rPr>
                <w:rFonts w:ascii="宋体" w:hAnsi="宋体" w:cs="宋体"/>
                <w:b/>
                <w:color w:val="auto"/>
                <w:szCs w:val="21"/>
                <w:highlight w:val="none"/>
              </w:rPr>
              <w:t>条款号</w:t>
            </w:r>
          </w:p>
        </w:tc>
        <w:tc>
          <w:tcPr>
            <w:tcW w:w="6920" w:type="dxa"/>
            <w:tcBorders>
              <w:top w:val="single" w:color="010101" w:sz="4" w:space="0"/>
              <w:left w:val="single" w:color="010101" w:sz="4" w:space="0"/>
              <w:bottom w:val="single" w:color="010101" w:sz="4" w:space="0"/>
              <w:right w:val="single" w:color="010101" w:sz="4" w:space="0"/>
            </w:tcBorders>
            <w:noWrap w:val="0"/>
            <w:vAlign w:val="center"/>
          </w:tcPr>
          <w:p w14:paraId="686AA4D8">
            <w:pPr>
              <w:pStyle w:val="6"/>
              <w:spacing w:line="360" w:lineRule="exact"/>
              <w:ind w:left="1"/>
              <w:jc w:val="center"/>
              <w:rPr>
                <w:rFonts w:ascii="宋体" w:hAnsi="宋体" w:cs="宋体"/>
                <w:b/>
                <w:color w:val="auto"/>
                <w:szCs w:val="21"/>
                <w:highlight w:val="none"/>
              </w:rPr>
            </w:pPr>
            <w:r>
              <w:rPr>
                <w:rFonts w:ascii="宋体" w:hAnsi="宋体" w:cs="宋体"/>
                <w:b/>
                <w:color w:val="auto"/>
                <w:szCs w:val="21"/>
                <w:highlight w:val="none"/>
              </w:rPr>
              <w:t>评审因素与标准</w:t>
            </w:r>
          </w:p>
        </w:tc>
      </w:tr>
      <w:tr w14:paraId="30BC5335">
        <w:tblPrEx>
          <w:tblCellMar>
            <w:top w:w="0" w:type="dxa"/>
            <w:left w:w="0" w:type="dxa"/>
            <w:bottom w:w="0" w:type="dxa"/>
            <w:right w:w="0" w:type="dxa"/>
          </w:tblCellMar>
        </w:tblPrEx>
        <w:trPr>
          <w:trHeight w:val="2880" w:hRule="atLeast"/>
          <w:jc w:val="center"/>
        </w:trPr>
        <w:tc>
          <w:tcPr>
            <w:tcW w:w="911" w:type="dxa"/>
            <w:tcBorders>
              <w:top w:val="single" w:color="010101" w:sz="4" w:space="0"/>
              <w:left w:val="single" w:color="010101" w:sz="4" w:space="0"/>
              <w:bottom w:val="single" w:color="010101" w:sz="4" w:space="0"/>
              <w:right w:val="single" w:color="010101" w:sz="4" w:space="0"/>
            </w:tcBorders>
            <w:noWrap w:val="0"/>
            <w:vAlign w:val="center"/>
          </w:tcPr>
          <w:p w14:paraId="2BDCC756">
            <w:pPr>
              <w:pStyle w:val="6"/>
              <w:spacing w:line="360" w:lineRule="exact"/>
              <w:ind w:left="42" w:leftChars="20" w:right="42" w:rightChars="20"/>
              <w:jc w:val="center"/>
              <w:rPr>
                <w:rFonts w:ascii="宋体" w:hAnsi="宋体" w:cs="宋体"/>
                <w:color w:val="auto"/>
                <w:szCs w:val="21"/>
                <w:highlight w:val="none"/>
              </w:rPr>
            </w:pPr>
            <w:r>
              <w:rPr>
                <w:rFonts w:ascii="宋体" w:hAnsi="Calibri"/>
                <w:color w:val="auto"/>
                <w:szCs w:val="21"/>
                <w:highlight w:val="none"/>
              </w:rPr>
              <w:t>1</w:t>
            </w:r>
          </w:p>
        </w:tc>
        <w:tc>
          <w:tcPr>
            <w:tcW w:w="1130" w:type="dxa"/>
            <w:tcBorders>
              <w:top w:val="single" w:color="010101" w:sz="4" w:space="0"/>
              <w:left w:val="single" w:color="010101" w:sz="4" w:space="0"/>
              <w:bottom w:val="single" w:color="010101" w:sz="4" w:space="0"/>
              <w:right w:val="single" w:color="010101" w:sz="4" w:space="0"/>
            </w:tcBorders>
            <w:noWrap w:val="0"/>
            <w:vAlign w:val="center"/>
          </w:tcPr>
          <w:p w14:paraId="63BB3FA5">
            <w:pPr>
              <w:pStyle w:val="6"/>
              <w:spacing w:line="360" w:lineRule="exact"/>
              <w:ind w:left="42" w:leftChars="20" w:right="42" w:rightChars="20"/>
              <w:jc w:val="center"/>
              <w:rPr>
                <w:rFonts w:ascii="宋体" w:hAnsi="宋体" w:cs="宋体"/>
                <w:color w:val="auto"/>
                <w:szCs w:val="21"/>
                <w:highlight w:val="none"/>
              </w:rPr>
            </w:pPr>
            <w:r>
              <w:rPr>
                <w:rFonts w:ascii="宋体" w:hAnsi="宋体" w:cs="宋体"/>
                <w:color w:val="auto"/>
                <w:szCs w:val="21"/>
                <w:highlight w:val="none"/>
              </w:rPr>
              <w:t>评标方法</w:t>
            </w:r>
          </w:p>
        </w:tc>
        <w:tc>
          <w:tcPr>
            <w:tcW w:w="6920" w:type="dxa"/>
            <w:tcBorders>
              <w:top w:val="single" w:color="010101" w:sz="4" w:space="0"/>
              <w:left w:val="single" w:color="010101" w:sz="4" w:space="0"/>
              <w:bottom w:val="single" w:color="010101" w:sz="4" w:space="0"/>
              <w:right w:val="single" w:color="010101" w:sz="4" w:space="0"/>
            </w:tcBorders>
            <w:noWrap w:val="0"/>
            <w:vAlign w:val="center"/>
          </w:tcPr>
          <w:p w14:paraId="5511CFF4">
            <w:pPr>
              <w:pStyle w:val="6"/>
              <w:tabs>
                <w:tab w:val="left" w:pos="805"/>
              </w:tabs>
              <w:spacing w:line="360" w:lineRule="exact"/>
              <w:ind w:left="42" w:leftChars="20" w:right="42" w:rightChars="20" w:firstLine="420" w:firstLineChars="200"/>
              <w:rPr>
                <w:rFonts w:ascii="宋体" w:hAnsi="宋体" w:eastAsia="宋体" w:cs="宋体"/>
                <w:color w:val="auto"/>
                <w:szCs w:val="21"/>
                <w:highlight w:val="none"/>
              </w:rPr>
            </w:pPr>
            <w:r>
              <w:rPr>
                <w:rFonts w:ascii="宋体" w:hAnsi="宋体" w:eastAsia="宋体" w:cs="宋体"/>
                <w:color w:val="auto"/>
                <w:szCs w:val="21"/>
                <w:highlight w:val="none"/>
              </w:rPr>
              <w:t>评标价相等时，评标委员会依次按照以下优先顺序推荐中标候选人或确</w:t>
            </w:r>
          </w:p>
          <w:p w14:paraId="02C897E3">
            <w:pPr>
              <w:pStyle w:val="6"/>
              <w:tabs>
                <w:tab w:val="left" w:pos="805"/>
              </w:tabs>
              <w:spacing w:line="360" w:lineRule="exact"/>
              <w:ind w:right="42" w:rightChars="20"/>
              <w:rPr>
                <w:rFonts w:ascii="宋体" w:hAnsi="宋体" w:eastAsia="宋体" w:cs="宋体"/>
                <w:color w:val="auto"/>
                <w:szCs w:val="21"/>
                <w:highlight w:val="none"/>
              </w:rPr>
            </w:pPr>
            <w:r>
              <w:rPr>
                <w:rFonts w:ascii="宋体" w:hAnsi="宋体" w:eastAsia="宋体" w:cs="宋体"/>
                <w:color w:val="auto"/>
                <w:szCs w:val="21"/>
                <w:highlight w:val="none"/>
              </w:rPr>
              <w:t>定中标人：</w:t>
            </w:r>
          </w:p>
          <w:p w14:paraId="19BFF4B8">
            <w:pPr>
              <w:pStyle w:val="6"/>
              <w:tabs>
                <w:tab w:val="left" w:pos="805"/>
              </w:tabs>
              <w:spacing w:line="360" w:lineRule="exact"/>
              <w:ind w:left="42" w:leftChars="20" w:right="42" w:rightChars="20" w:firstLine="420" w:firstLineChars="200"/>
              <w:rPr>
                <w:rFonts w:ascii="宋体" w:hAnsi="宋体" w:eastAsia="宋体" w:cs="宋体"/>
                <w:color w:val="auto"/>
                <w:szCs w:val="21"/>
                <w:highlight w:val="none"/>
              </w:rPr>
            </w:pPr>
            <w:r>
              <w:rPr>
                <w:rFonts w:ascii="宋体" w:hAnsi="宋体" w:eastAsia="宋体" w:cs="宋体"/>
                <w:color w:val="auto"/>
                <w:szCs w:val="21"/>
                <w:highlight w:val="none"/>
              </w:rPr>
              <w:t>（1）按招标文件规定被认定为最新年度广东省公路工程从业单位信用评价等级较高的投标人优先；</w:t>
            </w:r>
          </w:p>
          <w:p w14:paraId="11AE4AFC">
            <w:pPr>
              <w:pStyle w:val="6"/>
              <w:tabs>
                <w:tab w:val="left" w:pos="805"/>
              </w:tabs>
              <w:spacing w:line="360" w:lineRule="exact"/>
              <w:ind w:left="42" w:leftChars="20" w:right="42" w:rightChars="20" w:firstLine="420" w:firstLineChars="200"/>
              <w:rPr>
                <w:rFonts w:ascii="宋体" w:hAnsi="宋体" w:eastAsia="宋体" w:cs="宋体"/>
                <w:color w:val="auto"/>
                <w:szCs w:val="21"/>
                <w:highlight w:val="none"/>
              </w:rPr>
            </w:pPr>
            <w:r>
              <w:rPr>
                <w:rFonts w:ascii="宋体" w:hAnsi="宋体" w:eastAsia="宋体" w:cs="宋体"/>
                <w:color w:val="auto"/>
                <w:szCs w:val="21"/>
                <w:highlight w:val="none"/>
              </w:rPr>
              <w:t>【采用如下的优先顺序：承诺使用的 AA 级投标人、不承诺使用的 AA 级投标 人、承诺使用的 A 级投标人、不承诺使用的 A 级投标人、B 级投标人、未参评且被确定为 B 级投标人】</w:t>
            </w:r>
          </w:p>
          <w:p w14:paraId="6F37E1EA">
            <w:pPr>
              <w:pStyle w:val="6"/>
              <w:tabs>
                <w:tab w:val="left" w:pos="805"/>
              </w:tabs>
              <w:spacing w:line="360" w:lineRule="exact"/>
              <w:ind w:left="42" w:leftChars="20" w:right="42" w:rightChars="20" w:firstLine="420" w:firstLineChars="200"/>
              <w:rPr>
                <w:rFonts w:ascii="宋体" w:hAnsi="宋体" w:eastAsia="宋体" w:cs="宋体"/>
                <w:color w:val="auto"/>
                <w:szCs w:val="21"/>
                <w:highlight w:val="none"/>
              </w:rPr>
            </w:pPr>
            <w:r>
              <w:rPr>
                <w:rFonts w:ascii="宋体" w:hAnsi="宋体" w:eastAsia="宋体" w:cs="宋体"/>
                <w:color w:val="auto"/>
                <w:szCs w:val="21"/>
                <w:highlight w:val="none"/>
              </w:rPr>
              <w:t>（2）以投标人企业最新年度净资产较高的优先；</w:t>
            </w:r>
          </w:p>
          <w:p w14:paraId="0F5C0E21">
            <w:pPr>
              <w:pStyle w:val="6"/>
              <w:tabs>
                <w:tab w:val="left" w:pos="805"/>
              </w:tabs>
              <w:spacing w:line="360" w:lineRule="exact"/>
              <w:ind w:left="42" w:leftChars="20" w:right="42" w:rightChars="20" w:firstLine="420" w:firstLineChars="200"/>
              <w:rPr>
                <w:rFonts w:ascii="宋体" w:hAnsi="宋体" w:cs="宋体"/>
                <w:color w:val="auto"/>
                <w:szCs w:val="21"/>
                <w:highlight w:val="none"/>
              </w:rPr>
            </w:pPr>
            <w:r>
              <w:rPr>
                <w:rFonts w:ascii="宋体" w:hAnsi="宋体" w:eastAsia="宋体" w:cs="宋体"/>
                <w:color w:val="auto"/>
                <w:szCs w:val="21"/>
                <w:highlight w:val="none"/>
              </w:rPr>
              <w:t>（3）评标委员会视投标人情况综合比较，投票确定其名次。</w:t>
            </w:r>
          </w:p>
        </w:tc>
      </w:tr>
      <w:tr w14:paraId="3EFF6649">
        <w:tblPrEx>
          <w:tblCellMar>
            <w:top w:w="0" w:type="dxa"/>
            <w:left w:w="0" w:type="dxa"/>
            <w:bottom w:w="0" w:type="dxa"/>
            <w:right w:w="0" w:type="dxa"/>
          </w:tblCellMar>
        </w:tblPrEx>
        <w:trPr>
          <w:trHeight w:val="499" w:hRule="atLeast"/>
          <w:jc w:val="center"/>
        </w:trPr>
        <w:tc>
          <w:tcPr>
            <w:tcW w:w="911" w:type="dxa"/>
            <w:tcBorders>
              <w:top w:val="single" w:color="010101" w:sz="4" w:space="0"/>
              <w:left w:val="single" w:color="010101" w:sz="4" w:space="0"/>
              <w:bottom w:val="single" w:color="010101" w:sz="4" w:space="0"/>
              <w:right w:val="single" w:color="010101" w:sz="4" w:space="0"/>
            </w:tcBorders>
            <w:noWrap w:val="0"/>
            <w:vAlign w:val="center"/>
          </w:tcPr>
          <w:p w14:paraId="796BF6D9">
            <w:pPr>
              <w:pStyle w:val="6"/>
              <w:spacing w:line="360" w:lineRule="exact"/>
              <w:ind w:left="42" w:leftChars="20" w:right="42" w:rightChars="20"/>
              <w:jc w:val="center"/>
              <w:rPr>
                <w:rFonts w:ascii="宋体" w:hAnsi="Calibri"/>
                <w:color w:val="auto"/>
                <w:szCs w:val="21"/>
                <w:highlight w:val="none"/>
              </w:rPr>
            </w:pPr>
            <w:r>
              <w:rPr>
                <w:rFonts w:ascii="宋体" w:hAnsi="Calibri"/>
                <w:color w:val="auto"/>
                <w:szCs w:val="21"/>
                <w:highlight w:val="none"/>
              </w:rPr>
              <w:t>2.1.1</w:t>
            </w:r>
          </w:p>
          <w:p w14:paraId="231885E8">
            <w:pPr>
              <w:pStyle w:val="6"/>
              <w:spacing w:line="360" w:lineRule="exact"/>
              <w:ind w:left="42" w:leftChars="20" w:right="42" w:rightChars="20"/>
              <w:jc w:val="center"/>
              <w:rPr>
                <w:rFonts w:ascii="宋体" w:hAnsi="宋体" w:cs="宋体"/>
                <w:color w:val="auto"/>
                <w:szCs w:val="21"/>
                <w:highlight w:val="none"/>
              </w:rPr>
            </w:pPr>
            <w:r>
              <w:rPr>
                <w:rFonts w:ascii="宋体" w:hAnsi="Calibri"/>
                <w:color w:val="auto"/>
                <w:szCs w:val="21"/>
                <w:highlight w:val="none"/>
              </w:rPr>
              <w:t>2.1.3</w:t>
            </w:r>
          </w:p>
        </w:tc>
        <w:tc>
          <w:tcPr>
            <w:tcW w:w="1130" w:type="dxa"/>
            <w:tcBorders>
              <w:top w:val="single" w:color="010101" w:sz="4" w:space="0"/>
              <w:left w:val="single" w:color="010101" w:sz="4" w:space="0"/>
              <w:bottom w:val="single" w:color="010101" w:sz="4" w:space="0"/>
              <w:right w:val="single" w:color="010101" w:sz="4" w:space="0"/>
            </w:tcBorders>
            <w:noWrap w:val="0"/>
            <w:vAlign w:val="center"/>
          </w:tcPr>
          <w:p w14:paraId="72697544">
            <w:pPr>
              <w:pStyle w:val="6"/>
              <w:spacing w:line="360" w:lineRule="exact"/>
              <w:ind w:left="42" w:leftChars="20" w:right="42" w:rightChars="20"/>
              <w:jc w:val="center"/>
              <w:rPr>
                <w:rFonts w:ascii="宋体" w:hAnsi="宋体" w:cs="宋体"/>
                <w:color w:val="auto"/>
                <w:szCs w:val="21"/>
                <w:highlight w:val="none"/>
              </w:rPr>
            </w:pPr>
            <w:r>
              <w:rPr>
                <w:rFonts w:ascii="宋体" w:hAnsi="宋体" w:cs="宋体"/>
                <w:color w:val="auto"/>
                <w:szCs w:val="21"/>
                <w:highlight w:val="none"/>
              </w:rPr>
              <w:t>形式评审与响应性评审标准</w:t>
            </w:r>
          </w:p>
        </w:tc>
        <w:tc>
          <w:tcPr>
            <w:tcW w:w="6920" w:type="dxa"/>
            <w:tcBorders>
              <w:top w:val="single" w:color="010101" w:sz="4" w:space="0"/>
              <w:left w:val="single" w:color="010101" w:sz="4" w:space="0"/>
              <w:bottom w:val="single" w:color="010101" w:sz="4" w:space="0"/>
              <w:right w:val="single" w:color="010101" w:sz="4" w:space="0"/>
            </w:tcBorders>
            <w:noWrap w:val="0"/>
            <w:vAlign w:val="center"/>
          </w:tcPr>
          <w:p w14:paraId="60AF823C">
            <w:pPr>
              <w:pStyle w:val="6"/>
              <w:spacing w:line="360" w:lineRule="exact"/>
              <w:ind w:left="42" w:leftChars="20" w:right="42" w:rightChars="20"/>
              <w:rPr>
                <w:rFonts w:ascii="宋体" w:hAnsi="宋体" w:cs="宋体"/>
                <w:color w:val="auto"/>
                <w:szCs w:val="21"/>
                <w:highlight w:val="none"/>
              </w:rPr>
            </w:pPr>
            <w:r>
              <w:rPr>
                <w:rFonts w:ascii="宋体" w:hAnsi="宋体" w:cs="宋体"/>
                <w:b/>
                <w:bCs/>
                <w:color w:val="auto"/>
                <w:szCs w:val="21"/>
                <w:highlight w:val="none"/>
              </w:rPr>
              <w:t>第一个信封（商务及技术文件）评审标准</w:t>
            </w:r>
            <w:r>
              <w:rPr>
                <w:rFonts w:ascii="宋体" w:hAnsi="宋体" w:cs="宋体"/>
                <w:color w:val="auto"/>
                <w:szCs w:val="21"/>
                <w:highlight w:val="none"/>
              </w:rPr>
              <w:t>：</w:t>
            </w:r>
          </w:p>
          <w:p w14:paraId="4E05454B">
            <w:pPr>
              <w:pStyle w:val="6"/>
              <w:spacing w:line="360" w:lineRule="exact"/>
              <w:ind w:left="42" w:leftChars="20" w:right="42" w:rightChars="20" w:firstLine="420" w:firstLineChars="200"/>
              <w:rPr>
                <w:rFonts w:ascii="宋体" w:hAnsi="宋体" w:cs="宋体"/>
                <w:color w:val="auto"/>
                <w:szCs w:val="21"/>
                <w:highlight w:val="none"/>
              </w:rPr>
            </w:pPr>
            <w:r>
              <w:rPr>
                <w:rFonts w:hint="eastAsia" w:ascii="宋体" w:hAnsi="宋体" w:cs="宋体"/>
                <w:color w:val="auto"/>
                <w:szCs w:val="21"/>
                <w:highlight w:val="none"/>
              </w:rPr>
              <w:t>（1）</w:t>
            </w:r>
            <w:r>
              <w:rPr>
                <w:rFonts w:ascii="宋体" w:hAnsi="宋体" w:cs="宋体"/>
                <w:color w:val="auto"/>
                <w:szCs w:val="21"/>
                <w:highlight w:val="none"/>
              </w:rPr>
              <w:t>投标文件按照招标文件规定的格式、内容填写，字迹清晰可辨：</w:t>
            </w:r>
          </w:p>
          <w:p w14:paraId="666BDD54">
            <w:pPr>
              <w:pStyle w:val="6"/>
              <w:tabs>
                <w:tab w:val="left" w:pos="805"/>
              </w:tabs>
              <w:spacing w:line="360" w:lineRule="exact"/>
              <w:ind w:left="42" w:leftChars="20" w:right="42" w:rightChars="20" w:firstLine="420" w:firstLineChars="200"/>
              <w:rPr>
                <w:rFonts w:ascii="宋体" w:hAnsi="宋体" w:cs="宋体"/>
                <w:color w:val="auto"/>
                <w:szCs w:val="21"/>
                <w:highlight w:val="none"/>
              </w:rPr>
            </w:pPr>
            <w:r>
              <w:rPr>
                <w:rFonts w:ascii="宋体" w:hAnsi="宋体" w:cs="宋体"/>
                <w:color w:val="auto"/>
                <w:szCs w:val="21"/>
                <w:highlight w:val="none"/>
              </w:rPr>
              <w:t>a.投标函按招标文件规定填报了项目名称、补遗书编号（如有)、工期、工程质量要求及安全目标；</w:t>
            </w:r>
          </w:p>
          <w:p w14:paraId="26541913">
            <w:pPr>
              <w:pStyle w:val="6"/>
              <w:tabs>
                <w:tab w:val="left" w:pos="805"/>
              </w:tabs>
              <w:spacing w:line="360" w:lineRule="exact"/>
              <w:ind w:left="42" w:leftChars="20" w:right="42" w:rightChars="20" w:firstLine="420" w:firstLineChars="200"/>
              <w:rPr>
                <w:rFonts w:ascii="宋体" w:hAnsi="宋体" w:cs="宋体"/>
                <w:color w:val="auto"/>
                <w:szCs w:val="21"/>
                <w:highlight w:val="none"/>
              </w:rPr>
            </w:pPr>
            <w:r>
              <w:rPr>
                <w:rFonts w:ascii="宋体" w:hAnsi="宋体" w:cs="宋体"/>
                <w:color w:val="auto"/>
                <w:szCs w:val="21"/>
                <w:highlight w:val="none"/>
              </w:rPr>
              <w:t>b.投标函附录的所有数据均符合招标文件规定；</w:t>
            </w:r>
          </w:p>
          <w:p w14:paraId="5072A417">
            <w:pPr>
              <w:pStyle w:val="6"/>
              <w:spacing w:line="360" w:lineRule="exact"/>
              <w:ind w:left="42" w:leftChars="20" w:right="42" w:rightChars="20" w:firstLine="420" w:firstLineChars="200"/>
              <w:rPr>
                <w:rFonts w:ascii="宋体" w:hAnsi="宋体" w:cs="宋体"/>
                <w:color w:val="auto"/>
                <w:szCs w:val="21"/>
                <w:highlight w:val="none"/>
              </w:rPr>
            </w:pPr>
            <w:r>
              <w:rPr>
                <w:rFonts w:ascii="宋体" w:hAnsi="宋体" w:cs="宋体"/>
                <w:color w:val="auto"/>
                <w:szCs w:val="21"/>
                <w:highlight w:val="none"/>
              </w:rPr>
              <w:t>c.投标文件组成齐全完整，内容均按规定填写。</w:t>
            </w:r>
          </w:p>
          <w:p w14:paraId="1A1247CF">
            <w:pPr>
              <w:pStyle w:val="6"/>
              <w:spacing w:line="360" w:lineRule="exact"/>
              <w:ind w:left="42" w:leftChars="20" w:right="42" w:rightChars="20" w:firstLine="420" w:firstLineChars="200"/>
              <w:rPr>
                <w:rFonts w:ascii="宋体" w:hAnsi="宋体" w:cs="宋体"/>
                <w:color w:val="auto"/>
                <w:szCs w:val="21"/>
                <w:highlight w:val="none"/>
              </w:rPr>
            </w:pPr>
            <w:r>
              <w:rPr>
                <w:rFonts w:hint="eastAsia" w:ascii="宋体" w:hAnsi="宋体" w:cs="宋体"/>
                <w:color w:val="auto"/>
                <w:szCs w:val="21"/>
                <w:highlight w:val="none"/>
              </w:rPr>
              <w:t>（2）</w:t>
            </w:r>
            <w:r>
              <w:rPr>
                <w:rFonts w:ascii="宋体" w:hAnsi="宋体" w:cs="宋体"/>
                <w:color w:val="auto"/>
                <w:szCs w:val="21"/>
                <w:highlight w:val="none"/>
              </w:rPr>
              <w:t>投标文件上法定代表人或其委托代理人的签字、投标人的单位章盖章齐全，符合招标文件规定。</w:t>
            </w:r>
          </w:p>
          <w:p w14:paraId="05AD7C04">
            <w:pPr>
              <w:pStyle w:val="6"/>
              <w:spacing w:line="360" w:lineRule="exact"/>
              <w:ind w:left="42" w:leftChars="20" w:right="42" w:rightChars="20" w:firstLine="420" w:firstLineChars="200"/>
              <w:rPr>
                <w:rFonts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3</w:t>
            </w:r>
            <w:r>
              <w:rPr>
                <w:rFonts w:hint="eastAsia" w:ascii="宋体" w:hAnsi="宋体" w:cs="宋体"/>
                <w:color w:val="auto"/>
                <w:szCs w:val="21"/>
                <w:highlight w:val="none"/>
              </w:rPr>
              <w:t>）</w:t>
            </w:r>
            <w:r>
              <w:rPr>
                <w:rFonts w:ascii="宋体" w:hAnsi="宋体" w:cs="宋体"/>
                <w:color w:val="auto"/>
                <w:szCs w:val="21"/>
                <w:highlight w:val="none"/>
              </w:rPr>
              <w:t>投标人按照招标文件的规定提供了投标保证金：</w:t>
            </w:r>
          </w:p>
          <w:p w14:paraId="456271E6">
            <w:pPr>
              <w:pStyle w:val="6"/>
              <w:spacing w:line="360" w:lineRule="exact"/>
              <w:ind w:left="42" w:leftChars="20" w:right="42" w:rightChars="20" w:firstLine="420" w:firstLineChars="200"/>
              <w:rPr>
                <w:rFonts w:ascii="宋体" w:hAnsi="宋体" w:cs="宋体"/>
                <w:color w:val="auto"/>
                <w:szCs w:val="21"/>
                <w:highlight w:val="none"/>
              </w:rPr>
            </w:pPr>
            <w:r>
              <w:rPr>
                <w:rFonts w:ascii="宋体" w:hAnsi="宋体" w:cs="宋体"/>
                <w:color w:val="auto"/>
                <w:szCs w:val="21"/>
                <w:highlight w:val="none"/>
              </w:rPr>
              <w:t>a.投标保证金金额符合招标文件规定的金额，且投标保证金有效期不少于投标有效期；</w:t>
            </w:r>
          </w:p>
          <w:p w14:paraId="3B37303C">
            <w:pPr>
              <w:pStyle w:val="6"/>
              <w:spacing w:line="360" w:lineRule="exact"/>
              <w:ind w:left="42" w:leftChars="20" w:right="42" w:rightChars="20" w:firstLine="420" w:firstLineChars="200"/>
              <w:rPr>
                <w:rFonts w:ascii="宋体" w:hAnsi="宋体" w:cs="宋体"/>
                <w:color w:val="auto"/>
                <w:szCs w:val="21"/>
                <w:highlight w:val="none"/>
              </w:rPr>
            </w:pPr>
            <w:r>
              <w:rPr>
                <w:rFonts w:ascii="宋体" w:hAnsi="宋体" w:cs="宋体"/>
                <w:color w:val="auto"/>
                <w:szCs w:val="21"/>
                <w:highlight w:val="none"/>
              </w:rPr>
              <w:t>b.若投标保证金采用</w:t>
            </w:r>
            <w:r>
              <w:rPr>
                <w:rFonts w:hint="eastAsia" w:ascii="宋体" w:hAnsi="宋体" w:cs="宋体"/>
                <w:color w:val="auto"/>
                <w:szCs w:val="21"/>
                <w:highlight w:val="none"/>
              </w:rPr>
              <w:t>银行转账</w:t>
            </w:r>
            <w:r>
              <w:rPr>
                <w:rFonts w:ascii="宋体" w:hAnsi="宋体" w:cs="宋体"/>
                <w:color w:val="auto"/>
                <w:szCs w:val="21"/>
                <w:highlight w:val="none"/>
              </w:rPr>
              <w:t>形式提交，投标人应在投标人须知3.4.1项规定的时间，将投标保证金由投标人的基本账户转入招标人指定账户；</w:t>
            </w:r>
          </w:p>
          <w:p w14:paraId="0F92A6A2">
            <w:pPr>
              <w:pStyle w:val="6"/>
              <w:spacing w:line="360" w:lineRule="exact"/>
              <w:ind w:left="42" w:leftChars="20" w:right="42" w:rightChars="20" w:firstLine="420" w:firstLineChars="200"/>
              <w:rPr>
                <w:rFonts w:ascii="宋体" w:hAnsi="宋体" w:cs="宋体"/>
                <w:color w:val="auto"/>
                <w:szCs w:val="21"/>
                <w:highlight w:val="none"/>
              </w:rPr>
            </w:pPr>
            <w:r>
              <w:rPr>
                <w:rFonts w:ascii="宋体" w:hAnsi="宋体" w:cs="宋体"/>
                <w:color w:val="auto"/>
                <w:szCs w:val="21"/>
                <w:highlight w:val="none"/>
              </w:rPr>
              <w:t>c.若投标保证金采用银行保函</w:t>
            </w:r>
            <w:r>
              <w:rPr>
                <w:rFonts w:hint="eastAsia" w:ascii="宋体" w:hAnsi="宋体" w:cs="宋体"/>
                <w:color w:val="auto"/>
                <w:szCs w:val="21"/>
                <w:highlight w:val="none"/>
              </w:rPr>
              <w:t>或投标人须知前附表3.4.1项规定的其他形式提交，应满足招标文件要求。</w:t>
            </w:r>
          </w:p>
          <w:p w14:paraId="32A6BA52">
            <w:pPr>
              <w:pStyle w:val="6"/>
              <w:spacing w:line="360" w:lineRule="exact"/>
              <w:ind w:left="42" w:leftChars="20" w:right="42" w:rightChars="20" w:firstLine="420" w:firstLineChars="200"/>
              <w:rPr>
                <w:rFonts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4</w:t>
            </w:r>
            <w:r>
              <w:rPr>
                <w:rFonts w:hint="eastAsia" w:ascii="宋体" w:hAnsi="宋体" w:cs="宋体"/>
                <w:color w:val="auto"/>
                <w:szCs w:val="21"/>
                <w:highlight w:val="none"/>
              </w:rPr>
              <w:t>）</w:t>
            </w:r>
            <w:r>
              <w:rPr>
                <w:rFonts w:ascii="宋体" w:hAnsi="宋体" w:cs="宋体"/>
                <w:color w:val="auto"/>
                <w:szCs w:val="21"/>
                <w:highlight w:val="none"/>
              </w:rPr>
              <w:t>投标人法定代表人授权委托代理人签署投标文件的，需提交授权委托书，且授权人和被授权人均在授权委托书上签名，未使用印章、签名章或其他电子制版签名代替。</w:t>
            </w:r>
          </w:p>
          <w:p w14:paraId="059CF30F">
            <w:pPr>
              <w:pStyle w:val="6"/>
              <w:spacing w:line="360" w:lineRule="exact"/>
              <w:ind w:left="42" w:leftChars="20" w:right="42" w:rightChars="20" w:firstLine="420" w:firstLineChars="200"/>
              <w:rPr>
                <w:rFonts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5</w:t>
            </w:r>
            <w:r>
              <w:rPr>
                <w:rFonts w:hint="eastAsia" w:ascii="宋体" w:hAnsi="宋体" w:cs="宋体"/>
                <w:color w:val="auto"/>
                <w:szCs w:val="21"/>
                <w:highlight w:val="none"/>
              </w:rPr>
              <w:t>）</w:t>
            </w:r>
            <w:r>
              <w:rPr>
                <w:rFonts w:ascii="宋体" w:hAnsi="宋体" w:cs="宋体"/>
                <w:color w:val="auto"/>
                <w:szCs w:val="21"/>
                <w:highlight w:val="none"/>
              </w:rPr>
              <w:t>投标人法定代表人亲自签署投标文件的，提供了法定代表人身份证明，且法定代表人在法定代表人身份证明上签名，未使用印章、签名章或其他电子制版签名代替。</w:t>
            </w:r>
          </w:p>
          <w:p w14:paraId="25D78ADC">
            <w:pPr>
              <w:pStyle w:val="6"/>
              <w:spacing w:line="360" w:lineRule="exact"/>
              <w:ind w:left="42" w:leftChars="20" w:right="42" w:rightChars="20" w:firstLine="420" w:firstLineChars="200"/>
              <w:rPr>
                <w:rFonts w:ascii="宋体" w:hAnsi="宋体" w:cs="宋体"/>
                <w:color w:val="auto"/>
                <w:szCs w:val="21"/>
                <w:highlight w:val="none"/>
              </w:rPr>
            </w:pPr>
            <w:r>
              <w:rPr>
                <w:rFonts w:ascii="宋体" w:hAnsi="宋体" w:cs="宋体"/>
                <w:color w:val="auto"/>
                <w:szCs w:val="21"/>
                <w:highlight w:val="none"/>
              </w:rPr>
              <w:t>（</w:t>
            </w:r>
            <w:r>
              <w:rPr>
                <w:rFonts w:hint="eastAsia" w:ascii="宋体" w:hAnsi="宋体" w:cs="宋体"/>
                <w:color w:val="auto"/>
                <w:szCs w:val="21"/>
                <w:highlight w:val="none"/>
                <w:lang w:val="en-US" w:eastAsia="zh-CN"/>
              </w:rPr>
              <w:t>6</w:t>
            </w:r>
            <w:r>
              <w:rPr>
                <w:rFonts w:ascii="宋体" w:hAnsi="宋体" w:cs="宋体"/>
                <w:color w:val="auto"/>
                <w:szCs w:val="21"/>
                <w:highlight w:val="none"/>
              </w:rPr>
              <w:t>）投标人以联合体形式投标时，联合体满足招标文件的要求：</w:t>
            </w:r>
          </w:p>
          <w:p w14:paraId="3E11B7A2">
            <w:pPr>
              <w:pStyle w:val="6"/>
              <w:spacing w:line="360" w:lineRule="exact"/>
              <w:ind w:left="42" w:leftChars="20" w:right="42" w:rightChars="20" w:firstLine="420" w:firstLineChars="200"/>
              <w:rPr>
                <w:rFonts w:hint="eastAsia" w:ascii="宋体" w:hAnsi="宋体" w:eastAsia="宋体" w:cs="宋体"/>
                <w:color w:val="auto"/>
                <w:szCs w:val="21"/>
                <w:highlight w:val="none"/>
                <w:lang w:eastAsia="zh-CN"/>
              </w:rPr>
            </w:pPr>
            <w:r>
              <w:rPr>
                <w:rFonts w:ascii="宋体" w:hAnsi="宋体" w:cs="宋体"/>
                <w:color w:val="auto"/>
                <w:szCs w:val="21"/>
                <w:highlight w:val="none"/>
              </w:rPr>
              <w:t>a.投标人按照招标文件提供的格式签订了联合体协议书，明确各方承担连带责任，并明确了联合体牵头人</w:t>
            </w:r>
            <w:r>
              <w:rPr>
                <w:rFonts w:hint="eastAsia" w:ascii="宋体" w:hAnsi="宋体" w:cs="宋体"/>
                <w:color w:val="auto"/>
                <w:szCs w:val="21"/>
                <w:highlight w:val="none"/>
                <w:lang w:eastAsia="zh-CN"/>
              </w:rPr>
              <w:t>。</w:t>
            </w:r>
          </w:p>
          <w:p w14:paraId="5F11A040">
            <w:pPr>
              <w:pStyle w:val="6"/>
              <w:spacing w:line="360" w:lineRule="exact"/>
              <w:ind w:left="42" w:leftChars="20" w:right="42" w:rightChars="20" w:firstLine="420" w:firstLineChars="200"/>
              <w:rPr>
                <w:rFonts w:ascii="宋体" w:hAnsi="宋体" w:cs="宋体"/>
                <w:color w:val="auto"/>
                <w:szCs w:val="21"/>
                <w:highlight w:val="none"/>
              </w:rPr>
            </w:pP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7</w:t>
            </w:r>
            <w:r>
              <w:rPr>
                <w:rFonts w:hint="eastAsia" w:ascii="宋体" w:hAnsi="宋体" w:cs="宋体"/>
                <w:color w:val="auto"/>
                <w:szCs w:val="21"/>
                <w:highlight w:val="none"/>
                <w:lang w:eastAsia="zh-CN"/>
              </w:rPr>
              <w:t>）</w:t>
            </w:r>
            <w:r>
              <w:rPr>
                <w:rFonts w:ascii="宋体" w:hAnsi="宋体" w:cs="宋体"/>
                <w:color w:val="auto"/>
                <w:szCs w:val="21"/>
                <w:highlight w:val="none"/>
              </w:rPr>
              <w:t>同一投标人未提交两个以上不同的投标文件，但招标文件要求提交备选投标的除外。</w:t>
            </w:r>
          </w:p>
          <w:p w14:paraId="73AB36A8">
            <w:pPr>
              <w:pStyle w:val="6"/>
              <w:spacing w:line="360" w:lineRule="exact"/>
              <w:ind w:left="42" w:leftChars="20" w:right="42" w:rightChars="20" w:firstLine="420" w:firstLineChars="200"/>
              <w:rPr>
                <w:rFonts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8</w:t>
            </w:r>
            <w:r>
              <w:rPr>
                <w:rFonts w:hint="eastAsia" w:ascii="宋体" w:hAnsi="宋体" w:cs="宋体"/>
                <w:color w:val="auto"/>
                <w:szCs w:val="21"/>
                <w:highlight w:val="none"/>
              </w:rPr>
              <w:t>）</w:t>
            </w:r>
            <w:r>
              <w:rPr>
                <w:rFonts w:ascii="宋体" w:hAnsi="宋体" w:cs="宋体"/>
                <w:color w:val="auto"/>
                <w:szCs w:val="21"/>
                <w:highlight w:val="none"/>
              </w:rPr>
              <w:t>投标文件中未出现有关投标报价的内容。</w:t>
            </w:r>
          </w:p>
          <w:p w14:paraId="79F66069">
            <w:pPr>
              <w:pStyle w:val="6"/>
              <w:spacing w:line="360" w:lineRule="exact"/>
              <w:ind w:left="42" w:leftChars="20" w:right="42" w:rightChars="20" w:firstLine="420" w:firstLineChars="200"/>
              <w:rPr>
                <w:rFonts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9</w:t>
            </w:r>
            <w:r>
              <w:rPr>
                <w:rFonts w:hint="eastAsia" w:ascii="宋体" w:hAnsi="宋体" w:cs="宋体"/>
                <w:color w:val="auto"/>
                <w:szCs w:val="21"/>
                <w:highlight w:val="none"/>
              </w:rPr>
              <w:t>）</w:t>
            </w:r>
            <w:r>
              <w:rPr>
                <w:rFonts w:ascii="宋体" w:hAnsi="宋体" w:cs="宋体"/>
                <w:color w:val="auto"/>
                <w:szCs w:val="21"/>
                <w:highlight w:val="none"/>
              </w:rPr>
              <w:t>投标文件载明的招标项目完成期限未超过招标文件规定的时限。</w:t>
            </w:r>
          </w:p>
          <w:p w14:paraId="79B56823">
            <w:pPr>
              <w:pStyle w:val="6"/>
              <w:spacing w:line="360" w:lineRule="exact"/>
              <w:ind w:left="42" w:leftChars="20" w:right="42" w:rightChars="20" w:firstLine="420" w:firstLineChars="200"/>
              <w:rPr>
                <w:rFonts w:ascii="宋体" w:hAnsi="宋体" w:cs="宋体"/>
                <w:color w:val="auto"/>
                <w:szCs w:val="21"/>
                <w:highlight w:val="none"/>
              </w:rPr>
            </w:pPr>
            <w:r>
              <w:rPr>
                <w:rFonts w:ascii="宋体" w:hAnsi="宋体" w:cs="宋体"/>
                <w:color w:val="auto"/>
                <w:szCs w:val="21"/>
                <w:highlight w:val="none"/>
              </w:rPr>
              <w:t>（</w:t>
            </w:r>
            <w:r>
              <w:rPr>
                <w:rFonts w:hint="eastAsia" w:ascii="宋体" w:hAnsi="宋体" w:cs="宋体"/>
                <w:color w:val="auto"/>
                <w:szCs w:val="21"/>
                <w:highlight w:val="none"/>
                <w:lang w:val="en-US" w:eastAsia="zh-CN"/>
              </w:rPr>
              <w:t>10</w:t>
            </w:r>
            <w:r>
              <w:rPr>
                <w:rFonts w:ascii="宋体" w:hAnsi="宋体" w:cs="宋体"/>
                <w:color w:val="auto"/>
                <w:szCs w:val="21"/>
                <w:highlight w:val="none"/>
              </w:rPr>
              <w:t>）投标文件对招标文件的实质性要求和条件作出响应。</w:t>
            </w:r>
          </w:p>
          <w:p w14:paraId="42299381">
            <w:pPr>
              <w:pStyle w:val="6"/>
              <w:spacing w:line="360" w:lineRule="exact"/>
              <w:ind w:left="42" w:leftChars="20" w:right="42" w:rightChars="20" w:firstLine="420" w:firstLineChars="200"/>
              <w:rPr>
                <w:rFonts w:ascii="宋体" w:hAns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lang w:val="en-US" w:eastAsia="zh-CN"/>
              </w:rPr>
              <w:t>1</w:t>
            </w:r>
            <w:r>
              <w:rPr>
                <w:rFonts w:ascii="宋体" w:hAnsi="宋体" w:cs="宋体"/>
                <w:color w:val="auto"/>
                <w:szCs w:val="21"/>
                <w:highlight w:val="none"/>
              </w:rPr>
              <w:t>）权利义务符合招标文件规定：</w:t>
            </w:r>
          </w:p>
          <w:p w14:paraId="25136D9E">
            <w:pPr>
              <w:pStyle w:val="6"/>
              <w:spacing w:line="360" w:lineRule="exact"/>
              <w:ind w:left="42" w:leftChars="20" w:right="42" w:rightChars="20" w:firstLine="420" w:firstLineChars="200"/>
              <w:rPr>
                <w:rFonts w:ascii="宋体" w:hAnsi="宋体" w:cs="宋体"/>
                <w:color w:val="auto"/>
                <w:szCs w:val="21"/>
                <w:highlight w:val="none"/>
              </w:rPr>
            </w:pPr>
            <w:r>
              <w:rPr>
                <w:rFonts w:ascii="宋体" w:hAnsi="宋体" w:cs="宋体"/>
                <w:color w:val="auto"/>
                <w:szCs w:val="21"/>
                <w:highlight w:val="none"/>
              </w:rPr>
              <w:t>a.投标人应接受招标文件规定的风险划分原则，未提出新的风险划分办法；</w:t>
            </w:r>
          </w:p>
          <w:p w14:paraId="5721CC1D">
            <w:pPr>
              <w:pStyle w:val="6"/>
              <w:spacing w:line="360" w:lineRule="exact"/>
              <w:ind w:left="42" w:leftChars="20" w:right="42" w:rightChars="20" w:firstLine="420" w:firstLineChars="200"/>
              <w:rPr>
                <w:rFonts w:ascii="宋体" w:hAnsi="宋体" w:cs="宋体"/>
                <w:color w:val="auto"/>
                <w:szCs w:val="21"/>
                <w:highlight w:val="none"/>
              </w:rPr>
            </w:pPr>
            <w:r>
              <w:rPr>
                <w:rFonts w:ascii="宋体" w:hAnsi="宋体" w:cs="宋体"/>
                <w:color w:val="auto"/>
                <w:szCs w:val="21"/>
                <w:highlight w:val="none"/>
              </w:rPr>
              <w:t>b.投标人未增加发包人的责任范围，或减少投标人义务；</w:t>
            </w:r>
          </w:p>
          <w:p w14:paraId="1FE248E5">
            <w:pPr>
              <w:pStyle w:val="6"/>
              <w:spacing w:line="360" w:lineRule="exact"/>
              <w:ind w:left="42" w:leftChars="20" w:right="42" w:rightChars="20" w:firstLine="420" w:firstLineChars="200"/>
              <w:rPr>
                <w:rFonts w:ascii="宋体" w:hAnsi="宋体" w:cs="宋体"/>
                <w:color w:val="auto"/>
                <w:szCs w:val="21"/>
                <w:highlight w:val="none"/>
              </w:rPr>
            </w:pPr>
            <w:r>
              <w:rPr>
                <w:rFonts w:ascii="宋体" w:hAnsi="宋体" w:cs="宋体"/>
                <w:color w:val="auto"/>
                <w:szCs w:val="21"/>
                <w:highlight w:val="none"/>
              </w:rPr>
              <w:t>c.投标人未提出不同的工程验收、计量、支付办法；</w:t>
            </w:r>
          </w:p>
          <w:p w14:paraId="6047B002">
            <w:pPr>
              <w:pStyle w:val="6"/>
              <w:spacing w:line="360" w:lineRule="exact"/>
              <w:ind w:left="42" w:leftChars="20" w:right="42" w:rightChars="20" w:firstLine="420" w:firstLineChars="200"/>
              <w:rPr>
                <w:rFonts w:ascii="宋体" w:hAnsi="宋体" w:cs="宋体"/>
                <w:color w:val="auto"/>
                <w:szCs w:val="21"/>
                <w:highlight w:val="none"/>
              </w:rPr>
            </w:pPr>
            <w:r>
              <w:rPr>
                <w:rFonts w:ascii="宋体" w:hAnsi="宋体" w:cs="宋体"/>
                <w:color w:val="auto"/>
                <w:szCs w:val="21"/>
                <w:highlight w:val="none"/>
              </w:rPr>
              <w:t>d.投标人对合同纠纷、事故处理办法未提出异议；</w:t>
            </w:r>
          </w:p>
          <w:p w14:paraId="738DA8F1">
            <w:pPr>
              <w:pStyle w:val="6"/>
              <w:spacing w:line="360" w:lineRule="exact"/>
              <w:ind w:left="42" w:leftChars="20" w:right="42" w:rightChars="20" w:firstLine="420" w:firstLineChars="200"/>
              <w:rPr>
                <w:rFonts w:ascii="宋体" w:hAnsi="宋体" w:cs="宋体"/>
                <w:color w:val="auto"/>
                <w:szCs w:val="21"/>
                <w:highlight w:val="none"/>
              </w:rPr>
            </w:pPr>
            <w:r>
              <w:rPr>
                <w:rFonts w:ascii="宋体" w:hAnsi="宋体" w:cs="宋体"/>
                <w:color w:val="auto"/>
                <w:szCs w:val="21"/>
                <w:highlight w:val="none"/>
              </w:rPr>
              <w:t>e.投标人在投标活动中无欺诈行为；</w:t>
            </w:r>
          </w:p>
          <w:p w14:paraId="727D4DBD">
            <w:pPr>
              <w:pStyle w:val="6"/>
              <w:spacing w:line="360" w:lineRule="exact"/>
              <w:ind w:left="42" w:leftChars="20" w:right="42" w:rightChars="20" w:firstLine="420" w:firstLineChars="200"/>
              <w:rPr>
                <w:rFonts w:ascii="宋体" w:hAnsi="宋体" w:cs="宋体"/>
                <w:color w:val="auto"/>
                <w:szCs w:val="21"/>
                <w:highlight w:val="none"/>
              </w:rPr>
            </w:pPr>
            <w:r>
              <w:rPr>
                <w:rFonts w:ascii="宋体" w:hAnsi="宋体" w:cs="宋体"/>
                <w:color w:val="auto"/>
                <w:szCs w:val="21"/>
                <w:highlight w:val="none"/>
              </w:rPr>
              <w:t>f.投标人未对合同条款有重要保留。</w:t>
            </w:r>
          </w:p>
          <w:p w14:paraId="69E322D7">
            <w:pPr>
              <w:pStyle w:val="6"/>
              <w:spacing w:line="360" w:lineRule="exact"/>
              <w:ind w:left="42" w:leftChars="20" w:right="42" w:rightChars="20" w:firstLine="420" w:firstLineChars="200"/>
              <w:rPr>
                <w:rFonts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w:t>
            </w:r>
            <w:r>
              <w:rPr>
                <w:rFonts w:ascii="宋体" w:hAnsi="宋体" w:cs="宋体"/>
                <w:color w:val="auto"/>
                <w:szCs w:val="21"/>
                <w:highlight w:val="none"/>
              </w:rPr>
              <w:t>投标文件正、副本份数符合招标文件第二章“投标人须知第3.7.4项规定。</w:t>
            </w:r>
          </w:p>
          <w:p w14:paraId="19038F7D">
            <w:pPr>
              <w:pStyle w:val="6"/>
              <w:spacing w:line="360" w:lineRule="exact"/>
              <w:ind w:left="42" w:leftChars="20" w:right="42" w:rightChars="20" w:firstLine="420" w:firstLineChars="200"/>
              <w:rPr>
                <w:rFonts w:hint="eastAsia"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3）</w:t>
            </w:r>
            <w:r>
              <w:rPr>
                <w:rFonts w:ascii="宋体" w:hAnsi="宋体" w:cs="宋体"/>
                <w:color w:val="auto"/>
                <w:szCs w:val="21"/>
                <w:highlight w:val="none"/>
              </w:rPr>
              <w:t>投标文件未附有招标人不能接受的条件。</w:t>
            </w:r>
          </w:p>
          <w:p w14:paraId="01628994">
            <w:pPr>
              <w:pStyle w:val="6"/>
              <w:spacing w:line="360" w:lineRule="exact"/>
              <w:ind w:left="42" w:leftChars="20" w:right="42" w:rightChars="20"/>
              <w:rPr>
                <w:rFonts w:ascii="宋体" w:hAnsi="宋体" w:cs="宋体"/>
                <w:color w:val="auto"/>
                <w:szCs w:val="21"/>
                <w:highlight w:val="none"/>
              </w:rPr>
            </w:pPr>
            <w:r>
              <w:rPr>
                <w:rFonts w:ascii="宋体" w:hAnsi="宋体" w:cs="宋体"/>
                <w:b/>
                <w:bCs/>
                <w:color w:val="auto"/>
                <w:szCs w:val="21"/>
                <w:highlight w:val="none"/>
              </w:rPr>
              <w:t>第二个信封（报价文件）评审标准：</w:t>
            </w:r>
          </w:p>
          <w:p w14:paraId="25122184">
            <w:pPr>
              <w:pStyle w:val="6"/>
              <w:spacing w:line="360" w:lineRule="exact"/>
              <w:ind w:left="42" w:leftChars="20" w:right="42" w:rightChars="20" w:firstLine="420" w:firstLineChars="200"/>
              <w:rPr>
                <w:rFonts w:ascii="宋体" w:hAnsi="宋体" w:cs="宋体"/>
                <w:color w:val="auto"/>
                <w:szCs w:val="21"/>
                <w:highlight w:val="none"/>
              </w:rPr>
            </w:pPr>
            <w:r>
              <w:rPr>
                <w:rFonts w:hint="eastAsia" w:ascii="宋体" w:hAnsi="宋体" w:cs="宋体"/>
                <w:color w:val="auto"/>
                <w:szCs w:val="21"/>
                <w:highlight w:val="none"/>
              </w:rPr>
              <w:t>（1）</w:t>
            </w:r>
            <w:r>
              <w:rPr>
                <w:rFonts w:ascii="宋体" w:hAnsi="宋体" w:cs="宋体"/>
                <w:color w:val="auto"/>
                <w:szCs w:val="21"/>
                <w:highlight w:val="none"/>
              </w:rPr>
              <w:t>投标文件按照招标文件规定的格式、内容填写，字迹清晰可辨：</w:t>
            </w:r>
          </w:p>
          <w:p w14:paraId="53CC9D62">
            <w:pPr>
              <w:pStyle w:val="6"/>
              <w:spacing w:line="360" w:lineRule="exact"/>
              <w:ind w:left="42" w:leftChars="20" w:right="42" w:rightChars="20" w:firstLine="420" w:firstLineChars="200"/>
              <w:rPr>
                <w:rFonts w:ascii="宋体" w:hAnsi="宋体" w:cs="宋体"/>
                <w:color w:val="auto"/>
                <w:szCs w:val="21"/>
                <w:highlight w:val="none"/>
              </w:rPr>
            </w:pPr>
            <w:r>
              <w:rPr>
                <w:rFonts w:ascii="宋体" w:hAnsi="宋体" w:cs="MingLiU"/>
                <w:color w:val="auto"/>
                <w:szCs w:val="21"/>
                <w:highlight w:val="none"/>
              </w:rPr>
              <w:t>a.</w:t>
            </w:r>
            <w:r>
              <w:rPr>
                <w:rFonts w:ascii="宋体" w:hAnsi="宋体" w:cs="宋体"/>
                <w:color w:val="auto"/>
                <w:szCs w:val="21"/>
                <w:highlight w:val="none"/>
              </w:rPr>
              <w:t>投标函按招标文件规定填报了项目名称、补遗书编号（如有)、投标总报价（包括大写金额和小写金额)；</w:t>
            </w:r>
          </w:p>
          <w:p w14:paraId="56965AD4">
            <w:pPr>
              <w:pStyle w:val="6"/>
              <w:spacing w:line="360" w:lineRule="exact"/>
              <w:ind w:left="42" w:leftChars="20" w:right="42" w:rightChars="20" w:firstLine="420" w:firstLineChars="200"/>
              <w:rPr>
                <w:rFonts w:ascii="宋体" w:hAnsi="宋体" w:cs="宋体"/>
                <w:color w:val="auto"/>
                <w:szCs w:val="21"/>
                <w:highlight w:val="none"/>
              </w:rPr>
            </w:pPr>
            <w:r>
              <w:rPr>
                <w:rFonts w:ascii="宋体" w:hAnsi="宋体" w:cs="MingLiU"/>
                <w:color w:val="auto"/>
                <w:szCs w:val="21"/>
                <w:highlight w:val="none"/>
              </w:rPr>
              <w:t>b.</w:t>
            </w:r>
            <w:r>
              <w:rPr>
                <w:rFonts w:ascii="宋体" w:hAnsi="宋体" w:cs="宋体"/>
                <w:color w:val="auto"/>
                <w:szCs w:val="21"/>
                <w:highlight w:val="none"/>
              </w:rPr>
              <w:t>已标价工程量清单说明文字与招标文件规定一致，未进行实质性修改和删减；</w:t>
            </w:r>
          </w:p>
          <w:p w14:paraId="0F0BD056">
            <w:pPr>
              <w:pStyle w:val="6"/>
              <w:spacing w:line="360" w:lineRule="exact"/>
              <w:ind w:left="42" w:leftChars="20" w:right="42" w:rightChars="20" w:firstLine="420" w:firstLineChars="200"/>
              <w:rPr>
                <w:rFonts w:ascii="宋体" w:hAnsi="宋体" w:cs="宋体"/>
                <w:color w:val="auto"/>
                <w:szCs w:val="21"/>
                <w:highlight w:val="none"/>
              </w:rPr>
            </w:pPr>
            <w:r>
              <w:rPr>
                <w:rFonts w:ascii="宋体" w:hAnsi="宋体" w:cs="MingLiU"/>
                <w:color w:val="auto"/>
                <w:szCs w:val="21"/>
                <w:highlight w:val="none"/>
              </w:rPr>
              <w:t>c.</w:t>
            </w:r>
            <w:r>
              <w:rPr>
                <w:rFonts w:ascii="宋体" w:hAnsi="宋体" w:cs="宋体"/>
                <w:color w:val="auto"/>
                <w:szCs w:val="21"/>
                <w:highlight w:val="none"/>
              </w:rPr>
              <w:t>投标文件组成齐全完整，内容均按规定填写。</w:t>
            </w:r>
          </w:p>
          <w:p w14:paraId="13EBD2C7">
            <w:pPr>
              <w:pStyle w:val="6"/>
              <w:spacing w:line="360" w:lineRule="exact"/>
              <w:ind w:left="42" w:leftChars="20" w:right="42" w:rightChars="20" w:firstLine="420" w:firstLineChars="200"/>
              <w:rPr>
                <w:rFonts w:ascii="宋体" w:hAnsi="宋体" w:cs="宋体"/>
                <w:color w:val="auto"/>
                <w:szCs w:val="21"/>
                <w:highlight w:val="none"/>
              </w:rPr>
            </w:pPr>
            <w:r>
              <w:rPr>
                <w:rFonts w:hint="eastAsia" w:ascii="宋体" w:hAnsi="宋体" w:cs="宋体"/>
                <w:color w:val="auto"/>
                <w:szCs w:val="21"/>
                <w:highlight w:val="none"/>
              </w:rPr>
              <w:t>（2）</w:t>
            </w:r>
            <w:r>
              <w:rPr>
                <w:rFonts w:ascii="宋体" w:hAnsi="宋体" w:cs="宋体"/>
                <w:color w:val="auto"/>
                <w:szCs w:val="21"/>
                <w:highlight w:val="none"/>
              </w:rPr>
              <w:t>投标文件上法定代表人或其委托代理人的签字、投标人的单位章盖章齐全，符合招标文件规定。</w:t>
            </w:r>
          </w:p>
          <w:p w14:paraId="7CECABFC">
            <w:pPr>
              <w:pStyle w:val="6"/>
              <w:spacing w:line="360" w:lineRule="exact"/>
              <w:ind w:left="42" w:leftChars="20" w:right="42" w:rightChars="20" w:firstLine="420" w:firstLineChars="200"/>
              <w:rPr>
                <w:rFonts w:ascii="宋体" w:hAnsi="宋体" w:cs="宋体"/>
                <w:color w:val="auto"/>
                <w:szCs w:val="21"/>
                <w:highlight w:val="none"/>
              </w:rPr>
            </w:pPr>
            <w:r>
              <w:rPr>
                <w:rFonts w:hint="eastAsia" w:ascii="宋体" w:hAnsi="宋体" w:cs="宋体"/>
                <w:color w:val="auto"/>
                <w:szCs w:val="21"/>
                <w:highlight w:val="none"/>
              </w:rPr>
              <w:t>（3）</w:t>
            </w:r>
            <w:r>
              <w:rPr>
                <w:rFonts w:ascii="宋体" w:hAnsi="宋体" w:cs="宋体"/>
                <w:color w:val="auto"/>
                <w:szCs w:val="21"/>
                <w:highlight w:val="none"/>
              </w:rPr>
              <w:t>投标</w:t>
            </w:r>
            <w:r>
              <w:rPr>
                <w:rFonts w:hint="eastAsia" w:ascii="宋体" w:hAnsi="宋体" w:cs="宋体"/>
                <w:color w:val="auto"/>
                <w:szCs w:val="21"/>
                <w:highlight w:val="none"/>
              </w:rPr>
              <w:t>总</w:t>
            </w:r>
            <w:r>
              <w:rPr>
                <w:rFonts w:ascii="宋体" w:hAnsi="宋体" w:cs="宋体"/>
                <w:color w:val="auto"/>
                <w:szCs w:val="21"/>
                <w:highlight w:val="none"/>
              </w:rPr>
              <w:t>报价中的报价未超过招标文件设定的最高投标限价（如有）</w:t>
            </w:r>
            <w:r>
              <w:rPr>
                <w:rFonts w:hint="eastAsia" w:ascii="宋体" w:hAnsi="宋体" w:cs="宋体"/>
                <w:color w:val="auto"/>
                <w:szCs w:val="21"/>
                <w:highlight w:val="none"/>
              </w:rPr>
              <w:t>及最高评标限价（如有）</w:t>
            </w:r>
            <w:r>
              <w:rPr>
                <w:rFonts w:ascii="宋体" w:hAnsi="宋体" w:cs="宋体"/>
                <w:color w:val="auto"/>
                <w:szCs w:val="21"/>
                <w:highlight w:val="none"/>
              </w:rPr>
              <w:t>。</w:t>
            </w:r>
          </w:p>
          <w:p w14:paraId="183CA7FF">
            <w:pPr>
              <w:pStyle w:val="6"/>
              <w:spacing w:line="360" w:lineRule="exact"/>
              <w:ind w:left="42" w:leftChars="20" w:right="42" w:rightChars="20" w:firstLine="420" w:firstLineChars="200"/>
              <w:rPr>
                <w:rFonts w:ascii="宋体" w:hAnsi="宋体" w:cs="宋体"/>
                <w:color w:val="auto"/>
                <w:szCs w:val="21"/>
                <w:highlight w:val="none"/>
              </w:rPr>
            </w:pPr>
            <w:r>
              <w:rPr>
                <w:rFonts w:hint="eastAsia" w:ascii="宋体" w:hAnsi="宋体" w:cs="宋体"/>
                <w:color w:val="auto"/>
                <w:szCs w:val="21"/>
                <w:highlight w:val="none"/>
              </w:rPr>
              <w:t>（4）</w:t>
            </w:r>
            <w:r>
              <w:rPr>
                <w:rFonts w:ascii="宋体" w:hAnsi="宋体" w:cs="宋体"/>
                <w:color w:val="auto"/>
                <w:szCs w:val="21"/>
                <w:highlight w:val="none"/>
              </w:rPr>
              <w:t>投标</w:t>
            </w:r>
            <w:r>
              <w:rPr>
                <w:rFonts w:hint="eastAsia" w:ascii="宋体" w:hAnsi="宋体" w:cs="宋体"/>
                <w:color w:val="auto"/>
                <w:szCs w:val="21"/>
                <w:highlight w:val="none"/>
              </w:rPr>
              <w:t>总</w:t>
            </w:r>
            <w:r>
              <w:rPr>
                <w:rFonts w:ascii="宋体" w:hAnsi="宋体" w:cs="宋体"/>
                <w:color w:val="auto"/>
                <w:szCs w:val="21"/>
                <w:highlight w:val="none"/>
              </w:rPr>
              <w:t>报价中报价的大写金额能够确定具体数值。</w:t>
            </w:r>
          </w:p>
          <w:p w14:paraId="565808A5">
            <w:pPr>
              <w:pStyle w:val="6"/>
              <w:spacing w:line="360" w:lineRule="exact"/>
              <w:ind w:left="42" w:leftChars="20" w:right="42" w:rightChars="20" w:firstLine="420" w:firstLineChars="200"/>
              <w:rPr>
                <w:rFonts w:ascii="宋体" w:hAnsi="宋体" w:cs="宋体"/>
                <w:color w:val="auto"/>
                <w:szCs w:val="21"/>
                <w:highlight w:val="none"/>
              </w:rPr>
            </w:pPr>
            <w:r>
              <w:rPr>
                <w:rFonts w:hint="eastAsia" w:ascii="宋体" w:hAnsi="宋体" w:cs="宋体"/>
                <w:color w:val="auto"/>
                <w:szCs w:val="21"/>
                <w:highlight w:val="none"/>
              </w:rPr>
              <w:t>（5）</w:t>
            </w:r>
            <w:r>
              <w:rPr>
                <w:rFonts w:ascii="宋体" w:hAnsi="宋体" w:cs="宋体"/>
                <w:color w:val="auto"/>
                <w:szCs w:val="21"/>
                <w:highlight w:val="none"/>
              </w:rPr>
              <w:t>同一投标人未提交两个以上不同的投标报价，但招标文件要求提交备选投标的除外。</w:t>
            </w:r>
          </w:p>
          <w:p w14:paraId="5D8B91BD">
            <w:pPr>
              <w:pStyle w:val="6"/>
              <w:spacing w:line="360" w:lineRule="exact"/>
              <w:ind w:left="42" w:leftChars="20" w:right="42" w:rightChars="20" w:firstLine="420" w:firstLineChars="200"/>
              <w:rPr>
                <w:rFonts w:hint="eastAsia" w:ascii="宋体" w:hAnsi="宋体" w:cs="宋体"/>
                <w:color w:val="auto"/>
                <w:szCs w:val="21"/>
                <w:highlight w:val="none"/>
              </w:rPr>
            </w:pPr>
            <w:r>
              <w:rPr>
                <w:rFonts w:hint="eastAsia" w:ascii="宋体" w:hAnsi="宋体" w:cs="宋体"/>
                <w:color w:val="auto"/>
                <w:szCs w:val="21"/>
                <w:highlight w:val="none"/>
              </w:rPr>
              <w:t>（6）投标人若填写工程量固化清单，填写完毕的工程量固化清单未对工程量固化清单电子文件中的数据、格式和运算定义进行修改；工程量固化清单中的投标报价和投标函大写金额报价一致。</w:t>
            </w:r>
          </w:p>
          <w:p w14:paraId="264C2A66">
            <w:pPr>
              <w:pStyle w:val="6"/>
              <w:spacing w:line="360" w:lineRule="exact"/>
              <w:ind w:left="42" w:leftChars="20" w:right="42" w:rightChars="20" w:firstLine="420" w:firstLineChars="200"/>
              <w:rPr>
                <w:rFonts w:hint="eastAsia" w:ascii="宋体" w:hAnsi="宋体" w:cs="宋体"/>
                <w:color w:val="auto"/>
                <w:szCs w:val="21"/>
                <w:highlight w:val="none"/>
              </w:rPr>
            </w:pPr>
            <w:r>
              <w:rPr>
                <w:rFonts w:hint="eastAsia" w:ascii="宋体" w:hAnsi="宋体" w:cs="宋体"/>
                <w:color w:val="auto"/>
                <w:szCs w:val="21"/>
                <w:highlight w:val="none"/>
              </w:rPr>
              <w:t>（7）</w:t>
            </w:r>
            <w:r>
              <w:rPr>
                <w:rFonts w:ascii="宋体" w:hAnsi="宋体" w:cs="宋体"/>
                <w:color w:val="auto"/>
                <w:szCs w:val="21"/>
                <w:highlight w:val="none"/>
              </w:rPr>
              <w:t>投标文件正、副本份数符合招标文件第二章“投标人须知”第3.7.4项规定。</w:t>
            </w:r>
          </w:p>
        </w:tc>
      </w:tr>
      <w:tr w14:paraId="5894A947">
        <w:tblPrEx>
          <w:tblCellMar>
            <w:top w:w="0" w:type="dxa"/>
            <w:left w:w="0" w:type="dxa"/>
            <w:bottom w:w="0" w:type="dxa"/>
            <w:right w:w="0" w:type="dxa"/>
          </w:tblCellMar>
        </w:tblPrEx>
        <w:trPr>
          <w:trHeight w:val="1627" w:hRule="atLeast"/>
          <w:jc w:val="center"/>
        </w:trPr>
        <w:tc>
          <w:tcPr>
            <w:tcW w:w="911" w:type="dxa"/>
            <w:tcBorders>
              <w:top w:val="single" w:color="010101" w:sz="4" w:space="0"/>
              <w:left w:val="single" w:color="010101" w:sz="4" w:space="0"/>
              <w:bottom w:val="single" w:color="010101" w:sz="4" w:space="0"/>
              <w:right w:val="single" w:color="010101" w:sz="4" w:space="0"/>
            </w:tcBorders>
            <w:noWrap w:val="0"/>
            <w:vAlign w:val="center"/>
          </w:tcPr>
          <w:p w14:paraId="633D1836">
            <w:pPr>
              <w:pStyle w:val="6"/>
              <w:spacing w:line="360" w:lineRule="exact"/>
              <w:ind w:left="42" w:leftChars="20" w:right="42" w:rightChars="20"/>
              <w:jc w:val="center"/>
              <w:rPr>
                <w:rFonts w:ascii="宋体" w:hAnsi="Calibri"/>
                <w:color w:val="auto"/>
                <w:szCs w:val="21"/>
                <w:highlight w:val="none"/>
              </w:rPr>
            </w:pPr>
            <w:r>
              <w:rPr>
                <w:rFonts w:hint="eastAsia" w:ascii="宋体" w:hAnsi="Calibri"/>
                <w:color w:val="auto"/>
                <w:szCs w:val="21"/>
                <w:highlight w:val="none"/>
              </w:rPr>
              <w:t>2.1.2</w:t>
            </w:r>
          </w:p>
        </w:tc>
        <w:tc>
          <w:tcPr>
            <w:tcW w:w="1130" w:type="dxa"/>
            <w:tcBorders>
              <w:top w:val="single" w:color="010101" w:sz="4" w:space="0"/>
              <w:left w:val="single" w:color="010101" w:sz="4" w:space="0"/>
              <w:bottom w:val="single" w:color="010101" w:sz="4" w:space="0"/>
              <w:right w:val="single" w:color="010101" w:sz="4" w:space="0"/>
            </w:tcBorders>
            <w:noWrap w:val="0"/>
            <w:vAlign w:val="center"/>
          </w:tcPr>
          <w:p w14:paraId="7182D00C">
            <w:pPr>
              <w:pStyle w:val="6"/>
              <w:spacing w:line="360" w:lineRule="exact"/>
              <w:ind w:left="42" w:leftChars="20" w:right="42" w:rightChars="20"/>
              <w:jc w:val="center"/>
              <w:rPr>
                <w:rFonts w:ascii="宋体" w:hAnsi="宋体" w:cs="宋体"/>
                <w:color w:val="auto"/>
                <w:szCs w:val="21"/>
                <w:highlight w:val="none"/>
              </w:rPr>
            </w:pPr>
            <w:r>
              <w:rPr>
                <w:rFonts w:hint="eastAsia" w:ascii="宋体" w:hAnsi="宋体" w:cs="宋体"/>
                <w:color w:val="auto"/>
                <w:szCs w:val="21"/>
                <w:highlight w:val="none"/>
              </w:rPr>
              <w:t>资格评审标准</w:t>
            </w:r>
          </w:p>
        </w:tc>
        <w:tc>
          <w:tcPr>
            <w:tcW w:w="6920" w:type="dxa"/>
            <w:tcBorders>
              <w:top w:val="single" w:color="010101" w:sz="4" w:space="0"/>
              <w:left w:val="single" w:color="010101" w:sz="4" w:space="0"/>
              <w:bottom w:val="single" w:color="010101" w:sz="4" w:space="0"/>
              <w:right w:val="single" w:color="010101" w:sz="4" w:space="0"/>
            </w:tcBorders>
            <w:noWrap w:val="0"/>
            <w:vAlign w:val="center"/>
          </w:tcPr>
          <w:p w14:paraId="682C04C7">
            <w:pPr>
              <w:pStyle w:val="6"/>
              <w:spacing w:line="360" w:lineRule="exact"/>
              <w:ind w:left="42" w:leftChars="20" w:right="42" w:rightChars="20" w:firstLine="420" w:firstLineChars="200"/>
              <w:rPr>
                <w:rFonts w:ascii="宋体" w:hAnsi="宋体" w:cs="宋体"/>
                <w:color w:val="auto"/>
                <w:szCs w:val="21"/>
                <w:highlight w:val="none"/>
              </w:rPr>
            </w:pPr>
            <w:r>
              <w:rPr>
                <w:rFonts w:hint="eastAsia" w:ascii="宋体" w:hAnsi="宋体" w:cs="宋体"/>
                <w:color w:val="auto"/>
                <w:szCs w:val="21"/>
                <w:highlight w:val="none"/>
              </w:rPr>
              <w:t>（1）</w:t>
            </w:r>
            <w:r>
              <w:rPr>
                <w:rFonts w:ascii="宋体" w:hAnsi="宋体" w:cs="宋体"/>
                <w:color w:val="auto"/>
                <w:szCs w:val="21"/>
                <w:highlight w:val="none"/>
              </w:rPr>
              <w:t>投标人具备有效的营业执照、资质证书、安全生产许可证和基本账户开户许可证</w:t>
            </w:r>
            <w:r>
              <w:rPr>
                <w:rFonts w:hint="eastAsia" w:ascii="宋体" w:hAnsi="宋体" w:cs="宋体"/>
                <w:color w:val="auto"/>
                <w:szCs w:val="21"/>
                <w:highlight w:val="none"/>
              </w:rPr>
              <w:t>（如企业所在地已取消企业银行账户许可而无法提供开户 许可证的，则需附上开户银行出具的“基本存款账户信息”或“人民银行账户管理系统查询的基本账户信息截图”）</w:t>
            </w:r>
            <w:r>
              <w:rPr>
                <w:rFonts w:ascii="宋体" w:hAnsi="宋体" w:cs="宋体"/>
                <w:color w:val="auto"/>
                <w:szCs w:val="21"/>
                <w:highlight w:val="none"/>
              </w:rPr>
              <w:t>；</w:t>
            </w:r>
          </w:p>
          <w:p w14:paraId="691C595C">
            <w:pPr>
              <w:pStyle w:val="6"/>
              <w:spacing w:line="360" w:lineRule="exact"/>
              <w:ind w:left="42" w:leftChars="20" w:right="42" w:rightChars="20" w:firstLine="420" w:firstLineChars="200"/>
              <w:rPr>
                <w:rFonts w:ascii="宋体" w:hAnsi="宋体" w:cs="宋体"/>
                <w:color w:val="auto"/>
                <w:szCs w:val="21"/>
                <w:highlight w:val="none"/>
              </w:rPr>
            </w:pPr>
            <w:r>
              <w:rPr>
                <w:rFonts w:hint="eastAsia" w:ascii="宋体" w:hAnsi="宋体" w:cs="宋体"/>
                <w:color w:val="auto"/>
                <w:szCs w:val="21"/>
                <w:highlight w:val="none"/>
              </w:rPr>
              <w:t>（2）</w:t>
            </w:r>
            <w:r>
              <w:rPr>
                <w:rFonts w:ascii="宋体" w:hAnsi="宋体" w:cs="宋体"/>
                <w:color w:val="auto"/>
                <w:szCs w:val="21"/>
                <w:highlight w:val="none"/>
              </w:rPr>
              <w:t>投标人的资质等级符合招标文件规定；</w:t>
            </w:r>
          </w:p>
          <w:p w14:paraId="18B5471E">
            <w:pPr>
              <w:pStyle w:val="6"/>
              <w:spacing w:line="360" w:lineRule="exact"/>
              <w:ind w:left="42" w:leftChars="20" w:right="42" w:rightChars="20" w:firstLine="420" w:firstLineChars="200"/>
              <w:rPr>
                <w:rFonts w:ascii="宋体" w:hAnsi="宋体" w:cs="宋体"/>
                <w:color w:val="auto"/>
                <w:szCs w:val="21"/>
                <w:highlight w:val="none"/>
              </w:rPr>
            </w:pPr>
            <w:r>
              <w:rPr>
                <w:rFonts w:hint="eastAsia" w:ascii="宋体" w:hAnsi="宋体" w:cs="宋体"/>
                <w:color w:val="auto"/>
                <w:szCs w:val="21"/>
                <w:highlight w:val="none"/>
              </w:rPr>
              <w:t>（3）</w:t>
            </w:r>
            <w:r>
              <w:rPr>
                <w:rFonts w:ascii="宋体" w:hAnsi="宋体" w:cs="宋体"/>
                <w:color w:val="auto"/>
                <w:szCs w:val="21"/>
                <w:highlight w:val="none"/>
              </w:rPr>
              <w:t>投标人的财务状况符合招标文件规定；</w:t>
            </w:r>
          </w:p>
          <w:p w14:paraId="58BC44C4">
            <w:pPr>
              <w:pStyle w:val="6"/>
              <w:spacing w:line="360" w:lineRule="exact"/>
              <w:ind w:left="42" w:leftChars="20" w:right="42" w:rightChars="20" w:firstLine="420" w:firstLineChars="200"/>
              <w:rPr>
                <w:rFonts w:ascii="宋体" w:hAnsi="宋体" w:cs="宋体"/>
                <w:color w:val="auto"/>
                <w:szCs w:val="21"/>
                <w:highlight w:val="none"/>
              </w:rPr>
            </w:pPr>
            <w:r>
              <w:rPr>
                <w:rFonts w:hint="eastAsia" w:ascii="宋体" w:hAnsi="宋体" w:cs="宋体"/>
                <w:color w:val="auto"/>
                <w:szCs w:val="21"/>
                <w:highlight w:val="none"/>
              </w:rPr>
              <w:t>（4）</w:t>
            </w:r>
            <w:r>
              <w:rPr>
                <w:rFonts w:ascii="宋体" w:hAnsi="宋体" w:cs="宋体"/>
                <w:color w:val="auto"/>
                <w:szCs w:val="21"/>
                <w:highlight w:val="none"/>
              </w:rPr>
              <w:t>投标人的类似项目业绩符合招标文件规定；</w:t>
            </w:r>
          </w:p>
          <w:p w14:paraId="1C3D83C3">
            <w:pPr>
              <w:pStyle w:val="6"/>
              <w:spacing w:line="360" w:lineRule="exact"/>
              <w:ind w:left="42" w:leftChars="20" w:right="42" w:rightChars="20" w:firstLine="420" w:firstLineChars="200"/>
              <w:rPr>
                <w:rFonts w:ascii="宋体" w:hAnsi="宋体" w:cs="宋体"/>
                <w:color w:val="auto"/>
                <w:szCs w:val="21"/>
                <w:highlight w:val="none"/>
              </w:rPr>
            </w:pPr>
            <w:r>
              <w:rPr>
                <w:rFonts w:hint="eastAsia" w:ascii="宋体" w:hAnsi="宋体" w:cs="宋体"/>
                <w:color w:val="auto"/>
                <w:szCs w:val="21"/>
                <w:highlight w:val="none"/>
              </w:rPr>
              <w:t>（5）</w:t>
            </w:r>
            <w:r>
              <w:rPr>
                <w:rFonts w:ascii="宋体" w:hAnsi="宋体" w:cs="宋体"/>
                <w:color w:val="auto"/>
                <w:szCs w:val="21"/>
                <w:highlight w:val="none"/>
              </w:rPr>
              <w:t>投标人的信誉符合招标文件规定；</w:t>
            </w:r>
          </w:p>
          <w:p w14:paraId="68BA071D">
            <w:pPr>
              <w:pStyle w:val="6"/>
              <w:spacing w:line="360" w:lineRule="exact"/>
              <w:ind w:left="42" w:leftChars="20" w:right="42" w:rightChars="20" w:firstLine="420" w:firstLineChars="200"/>
              <w:rPr>
                <w:rFonts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6</w:t>
            </w:r>
            <w:r>
              <w:rPr>
                <w:rFonts w:hint="eastAsia" w:ascii="宋体" w:hAnsi="宋体" w:cs="宋体"/>
                <w:color w:val="auto"/>
                <w:szCs w:val="21"/>
                <w:highlight w:val="none"/>
              </w:rPr>
              <w:t>）</w:t>
            </w:r>
            <w:r>
              <w:rPr>
                <w:rFonts w:ascii="宋体" w:hAnsi="宋体" w:cs="宋体"/>
                <w:color w:val="auto"/>
                <w:szCs w:val="21"/>
                <w:highlight w:val="none"/>
              </w:rPr>
              <w:t>投标人的项目经理和项目总工资格、在岗情况符合招标文件规定</w:t>
            </w:r>
            <w:r>
              <w:rPr>
                <w:rFonts w:hint="eastAsia" w:ascii="宋体" w:hAnsi="宋体" w:cs="宋体"/>
                <w:color w:val="auto"/>
                <w:szCs w:val="21"/>
                <w:highlight w:val="none"/>
              </w:rPr>
              <w:t>，并按规定在投标文件中签字确认</w:t>
            </w:r>
            <w:r>
              <w:rPr>
                <w:rFonts w:ascii="宋体" w:hAnsi="宋体" w:cs="宋体"/>
                <w:color w:val="auto"/>
                <w:szCs w:val="21"/>
                <w:highlight w:val="none"/>
              </w:rPr>
              <w:t>；</w:t>
            </w:r>
          </w:p>
          <w:p w14:paraId="3C97BED6">
            <w:pPr>
              <w:pStyle w:val="6"/>
              <w:spacing w:line="360" w:lineRule="exact"/>
              <w:ind w:left="42" w:leftChars="20" w:right="42" w:rightChars="20" w:firstLine="420" w:firstLineChars="200"/>
              <w:rPr>
                <w:rFonts w:ascii="宋体" w:hAnsi="宋体" w:cs="宋体"/>
                <w:color w:val="auto"/>
                <w:szCs w:val="21"/>
                <w:highlight w:val="none"/>
              </w:rPr>
            </w:pPr>
            <w:r>
              <w:rPr>
                <w:rFonts w:hint="eastAsia" w:ascii="宋体" w:hAnsi="宋体" w:cs="宋体"/>
                <w:color w:val="auto"/>
                <w:szCs w:val="21"/>
                <w:highlight w:val="none"/>
              </w:rPr>
              <w:t>（7）</w:t>
            </w:r>
            <w:r>
              <w:rPr>
                <w:rFonts w:ascii="宋体" w:hAnsi="宋体" w:cs="宋体"/>
                <w:color w:val="auto"/>
                <w:szCs w:val="21"/>
                <w:highlight w:val="none"/>
              </w:rPr>
              <w:t>投标人的其他要求符合招标文件规定</w:t>
            </w:r>
            <w:r>
              <w:rPr>
                <w:rFonts w:hint="eastAsia" w:ascii="宋体" w:hAnsi="宋体" w:cs="宋体"/>
                <w:color w:val="auto"/>
                <w:szCs w:val="21"/>
                <w:highlight w:val="none"/>
              </w:rPr>
              <w:t>；</w:t>
            </w:r>
          </w:p>
          <w:p w14:paraId="2C4BD614">
            <w:pPr>
              <w:pStyle w:val="6"/>
              <w:spacing w:line="360" w:lineRule="exact"/>
              <w:ind w:left="42" w:leftChars="20" w:right="42" w:rightChars="20" w:firstLine="420" w:firstLineChars="200"/>
              <w:rPr>
                <w:rFonts w:ascii="宋体" w:hAnsi="宋体" w:cs="宋体"/>
                <w:color w:val="auto"/>
                <w:szCs w:val="21"/>
                <w:highlight w:val="none"/>
              </w:rPr>
            </w:pPr>
            <w:r>
              <w:rPr>
                <w:rFonts w:hint="eastAsia" w:ascii="宋体" w:hAnsi="宋体" w:cs="宋体"/>
                <w:color w:val="auto"/>
                <w:szCs w:val="21"/>
                <w:highlight w:val="none"/>
              </w:rPr>
              <w:t>（8）</w:t>
            </w:r>
            <w:r>
              <w:rPr>
                <w:rFonts w:ascii="宋体" w:hAnsi="宋体" w:cs="宋体"/>
                <w:color w:val="auto"/>
                <w:szCs w:val="21"/>
                <w:highlight w:val="none"/>
              </w:rPr>
              <w:t>投标人不存在第二章“投标人须知”第1.4.3项或第1.4.4项规定的任何一种情形；</w:t>
            </w:r>
          </w:p>
          <w:p w14:paraId="0185868B">
            <w:pPr>
              <w:pStyle w:val="6"/>
              <w:spacing w:line="360" w:lineRule="exact"/>
              <w:ind w:left="42" w:leftChars="20" w:right="42" w:rightChars="20" w:firstLine="420" w:firstLineChars="200"/>
              <w:rPr>
                <w:rFonts w:hint="eastAsia" w:ascii="宋体" w:hAnsi="宋体" w:cs="宋体"/>
                <w:color w:val="auto"/>
                <w:szCs w:val="21"/>
                <w:highlight w:val="none"/>
              </w:rPr>
            </w:pPr>
            <w:r>
              <w:rPr>
                <w:rFonts w:hint="eastAsia" w:ascii="宋体" w:hAnsi="宋体" w:cs="宋体"/>
                <w:color w:val="auto"/>
                <w:szCs w:val="21"/>
                <w:highlight w:val="none"/>
              </w:rPr>
              <w:t>（9）</w:t>
            </w:r>
            <w:r>
              <w:rPr>
                <w:rFonts w:ascii="宋体" w:hAnsi="宋体" w:cs="宋体"/>
                <w:color w:val="auto"/>
                <w:szCs w:val="21"/>
                <w:highlight w:val="none"/>
              </w:rPr>
              <w:t>投标人符合第二章“投标人须知”第1.4.5项规定</w:t>
            </w:r>
            <w:r>
              <w:rPr>
                <w:rFonts w:hint="eastAsia" w:ascii="宋体" w:hAnsi="宋体" w:cs="宋体"/>
                <w:color w:val="auto"/>
                <w:position w:val="-2"/>
                <w:szCs w:val="21"/>
                <w:highlight w:val="none"/>
              </w:rPr>
              <w:t>。</w:t>
            </w:r>
          </w:p>
        </w:tc>
      </w:tr>
      <w:tr w14:paraId="0B2FA1C3">
        <w:tblPrEx>
          <w:tblCellMar>
            <w:top w:w="0" w:type="dxa"/>
            <w:left w:w="0" w:type="dxa"/>
            <w:bottom w:w="0" w:type="dxa"/>
            <w:right w:w="0" w:type="dxa"/>
          </w:tblCellMar>
        </w:tblPrEx>
        <w:trPr>
          <w:trHeight w:val="2115" w:hRule="atLeast"/>
          <w:jc w:val="center"/>
        </w:trPr>
        <w:tc>
          <w:tcPr>
            <w:tcW w:w="911" w:type="dxa"/>
            <w:tcBorders>
              <w:top w:val="single" w:color="010101" w:sz="4" w:space="0"/>
              <w:left w:val="single" w:color="010101" w:sz="4" w:space="0"/>
              <w:bottom w:val="single" w:color="010101" w:sz="4" w:space="0"/>
              <w:right w:val="single" w:color="010101" w:sz="4" w:space="0"/>
            </w:tcBorders>
            <w:noWrap w:val="0"/>
            <w:vAlign w:val="center"/>
          </w:tcPr>
          <w:p w14:paraId="64E3D7F5">
            <w:pPr>
              <w:pStyle w:val="6"/>
              <w:spacing w:line="360" w:lineRule="exact"/>
              <w:ind w:left="42" w:leftChars="20" w:right="42" w:rightChars="20"/>
              <w:jc w:val="center"/>
              <w:rPr>
                <w:rFonts w:hint="eastAsia" w:ascii="宋体" w:hAnsi="Calibri"/>
                <w:color w:val="auto"/>
                <w:szCs w:val="21"/>
                <w:highlight w:val="none"/>
              </w:rPr>
            </w:pPr>
            <w:r>
              <w:rPr>
                <w:rFonts w:ascii="宋体" w:hAnsi="宋体"/>
                <w:color w:val="auto"/>
                <w:szCs w:val="21"/>
                <w:highlight w:val="none"/>
              </w:rPr>
              <w:t>2.2.1</w:t>
            </w:r>
          </w:p>
        </w:tc>
        <w:tc>
          <w:tcPr>
            <w:tcW w:w="1130" w:type="dxa"/>
            <w:tcBorders>
              <w:top w:val="single" w:color="010101" w:sz="4" w:space="0"/>
              <w:left w:val="single" w:color="010101" w:sz="4" w:space="0"/>
              <w:bottom w:val="single" w:color="010101" w:sz="4" w:space="0"/>
              <w:right w:val="single" w:color="010101" w:sz="4" w:space="0"/>
            </w:tcBorders>
            <w:noWrap w:val="0"/>
            <w:vAlign w:val="center"/>
          </w:tcPr>
          <w:p w14:paraId="63FF7ECB">
            <w:pPr>
              <w:pStyle w:val="6"/>
              <w:spacing w:line="360" w:lineRule="exact"/>
              <w:ind w:left="42" w:leftChars="20" w:right="42" w:rightChars="20"/>
              <w:jc w:val="center"/>
              <w:rPr>
                <w:rFonts w:hint="eastAsia" w:ascii="宋体" w:hAnsi="宋体" w:cs="宋体"/>
                <w:color w:val="auto"/>
                <w:szCs w:val="21"/>
                <w:highlight w:val="none"/>
              </w:rPr>
            </w:pPr>
            <w:r>
              <w:rPr>
                <w:rFonts w:hint="eastAsia" w:ascii="宋体" w:hAnsi="宋体" w:cs="宋体"/>
                <w:color w:val="auto"/>
                <w:szCs w:val="21"/>
                <w:highlight w:val="none"/>
              </w:rPr>
              <w:t>第一个信封评分分值构成</w:t>
            </w:r>
            <w:r>
              <w:rPr>
                <w:rFonts w:ascii="宋体" w:hAnsi="宋体" w:cs="宋体"/>
                <w:color w:val="auto"/>
                <w:szCs w:val="21"/>
                <w:highlight w:val="none"/>
              </w:rPr>
              <w:t>(总分100分)</w:t>
            </w:r>
          </w:p>
        </w:tc>
        <w:tc>
          <w:tcPr>
            <w:tcW w:w="6920" w:type="dxa"/>
            <w:tcBorders>
              <w:top w:val="single" w:color="010101" w:sz="4" w:space="0"/>
              <w:left w:val="single" w:color="010101" w:sz="4" w:space="0"/>
              <w:bottom w:val="single" w:color="010101" w:sz="4" w:space="0"/>
              <w:right w:val="single" w:color="010101" w:sz="4" w:space="0"/>
            </w:tcBorders>
            <w:noWrap w:val="0"/>
            <w:vAlign w:val="center"/>
          </w:tcPr>
          <w:p w14:paraId="6B5EB56E">
            <w:pPr>
              <w:pStyle w:val="6"/>
              <w:adjustRightInd w:val="0"/>
              <w:snapToGrid w:val="0"/>
              <w:spacing w:line="360" w:lineRule="exact"/>
              <w:ind w:left="42" w:leftChars="20" w:right="42" w:rightChars="20"/>
              <w:rPr>
                <w:rFonts w:hint="eastAsia" w:ascii="宋体" w:hAnsi="宋体" w:cs="宋体"/>
                <w:color w:val="auto"/>
                <w:szCs w:val="21"/>
                <w:highlight w:val="none"/>
              </w:rPr>
            </w:pPr>
            <w:r>
              <w:rPr>
                <w:rFonts w:hint="eastAsia" w:ascii="宋体" w:hAnsi="宋体" w:cs="宋体"/>
                <w:color w:val="auto"/>
                <w:szCs w:val="21"/>
                <w:highlight w:val="none"/>
              </w:rPr>
              <w:t>施工组织设计（A）：</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40</w:t>
            </w:r>
            <w:r>
              <w:rPr>
                <w:rFonts w:hint="eastAsia" w:ascii="宋体" w:hAnsi="宋体" w:cs="宋体"/>
                <w:color w:val="auto"/>
                <w:szCs w:val="21"/>
                <w:highlight w:val="none"/>
              </w:rPr>
              <w:t xml:space="preserve">分 </w:t>
            </w:r>
          </w:p>
          <w:p w14:paraId="1AA3F27E">
            <w:pPr>
              <w:pStyle w:val="6"/>
              <w:adjustRightInd w:val="0"/>
              <w:snapToGrid w:val="0"/>
              <w:spacing w:line="360" w:lineRule="exact"/>
              <w:ind w:left="42" w:leftChars="20" w:right="42" w:rightChars="20"/>
              <w:rPr>
                <w:rFonts w:hint="eastAsia" w:ascii="宋体" w:hAnsi="宋体" w:cs="宋体"/>
                <w:color w:val="auto"/>
                <w:szCs w:val="21"/>
                <w:highlight w:val="none"/>
              </w:rPr>
            </w:pPr>
            <w:r>
              <w:rPr>
                <w:rFonts w:hint="eastAsia" w:ascii="宋体" w:hAnsi="宋体" w:cs="宋体"/>
                <w:color w:val="auto"/>
                <w:szCs w:val="21"/>
                <w:highlight w:val="none"/>
              </w:rPr>
              <w:t>主要人员</w:t>
            </w:r>
            <w:r>
              <w:rPr>
                <w:rFonts w:hint="eastAsia" w:ascii="宋体" w:hAnsi="宋体" w:cs="宋体"/>
                <w:color w:val="auto"/>
                <w:szCs w:val="21"/>
                <w:highlight w:val="none"/>
                <w:lang w:eastAsia="zh-CN"/>
              </w:rPr>
              <w:t>（</w:t>
            </w:r>
            <w:r>
              <w:rPr>
                <w:rFonts w:hint="eastAsia" w:ascii="宋体" w:hAnsi="宋体" w:cs="宋体"/>
                <w:color w:val="auto"/>
                <w:szCs w:val="21"/>
                <w:highlight w:val="none"/>
              </w:rPr>
              <w:t>B</w:t>
            </w:r>
            <w:r>
              <w:rPr>
                <w:rFonts w:hint="eastAsia" w:ascii="宋体" w:hAnsi="宋体" w:cs="宋体"/>
                <w:color w:val="auto"/>
                <w:szCs w:val="21"/>
                <w:highlight w:val="none"/>
                <w:lang w:eastAsia="zh-CN"/>
              </w:rPr>
              <w:t>）</w:t>
            </w:r>
            <w:r>
              <w:rPr>
                <w:rFonts w:hint="eastAsia" w:ascii="宋体" w:hAnsi="宋体" w:cs="宋体"/>
                <w:color w:val="auto"/>
                <w:szCs w:val="21"/>
                <w:highlight w:val="none"/>
              </w:rPr>
              <w:t>：</w:t>
            </w:r>
            <w:r>
              <w:rPr>
                <w:rFonts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30</w:t>
            </w:r>
            <w:r>
              <w:rPr>
                <w:rFonts w:hint="eastAsia" w:ascii="宋体" w:hAnsi="宋体" w:cs="宋体"/>
                <w:color w:val="auto"/>
                <w:szCs w:val="21"/>
                <w:highlight w:val="none"/>
              </w:rPr>
              <w:t xml:space="preserve">分 </w:t>
            </w:r>
          </w:p>
          <w:p w14:paraId="26D0C342">
            <w:pPr>
              <w:pStyle w:val="6"/>
              <w:adjustRightInd w:val="0"/>
              <w:snapToGrid w:val="0"/>
              <w:spacing w:line="360" w:lineRule="exact"/>
              <w:ind w:left="42" w:leftChars="20" w:right="42" w:rightChars="20"/>
              <w:rPr>
                <w:rFonts w:hint="eastAsia" w:ascii="宋体" w:hAnsi="宋体" w:cs="宋体"/>
                <w:color w:val="auto"/>
                <w:szCs w:val="21"/>
                <w:highlight w:val="none"/>
              </w:rPr>
            </w:pPr>
            <w:r>
              <w:rPr>
                <w:rFonts w:hint="eastAsia" w:ascii="宋体" w:hAnsi="宋体" w:cs="宋体"/>
                <w:color w:val="auto"/>
                <w:szCs w:val="21"/>
                <w:highlight w:val="none"/>
              </w:rPr>
              <w:t xml:space="preserve">其他因素 </w:t>
            </w:r>
            <w:r>
              <w:rPr>
                <w:rFonts w:hint="eastAsia" w:ascii="宋体" w:hAnsi="宋体" w:cs="宋体"/>
                <w:color w:val="auto"/>
                <w:szCs w:val="21"/>
                <w:highlight w:val="none"/>
                <w:lang w:eastAsia="zh-CN"/>
              </w:rPr>
              <w:t>（</w:t>
            </w:r>
            <w:r>
              <w:rPr>
                <w:rFonts w:hint="eastAsia" w:ascii="宋体" w:hAnsi="宋体" w:cs="宋体"/>
                <w:color w:val="auto"/>
                <w:szCs w:val="21"/>
                <w:highlight w:val="none"/>
              </w:rPr>
              <w:t>C</w:t>
            </w:r>
            <w:r>
              <w:rPr>
                <w:rFonts w:hint="eastAsia" w:ascii="宋体" w:hAnsi="宋体" w:cs="宋体"/>
                <w:color w:val="auto"/>
                <w:szCs w:val="21"/>
                <w:highlight w:val="none"/>
                <w:lang w:eastAsia="zh-CN"/>
              </w:rPr>
              <w:t>）</w:t>
            </w:r>
          </w:p>
          <w:p w14:paraId="6D4295D3">
            <w:pPr>
              <w:pStyle w:val="6"/>
              <w:adjustRightInd w:val="0"/>
              <w:snapToGrid w:val="0"/>
              <w:spacing w:line="360" w:lineRule="exact"/>
              <w:ind w:left="42" w:leftChars="20" w:right="42" w:rightChars="20"/>
              <w:rPr>
                <w:rFonts w:hint="eastAsia" w:ascii="宋体" w:hAnsi="宋体" w:cs="宋体"/>
                <w:color w:val="auto"/>
                <w:szCs w:val="21"/>
                <w:highlight w:val="none"/>
              </w:rPr>
            </w:pPr>
            <w:r>
              <w:rPr>
                <w:rFonts w:hint="eastAsia" w:ascii="宋体" w:hAnsi="宋体" w:cs="宋体"/>
                <w:color w:val="auto"/>
                <w:szCs w:val="21"/>
                <w:highlight w:val="none"/>
              </w:rPr>
              <w:t>技术能力：</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10</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分</w:t>
            </w:r>
          </w:p>
          <w:p w14:paraId="2F61C0C2">
            <w:pPr>
              <w:pStyle w:val="6"/>
              <w:adjustRightInd w:val="0"/>
              <w:snapToGrid w:val="0"/>
              <w:spacing w:line="360" w:lineRule="exact"/>
              <w:ind w:left="42" w:leftChars="20" w:right="42" w:rightChars="20"/>
              <w:rPr>
                <w:rFonts w:hint="eastAsia" w:ascii="宋体" w:hAnsi="宋体" w:cs="宋体"/>
                <w:color w:val="auto"/>
                <w:szCs w:val="21"/>
                <w:highlight w:val="none"/>
              </w:rPr>
            </w:pPr>
            <w:r>
              <w:rPr>
                <w:rFonts w:hint="eastAsia" w:ascii="宋体" w:hAnsi="宋体" w:cs="宋体"/>
                <w:color w:val="auto"/>
                <w:szCs w:val="21"/>
                <w:highlight w:val="none"/>
              </w:rPr>
              <w:t>履约信誉：</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20</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分</w:t>
            </w:r>
          </w:p>
        </w:tc>
      </w:tr>
      <w:tr w14:paraId="04661AC5">
        <w:tblPrEx>
          <w:tblCellMar>
            <w:top w:w="0" w:type="dxa"/>
            <w:left w:w="0" w:type="dxa"/>
            <w:bottom w:w="0" w:type="dxa"/>
            <w:right w:w="0" w:type="dxa"/>
          </w:tblCellMar>
        </w:tblPrEx>
        <w:trPr>
          <w:trHeight w:val="3942" w:hRule="atLeast"/>
          <w:jc w:val="center"/>
        </w:trPr>
        <w:tc>
          <w:tcPr>
            <w:tcW w:w="911" w:type="dxa"/>
            <w:tcBorders>
              <w:top w:val="single" w:color="010101" w:sz="4" w:space="0"/>
              <w:left w:val="single" w:color="010101" w:sz="4" w:space="0"/>
              <w:bottom w:val="single" w:color="010101" w:sz="4" w:space="0"/>
              <w:right w:val="single" w:color="010101" w:sz="4" w:space="0"/>
            </w:tcBorders>
            <w:noWrap w:val="0"/>
            <w:vAlign w:val="center"/>
          </w:tcPr>
          <w:p w14:paraId="5BCF0EFE">
            <w:pPr>
              <w:pStyle w:val="6"/>
              <w:spacing w:line="360" w:lineRule="exact"/>
              <w:ind w:left="42" w:leftChars="20" w:right="42" w:rightChars="20"/>
              <w:jc w:val="center"/>
              <w:rPr>
                <w:rFonts w:ascii="宋体" w:hAnsi="宋体"/>
                <w:color w:val="auto"/>
                <w:szCs w:val="21"/>
                <w:highlight w:val="none"/>
              </w:rPr>
            </w:pPr>
            <w:r>
              <w:rPr>
                <w:rFonts w:ascii="宋体" w:hAnsi="宋体"/>
                <w:color w:val="auto"/>
                <w:szCs w:val="21"/>
                <w:highlight w:val="none"/>
              </w:rPr>
              <w:t>2.2.</w:t>
            </w:r>
            <w:r>
              <w:rPr>
                <w:rFonts w:hint="eastAsia" w:ascii="宋体" w:hAnsi="宋体"/>
                <w:color w:val="auto"/>
                <w:szCs w:val="21"/>
                <w:highlight w:val="none"/>
              </w:rPr>
              <w:t>3</w:t>
            </w:r>
          </w:p>
        </w:tc>
        <w:tc>
          <w:tcPr>
            <w:tcW w:w="1130" w:type="dxa"/>
            <w:tcBorders>
              <w:top w:val="single" w:color="010101" w:sz="4" w:space="0"/>
              <w:left w:val="single" w:color="010101" w:sz="4" w:space="0"/>
              <w:bottom w:val="single" w:color="010101" w:sz="4" w:space="0"/>
              <w:right w:val="single" w:color="010101" w:sz="4" w:space="0"/>
            </w:tcBorders>
            <w:noWrap w:val="0"/>
            <w:vAlign w:val="center"/>
          </w:tcPr>
          <w:p w14:paraId="7BFBB4AB">
            <w:pPr>
              <w:pStyle w:val="6"/>
              <w:spacing w:line="360" w:lineRule="exact"/>
              <w:ind w:left="42" w:leftChars="20" w:right="42" w:rightChars="20"/>
              <w:jc w:val="center"/>
              <w:rPr>
                <w:rFonts w:hint="eastAsia" w:ascii="宋体" w:hAnsi="宋体" w:cs="宋体"/>
                <w:color w:val="auto"/>
                <w:szCs w:val="21"/>
                <w:highlight w:val="none"/>
              </w:rPr>
            </w:pPr>
            <w:r>
              <w:rPr>
                <w:color w:val="auto"/>
                <w:szCs w:val="21"/>
                <w:highlight w:val="none"/>
              </w:rPr>
              <w:t>第二个信封详细评审标准</w:t>
            </w:r>
          </w:p>
        </w:tc>
        <w:tc>
          <w:tcPr>
            <w:tcW w:w="6920" w:type="dxa"/>
            <w:tcBorders>
              <w:top w:val="single" w:color="010101" w:sz="4" w:space="0"/>
              <w:left w:val="single" w:color="010101" w:sz="4" w:space="0"/>
              <w:bottom w:val="single" w:color="010101" w:sz="4" w:space="0"/>
              <w:right w:val="single" w:color="010101" w:sz="4" w:space="0"/>
            </w:tcBorders>
            <w:noWrap w:val="0"/>
            <w:vAlign w:val="center"/>
          </w:tcPr>
          <w:p w14:paraId="0A1A3950">
            <w:pPr>
              <w:adjustRightInd w:val="0"/>
              <w:snapToGrid w:val="0"/>
              <w:spacing w:line="360" w:lineRule="exact"/>
              <w:ind w:left="42" w:leftChars="20" w:right="42" w:rightChars="20"/>
              <w:rPr>
                <w:rFonts w:hint="eastAsia" w:ascii="宋体" w:hAnsi="宋体"/>
                <w:color w:val="auto"/>
                <w:szCs w:val="21"/>
                <w:highlight w:val="none"/>
              </w:rPr>
            </w:pPr>
            <w:r>
              <w:rPr>
                <w:rFonts w:hint="eastAsia" w:ascii="宋体" w:hAnsi="宋体"/>
                <w:color w:val="auto"/>
                <w:szCs w:val="21"/>
                <w:highlight w:val="none"/>
              </w:rPr>
              <w:t>评标价的评审：</w:t>
            </w:r>
          </w:p>
          <w:p w14:paraId="0DE5BA7A">
            <w:pPr>
              <w:adjustRightInd w:val="0"/>
              <w:snapToGrid w:val="0"/>
              <w:spacing w:line="360" w:lineRule="exact"/>
              <w:ind w:left="42" w:leftChars="20" w:right="42" w:rightChars="20"/>
              <w:rPr>
                <w:rFonts w:hint="eastAsia" w:ascii="宋体" w:hAnsi="宋体"/>
                <w:color w:val="auto"/>
                <w:szCs w:val="21"/>
                <w:highlight w:val="none"/>
              </w:rPr>
            </w:pPr>
            <w:r>
              <w:rPr>
                <w:rFonts w:hint="eastAsia" w:ascii="宋体" w:hAnsi="宋体"/>
                <w:color w:val="auto"/>
                <w:szCs w:val="21"/>
                <w:highlight w:val="none"/>
              </w:rPr>
              <w:t>(1)评标价计算公式：</w:t>
            </w:r>
          </w:p>
          <w:p w14:paraId="6A2F94E8">
            <w:pPr>
              <w:adjustRightInd w:val="0"/>
              <w:snapToGrid w:val="0"/>
              <w:spacing w:line="360" w:lineRule="exact"/>
              <w:ind w:left="42" w:leftChars="20" w:right="42" w:rightChars="20"/>
              <w:rPr>
                <w:rFonts w:hint="eastAsia" w:ascii="宋体" w:hAnsi="宋体"/>
                <w:color w:val="auto"/>
                <w:szCs w:val="21"/>
                <w:highlight w:val="none"/>
              </w:rPr>
            </w:pPr>
            <w:r>
              <w:rPr>
                <w:rFonts w:hint="eastAsia" w:ascii="宋体" w:hAnsi="宋体"/>
                <w:color w:val="auto"/>
                <w:szCs w:val="21"/>
                <w:highlight w:val="none"/>
              </w:rPr>
              <w:t>评标价=修正后的投标报价一暂估价一暂列金额（不含计日工总额）</w:t>
            </w:r>
          </w:p>
          <w:p w14:paraId="6264A747">
            <w:pPr>
              <w:pStyle w:val="6"/>
              <w:adjustRightInd w:val="0"/>
              <w:snapToGrid w:val="0"/>
              <w:spacing w:line="360" w:lineRule="exact"/>
              <w:ind w:left="42" w:leftChars="20" w:right="42" w:rightChars="20" w:firstLine="420" w:firstLineChars="200"/>
              <w:rPr>
                <w:rFonts w:hint="eastAsia" w:ascii="宋体" w:hAnsi="宋体" w:cs="宋体"/>
                <w:color w:val="auto"/>
                <w:szCs w:val="21"/>
                <w:highlight w:val="none"/>
              </w:rPr>
            </w:pPr>
            <w:r>
              <w:rPr>
                <w:rFonts w:hint="eastAsia" w:ascii="宋体" w:hAnsi="宋体"/>
                <w:color w:val="auto"/>
                <w:szCs w:val="21"/>
                <w:highlight w:val="none"/>
              </w:rPr>
              <w:t>若投标人的评标价小于最高投标限价85%的，启动澄清程序，要求投标人作出书面说明并提供相关证明材料。投标人不能合理说明或者不能提供相关证明资料的，评标委员会认定该投标人以低于成本报价竞标，否决其投标。当所有投标人的投标因此种情况被否决；或当因此种情况被否决部分投标人后，有效投标人不足三家，评标委员会认为竞争不足的情况出现时，评标委员会可以否决全部投标。未否决全部投标的，评标委员会应当在评标报告中阐明理由并推荐中标候选人。</w:t>
            </w:r>
          </w:p>
        </w:tc>
      </w:tr>
      <w:tr w14:paraId="269B3A58">
        <w:tblPrEx>
          <w:tblCellMar>
            <w:top w:w="0" w:type="dxa"/>
            <w:left w:w="0" w:type="dxa"/>
            <w:bottom w:w="0" w:type="dxa"/>
            <w:right w:w="0" w:type="dxa"/>
          </w:tblCellMar>
        </w:tblPrEx>
        <w:trPr>
          <w:trHeight w:val="90" w:hRule="atLeast"/>
          <w:jc w:val="center"/>
        </w:trPr>
        <w:tc>
          <w:tcPr>
            <w:tcW w:w="911" w:type="dxa"/>
            <w:tcBorders>
              <w:top w:val="single" w:color="010101" w:sz="4" w:space="0"/>
              <w:left w:val="single" w:color="010101" w:sz="4" w:space="0"/>
              <w:bottom w:val="single" w:color="010101" w:sz="4" w:space="0"/>
              <w:right w:val="single" w:color="010101" w:sz="4" w:space="0"/>
            </w:tcBorders>
            <w:noWrap w:val="0"/>
            <w:vAlign w:val="center"/>
          </w:tcPr>
          <w:p w14:paraId="531784FE">
            <w:pPr>
              <w:pStyle w:val="6"/>
              <w:spacing w:line="360" w:lineRule="exact"/>
              <w:ind w:left="42" w:leftChars="20" w:right="42" w:rightChars="20"/>
              <w:jc w:val="center"/>
              <w:rPr>
                <w:rFonts w:ascii="宋体" w:hAnsi="宋体"/>
                <w:color w:val="auto"/>
                <w:szCs w:val="21"/>
                <w:highlight w:val="none"/>
              </w:rPr>
            </w:pPr>
            <w:r>
              <w:rPr>
                <w:rFonts w:ascii="宋体" w:hAnsi="宋体"/>
                <w:color w:val="auto"/>
                <w:szCs w:val="21"/>
                <w:highlight w:val="none"/>
              </w:rPr>
              <w:t>3.2.4</w:t>
            </w:r>
          </w:p>
        </w:tc>
        <w:tc>
          <w:tcPr>
            <w:tcW w:w="1130" w:type="dxa"/>
            <w:tcBorders>
              <w:top w:val="single" w:color="010101" w:sz="4" w:space="0"/>
              <w:left w:val="single" w:color="010101" w:sz="4" w:space="0"/>
              <w:bottom w:val="single" w:color="010101" w:sz="4" w:space="0"/>
              <w:right w:val="single" w:color="010101" w:sz="4" w:space="0"/>
            </w:tcBorders>
            <w:noWrap w:val="0"/>
            <w:vAlign w:val="center"/>
          </w:tcPr>
          <w:p w14:paraId="39828A39">
            <w:pPr>
              <w:pStyle w:val="6"/>
              <w:spacing w:line="360" w:lineRule="exact"/>
              <w:ind w:left="42" w:leftChars="20" w:right="42" w:rightChars="20"/>
              <w:jc w:val="center"/>
              <w:rPr>
                <w:rFonts w:hint="eastAsia" w:ascii="宋体" w:hAnsi="宋体" w:cs="宋体"/>
                <w:color w:val="auto"/>
                <w:szCs w:val="21"/>
                <w:highlight w:val="none"/>
              </w:rPr>
            </w:pPr>
            <w:r>
              <w:rPr>
                <w:color w:val="auto"/>
                <w:szCs w:val="21"/>
                <w:highlight w:val="none"/>
              </w:rPr>
              <w:t>通过第一个信封详细评审的投标人数量</w:t>
            </w:r>
          </w:p>
        </w:tc>
        <w:tc>
          <w:tcPr>
            <w:tcW w:w="6920" w:type="dxa"/>
            <w:tcBorders>
              <w:top w:val="single" w:color="010101" w:sz="4" w:space="0"/>
              <w:left w:val="single" w:color="010101" w:sz="4" w:space="0"/>
              <w:bottom w:val="single" w:color="010101" w:sz="4" w:space="0"/>
              <w:right w:val="single" w:color="010101" w:sz="4" w:space="0"/>
            </w:tcBorders>
            <w:noWrap w:val="0"/>
            <w:vAlign w:val="center"/>
          </w:tcPr>
          <w:p w14:paraId="0320AE2B">
            <w:pPr>
              <w:pStyle w:val="6"/>
              <w:adjustRightInd w:val="0"/>
              <w:snapToGrid w:val="0"/>
              <w:spacing w:line="360" w:lineRule="exact"/>
              <w:ind w:left="42" w:leftChars="20" w:right="42" w:rightChars="20"/>
              <w:rPr>
                <w:rFonts w:hint="eastAsia" w:ascii="宋体" w:hAnsi="宋体" w:cs="宋体"/>
                <w:color w:val="auto"/>
                <w:szCs w:val="21"/>
                <w:highlight w:val="none"/>
              </w:rPr>
            </w:pPr>
            <w:r>
              <w:rPr>
                <w:rFonts w:hint="eastAsia" w:ascii="宋体" w:hAnsi="宋体" w:cs="宋体"/>
                <w:color w:val="auto"/>
                <w:szCs w:val="21"/>
                <w:highlight w:val="none"/>
              </w:rPr>
              <w:t>按照投标人的商务和技术得分由高到低排序，选择</w:t>
            </w:r>
            <w:r>
              <w:rPr>
                <w:rFonts w:hint="eastAsia" w:ascii="宋体" w:hAnsi="宋体" w:cs="宋体"/>
                <w:color w:val="auto"/>
                <w:szCs w:val="21"/>
                <w:highlight w:val="none"/>
                <w:u w:val="single"/>
              </w:rPr>
              <w:t>前5名（不少于3名但不足5名时，按全部实际数量）</w:t>
            </w:r>
            <w:r>
              <w:rPr>
                <w:rFonts w:hint="eastAsia" w:ascii="宋体" w:hAnsi="宋体" w:cs="宋体"/>
                <w:color w:val="auto"/>
                <w:szCs w:val="21"/>
                <w:highlight w:val="none"/>
              </w:rPr>
              <w:t>通过详细评审。</w:t>
            </w:r>
          </w:p>
          <w:p w14:paraId="19E1F408">
            <w:pPr>
              <w:pStyle w:val="6"/>
              <w:adjustRightInd w:val="0"/>
              <w:snapToGrid w:val="0"/>
              <w:spacing w:line="360" w:lineRule="exact"/>
              <w:ind w:left="42" w:leftChars="20" w:right="42" w:rightChars="20"/>
              <w:rPr>
                <w:rFonts w:hint="eastAsia" w:ascii="宋体" w:hAnsi="宋体" w:cs="宋体"/>
                <w:color w:val="auto"/>
                <w:szCs w:val="21"/>
                <w:highlight w:val="none"/>
              </w:rPr>
            </w:pPr>
            <w:r>
              <w:rPr>
                <w:rFonts w:hint="eastAsia" w:ascii="宋体" w:hAnsi="宋体" w:cs="宋体"/>
                <w:color w:val="auto"/>
                <w:szCs w:val="21"/>
                <w:highlight w:val="none"/>
              </w:rPr>
              <w:t>注：本条所述“名次”包含了并列的情况；如名次为1,1,3,4,5，则前5名为5家投标人；如名次为1,2,3,4,5,5，则前5名为6家投标人，下同。</w:t>
            </w:r>
          </w:p>
        </w:tc>
      </w:tr>
    </w:tbl>
    <w:p w14:paraId="1549DAEB">
      <w:pPr>
        <w:pStyle w:val="3"/>
        <w:ind w:left="0" w:leftChars="0" w:firstLine="0" w:firstLineChars="0"/>
        <w:jc w:val="both"/>
        <w:rPr>
          <w:color w:val="auto"/>
          <w:highlight w:val="none"/>
        </w:rPr>
      </w:pPr>
      <w:bookmarkStart w:id="7" w:name="_GoBack"/>
      <w:bookmarkEnd w:id="7"/>
      <w:r>
        <w:rPr>
          <w:rFonts w:hint="eastAsia"/>
          <w:color w:val="auto"/>
          <w:highlight w:val="none"/>
        </w:rPr>
        <w:t>续上表</w:t>
      </w:r>
    </w:p>
    <w:tbl>
      <w:tblPr>
        <w:tblStyle w:val="4"/>
        <w:tblpPr w:leftFromText="180" w:rightFromText="180" w:vertAnchor="text" w:horzAnchor="page" w:tblpX="925" w:tblpY="-138"/>
        <w:tblOverlap w:val="never"/>
        <w:tblW w:w="10208" w:type="dxa"/>
        <w:tblInd w:w="0" w:type="dxa"/>
        <w:tblLayout w:type="fixed"/>
        <w:tblCellMar>
          <w:top w:w="0" w:type="dxa"/>
          <w:left w:w="0" w:type="dxa"/>
          <w:bottom w:w="0" w:type="dxa"/>
          <w:right w:w="0" w:type="dxa"/>
        </w:tblCellMar>
      </w:tblPr>
      <w:tblGrid>
        <w:gridCol w:w="1031"/>
        <w:gridCol w:w="387"/>
        <w:gridCol w:w="709"/>
        <w:gridCol w:w="708"/>
        <w:gridCol w:w="993"/>
        <w:gridCol w:w="708"/>
        <w:gridCol w:w="5672"/>
      </w:tblGrid>
      <w:tr w14:paraId="4314390F">
        <w:tblPrEx>
          <w:tblCellMar>
            <w:top w:w="0" w:type="dxa"/>
            <w:left w:w="0" w:type="dxa"/>
            <w:bottom w:w="0" w:type="dxa"/>
            <w:right w:w="0" w:type="dxa"/>
          </w:tblCellMar>
        </w:tblPrEx>
        <w:trPr>
          <w:trHeight w:val="601" w:hRule="atLeast"/>
        </w:trPr>
        <w:tc>
          <w:tcPr>
            <w:tcW w:w="4536" w:type="dxa"/>
            <w:gridSpan w:val="6"/>
            <w:tcBorders>
              <w:top w:val="single" w:color="000000" w:sz="4" w:space="0"/>
              <w:left w:val="single" w:color="000000" w:sz="4" w:space="0"/>
              <w:bottom w:val="single" w:color="000000" w:sz="4" w:space="0"/>
              <w:right w:val="single" w:color="000000" w:sz="4" w:space="0"/>
            </w:tcBorders>
            <w:noWrap w:val="0"/>
            <w:vAlign w:val="center"/>
          </w:tcPr>
          <w:p w14:paraId="6FCD8F9E">
            <w:pPr>
              <w:spacing w:line="400" w:lineRule="exact"/>
              <w:ind w:left="105" w:leftChars="50" w:right="105" w:rightChars="50"/>
              <w:jc w:val="center"/>
              <w:rPr>
                <w:rFonts w:ascii="宋体" w:hAnsi="宋体"/>
                <w:b/>
                <w:bCs/>
                <w:color w:val="auto"/>
                <w:szCs w:val="21"/>
                <w:highlight w:val="none"/>
              </w:rPr>
            </w:pPr>
            <w:r>
              <w:rPr>
                <w:rFonts w:hint="eastAsia" w:ascii="宋体" w:hAnsi="宋体"/>
                <w:b/>
                <w:bCs/>
                <w:color w:val="auto"/>
                <w:szCs w:val="21"/>
                <w:highlight w:val="none"/>
              </w:rPr>
              <w:t>评分因素与权重分值</w:t>
            </w:r>
          </w:p>
        </w:tc>
        <w:tc>
          <w:tcPr>
            <w:tcW w:w="5672" w:type="dxa"/>
            <w:vMerge w:val="restart"/>
            <w:tcBorders>
              <w:top w:val="single" w:color="000000" w:sz="4" w:space="0"/>
              <w:left w:val="single" w:color="000000" w:sz="4" w:space="0"/>
              <w:right w:val="single" w:color="000000" w:sz="4" w:space="0"/>
            </w:tcBorders>
            <w:noWrap w:val="0"/>
            <w:vAlign w:val="center"/>
          </w:tcPr>
          <w:p w14:paraId="35828EFB">
            <w:pPr>
              <w:spacing w:line="400" w:lineRule="exact"/>
              <w:ind w:left="105" w:leftChars="50" w:right="105" w:rightChars="50"/>
              <w:jc w:val="center"/>
              <w:rPr>
                <w:rFonts w:ascii="宋体" w:hAnsi="宋体"/>
                <w:b/>
                <w:bCs/>
                <w:color w:val="auto"/>
                <w:szCs w:val="21"/>
                <w:highlight w:val="none"/>
              </w:rPr>
            </w:pPr>
            <w:r>
              <w:rPr>
                <w:rFonts w:hint="eastAsia" w:ascii="宋体" w:hAnsi="宋体"/>
                <w:b/>
                <w:bCs/>
                <w:color w:val="auto"/>
                <w:szCs w:val="21"/>
                <w:highlight w:val="none"/>
              </w:rPr>
              <w:t>评分标准</w:t>
            </w:r>
          </w:p>
        </w:tc>
      </w:tr>
      <w:tr w14:paraId="165DB93D">
        <w:tblPrEx>
          <w:tblCellMar>
            <w:top w:w="0" w:type="dxa"/>
            <w:left w:w="0" w:type="dxa"/>
            <w:bottom w:w="0" w:type="dxa"/>
            <w:right w:w="0" w:type="dxa"/>
          </w:tblCellMar>
        </w:tblPrEx>
        <w:trPr>
          <w:trHeight w:val="1667" w:hRule="atLeast"/>
        </w:trPr>
        <w:tc>
          <w:tcPr>
            <w:tcW w:w="1031" w:type="dxa"/>
            <w:tcBorders>
              <w:top w:val="single" w:color="000000" w:sz="4" w:space="0"/>
              <w:left w:val="single" w:color="000000" w:sz="4" w:space="0"/>
              <w:bottom w:val="single" w:color="auto" w:sz="4" w:space="0"/>
              <w:right w:val="single" w:color="000000" w:sz="4" w:space="0"/>
            </w:tcBorders>
            <w:noWrap w:val="0"/>
            <w:vAlign w:val="center"/>
          </w:tcPr>
          <w:p w14:paraId="798C6528">
            <w:pPr>
              <w:spacing w:line="400" w:lineRule="exact"/>
              <w:ind w:left="105" w:leftChars="50" w:right="105" w:rightChars="50"/>
              <w:jc w:val="center"/>
              <w:rPr>
                <w:rFonts w:ascii="宋体" w:hAnsi="宋体"/>
                <w:b/>
                <w:bCs/>
                <w:color w:val="auto"/>
                <w:szCs w:val="21"/>
                <w:highlight w:val="none"/>
              </w:rPr>
            </w:pPr>
            <w:r>
              <w:rPr>
                <w:rFonts w:hint="eastAsia" w:ascii="宋体" w:hAnsi="宋体"/>
                <w:b/>
                <w:bCs/>
                <w:color w:val="auto"/>
                <w:szCs w:val="21"/>
                <w:highlight w:val="none"/>
              </w:rPr>
              <w:t>条款号</w:t>
            </w:r>
          </w:p>
        </w:tc>
        <w:tc>
          <w:tcPr>
            <w:tcW w:w="1096" w:type="dxa"/>
            <w:gridSpan w:val="2"/>
            <w:tcBorders>
              <w:top w:val="single" w:color="000000" w:sz="4" w:space="0"/>
              <w:left w:val="single" w:color="000000" w:sz="4" w:space="0"/>
              <w:bottom w:val="single" w:color="auto" w:sz="4" w:space="0"/>
              <w:right w:val="single" w:color="000000" w:sz="4" w:space="0"/>
            </w:tcBorders>
            <w:noWrap w:val="0"/>
            <w:vAlign w:val="center"/>
          </w:tcPr>
          <w:p w14:paraId="5BA648F7">
            <w:pPr>
              <w:spacing w:line="400" w:lineRule="exact"/>
              <w:ind w:left="105" w:leftChars="50" w:right="105" w:rightChars="50"/>
              <w:jc w:val="center"/>
              <w:rPr>
                <w:rFonts w:ascii="宋体" w:hAnsi="宋体"/>
                <w:b/>
                <w:bCs/>
                <w:color w:val="auto"/>
                <w:szCs w:val="21"/>
                <w:highlight w:val="none"/>
              </w:rPr>
            </w:pPr>
            <w:r>
              <w:rPr>
                <w:rFonts w:hint="eastAsia" w:ascii="宋体" w:hAnsi="宋体"/>
                <w:b/>
                <w:bCs/>
                <w:color w:val="auto"/>
                <w:szCs w:val="21"/>
                <w:highlight w:val="none"/>
              </w:rPr>
              <w:t>评分因素</w:t>
            </w:r>
          </w:p>
        </w:tc>
        <w:tc>
          <w:tcPr>
            <w:tcW w:w="708" w:type="dxa"/>
            <w:tcBorders>
              <w:top w:val="single" w:color="000000" w:sz="4" w:space="0"/>
              <w:left w:val="single" w:color="000000" w:sz="4" w:space="0"/>
              <w:bottom w:val="single" w:color="auto" w:sz="4" w:space="0"/>
              <w:right w:val="single" w:color="000000" w:sz="4" w:space="0"/>
            </w:tcBorders>
            <w:noWrap w:val="0"/>
            <w:vAlign w:val="center"/>
          </w:tcPr>
          <w:p w14:paraId="418BCFDC">
            <w:pPr>
              <w:spacing w:line="400" w:lineRule="exact"/>
              <w:ind w:left="105" w:leftChars="50" w:right="105" w:rightChars="50"/>
              <w:jc w:val="center"/>
              <w:rPr>
                <w:rFonts w:ascii="宋体" w:hAnsi="宋体"/>
                <w:b/>
                <w:bCs/>
                <w:color w:val="auto"/>
                <w:szCs w:val="21"/>
                <w:highlight w:val="none"/>
              </w:rPr>
            </w:pPr>
            <w:r>
              <w:rPr>
                <w:rFonts w:hint="eastAsia" w:ascii="宋体" w:hAnsi="宋体"/>
                <w:b/>
                <w:bCs/>
                <w:color w:val="auto"/>
                <w:szCs w:val="21"/>
                <w:highlight w:val="none"/>
              </w:rPr>
              <w:t>评分因素权重</w:t>
            </w:r>
          </w:p>
        </w:tc>
        <w:tc>
          <w:tcPr>
            <w:tcW w:w="993" w:type="dxa"/>
            <w:tcBorders>
              <w:top w:val="single" w:color="000000" w:sz="4" w:space="0"/>
              <w:left w:val="single" w:color="000000" w:sz="4" w:space="0"/>
              <w:bottom w:val="single" w:color="auto" w:sz="4" w:space="0"/>
              <w:right w:val="single" w:color="000000" w:sz="4" w:space="0"/>
            </w:tcBorders>
            <w:noWrap w:val="0"/>
            <w:vAlign w:val="center"/>
          </w:tcPr>
          <w:p w14:paraId="778780AB">
            <w:pPr>
              <w:spacing w:line="400" w:lineRule="exact"/>
              <w:ind w:left="105" w:leftChars="50" w:right="105" w:rightChars="50"/>
              <w:jc w:val="center"/>
              <w:rPr>
                <w:rFonts w:ascii="宋体" w:hAnsi="宋体"/>
                <w:b/>
                <w:bCs/>
                <w:color w:val="auto"/>
                <w:szCs w:val="21"/>
                <w:highlight w:val="none"/>
              </w:rPr>
            </w:pPr>
            <w:r>
              <w:rPr>
                <w:rFonts w:hint="eastAsia" w:ascii="宋体" w:hAnsi="宋体"/>
                <w:b/>
                <w:bCs/>
                <w:color w:val="auto"/>
                <w:szCs w:val="21"/>
                <w:highlight w:val="none"/>
              </w:rPr>
              <w:t>各评分因素细分项</w:t>
            </w:r>
          </w:p>
        </w:tc>
        <w:tc>
          <w:tcPr>
            <w:tcW w:w="708" w:type="dxa"/>
            <w:tcBorders>
              <w:top w:val="single" w:color="000000" w:sz="4" w:space="0"/>
              <w:left w:val="single" w:color="000000" w:sz="4" w:space="0"/>
              <w:bottom w:val="single" w:color="auto" w:sz="4" w:space="0"/>
              <w:right w:val="single" w:color="000000" w:sz="4" w:space="0"/>
            </w:tcBorders>
            <w:noWrap w:val="0"/>
            <w:vAlign w:val="center"/>
          </w:tcPr>
          <w:p w14:paraId="3F74712D">
            <w:pPr>
              <w:spacing w:line="400" w:lineRule="exact"/>
              <w:ind w:left="105" w:leftChars="50" w:right="105" w:rightChars="50"/>
              <w:jc w:val="center"/>
              <w:rPr>
                <w:rFonts w:ascii="宋体" w:hAnsi="宋体"/>
                <w:b/>
                <w:bCs/>
                <w:color w:val="auto"/>
                <w:szCs w:val="21"/>
                <w:highlight w:val="none"/>
              </w:rPr>
            </w:pPr>
            <w:r>
              <w:rPr>
                <w:rFonts w:hint="eastAsia" w:ascii="宋体" w:hAnsi="宋体"/>
                <w:b/>
                <w:bCs/>
                <w:color w:val="auto"/>
                <w:szCs w:val="21"/>
                <w:highlight w:val="none"/>
              </w:rPr>
              <w:t>分值</w:t>
            </w:r>
          </w:p>
        </w:tc>
        <w:tc>
          <w:tcPr>
            <w:tcW w:w="5672" w:type="dxa"/>
            <w:vMerge w:val="continue"/>
            <w:tcBorders>
              <w:left w:val="single" w:color="000000" w:sz="4" w:space="0"/>
              <w:bottom w:val="single" w:color="auto" w:sz="4" w:space="0"/>
              <w:right w:val="single" w:color="000000" w:sz="4" w:space="0"/>
            </w:tcBorders>
            <w:noWrap w:val="0"/>
            <w:vAlign w:val="center"/>
          </w:tcPr>
          <w:p w14:paraId="5DC2CDB5">
            <w:pPr>
              <w:spacing w:line="400" w:lineRule="exact"/>
              <w:ind w:left="105" w:leftChars="50" w:right="105" w:rightChars="50"/>
              <w:rPr>
                <w:rFonts w:ascii="宋体" w:hAnsi="宋体"/>
                <w:b/>
                <w:bCs/>
                <w:color w:val="auto"/>
                <w:szCs w:val="21"/>
                <w:highlight w:val="none"/>
              </w:rPr>
            </w:pPr>
          </w:p>
        </w:tc>
      </w:tr>
      <w:tr w14:paraId="2D976C31">
        <w:tblPrEx>
          <w:tblCellMar>
            <w:top w:w="0" w:type="dxa"/>
            <w:left w:w="0" w:type="dxa"/>
            <w:bottom w:w="0" w:type="dxa"/>
            <w:right w:w="0" w:type="dxa"/>
          </w:tblCellMar>
        </w:tblPrEx>
        <w:trPr>
          <w:trHeight w:val="555" w:hRule="atLeast"/>
        </w:trPr>
        <w:tc>
          <w:tcPr>
            <w:tcW w:w="1031" w:type="dxa"/>
            <w:vMerge w:val="restart"/>
            <w:tcBorders>
              <w:top w:val="single" w:color="auto" w:sz="4" w:space="0"/>
              <w:left w:val="single" w:color="auto" w:sz="4" w:space="0"/>
              <w:bottom w:val="single" w:color="auto" w:sz="4" w:space="0"/>
              <w:right w:val="single" w:color="auto" w:sz="4" w:space="0"/>
            </w:tcBorders>
            <w:noWrap w:val="0"/>
            <w:vAlign w:val="center"/>
          </w:tcPr>
          <w:p w14:paraId="663A484D">
            <w:pPr>
              <w:spacing w:line="360" w:lineRule="exact"/>
              <w:ind w:left="42" w:leftChars="20" w:right="42" w:rightChars="20"/>
              <w:jc w:val="center"/>
              <w:rPr>
                <w:rFonts w:ascii="宋体" w:hAnsi="宋体"/>
                <w:color w:val="auto"/>
                <w:szCs w:val="21"/>
                <w:highlight w:val="none"/>
              </w:rPr>
            </w:pPr>
            <w:r>
              <w:rPr>
                <w:rFonts w:hint="eastAsia" w:ascii="宋体" w:hAnsi="宋体"/>
                <w:color w:val="auto"/>
                <w:szCs w:val="21"/>
                <w:highlight w:val="none"/>
              </w:rPr>
              <w:t>2</w:t>
            </w:r>
            <w:r>
              <w:rPr>
                <w:rFonts w:ascii="宋体" w:hAnsi="宋体"/>
                <w:color w:val="auto"/>
                <w:szCs w:val="21"/>
                <w:highlight w:val="none"/>
              </w:rPr>
              <w:t>.2.2</w:t>
            </w:r>
            <w:r>
              <w:rPr>
                <w:rFonts w:hint="eastAsia" w:ascii="宋体" w:hAnsi="宋体"/>
                <w:color w:val="auto"/>
                <w:szCs w:val="21"/>
                <w:highlight w:val="none"/>
              </w:rPr>
              <w:t>（1）</w:t>
            </w:r>
          </w:p>
        </w:tc>
        <w:tc>
          <w:tcPr>
            <w:tcW w:w="1096" w:type="dxa"/>
            <w:gridSpan w:val="2"/>
            <w:vMerge w:val="restart"/>
            <w:tcBorders>
              <w:top w:val="single" w:color="auto" w:sz="4" w:space="0"/>
              <w:left w:val="single" w:color="auto" w:sz="4" w:space="0"/>
              <w:bottom w:val="single" w:color="auto" w:sz="4" w:space="0"/>
              <w:right w:val="single" w:color="auto" w:sz="4" w:space="0"/>
            </w:tcBorders>
            <w:noWrap w:val="0"/>
            <w:vAlign w:val="center"/>
          </w:tcPr>
          <w:p w14:paraId="0E098EBF">
            <w:pPr>
              <w:spacing w:line="360" w:lineRule="exact"/>
              <w:ind w:left="42" w:leftChars="20" w:right="42" w:rightChars="20"/>
              <w:jc w:val="center"/>
              <w:rPr>
                <w:rFonts w:ascii="宋体" w:hAnsi="宋体"/>
                <w:color w:val="auto"/>
                <w:szCs w:val="21"/>
                <w:highlight w:val="none"/>
              </w:rPr>
            </w:pPr>
            <w:r>
              <w:rPr>
                <w:rFonts w:hint="eastAsia" w:ascii="宋体" w:hAnsi="宋体"/>
                <w:color w:val="auto"/>
                <w:szCs w:val="21"/>
                <w:highlight w:val="none"/>
              </w:rPr>
              <w:t>施工组织设计</w:t>
            </w:r>
          </w:p>
        </w:tc>
        <w:tc>
          <w:tcPr>
            <w:tcW w:w="708" w:type="dxa"/>
            <w:vMerge w:val="restart"/>
            <w:tcBorders>
              <w:top w:val="single" w:color="auto" w:sz="4" w:space="0"/>
              <w:left w:val="single" w:color="auto" w:sz="4" w:space="0"/>
              <w:bottom w:val="single" w:color="auto" w:sz="4" w:space="0"/>
              <w:right w:val="single" w:color="auto" w:sz="4" w:space="0"/>
            </w:tcBorders>
            <w:noWrap w:val="0"/>
            <w:vAlign w:val="center"/>
          </w:tcPr>
          <w:p w14:paraId="4C8AF485">
            <w:pPr>
              <w:spacing w:line="360" w:lineRule="exact"/>
              <w:ind w:left="42" w:leftChars="20" w:right="42" w:rightChars="20"/>
              <w:jc w:val="center"/>
              <w:rPr>
                <w:rFonts w:ascii="宋体" w:hAnsi="宋体"/>
                <w:color w:val="auto"/>
                <w:szCs w:val="21"/>
                <w:highlight w:val="none"/>
              </w:rPr>
            </w:pPr>
            <w:r>
              <w:rPr>
                <w:rFonts w:hint="eastAsia" w:ascii="宋体" w:hAnsi="宋体"/>
                <w:color w:val="auto"/>
                <w:szCs w:val="21"/>
                <w:highlight w:val="none"/>
                <w:lang w:val="en-US" w:eastAsia="zh-CN"/>
              </w:rPr>
              <w:t>40</w:t>
            </w:r>
            <w:r>
              <w:rPr>
                <w:rFonts w:hint="eastAsia" w:ascii="宋体" w:hAnsi="宋体"/>
                <w:color w:val="auto"/>
                <w:szCs w:val="21"/>
                <w:highlight w:val="none"/>
              </w:rPr>
              <w:t>分</w:t>
            </w:r>
          </w:p>
        </w:tc>
        <w:tc>
          <w:tcPr>
            <w:tcW w:w="993" w:type="dxa"/>
            <w:tcBorders>
              <w:top w:val="single" w:color="auto" w:sz="4" w:space="0"/>
              <w:left w:val="single" w:color="auto" w:sz="4" w:space="0"/>
              <w:bottom w:val="single" w:color="auto" w:sz="4" w:space="0"/>
              <w:right w:val="single" w:color="auto" w:sz="4" w:space="0"/>
            </w:tcBorders>
            <w:noWrap w:val="0"/>
            <w:vAlign w:val="center"/>
          </w:tcPr>
          <w:p w14:paraId="1ECCBE95">
            <w:pPr>
              <w:pStyle w:val="7"/>
              <w:spacing w:line="240" w:lineRule="auto"/>
              <w:ind w:left="0"/>
              <w:jc w:val="center"/>
              <w:rPr>
                <w:color w:val="auto"/>
                <w:sz w:val="21"/>
                <w:szCs w:val="21"/>
                <w:highlight w:val="none"/>
              </w:rPr>
            </w:pPr>
            <w:r>
              <w:rPr>
                <w:color w:val="auto"/>
                <w:spacing w:val="5"/>
                <w:sz w:val="21"/>
                <w:szCs w:val="21"/>
                <w:highlight w:val="none"/>
              </w:rPr>
              <w:t>总体施</w:t>
            </w:r>
          </w:p>
          <w:p w14:paraId="5A4F030F">
            <w:pPr>
              <w:pStyle w:val="7"/>
              <w:spacing w:line="240" w:lineRule="auto"/>
              <w:ind w:left="0"/>
              <w:jc w:val="center"/>
              <w:rPr>
                <w:color w:val="auto"/>
                <w:sz w:val="21"/>
                <w:szCs w:val="21"/>
                <w:highlight w:val="none"/>
              </w:rPr>
            </w:pPr>
            <w:r>
              <w:rPr>
                <w:color w:val="auto"/>
                <w:spacing w:val="6"/>
                <w:sz w:val="21"/>
                <w:szCs w:val="21"/>
                <w:highlight w:val="none"/>
              </w:rPr>
              <w:t>工组织</w:t>
            </w:r>
          </w:p>
          <w:p w14:paraId="4D5FE0A6">
            <w:pPr>
              <w:pStyle w:val="7"/>
              <w:spacing w:line="240" w:lineRule="auto"/>
              <w:ind w:left="0"/>
              <w:jc w:val="center"/>
              <w:rPr>
                <w:color w:val="auto"/>
                <w:sz w:val="21"/>
                <w:szCs w:val="21"/>
                <w:highlight w:val="none"/>
              </w:rPr>
            </w:pPr>
            <w:r>
              <w:rPr>
                <w:color w:val="auto"/>
                <w:spacing w:val="6"/>
                <w:sz w:val="21"/>
                <w:szCs w:val="21"/>
                <w:highlight w:val="none"/>
              </w:rPr>
              <w:t>布置及</w:t>
            </w:r>
          </w:p>
          <w:p w14:paraId="2F8509E8">
            <w:pPr>
              <w:pStyle w:val="7"/>
              <w:spacing w:line="240" w:lineRule="auto"/>
              <w:ind w:left="0" w:leftChars="0"/>
              <w:jc w:val="center"/>
              <w:rPr>
                <w:rFonts w:ascii="宋体" w:hAnsi="宋体"/>
                <w:color w:val="auto"/>
                <w:sz w:val="21"/>
                <w:szCs w:val="21"/>
                <w:highlight w:val="none"/>
              </w:rPr>
            </w:pPr>
            <w:r>
              <w:rPr>
                <w:color w:val="auto"/>
                <w:spacing w:val="4"/>
                <w:sz w:val="21"/>
                <w:szCs w:val="21"/>
                <w:highlight w:val="none"/>
              </w:rPr>
              <w:t>规划</w:t>
            </w:r>
          </w:p>
        </w:tc>
        <w:tc>
          <w:tcPr>
            <w:tcW w:w="708" w:type="dxa"/>
            <w:tcBorders>
              <w:top w:val="single" w:color="auto" w:sz="4" w:space="0"/>
              <w:left w:val="single" w:color="auto" w:sz="4" w:space="0"/>
              <w:bottom w:val="single" w:color="auto" w:sz="4" w:space="0"/>
              <w:right w:val="single" w:color="auto" w:sz="4" w:space="0"/>
            </w:tcBorders>
            <w:noWrap w:val="0"/>
            <w:vAlign w:val="center"/>
          </w:tcPr>
          <w:p w14:paraId="7BBC16EF">
            <w:pPr>
              <w:pStyle w:val="7"/>
              <w:tabs>
                <w:tab w:val="left" w:pos="212"/>
              </w:tabs>
              <w:spacing w:line="240" w:lineRule="auto"/>
              <w:ind w:left="0" w:leftChars="0"/>
              <w:jc w:val="center"/>
              <w:rPr>
                <w:rFonts w:ascii="宋体" w:hAnsi="宋体"/>
                <w:color w:val="auto"/>
                <w:sz w:val="21"/>
                <w:szCs w:val="21"/>
                <w:highlight w:val="none"/>
              </w:rPr>
            </w:pPr>
            <w:r>
              <w:rPr>
                <w:rFonts w:hint="eastAsia"/>
                <w:color w:val="auto"/>
                <w:sz w:val="21"/>
                <w:szCs w:val="21"/>
                <w:highlight w:val="none"/>
                <w:u w:val="single" w:color="auto"/>
                <w:lang w:val="en-US" w:eastAsia="zh-CN"/>
              </w:rPr>
              <w:t>15</w:t>
            </w:r>
            <w:r>
              <w:rPr>
                <w:color w:val="auto"/>
                <w:spacing w:val="-88"/>
                <w:sz w:val="21"/>
                <w:szCs w:val="21"/>
                <w:highlight w:val="none"/>
              </w:rPr>
              <w:t xml:space="preserve"> </w:t>
            </w:r>
            <w:r>
              <w:rPr>
                <w:color w:val="auto"/>
                <w:sz w:val="21"/>
                <w:szCs w:val="21"/>
                <w:highlight w:val="none"/>
              </w:rPr>
              <w:t>分</w:t>
            </w:r>
          </w:p>
        </w:tc>
        <w:tc>
          <w:tcPr>
            <w:tcW w:w="5672" w:type="dxa"/>
            <w:tcBorders>
              <w:top w:val="single" w:color="auto" w:sz="4" w:space="0"/>
              <w:left w:val="single" w:color="auto" w:sz="4" w:space="0"/>
              <w:bottom w:val="single" w:color="auto" w:sz="4" w:space="0"/>
              <w:right w:val="single" w:color="auto" w:sz="4" w:space="0"/>
            </w:tcBorders>
            <w:noWrap w:val="0"/>
            <w:vAlign w:val="top"/>
          </w:tcPr>
          <w:p w14:paraId="32BC7285">
            <w:pPr>
              <w:pStyle w:val="7"/>
              <w:numPr>
                <w:ilvl w:val="0"/>
                <w:numId w:val="0"/>
              </w:numPr>
              <w:spacing w:line="240" w:lineRule="auto"/>
              <w:ind w:leftChars="0" w:right="0" w:rightChars="0"/>
              <w:jc w:val="both"/>
              <w:rPr>
                <w:color w:val="auto"/>
                <w:spacing w:val="-30"/>
                <w:sz w:val="21"/>
                <w:szCs w:val="21"/>
                <w:highlight w:val="none"/>
              </w:rPr>
            </w:pPr>
            <w:r>
              <w:rPr>
                <w:color w:val="auto"/>
                <w:spacing w:val="9"/>
                <w:sz w:val="21"/>
                <w:szCs w:val="21"/>
                <w:highlight w:val="none"/>
              </w:rPr>
              <w:t>（</w:t>
            </w:r>
            <w:r>
              <w:rPr>
                <w:rFonts w:hint="eastAsia"/>
                <w:color w:val="auto"/>
                <w:spacing w:val="9"/>
                <w:sz w:val="21"/>
                <w:szCs w:val="21"/>
                <w:highlight w:val="none"/>
                <w:lang w:val="en-US" w:eastAsia="zh-CN"/>
              </w:rPr>
              <w:t>1</w:t>
            </w:r>
            <w:r>
              <w:rPr>
                <w:color w:val="auto"/>
                <w:spacing w:val="9"/>
                <w:sz w:val="21"/>
                <w:szCs w:val="21"/>
                <w:highlight w:val="none"/>
              </w:rPr>
              <w:t>）对项目的基本情况了解全面、准确，施</w:t>
            </w:r>
            <w:r>
              <w:rPr>
                <w:color w:val="auto"/>
                <w:spacing w:val="8"/>
                <w:sz w:val="21"/>
                <w:szCs w:val="21"/>
                <w:highlight w:val="none"/>
              </w:rPr>
              <w:t>工总体布</w:t>
            </w:r>
            <w:r>
              <w:rPr>
                <w:color w:val="auto"/>
                <w:spacing w:val="7"/>
                <w:sz w:val="21"/>
                <w:szCs w:val="21"/>
                <w:highlight w:val="none"/>
              </w:rPr>
              <w:t>置规划、施工进度计划科学合理、可操作性强，按《广东省公路工程施工标准化指南》及《广东省高速公路工程施工安全标准化指南》《公路工程施工安全防护设施</w:t>
            </w:r>
            <w:r>
              <w:rPr>
                <w:color w:val="auto"/>
                <w:spacing w:val="4"/>
                <w:sz w:val="21"/>
                <w:szCs w:val="21"/>
                <w:highlight w:val="none"/>
              </w:rPr>
              <w:t>技术指南》执行，得</w:t>
            </w:r>
            <w:r>
              <w:rPr>
                <w:color w:val="auto"/>
                <w:spacing w:val="-97"/>
                <w:sz w:val="21"/>
                <w:szCs w:val="21"/>
                <w:highlight w:val="none"/>
              </w:rPr>
              <w:t xml:space="preserve"> </w:t>
            </w:r>
            <w:r>
              <w:rPr>
                <w:rFonts w:hint="eastAsia"/>
                <w:color w:val="auto"/>
                <w:spacing w:val="5"/>
                <w:sz w:val="21"/>
                <w:szCs w:val="21"/>
                <w:highlight w:val="none"/>
                <w:u w:val="single" w:color="auto"/>
                <w:lang w:val="en-US" w:eastAsia="zh-CN"/>
              </w:rPr>
              <w:t>12-15</w:t>
            </w:r>
            <w:r>
              <w:rPr>
                <w:color w:val="auto"/>
                <w:spacing w:val="-89"/>
                <w:sz w:val="21"/>
                <w:szCs w:val="21"/>
                <w:highlight w:val="none"/>
              </w:rPr>
              <w:t xml:space="preserve"> </w:t>
            </w:r>
            <w:r>
              <w:rPr>
                <w:color w:val="auto"/>
                <w:spacing w:val="4"/>
                <w:sz w:val="21"/>
                <w:szCs w:val="21"/>
                <w:highlight w:val="none"/>
              </w:rPr>
              <w:t>分（满分分值的</w:t>
            </w:r>
            <w:r>
              <w:rPr>
                <w:color w:val="auto"/>
                <w:spacing w:val="-38"/>
                <w:sz w:val="21"/>
                <w:szCs w:val="21"/>
                <w:highlight w:val="none"/>
              </w:rPr>
              <w:t xml:space="preserve"> </w:t>
            </w:r>
            <w:r>
              <w:rPr>
                <w:color w:val="auto"/>
                <w:spacing w:val="4"/>
                <w:sz w:val="21"/>
                <w:szCs w:val="21"/>
                <w:highlight w:val="none"/>
              </w:rPr>
              <w:t>80%～100%</w:t>
            </w:r>
            <w:r>
              <w:rPr>
                <w:color w:val="auto"/>
                <w:spacing w:val="-30"/>
                <w:sz w:val="21"/>
                <w:szCs w:val="21"/>
                <w:highlight w:val="none"/>
              </w:rPr>
              <w:t>）；</w:t>
            </w:r>
          </w:p>
          <w:p w14:paraId="2E54F29B">
            <w:pPr>
              <w:pStyle w:val="7"/>
              <w:numPr>
                <w:ilvl w:val="0"/>
                <w:numId w:val="0"/>
              </w:numPr>
              <w:spacing w:line="240" w:lineRule="auto"/>
              <w:ind w:leftChars="0" w:right="0" w:rightChars="0"/>
              <w:jc w:val="both"/>
              <w:rPr>
                <w:color w:val="auto"/>
                <w:spacing w:val="-16"/>
                <w:sz w:val="21"/>
                <w:szCs w:val="21"/>
                <w:highlight w:val="none"/>
              </w:rPr>
            </w:pPr>
            <w:r>
              <w:rPr>
                <w:color w:val="auto"/>
                <w:spacing w:val="9"/>
                <w:sz w:val="21"/>
                <w:szCs w:val="21"/>
                <w:highlight w:val="none"/>
              </w:rPr>
              <w:t>（2）满足工程建设需要，施工总体布置规划、施</w:t>
            </w:r>
            <w:r>
              <w:rPr>
                <w:color w:val="auto"/>
                <w:spacing w:val="8"/>
                <w:sz w:val="21"/>
                <w:szCs w:val="21"/>
                <w:highlight w:val="none"/>
              </w:rPr>
              <w:t>工进</w:t>
            </w:r>
            <w:r>
              <w:rPr>
                <w:color w:val="auto"/>
                <w:spacing w:val="7"/>
                <w:sz w:val="21"/>
                <w:szCs w:val="21"/>
                <w:highlight w:val="none"/>
              </w:rPr>
              <w:t>度计划基本可行，得</w:t>
            </w:r>
            <w:r>
              <w:rPr>
                <w:rFonts w:hint="eastAsia"/>
                <w:color w:val="auto"/>
                <w:spacing w:val="7"/>
                <w:sz w:val="21"/>
                <w:szCs w:val="21"/>
                <w:highlight w:val="none"/>
                <w:u w:val="single" w:color="auto"/>
                <w:lang w:val="en-US" w:eastAsia="zh-CN"/>
              </w:rPr>
              <w:t>9-12</w:t>
            </w:r>
            <w:r>
              <w:rPr>
                <w:color w:val="auto"/>
                <w:spacing w:val="-88"/>
                <w:sz w:val="21"/>
                <w:szCs w:val="21"/>
                <w:highlight w:val="none"/>
              </w:rPr>
              <w:t xml:space="preserve"> </w:t>
            </w:r>
            <w:r>
              <w:rPr>
                <w:color w:val="auto"/>
                <w:spacing w:val="7"/>
                <w:sz w:val="21"/>
                <w:szCs w:val="21"/>
                <w:highlight w:val="none"/>
              </w:rPr>
              <w:t>分（满分分值的</w:t>
            </w:r>
            <w:r>
              <w:rPr>
                <w:color w:val="auto"/>
                <w:spacing w:val="-37"/>
                <w:sz w:val="21"/>
                <w:szCs w:val="21"/>
                <w:highlight w:val="none"/>
              </w:rPr>
              <w:t xml:space="preserve"> </w:t>
            </w:r>
            <w:r>
              <w:rPr>
                <w:color w:val="auto"/>
                <w:spacing w:val="7"/>
                <w:sz w:val="21"/>
                <w:szCs w:val="21"/>
                <w:highlight w:val="none"/>
              </w:rPr>
              <w:t>60%～80%</w:t>
            </w:r>
            <w:r>
              <w:rPr>
                <w:color w:val="auto"/>
                <w:spacing w:val="-16"/>
                <w:sz w:val="21"/>
                <w:szCs w:val="21"/>
                <w:highlight w:val="none"/>
              </w:rPr>
              <w:t>）；</w:t>
            </w:r>
          </w:p>
          <w:p w14:paraId="70E8E18A">
            <w:pPr>
              <w:pStyle w:val="7"/>
              <w:numPr>
                <w:ilvl w:val="0"/>
                <w:numId w:val="0"/>
              </w:numPr>
              <w:spacing w:line="240" w:lineRule="auto"/>
              <w:ind w:left="0" w:leftChars="0" w:right="0" w:rightChars="0" w:firstLine="0" w:firstLineChars="0"/>
              <w:jc w:val="both"/>
              <w:rPr>
                <w:rFonts w:ascii="宋体" w:hAnsi="宋体"/>
                <w:color w:val="auto"/>
                <w:sz w:val="21"/>
                <w:szCs w:val="21"/>
                <w:highlight w:val="none"/>
              </w:rPr>
            </w:pPr>
            <w:r>
              <w:rPr>
                <w:color w:val="auto"/>
                <w:spacing w:val="6"/>
                <w:sz w:val="21"/>
                <w:szCs w:val="21"/>
                <w:highlight w:val="none"/>
              </w:rPr>
              <w:t>（3）一般但不被评定为不响应的,得</w:t>
            </w:r>
            <w:r>
              <w:rPr>
                <w:rFonts w:hint="eastAsia"/>
                <w:color w:val="auto"/>
                <w:spacing w:val="6"/>
                <w:sz w:val="21"/>
                <w:szCs w:val="21"/>
                <w:highlight w:val="none"/>
                <w:u w:val="single" w:color="auto"/>
                <w:lang w:val="en-US" w:eastAsia="zh-CN"/>
              </w:rPr>
              <w:t>9</w:t>
            </w:r>
            <w:r>
              <w:rPr>
                <w:color w:val="auto"/>
                <w:spacing w:val="6"/>
                <w:sz w:val="21"/>
                <w:szCs w:val="21"/>
                <w:highlight w:val="none"/>
              </w:rPr>
              <w:t>分（满分分值</w:t>
            </w:r>
            <w:r>
              <w:rPr>
                <w:color w:val="auto"/>
                <w:spacing w:val="1"/>
                <w:sz w:val="21"/>
                <w:szCs w:val="21"/>
                <w:highlight w:val="none"/>
              </w:rPr>
              <w:t>的</w:t>
            </w:r>
            <w:r>
              <w:rPr>
                <w:color w:val="auto"/>
                <w:spacing w:val="-34"/>
                <w:sz w:val="21"/>
                <w:szCs w:val="21"/>
                <w:highlight w:val="none"/>
              </w:rPr>
              <w:t xml:space="preserve"> </w:t>
            </w:r>
            <w:r>
              <w:rPr>
                <w:color w:val="auto"/>
                <w:spacing w:val="1"/>
                <w:sz w:val="21"/>
                <w:szCs w:val="21"/>
                <w:highlight w:val="none"/>
              </w:rPr>
              <w:t>60%）。</w:t>
            </w:r>
          </w:p>
        </w:tc>
      </w:tr>
      <w:tr w14:paraId="19D95086">
        <w:tblPrEx>
          <w:tblCellMar>
            <w:top w:w="0" w:type="dxa"/>
            <w:left w:w="0" w:type="dxa"/>
            <w:bottom w:w="0" w:type="dxa"/>
            <w:right w:w="0" w:type="dxa"/>
          </w:tblCellMar>
        </w:tblPrEx>
        <w:trPr>
          <w:trHeight w:val="554" w:hRule="atLeast"/>
        </w:trPr>
        <w:tc>
          <w:tcPr>
            <w:tcW w:w="1031" w:type="dxa"/>
            <w:vMerge w:val="continue"/>
            <w:tcBorders>
              <w:top w:val="single" w:color="auto" w:sz="4" w:space="0"/>
              <w:left w:val="single" w:color="auto" w:sz="4" w:space="0"/>
              <w:bottom w:val="single" w:color="auto" w:sz="4" w:space="0"/>
              <w:right w:val="single" w:color="auto" w:sz="4" w:space="0"/>
            </w:tcBorders>
            <w:noWrap w:val="0"/>
            <w:vAlign w:val="center"/>
          </w:tcPr>
          <w:p w14:paraId="2CF1B42B">
            <w:pPr>
              <w:spacing w:line="360" w:lineRule="exact"/>
              <w:ind w:left="42" w:leftChars="20" w:right="42" w:rightChars="20"/>
              <w:jc w:val="center"/>
              <w:rPr>
                <w:rFonts w:ascii="宋体" w:hAnsi="宋体"/>
                <w:color w:val="auto"/>
                <w:szCs w:val="21"/>
                <w:highlight w:val="none"/>
              </w:rPr>
            </w:pPr>
          </w:p>
        </w:tc>
        <w:tc>
          <w:tcPr>
            <w:tcW w:w="1096"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506F37A2">
            <w:pPr>
              <w:spacing w:line="360" w:lineRule="exact"/>
              <w:ind w:left="42" w:leftChars="20" w:right="42" w:rightChars="20"/>
              <w:jc w:val="center"/>
              <w:rPr>
                <w:rFonts w:ascii="宋体" w:hAnsi="宋体"/>
                <w:color w:val="auto"/>
                <w:szCs w:val="21"/>
                <w:highlight w:val="none"/>
              </w:rPr>
            </w:pPr>
          </w:p>
        </w:tc>
        <w:tc>
          <w:tcPr>
            <w:tcW w:w="708" w:type="dxa"/>
            <w:vMerge w:val="continue"/>
            <w:tcBorders>
              <w:top w:val="single" w:color="auto" w:sz="4" w:space="0"/>
              <w:left w:val="single" w:color="auto" w:sz="4" w:space="0"/>
              <w:bottom w:val="single" w:color="auto" w:sz="4" w:space="0"/>
              <w:right w:val="single" w:color="auto" w:sz="4" w:space="0"/>
            </w:tcBorders>
            <w:noWrap w:val="0"/>
            <w:vAlign w:val="center"/>
          </w:tcPr>
          <w:p w14:paraId="12A54245">
            <w:pPr>
              <w:spacing w:line="360" w:lineRule="exact"/>
              <w:ind w:left="42" w:leftChars="20" w:right="42" w:rightChars="20"/>
              <w:jc w:val="center"/>
              <w:rPr>
                <w:rFonts w:ascii="宋体" w:hAnsi="宋体"/>
                <w:color w:val="auto"/>
                <w:szCs w:val="21"/>
                <w:highlight w:val="none"/>
              </w:rPr>
            </w:pPr>
          </w:p>
        </w:tc>
        <w:tc>
          <w:tcPr>
            <w:tcW w:w="993" w:type="dxa"/>
            <w:tcBorders>
              <w:top w:val="single" w:color="auto" w:sz="4" w:space="0"/>
              <w:left w:val="single" w:color="auto" w:sz="4" w:space="0"/>
              <w:bottom w:val="single" w:color="auto" w:sz="4" w:space="0"/>
              <w:right w:val="single" w:color="auto" w:sz="4" w:space="0"/>
            </w:tcBorders>
            <w:noWrap w:val="0"/>
            <w:vAlign w:val="center"/>
          </w:tcPr>
          <w:p w14:paraId="1A1C36BD">
            <w:pPr>
              <w:pStyle w:val="7"/>
              <w:spacing w:line="240" w:lineRule="auto"/>
              <w:ind w:left="0" w:leftChars="0" w:right="122" w:rightChars="0" w:firstLine="1" w:firstLineChars="0"/>
              <w:jc w:val="center"/>
              <w:rPr>
                <w:rFonts w:ascii="宋体" w:hAnsi="宋体"/>
                <w:color w:val="auto"/>
                <w:sz w:val="21"/>
                <w:szCs w:val="21"/>
                <w:highlight w:val="none"/>
              </w:rPr>
            </w:pPr>
            <w:r>
              <w:rPr>
                <w:color w:val="auto"/>
                <w:spacing w:val="-11"/>
                <w:sz w:val="21"/>
                <w:szCs w:val="21"/>
                <w:highlight w:val="none"/>
              </w:rPr>
              <w:t>重点、难</w:t>
            </w:r>
            <w:r>
              <w:rPr>
                <w:color w:val="auto"/>
                <w:spacing w:val="7"/>
                <w:sz w:val="21"/>
                <w:szCs w:val="21"/>
                <w:highlight w:val="none"/>
              </w:rPr>
              <w:t>点和关键工程的施工方案与技术措</w:t>
            </w:r>
            <w:r>
              <w:rPr>
                <w:color w:val="auto"/>
                <w:spacing w:val="1"/>
                <w:sz w:val="21"/>
                <w:szCs w:val="21"/>
                <w:highlight w:val="none"/>
              </w:rPr>
              <w:t>施</w:t>
            </w:r>
          </w:p>
        </w:tc>
        <w:tc>
          <w:tcPr>
            <w:tcW w:w="708" w:type="dxa"/>
            <w:tcBorders>
              <w:top w:val="single" w:color="auto" w:sz="4" w:space="0"/>
              <w:left w:val="single" w:color="auto" w:sz="4" w:space="0"/>
              <w:bottom w:val="single" w:color="auto" w:sz="4" w:space="0"/>
              <w:right w:val="single" w:color="auto" w:sz="4" w:space="0"/>
            </w:tcBorders>
            <w:noWrap w:val="0"/>
            <w:vAlign w:val="center"/>
          </w:tcPr>
          <w:p w14:paraId="400B4208">
            <w:pPr>
              <w:pStyle w:val="7"/>
              <w:tabs>
                <w:tab w:val="left" w:pos="212"/>
              </w:tabs>
              <w:spacing w:line="240" w:lineRule="auto"/>
              <w:ind w:left="0" w:leftChars="0"/>
              <w:jc w:val="center"/>
              <w:rPr>
                <w:rFonts w:ascii="宋体" w:hAnsi="宋体"/>
                <w:color w:val="auto"/>
                <w:sz w:val="21"/>
                <w:szCs w:val="21"/>
                <w:highlight w:val="none"/>
              </w:rPr>
            </w:pPr>
            <w:r>
              <w:rPr>
                <w:rFonts w:hint="eastAsia"/>
                <w:color w:val="auto"/>
                <w:sz w:val="21"/>
                <w:szCs w:val="21"/>
                <w:highlight w:val="none"/>
                <w:u w:val="single" w:color="auto"/>
                <w:lang w:val="en-US" w:eastAsia="zh-CN"/>
              </w:rPr>
              <w:t>15</w:t>
            </w:r>
            <w:r>
              <w:rPr>
                <w:color w:val="auto"/>
                <w:spacing w:val="-88"/>
                <w:sz w:val="21"/>
                <w:szCs w:val="21"/>
                <w:highlight w:val="none"/>
              </w:rPr>
              <w:t xml:space="preserve"> </w:t>
            </w:r>
            <w:r>
              <w:rPr>
                <w:color w:val="auto"/>
                <w:sz w:val="21"/>
                <w:szCs w:val="21"/>
                <w:highlight w:val="none"/>
              </w:rPr>
              <w:t>分</w:t>
            </w:r>
          </w:p>
        </w:tc>
        <w:tc>
          <w:tcPr>
            <w:tcW w:w="5672" w:type="dxa"/>
            <w:tcBorders>
              <w:top w:val="single" w:color="auto" w:sz="4" w:space="0"/>
              <w:left w:val="single" w:color="auto" w:sz="4" w:space="0"/>
              <w:bottom w:val="single" w:color="auto" w:sz="4" w:space="0"/>
              <w:right w:val="single" w:color="auto" w:sz="4" w:space="0"/>
            </w:tcBorders>
            <w:noWrap w:val="0"/>
            <w:vAlign w:val="top"/>
          </w:tcPr>
          <w:p w14:paraId="7E4D70CC">
            <w:pPr>
              <w:pStyle w:val="7"/>
              <w:spacing w:line="240" w:lineRule="auto"/>
              <w:ind w:left="0" w:right="0" w:firstLine="0"/>
              <w:jc w:val="both"/>
              <w:rPr>
                <w:color w:val="auto"/>
                <w:sz w:val="21"/>
                <w:szCs w:val="21"/>
                <w:highlight w:val="none"/>
              </w:rPr>
            </w:pPr>
            <w:r>
              <w:rPr>
                <w:color w:val="auto"/>
                <w:spacing w:val="11"/>
                <w:sz w:val="21"/>
                <w:szCs w:val="21"/>
                <w:highlight w:val="none"/>
              </w:rPr>
              <w:t>（1）对项目重点、难点和关键工程认识分析透彻，能</w:t>
            </w:r>
            <w:r>
              <w:rPr>
                <w:color w:val="auto"/>
                <w:spacing w:val="4"/>
                <w:sz w:val="21"/>
                <w:szCs w:val="21"/>
                <w:highlight w:val="none"/>
              </w:rPr>
              <w:t>充分发挥自身优势，积极采用“</w:t>
            </w:r>
            <w:r>
              <w:rPr>
                <w:color w:val="auto"/>
                <w:spacing w:val="-54"/>
                <w:sz w:val="21"/>
                <w:szCs w:val="21"/>
                <w:highlight w:val="none"/>
              </w:rPr>
              <w:t xml:space="preserve"> </w:t>
            </w:r>
            <w:r>
              <w:rPr>
                <w:color w:val="auto"/>
                <w:spacing w:val="4"/>
                <w:sz w:val="21"/>
                <w:szCs w:val="21"/>
                <w:highlight w:val="none"/>
              </w:rPr>
              <w:t>四新</w:t>
            </w:r>
            <w:r>
              <w:rPr>
                <w:color w:val="auto"/>
                <w:spacing w:val="-70"/>
                <w:sz w:val="21"/>
                <w:szCs w:val="21"/>
                <w:highlight w:val="none"/>
              </w:rPr>
              <w:t xml:space="preserve"> </w:t>
            </w:r>
            <w:r>
              <w:rPr>
                <w:color w:val="auto"/>
                <w:spacing w:val="4"/>
                <w:sz w:val="21"/>
                <w:szCs w:val="21"/>
                <w:highlight w:val="none"/>
              </w:rPr>
              <w:t>”技术，制定的施</w:t>
            </w:r>
            <w:r>
              <w:rPr>
                <w:color w:val="auto"/>
                <w:spacing w:val="7"/>
                <w:sz w:val="21"/>
                <w:szCs w:val="21"/>
                <w:highlight w:val="none"/>
              </w:rPr>
              <w:t>工方案与技术措施针对性和可操作性强，重点突出的，按《广东省公路工程施工标准化指南》及《广东省高速</w:t>
            </w:r>
            <w:r>
              <w:rPr>
                <w:color w:val="auto"/>
                <w:spacing w:val="6"/>
                <w:sz w:val="21"/>
                <w:szCs w:val="21"/>
                <w:highlight w:val="none"/>
              </w:rPr>
              <w:t xml:space="preserve"> </w:t>
            </w:r>
            <w:r>
              <w:rPr>
                <w:color w:val="auto"/>
                <w:spacing w:val="7"/>
                <w:sz w:val="21"/>
                <w:szCs w:val="21"/>
                <w:highlight w:val="none"/>
              </w:rPr>
              <w:t>公路工程施工安全标准化指南》《公路工程施工安全防</w:t>
            </w:r>
            <w:r>
              <w:rPr>
                <w:color w:val="auto"/>
                <w:spacing w:val="6"/>
                <w:sz w:val="21"/>
                <w:szCs w:val="21"/>
                <w:highlight w:val="none"/>
              </w:rPr>
              <w:t xml:space="preserve"> </w:t>
            </w:r>
            <w:r>
              <w:rPr>
                <w:color w:val="auto"/>
                <w:spacing w:val="11"/>
                <w:sz w:val="21"/>
                <w:szCs w:val="21"/>
                <w:highlight w:val="none"/>
              </w:rPr>
              <w:t>护设施技术指南》执行，得</w:t>
            </w:r>
            <w:r>
              <w:rPr>
                <w:rFonts w:hint="eastAsia"/>
                <w:color w:val="auto"/>
                <w:spacing w:val="5"/>
                <w:sz w:val="21"/>
                <w:szCs w:val="21"/>
                <w:highlight w:val="none"/>
                <w:u w:val="single" w:color="auto"/>
                <w:lang w:val="en-US" w:eastAsia="zh-CN"/>
              </w:rPr>
              <w:t>12-15</w:t>
            </w:r>
            <w:r>
              <w:rPr>
                <w:color w:val="auto"/>
                <w:spacing w:val="-89"/>
                <w:sz w:val="21"/>
                <w:szCs w:val="21"/>
                <w:highlight w:val="none"/>
              </w:rPr>
              <w:t xml:space="preserve"> </w:t>
            </w:r>
            <w:r>
              <w:rPr>
                <w:color w:val="auto"/>
                <w:spacing w:val="-87"/>
                <w:sz w:val="21"/>
                <w:szCs w:val="21"/>
                <w:highlight w:val="none"/>
              </w:rPr>
              <w:t xml:space="preserve"> </w:t>
            </w:r>
            <w:r>
              <w:rPr>
                <w:color w:val="auto"/>
                <w:spacing w:val="11"/>
                <w:sz w:val="21"/>
                <w:szCs w:val="21"/>
                <w:highlight w:val="none"/>
              </w:rPr>
              <w:t>分（满分分值的</w:t>
            </w:r>
            <w:r>
              <w:rPr>
                <w:color w:val="auto"/>
                <w:spacing w:val="-38"/>
                <w:sz w:val="21"/>
                <w:szCs w:val="21"/>
                <w:highlight w:val="none"/>
              </w:rPr>
              <w:t xml:space="preserve"> </w:t>
            </w:r>
            <w:r>
              <w:rPr>
                <w:color w:val="auto"/>
                <w:spacing w:val="11"/>
                <w:sz w:val="21"/>
                <w:szCs w:val="21"/>
                <w:highlight w:val="none"/>
              </w:rPr>
              <w:t>80%~</w:t>
            </w:r>
            <w:r>
              <w:rPr>
                <w:color w:val="auto"/>
                <w:sz w:val="21"/>
                <w:szCs w:val="21"/>
                <w:highlight w:val="none"/>
              </w:rPr>
              <w:t xml:space="preserve"> </w:t>
            </w:r>
            <w:r>
              <w:rPr>
                <w:color w:val="auto"/>
                <w:spacing w:val="3"/>
                <w:sz w:val="21"/>
                <w:szCs w:val="21"/>
                <w:highlight w:val="none"/>
              </w:rPr>
              <w:t>100%</w:t>
            </w:r>
            <w:r>
              <w:rPr>
                <w:color w:val="auto"/>
                <w:sz w:val="21"/>
                <w:szCs w:val="21"/>
                <w:highlight w:val="none"/>
              </w:rPr>
              <w:t>）；</w:t>
            </w:r>
          </w:p>
          <w:p w14:paraId="7F17C1C4">
            <w:pPr>
              <w:pStyle w:val="7"/>
              <w:spacing w:line="240" w:lineRule="auto"/>
              <w:ind w:left="0" w:right="0" w:firstLine="0"/>
              <w:jc w:val="both"/>
              <w:rPr>
                <w:color w:val="auto"/>
                <w:sz w:val="21"/>
                <w:szCs w:val="21"/>
                <w:highlight w:val="none"/>
              </w:rPr>
            </w:pPr>
            <w:r>
              <w:rPr>
                <w:color w:val="auto"/>
                <w:spacing w:val="11"/>
                <w:sz w:val="21"/>
                <w:szCs w:val="21"/>
                <w:highlight w:val="none"/>
              </w:rPr>
              <w:t>（2）对项目重点、难点和关键工程认识基本到位，施</w:t>
            </w:r>
            <w:r>
              <w:rPr>
                <w:color w:val="auto"/>
                <w:spacing w:val="22"/>
                <w:sz w:val="21"/>
                <w:szCs w:val="21"/>
                <w:highlight w:val="none"/>
              </w:rPr>
              <w:t>工方案与技术措施基本可行</w:t>
            </w:r>
            <w:r>
              <w:rPr>
                <w:color w:val="auto"/>
                <w:spacing w:val="-55"/>
                <w:sz w:val="21"/>
                <w:szCs w:val="21"/>
                <w:highlight w:val="none"/>
              </w:rPr>
              <w:t xml:space="preserve"> </w:t>
            </w:r>
            <w:r>
              <w:rPr>
                <w:color w:val="auto"/>
                <w:spacing w:val="22"/>
                <w:sz w:val="21"/>
                <w:szCs w:val="21"/>
                <w:highlight w:val="none"/>
              </w:rPr>
              <w:t>，重点较为突出的</w:t>
            </w:r>
            <w:r>
              <w:rPr>
                <w:color w:val="auto"/>
                <w:spacing w:val="-59"/>
                <w:sz w:val="21"/>
                <w:szCs w:val="21"/>
                <w:highlight w:val="none"/>
              </w:rPr>
              <w:t xml:space="preserve"> </w:t>
            </w:r>
            <w:r>
              <w:rPr>
                <w:color w:val="auto"/>
                <w:spacing w:val="22"/>
                <w:sz w:val="21"/>
                <w:szCs w:val="21"/>
                <w:highlight w:val="none"/>
              </w:rPr>
              <w:t>，得</w:t>
            </w:r>
            <w:r>
              <w:rPr>
                <w:rFonts w:hint="eastAsia"/>
                <w:color w:val="auto"/>
                <w:spacing w:val="7"/>
                <w:sz w:val="21"/>
                <w:szCs w:val="21"/>
                <w:highlight w:val="none"/>
                <w:u w:val="single" w:color="auto"/>
                <w:lang w:val="en-US" w:eastAsia="zh-CN"/>
              </w:rPr>
              <w:t>9-12</w:t>
            </w:r>
            <w:r>
              <w:rPr>
                <w:color w:val="auto"/>
                <w:spacing w:val="-88"/>
                <w:sz w:val="21"/>
                <w:szCs w:val="21"/>
                <w:highlight w:val="none"/>
              </w:rPr>
              <w:t xml:space="preserve"> </w:t>
            </w:r>
            <w:r>
              <w:rPr>
                <w:color w:val="auto"/>
                <w:spacing w:val="6"/>
                <w:sz w:val="21"/>
                <w:szCs w:val="21"/>
                <w:highlight w:val="none"/>
              </w:rPr>
              <w:t>分（满分分值的</w:t>
            </w:r>
            <w:r>
              <w:rPr>
                <w:color w:val="auto"/>
                <w:spacing w:val="-35"/>
                <w:sz w:val="21"/>
                <w:szCs w:val="21"/>
                <w:highlight w:val="none"/>
              </w:rPr>
              <w:t xml:space="preserve"> </w:t>
            </w:r>
            <w:r>
              <w:rPr>
                <w:color w:val="auto"/>
                <w:spacing w:val="6"/>
                <w:sz w:val="21"/>
                <w:szCs w:val="21"/>
                <w:highlight w:val="none"/>
              </w:rPr>
              <w:t>60%～80%</w:t>
            </w:r>
            <w:r>
              <w:rPr>
                <w:color w:val="auto"/>
                <w:spacing w:val="1"/>
                <w:sz w:val="21"/>
                <w:szCs w:val="21"/>
                <w:highlight w:val="none"/>
              </w:rPr>
              <w:t>）；</w:t>
            </w:r>
          </w:p>
          <w:p w14:paraId="667978EC">
            <w:pPr>
              <w:pStyle w:val="7"/>
              <w:spacing w:line="240" w:lineRule="auto"/>
              <w:ind w:left="0" w:leftChars="0" w:right="0" w:rightChars="0" w:firstLine="0" w:firstLineChars="0"/>
              <w:rPr>
                <w:rFonts w:ascii="宋体" w:hAnsi="宋体"/>
                <w:color w:val="auto"/>
                <w:sz w:val="21"/>
                <w:szCs w:val="21"/>
                <w:highlight w:val="none"/>
              </w:rPr>
            </w:pPr>
            <w:r>
              <w:rPr>
                <w:color w:val="auto"/>
                <w:spacing w:val="10"/>
                <w:sz w:val="21"/>
                <w:szCs w:val="21"/>
                <w:highlight w:val="none"/>
              </w:rPr>
              <w:t>（3）一般但不被评定为不响应的, 得</w:t>
            </w:r>
            <w:r>
              <w:rPr>
                <w:rFonts w:hint="eastAsia"/>
                <w:color w:val="auto"/>
                <w:spacing w:val="6"/>
                <w:sz w:val="21"/>
                <w:szCs w:val="21"/>
                <w:highlight w:val="none"/>
                <w:u w:val="single" w:color="auto"/>
                <w:lang w:val="en-US" w:eastAsia="zh-CN"/>
              </w:rPr>
              <w:t>9</w:t>
            </w:r>
            <w:r>
              <w:rPr>
                <w:color w:val="auto"/>
                <w:spacing w:val="-88"/>
                <w:sz w:val="21"/>
                <w:szCs w:val="21"/>
                <w:highlight w:val="none"/>
              </w:rPr>
              <w:t xml:space="preserve"> </w:t>
            </w:r>
            <w:r>
              <w:rPr>
                <w:color w:val="auto"/>
                <w:spacing w:val="10"/>
                <w:sz w:val="21"/>
                <w:szCs w:val="21"/>
                <w:highlight w:val="none"/>
              </w:rPr>
              <w:t>分（满分分</w:t>
            </w:r>
            <w:r>
              <w:rPr>
                <w:color w:val="auto"/>
                <w:spacing w:val="2"/>
                <w:sz w:val="21"/>
                <w:szCs w:val="21"/>
                <w:highlight w:val="none"/>
              </w:rPr>
              <w:t>值的</w:t>
            </w:r>
            <w:r>
              <w:rPr>
                <w:color w:val="auto"/>
                <w:spacing w:val="-35"/>
                <w:sz w:val="21"/>
                <w:szCs w:val="21"/>
                <w:highlight w:val="none"/>
              </w:rPr>
              <w:t xml:space="preserve"> </w:t>
            </w:r>
            <w:r>
              <w:rPr>
                <w:color w:val="auto"/>
                <w:spacing w:val="2"/>
                <w:sz w:val="21"/>
                <w:szCs w:val="21"/>
                <w:highlight w:val="none"/>
              </w:rPr>
              <w:t>60%）。</w:t>
            </w:r>
          </w:p>
        </w:tc>
      </w:tr>
      <w:tr w14:paraId="008E4152">
        <w:tblPrEx>
          <w:tblCellMar>
            <w:top w:w="0" w:type="dxa"/>
            <w:left w:w="0" w:type="dxa"/>
            <w:bottom w:w="0" w:type="dxa"/>
            <w:right w:w="0" w:type="dxa"/>
          </w:tblCellMar>
        </w:tblPrEx>
        <w:trPr>
          <w:trHeight w:val="554" w:hRule="atLeast"/>
        </w:trPr>
        <w:tc>
          <w:tcPr>
            <w:tcW w:w="1031" w:type="dxa"/>
            <w:vMerge w:val="continue"/>
            <w:tcBorders>
              <w:top w:val="single" w:color="auto" w:sz="4" w:space="0"/>
              <w:left w:val="single" w:color="auto" w:sz="4" w:space="0"/>
              <w:bottom w:val="single" w:color="auto" w:sz="4" w:space="0"/>
              <w:right w:val="single" w:color="auto" w:sz="4" w:space="0"/>
            </w:tcBorders>
            <w:noWrap w:val="0"/>
            <w:vAlign w:val="center"/>
          </w:tcPr>
          <w:p w14:paraId="09886D65">
            <w:pPr>
              <w:spacing w:line="360" w:lineRule="exact"/>
              <w:ind w:left="42" w:leftChars="20" w:right="42" w:rightChars="20"/>
              <w:jc w:val="center"/>
              <w:rPr>
                <w:rFonts w:ascii="宋体" w:hAnsi="宋体"/>
                <w:color w:val="auto"/>
                <w:szCs w:val="21"/>
                <w:highlight w:val="none"/>
              </w:rPr>
            </w:pPr>
          </w:p>
        </w:tc>
        <w:tc>
          <w:tcPr>
            <w:tcW w:w="1096"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531614E0">
            <w:pPr>
              <w:spacing w:line="360" w:lineRule="exact"/>
              <w:ind w:left="42" w:leftChars="20" w:right="42" w:rightChars="20"/>
              <w:jc w:val="center"/>
              <w:rPr>
                <w:rFonts w:ascii="宋体" w:hAnsi="宋体"/>
                <w:color w:val="auto"/>
                <w:szCs w:val="21"/>
                <w:highlight w:val="none"/>
              </w:rPr>
            </w:pPr>
          </w:p>
        </w:tc>
        <w:tc>
          <w:tcPr>
            <w:tcW w:w="708" w:type="dxa"/>
            <w:vMerge w:val="continue"/>
            <w:tcBorders>
              <w:top w:val="single" w:color="auto" w:sz="4" w:space="0"/>
              <w:left w:val="single" w:color="auto" w:sz="4" w:space="0"/>
              <w:bottom w:val="single" w:color="auto" w:sz="4" w:space="0"/>
              <w:right w:val="single" w:color="auto" w:sz="4" w:space="0"/>
            </w:tcBorders>
            <w:noWrap w:val="0"/>
            <w:vAlign w:val="center"/>
          </w:tcPr>
          <w:p w14:paraId="3ADC2990">
            <w:pPr>
              <w:spacing w:line="360" w:lineRule="exact"/>
              <w:ind w:left="42" w:leftChars="20" w:right="42" w:rightChars="20"/>
              <w:jc w:val="center"/>
              <w:rPr>
                <w:rFonts w:ascii="宋体" w:hAnsi="宋体"/>
                <w:color w:val="auto"/>
                <w:szCs w:val="21"/>
                <w:highlight w:val="none"/>
              </w:rPr>
            </w:pPr>
          </w:p>
        </w:tc>
        <w:tc>
          <w:tcPr>
            <w:tcW w:w="993" w:type="dxa"/>
            <w:tcBorders>
              <w:top w:val="single" w:color="auto" w:sz="4" w:space="0"/>
              <w:left w:val="single" w:color="auto" w:sz="4" w:space="0"/>
              <w:bottom w:val="single" w:color="auto" w:sz="4" w:space="0"/>
              <w:right w:val="single" w:color="auto" w:sz="4" w:space="0"/>
            </w:tcBorders>
            <w:noWrap w:val="0"/>
            <w:vAlign w:val="center"/>
          </w:tcPr>
          <w:p w14:paraId="028CC400">
            <w:pPr>
              <w:pStyle w:val="7"/>
              <w:spacing w:line="240" w:lineRule="auto"/>
              <w:ind w:left="0" w:leftChars="0" w:right="122" w:rightChars="0" w:firstLine="1" w:firstLineChars="0"/>
              <w:jc w:val="center"/>
              <w:rPr>
                <w:rFonts w:ascii="宋体" w:hAnsi="宋体" w:eastAsia="宋体" w:cs="宋体"/>
                <w:color w:val="auto"/>
                <w:spacing w:val="-11"/>
                <w:sz w:val="21"/>
                <w:szCs w:val="21"/>
                <w:highlight w:val="none"/>
              </w:rPr>
            </w:pPr>
            <w:r>
              <w:rPr>
                <w:rFonts w:ascii="宋体" w:hAnsi="宋体" w:eastAsia="宋体" w:cs="宋体"/>
                <w:color w:val="auto"/>
                <w:spacing w:val="-11"/>
                <w:sz w:val="21"/>
                <w:szCs w:val="21"/>
                <w:highlight w:val="none"/>
              </w:rPr>
              <w:t>工期、质量、安全、环保水保、文明施工保证措施</w:t>
            </w:r>
          </w:p>
        </w:tc>
        <w:tc>
          <w:tcPr>
            <w:tcW w:w="708" w:type="dxa"/>
            <w:tcBorders>
              <w:top w:val="single" w:color="auto" w:sz="4" w:space="0"/>
              <w:left w:val="single" w:color="auto" w:sz="4" w:space="0"/>
              <w:bottom w:val="single" w:color="auto" w:sz="4" w:space="0"/>
              <w:right w:val="single" w:color="auto" w:sz="4" w:space="0"/>
            </w:tcBorders>
            <w:noWrap w:val="0"/>
            <w:vAlign w:val="center"/>
          </w:tcPr>
          <w:p w14:paraId="7D36DD8A">
            <w:pPr>
              <w:pStyle w:val="7"/>
              <w:spacing w:line="240" w:lineRule="auto"/>
              <w:ind w:left="0" w:leftChars="0" w:right="122" w:rightChars="0" w:firstLine="1" w:firstLineChars="0"/>
              <w:jc w:val="center"/>
              <w:rPr>
                <w:rFonts w:ascii="宋体" w:hAnsi="宋体" w:eastAsia="宋体" w:cs="宋体"/>
                <w:color w:val="auto"/>
                <w:spacing w:val="-11"/>
                <w:sz w:val="21"/>
                <w:szCs w:val="21"/>
                <w:highlight w:val="none"/>
              </w:rPr>
            </w:pPr>
            <w:r>
              <w:rPr>
                <w:rFonts w:hint="eastAsia" w:ascii="宋体" w:hAnsi="宋体" w:eastAsia="宋体" w:cs="宋体"/>
                <w:color w:val="auto"/>
                <w:spacing w:val="-11"/>
                <w:sz w:val="21"/>
                <w:szCs w:val="21"/>
                <w:highlight w:val="none"/>
                <w:u w:val="single"/>
                <w:lang w:val="en-US" w:eastAsia="zh-CN"/>
              </w:rPr>
              <w:t>10</w:t>
            </w:r>
            <w:r>
              <w:rPr>
                <w:rFonts w:ascii="宋体" w:hAnsi="宋体" w:eastAsia="宋体" w:cs="宋体"/>
                <w:color w:val="auto"/>
                <w:spacing w:val="-11"/>
                <w:sz w:val="21"/>
                <w:szCs w:val="21"/>
                <w:highlight w:val="none"/>
                <w:u w:val="single"/>
              </w:rPr>
              <w:t xml:space="preserve"> </w:t>
            </w:r>
            <w:r>
              <w:rPr>
                <w:rFonts w:ascii="宋体" w:hAnsi="宋体" w:eastAsia="宋体" w:cs="宋体"/>
                <w:color w:val="auto"/>
                <w:spacing w:val="-11"/>
                <w:sz w:val="21"/>
                <w:szCs w:val="21"/>
                <w:highlight w:val="none"/>
              </w:rPr>
              <w:t>分</w:t>
            </w:r>
          </w:p>
        </w:tc>
        <w:tc>
          <w:tcPr>
            <w:tcW w:w="5672" w:type="dxa"/>
            <w:tcBorders>
              <w:top w:val="single" w:color="auto" w:sz="4" w:space="0"/>
              <w:left w:val="single" w:color="auto" w:sz="4" w:space="0"/>
              <w:bottom w:val="single" w:color="auto" w:sz="4" w:space="0"/>
              <w:right w:val="single" w:color="auto" w:sz="4" w:space="0"/>
            </w:tcBorders>
            <w:noWrap w:val="0"/>
            <w:vAlign w:val="top"/>
          </w:tcPr>
          <w:p w14:paraId="6FA48740">
            <w:pPr>
              <w:pStyle w:val="7"/>
              <w:spacing w:line="240" w:lineRule="auto"/>
              <w:ind w:left="0" w:right="0" w:firstLine="0"/>
              <w:rPr>
                <w:color w:val="auto"/>
                <w:sz w:val="21"/>
                <w:szCs w:val="21"/>
                <w:highlight w:val="none"/>
              </w:rPr>
            </w:pPr>
            <w:r>
              <w:rPr>
                <w:color w:val="auto"/>
                <w:spacing w:val="11"/>
                <w:sz w:val="21"/>
                <w:szCs w:val="21"/>
                <w:highlight w:val="none"/>
              </w:rPr>
              <w:t>（1）能够准确预判分析工期、质量、安全、环保、水</w:t>
            </w:r>
            <w:r>
              <w:rPr>
                <w:color w:val="auto"/>
                <w:spacing w:val="7"/>
                <w:sz w:val="21"/>
                <w:szCs w:val="21"/>
                <w:highlight w:val="none"/>
              </w:rPr>
              <w:t>保、文明施工目标实现的主要影响因素，拟采取预防保</w:t>
            </w:r>
            <w:r>
              <w:rPr>
                <w:color w:val="auto"/>
                <w:spacing w:val="5"/>
                <w:sz w:val="21"/>
                <w:szCs w:val="21"/>
                <w:highlight w:val="none"/>
              </w:rPr>
              <w:t xml:space="preserve"> </w:t>
            </w:r>
            <w:r>
              <w:rPr>
                <w:color w:val="auto"/>
                <w:spacing w:val="7"/>
                <w:sz w:val="21"/>
                <w:szCs w:val="21"/>
                <w:highlight w:val="none"/>
              </w:rPr>
              <w:t>证措施针对性强、科学有效，重点突出的，按《广东省 公路工程施工标准化指南》及《广东省高速公路工程施工安全标准化指南》《公路工程施工安全防护设施技术</w:t>
            </w:r>
            <w:r>
              <w:rPr>
                <w:color w:val="auto"/>
                <w:spacing w:val="5"/>
                <w:sz w:val="21"/>
                <w:szCs w:val="21"/>
                <w:highlight w:val="none"/>
              </w:rPr>
              <w:t xml:space="preserve"> </w:t>
            </w:r>
            <w:r>
              <w:rPr>
                <w:color w:val="auto"/>
                <w:spacing w:val="7"/>
                <w:sz w:val="21"/>
                <w:szCs w:val="21"/>
                <w:highlight w:val="none"/>
              </w:rPr>
              <w:t>指南》执行，得</w:t>
            </w:r>
            <w:r>
              <w:rPr>
                <w:rFonts w:hint="eastAsia"/>
                <w:color w:val="auto"/>
                <w:spacing w:val="7"/>
                <w:sz w:val="21"/>
                <w:szCs w:val="21"/>
                <w:highlight w:val="none"/>
                <w:u w:val="single" w:color="auto"/>
                <w:lang w:val="en-US" w:eastAsia="zh-CN"/>
              </w:rPr>
              <w:t>8-10</w:t>
            </w:r>
            <w:r>
              <w:rPr>
                <w:color w:val="auto"/>
                <w:spacing w:val="5"/>
                <w:sz w:val="21"/>
                <w:szCs w:val="21"/>
                <w:highlight w:val="none"/>
                <w:u w:val="single" w:color="auto"/>
              </w:rPr>
              <w:t xml:space="preserve"> </w:t>
            </w:r>
            <w:r>
              <w:rPr>
                <w:color w:val="auto"/>
                <w:spacing w:val="-90"/>
                <w:sz w:val="21"/>
                <w:szCs w:val="21"/>
                <w:highlight w:val="none"/>
              </w:rPr>
              <w:t xml:space="preserve"> </w:t>
            </w:r>
            <w:r>
              <w:rPr>
                <w:color w:val="auto"/>
                <w:spacing w:val="7"/>
                <w:sz w:val="21"/>
                <w:szCs w:val="21"/>
                <w:highlight w:val="none"/>
              </w:rPr>
              <w:t>分（满分分值的</w:t>
            </w:r>
            <w:r>
              <w:rPr>
                <w:color w:val="auto"/>
                <w:spacing w:val="-38"/>
                <w:sz w:val="21"/>
                <w:szCs w:val="21"/>
                <w:highlight w:val="none"/>
              </w:rPr>
              <w:t xml:space="preserve"> </w:t>
            </w:r>
            <w:r>
              <w:rPr>
                <w:color w:val="auto"/>
                <w:spacing w:val="7"/>
                <w:sz w:val="21"/>
                <w:szCs w:val="21"/>
                <w:highlight w:val="none"/>
              </w:rPr>
              <w:t>80%～100%</w:t>
            </w:r>
            <w:r>
              <w:rPr>
                <w:color w:val="auto"/>
                <w:spacing w:val="1"/>
                <w:sz w:val="21"/>
                <w:szCs w:val="21"/>
                <w:highlight w:val="none"/>
              </w:rPr>
              <w:t>）；</w:t>
            </w:r>
          </w:p>
          <w:p w14:paraId="507A9CA0">
            <w:pPr>
              <w:pStyle w:val="7"/>
              <w:spacing w:line="240" w:lineRule="auto"/>
              <w:ind w:left="0" w:right="0" w:firstLine="0"/>
              <w:rPr>
                <w:color w:val="auto"/>
                <w:sz w:val="21"/>
                <w:szCs w:val="21"/>
                <w:highlight w:val="none"/>
              </w:rPr>
            </w:pPr>
            <w:r>
              <w:rPr>
                <w:color w:val="auto"/>
                <w:spacing w:val="11"/>
                <w:sz w:val="21"/>
                <w:szCs w:val="21"/>
                <w:highlight w:val="none"/>
              </w:rPr>
              <w:t>（2）对工期、质量、安全、环保、水保等风险有一定</w:t>
            </w:r>
            <w:r>
              <w:rPr>
                <w:color w:val="auto"/>
                <w:spacing w:val="16"/>
                <w:sz w:val="21"/>
                <w:szCs w:val="21"/>
                <w:highlight w:val="none"/>
              </w:rPr>
              <w:t>认识，预防保证措施基本可行，重点较为突出的，得</w:t>
            </w:r>
            <w:r>
              <w:rPr>
                <w:rFonts w:hint="eastAsia"/>
                <w:color w:val="auto"/>
                <w:spacing w:val="7"/>
                <w:sz w:val="21"/>
                <w:szCs w:val="21"/>
                <w:highlight w:val="none"/>
                <w:u w:val="single" w:color="auto"/>
                <w:lang w:val="en-US" w:eastAsia="zh-CN"/>
              </w:rPr>
              <w:t>6-8</w:t>
            </w:r>
            <w:r>
              <w:rPr>
                <w:color w:val="auto"/>
                <w:spacing w:val="5"/>
                <w:sz w:val="21"/>
                <w:szCs w:val="21"/>
                <w:highlight w:val="none"/>
              </w:rPr>
              <w:t xml:space="preserve"> </w:t>
            </w:r>
            <w:r>
              <w:rPr>
                <w:color w:val="auto"/>
                <w:spacing w:val="6"/>
                <w:sz w:val="21"/>
                <w:szCs w:val="21"/>
                <w:highlight w:val="none"/>
              </w:rPr>
              <w:t>分（满分分值的</w:t>
            </w:r>
            <w:r>
              <w:rPr>
                <w:color w:val="auto"/>
                <w:spacing w:val="-35"/>
                <w:sz w:val="21"/>
                <w:szCs w:val="21"/>
                <w:highlight w:val="none"/>
              </w:rPr>
              <w:t xml:space="preserve"> </w:t>
            </w:r>
            <w:r>
              <w:rPr>
                <w:color w:val="auto"/>
                <w:spacing w:val="6"/>
                <w:sz w:val="21"/>
                <w:szCs w:val="21"/>
                <w:highlight w:val="none"/>
              </w:rPr>
              <w:t>60%～80%</w:t>
            </w:r>
            <w:r>
              <w:rPr>
                <w:color w:val="auto"/>
                <w:spacing w:val="2"/>
                <w:sz w:val="21"/>
                <w:szCs w:val="21"/>
                <w:highlight w:val="none"/>
              </w:rPr>
              <w:t>）；</w:t>
            </w:r>
          </w:p>
          <w:p w14:paraId="33B38E42">
            <w:pPr>
              <w:pStyle w:val="7"/>
              <w:spacing w:line="240" w:lineRule="auto"/>
              <w:ind w:left="0" w:leftChars="0" w:right="0" w:rightChars="0" w:firstLine="0" w:firstLineChars="0"/>
              <w:rPr>
                <w:rFonts w:ascii="宋体" w:hAnsi="宋体"/>
                <w:color w:val="auto"/>
                <w:sz w:val="21"/>
                <w:szCs w:val="21"/>
                <w:highlight w:val="none"/>
              </w:rPr>
            </w:pPr>
            <w:r>
              <w:rPr>
                <w:color w:val="auto"/>
                <w:spacing w:val="10"/>
                <w:sz w:val="21"/>
                <w:szCs w:val="21"/>
                <w:highlight w:val="none"/>
              </w:rPr>
              <w:t>（3）一般但不被评定为不响应的, 得</w:t>
            </w:r>
            <w:r>
              <w:rPr>
                <w:rFonts w:hint="eastAsia"/>
                <w:color w:val="auto"/>
                <w:spacing w:val="6"/>
                <w:sz w:val="21"/>
                <w:szCs w:val="21"/>
                <w:highlight w:val="none"/>
                <w:u w:val="single" w:color="auto"/>
                <w:lang w:val="en-US" w:eastAsia="zh-CN"/>
              </w:rPr>
              <w:t>6</w:t>
            </w:r>
            <w:r>
              <w:rPr>
                <w:color w:val="auto"/>
                <w:spacing w:val="-88"/>
                <w:sz w:val="21"/>
                <w:szCs w:val="21"/>
                <w:highlight w:val="none"/>
              </w:rPr>
              <w:t xml:space="preserve"> </w:t>
            </w:r>
            <w:r>
              <w:rPr>
                <w:color w:val="auto"/>
                <w:spacing w:val="10"/>
                <w:sz w:val="21"/>
                <w:szCs w:val="21"/>
                <w:highlight w:val="none"/>
              </w:rPr>
              <w:t>分（满分分</w:t>
            </w:r>
            <w:r>
              <w:rPr>
                <w:color w:val="auto"/>
                <w:spacing w:val="2"/>
                <w:sz w:val="21"/>
                <w:szCs w:val="21"/>
                <w:highlight w:val="none"/>
              </w:rPr>
              <w:t>值的</w:t>
            </w:r>
            <w:r>
              <w:rPr>
                <w:color w:val="auto"/>
                <w:spacing w:val="-35"/>
                <w:sz w:val="21"/>
                <w:szCs w:val="21"/>
                <w:highlight w:val="none"/>
              </w:rPr>
              <w:t xml:space="preserve"> </w:t>
            </w:r>
            <w:r>
              <w:rPr>
                <w:color w:val="auto"/>
                <w:spacing w:val="2"/>
                <w:sz w:val="21"/>
                <w:szCs w:val="21"/>
                <w:highlight w:val="none"/>
              </w:rPr>
              <w:t>60%）。</w:t>
            </w:r>
          </w:p>
        </w:tc>
      </w:tr>
      <w:tr w14:paraId="49E35C92">
        <w:tblPrEx>
          <w:tblCellMar>
            <w:top w:w="0" w:type="dxa"/>
            <w:left w:w="0" w:type="dxa"/>
            <w:bottom w:w="0" w:type="dxa"/>
            <w:right w:w="0" w:type="dxa"/>
          </w:tblCellMar>
        </w:tblPrEx>
        <w:trPr>
          <w:trHeight w:val="1311" w:hRule="atLeast"/>
        </w:trPr>
        <w:tc>
          <w:tcPr>
            <w:tcW w:w="1031" w:type="dxa"/>
            <w:vMerge w:val="restart"/>
            <w:tcBorders>
              <w:top w:val="single" w:color="auto" w:sz="4" w:space="0"/>
              <w:left w:val="single" w:color="auto" w:sz="4" w:space="0"/>
              <w:bottom w:val="single" w:color="auto" w:sz="4" w:space="0"/>
              <w:right w:val="single" w:color="auto" w:sz="4" w:space="0"/>
            </w:tcBorders>
            <w:noWrap w:val="0"/>
            <w:vAlign w:val="center"/>
          </w:tcPr>
          <w:p w14:paraId="4842FB11">
            <w:pPr>
              <w:spacing w:line="360" w:lineRule="exact"/>
              <w:ind w:left="42" w:leftChars="20" w:right="42" w:rightChars="20"/>
              <w:jc w:val="center"/>
              <w:rPr>
                <w:rFonts w:ascii="宋体" w:hAnsi="宋体"/>
                <w:color w:val="auto"/>
                <w:szCs w:val="21"/>
                <w:highlight w:val="none"/>
              </w:rPr>
            </w:pPr>
            <w:r>
              <w:rPr>
                <w:rFonts w:hint="eastAsia" w:ascii="宋体" w:hAnsi="宋体"/>
                <w:color w:val="auto"/>
                <w:szCs w:val="21"/>
                <w:highlight w:val="none"/>
              </w:rPr>
              <w:t>2</w:t>
            </w:r>
            <w:r>
              <w:rPr>
                <w:rFonts w:ascii="宋体" w:hAnsi="宋体"/>
                <w:color w:val="auto"/>
                <w:szCs w:val="21"/>
                <w:highlight w:val="none"/>
              </w:rPr>
              <w:t>.2.2</w:t>
            </w:r>
            <w:r>
              <w:rPr>
                <w:rFonts w:hint="eastAsia" w:ascii="宋体" w:hAnsi="宋体"/>
                <w:color w:val="auto"/>
                <w:szCs w:val="21"/>
                <w:highlight w:val="none"/>
              </w:rPr>
              <w:t>（</w:t>
            </w:r>
            <w:r>
              <w:rPr>
                <w:rFonts w:ascii="宋体" w:hAnsi="宋体"/>
                <w:color w:val="auto"/>
                <w:szCs w:val="21"/>
                <w:highlight w:val="none"/>
              </w:rPr>
              <w:t>2</w:t>
            </w:r>
            <w:r>
              <w:rPr>
                <w:rFonts w:hint="eastAsia" w:ascii="宋体" w:hAnsi="宋体"/>
                <w:color w:val="auto"/>
                <w:szCs w:val="21"/>
                <w:highlight w:val="none"/>
              </w:rPr>
              <w:t>）</w:t>
            </w:r>
          </w:p>
        </w:tc>
        <w:tc>
          <w:tcPr>
            <w:tcW w:w="1096" w:type="dxa"/>
            <w:gridSpan w:val="2"/>
            <w:vMerge w:val="restart"/>
            <w:tcBorders>
              <w:top w:val="single" w:color="auto" w:sz="4" w:space="0"/>
              <w:left w:val="single" w:color="auto" w:sz="4" w:space="0"/>
              <w:bottom w:val="single" w:color="auto" w:sz="4" w:space="0"/>
              <w:right w:val="single" w:color="auto" w:sz="4" w:space="0"/>
            </w:tcBorders>
            <w:noWrap w:val="0"/>
            <w:vAlign w:val="center"/>
          </w:tcPr>
          <w:p w14:paraId="3C3FD4A0">
            <w:pPr>
              <w:spacing w:line="360" w:lineRule="exact"/>
              <w:ind w:left="42" w:leftChars="20" w:right="42" w:rightChars="20"/>
              <w:jc w:val="center"/>
              <w:rPr>
                <w:rFonts w:ascii="宋体" w:hAnsi="宋体"/>
                <w:color w:val="auto"/>
                <w:szCs w:val="21"/>
                <w:highlight w:val="none"/>
              </w:rPr>
            </w:pPr>
            <w:r>
              <w:rPr>
                <w:rFonts w:hint="eastAsia" w:ascii="宋体" w:hAnsi="宋体"/>
                <w:color w:val="auto"/>
                <w:szCs w:val="21"/>
                <w:highlight w:val="none"/>
              </w:rPr>
              <w:t>主要人员</w:t>
            </w:r>
          </w:p>
        </w:tc>
        <w:tc>
          <w:tcPr>
            <w:tcW w:w="708" w:type="dxa"/>
            <w:vMerge w:val="restart"/>
            <w:tcBorders>
              <w:top w:val="single" w:color="auto" w:sz="4" w:space="0"/>
              <w:left w:val="single" w:color="auto" w:sz="4" w:space="0"/>
              <w:bottom w:val="single" w:color="auto" w:sz="4" w:space="0"/>
              <w:right w:val="single" w:color="auto" w:sz="4" w:space="0"/>
            </w:tcBorders>
            <w:noWrap w:val="0"/>
            <w:vAlign w:val="center"/>
          </w:tcPr>
          <w:p w14:paraId="09F56CFE">
            <w:pPr>
              <w:spacing w:line="360" w:lineRule="exact"/>
              <w:ind w:left="42" w:leftChars="20" w:right="42" w:rightChars="20"/>
              <w:jc w:val="center"/>
              <w:rPr>
                <w:rFonts w:ascii="宋体" w:hAnsi="宋体"/>
                <w:color w:val="auto"/>
                <w:szCs w:val="21"/>
                <w:highlight w:val="none"/>
              </w:rPr>
            </w:pPr>
            <w:r>
              <w:rPr>
                <w:rFonts w:hint="eastAsia" w:ascii="宋体" w:hAnsi="宋体"/>
                <w:color w:val="auto"/>
                <w:szCs w:val="21"/>
                <w:highlight w:val="none"/>
                <w:lang w:val="en-US" w:eastAsia="zh-CN"/>
              </w:rPr>
              <w:t>30</w:t>
            </w:r>
            <w:r>
              <w:rPr>
                <w:rFonts w:hint="eastAsia" w:ascii="宋体" w:hAnsi="宋体"/>
                <w:color w:val="auto"/>
                <w:szCs w:val="21"/>
                <w:highlight w:val="none"/>
              </w:rPr>
              <w:t>分</w:t>
            </w:r>
          </w:p>
        </w:tc>
        <w:tc>
          <w:tcPr>
            <w:tcW w:w="993" w:type="dxa"/>
            <w:tcBorders>
              <w:top w:val="single" w:color="auto" w:sz="4" w:space="0"/>
              <w:left w:val="single" w:color="auto" w:sz="4" w:space="0"/>
              <w:bottom w:val="single" w:color="auto" w:sz="4" w:space="0"/>
              <w:right w:val="single" w:color="auto" w:sz="4" w:space="0"/>
            </w:tcBorders>
            <w:noWrap w:val="0"/>
            <w:vAlign w:val="center"/>
          </w:tcPr>
          <w:p w14:paraId="660D5CDC">
            <w:pPr>
              <w:pStyle w:val="7"/>
              <w:spacing w:line="240" w:lineRule="auto"/>
              <w:ind w:left="0" w:leftChars="0"/>
              <w:jc w:val="center"/>
              <w:rPr>
                <w:rFonts w:ascii="宋体" w:hAnsi="宋体" w:eastAsia="宋体" w:cs="宋体"/>
                <w:color w:val="auto"/>
                <w:spacing w:val="5"/>
                <w:position w:val="11"/>
                <w:sz w:val="21"/>
                <w:szCs w:val="21"/>
                <w:highlight w:val="none"/>
              </w:rPr>
            </w:pPr>
            <w:r>
              <w:rPr>
                <w:rFonts w:ascii="宋体" w:hAnsi="宋体" w:eastAsia="宋体" w:cs="宋体"/>
                <w:color w:val="auto"/>
                <w:spacing w:val="5"/>
                <w:position w:val="11"/>
                <w:sz w:val="21"/>
                <w:szCs w:val="21"/>
                <w:highlight w:val="none"/>
              </w:rPr>
              <w:t>项目经理任职资格与业绩</w:t>
            </w:r>
          </w:p>
        </w:tc>
        <w:tc>
          <w:tcPr>
            <w:tcW w:w="708" w:type="dxa"/>
            <w:tcBorders>
              <w:top w:val="single" w:color="auto" w:sz="4" w:space="0"/>
              <w:left w:val="single" w:color="auto" w:sz="4" w:space="0"/>
              <w:bottom w:val="single" w:color="auto" w:sz="4" w:space="0"/>
              <w:right w:val="single" w:color="auto" w:sz="4" w:space="0"/>
            </w:tcBorders>
            <w:noWrap w:val="0"/>
            <w:vAlign w:val="center"/>
          </w:tcPr>
          <w:p w14:paraId="045575B1">
            <w:pPr>
              <w:pStyle w:val="7"/>
              <w:spacing w:line="240" w:lineRule="auto"/>
              <w:ind w:left="0" w:leftChars="0"/>
              <w:jc w:val="center"/>
              <w:rPr>
                <w:rFonts w:ascii="宋体" w:hAnsi="宋体" w:eastAsia="宋体" w:cs="宋体"/>
                <w:color w:val="auto"/>
                <w:spacing w:val="5"/>
                <w:position w:val="11"/>
                <w:sz w:val="21"/>
                <w:szCs w:val="21"/>
                <w:highlight w:val="none"/>
              </w:rPr>
            </w:pPr>
            <w:r>
              <w:rPr>
                <w:rFonts w:hint="eastAsia" w:cs="宋体"/>
                <w:color w:val="auto"/>
                <w:spacing w:val="5"/>
                <w:position w:val="11"/>
                <w:sz w:val="21"/>
                <w:szCs w:val="21"/>
                <w:highlight w:val="none"/>
                <w:u w:val="single"/>
                <w:lang w:val="en-US" w:eastAsia="zh-CN"/>
              </w:rPr>
              <w:t>15</w:t>
            </w:r>
            <w:r>
              <w:rPr>
                <w:rFonts w:ascii="宋体" w:hAnsi="宋体" w:eastAsia="宋体" w:cs="宋体"/>
                <w:color w:val="auto"/>
                <w:spacing w:val="5"/>
                <w:position w:val="11"/>
                <w:sz w:val="21"/>
                <w:szCs w:val="21"/>
                <w:highlight w:val="none"/>
              </w:rPr>
              <w:t>分</w:t>
            </w:r>
          </w:p>
        </w:tc>
        <w:tc>
          <w:tcPr>
            <w:tcW w:w="5672" w:type="dxa"/>
            <w:tcBorders>
              <w:top w:val="single" w:color="auto" w:sz="4" w:space="0"/>
              <w:left w:val="single" w:color="auto" w:sz="4" w:space="0"/>
              <w:bottom w:val="single" w:color="auto" w:sz="4" w:space="0"/>
              <w:right w:val="single" w:color="auto" w:sz="4" w:space="0"/>
            </w:tcBorders>
            <w:noWrap w:val="0"/>
            <w:vAlign w:val="center"/>
          </w:tcPr>
          <w:p w14:paraId="33F4AD5E">
            <w:pPr>
              <w:pStyle w:val="7"/>
              <w:numPr>
                <w:ilvl w:val="0"/>
                <w:numId w:val="0"/>
              </w:numPr>
              <w:spacing w:line="240" w:lineRule="auto"/>
              <w:ind w:leftChars="0" w:right="0" w:rightChars="0"/>
              <w:jc w:val="both"/>
              <w:rPr>
                <w:rFonts w:ascii="宋体" w:hAnsi="宋体" w:eastAsia="宋体" w:cs="宋体"/>
                <w:color w:val="auto"/>
                <w:spacing w:val="11"/>
                <w:sz w:val="21"/>
                <w:szCs w:val="21"/>
                <w:highlight w:val="none"/>
                <w:u w:val="single"/>
              </w:rPr>
            </w:pPr>
            <w:r>
              <w:rPr>
                <w:rFonts w:hint="eastAsia" w:ascii="宋体" w:hAnsi="宋体" w:eastAsia="宋体" w:cs="宋体"/>
                <w:color w:val="auto"/>
                <w:spacing w:val="11"/>
                <w:sz w:val="21"/>
                <w:szCs w:val="21"/>
                <w:highlight w:val="none"/>
                <w:lang w:eastAsia="zh-CN"/>
              </w:rPr>
              <w:t>（</w:t>
            </w:r>
            <w:r>
              <w:rPr>
                <w:rFonts w:hint="eastAsia" w:ascii="宋体" w:hAnsi="宋体" w:eastAsia="宋体" w:cs="宋体"/>
                <w:color w:val="auto"/>
                <w:spacing w:val="11"/>
                <w:sz w:val="21"/>
                <w:szCs w:val="21"/>
                <w:highlight w:val="none"/>
                <w:lang w:val="en-US" w:eastAsia="zh-CN"/>
              </w:rPr>
              <w:t>1</w:t>
            </w:r>
            <w:r>
              <w:rPr>
                <w:rFonts w:hint="eastAsia" w:ascii="宋体" w:hAnsi="宋体" w:eastAsia="宋体" w:cs="宋体"/>
                <w:color w:val="auto"/>
                <w:spacing w:val="11"/>
                <w:sz w:val="21"/>
                <w:szCs w:val="21"/>
                <w:highlight w:val="none"/>
                <w:lang w:eastAsia="zh-CN"/>
              </w:rPr>
              <w:t>）</w:t>
            </w:r>
            <w:r>
              <w:rPr>
                <w:rFonts w:ascii="宋体" w:hAnsi="宋体" w:eastAsia="宋体" w:cs="宋体"/>
                <w:color w:val="auto"/>
                <w:spacing w:val="11"/>
                <w:sz w:val="21"/>
                <w:szCs w:val="21"/>
                <w:highlight w:val="none"/>
              </w:rPr>
              <w:t>满足资格审查条件（项目经理最低要求）时，得</w:t>
            </w:r>
            <w:r>
              <w:rPr>
                <w:rFonts w:ascii="宋体" w:hAnsi="宋体" w:eastAsia="宋体" w:cs="宋体"/>
                <w:color w:val="auto"/>
                <w:spacing w:val="11"/>
                <w:sz w:val="21"/>
                <w:szCs w:val="21"/>
                <w:highlight w:val="none"/>
                <w:u w:val="single"/>
              </w:rPr>
              <w:t xml:space="preserve"> </w:t>
            </w:r>
            <w:r>
              <w:rPr>
                <w:rFonts w:hint="eastAsia" w:ascii="宋体" w:hAnsi="宋体" w:eastAsia="宋体" w:cs="宋体"/>
                <w:color w:val="auto"/>
                <w:spacing w:val="11"/>
                <w:sz w:val="21"/>
                <w:szCs w:val="21"/>
                <w:highlight w:val="none"/>
                <w:u w:val="single"/>
                <w:lang w:val="en-US" w:eastAsia="zh-CN"/>
              </w:rPr>
              <w:t>9</w:t>
            </w:r>
            <w:r>
              <w:rPr>
                <w:rFonts w:ascii="宋体" w:hAnsi="宋体" w:eastAsia="宋体" w:cs="宋体"/>
                <w:color w:val="auto"/>
                <w:spacing w:val="11"/>
                <w:sz w:val="21"/>
                <w:szCs w:val="21"/>
                <w:highlight w:val="none"/>
                <w:u w:val="single"/>
              </w:rPr>
              <w:t xml:space="preserve"> </w:t>
            </w:r>
            <w:r>
              <w:rPr>
                <w:rFonts w:ascii="宋体" w:hAnsi="宋体" w:eastAsia="宋体" w:cs="宋体"/>
                <w:color w:val="auto"/>
                <w:spacing w:val="11"/>
                <w:sz w:val="21"/>
                <w:szCs w:val="21"/>
                <w:highlight w:val="none"/>
                <w:u w:val="none"/>
              </w:rPr>
              <w:t>分；</w:t>
            </w:r>
          </w:p>
          <w:p w14:paraId="18C42DA4">
            <w:pPr>
              <w:pStyle w:val="7"/>
              <w:numPr>
                <w:ilvl w:val="0"/>
                <w:numId w:val="0"/>
              </w:numPr>
              <w:spacing w:line="240" w:lineRule="auto"/>
              <w:ind w:leftChars="0" w:right="0" w:rightChars="0"/>
              <w:jc w:val="both"/>
              <w:rPr>
                <w:rFonts w:ascii="宋体" w:hAnsi="宋体" w:eastAsia="宋体" w:cs="宋体"/>
                <w:color w:val="auto"/>
                <w:spacing w:val="11"/>
                <w:sz w:val="21"/>
                <w:szCs w:val="21"/>
                <w:highlight w:val="none"/>
              </w:rPr>
            </w:pPr>
            <w:r>
              <w:rPr>
                <w:rFonts w:hint="eastAsia" w:ascii="宋体" w:hAnsi="宋体" w:eastAsia="宋体" w:cs="宋体"/>
                <w:color w:val="auto"/>
                <w:spacing w:val="11"/>
                <w:sz w:val="21"/>
                <w:szCs w:val="21"/>
                <w:highlight w:val="none"/>
                <w:lang w:eastAsia="zh-CN"/>
              </w:rPr>
              <w:t>（</w:t>
            </w:r>
            <w:r>
              <w:rPr>
                <w:rFonts w:hint="eastAsia" w:ascii="宋体" w:hAnsi="宋体" w:eastAsia="宋体" w:cs="宋体"/>
                <w:color w:val="auto"/>
                <w:spacing w:val="11"/>
                <w:sz w:val="21"/>
                <w:szCs w:val="21"/>
                <w:highlight w:val="none"/>
                <w:lang w:val="en-US" w:eastAsia="zh-CN"/>
              </w:rPr>
              <w:t>2</w:t>
            </w:r>
            <w:r>
              <w:rPr>
                <w:rFonts w:hint="eastAsia" w:ascii="宋体" w:hAnsi="宋体" w:eastAsia="宋体" w:cs="宋体"/>
                <w:color w:val="auto"/>
                <w:spacing w:val="11"/>
                <w:sz w:val="21"/>
                <w:szCs w:val="21"/>
                <w:highlight w:val="none"/>
                <w:lang w:eastAsia="zh-CN"/>
              </w:rPr>
              <w:t>）</w:t>
            </w:r>
            <w:r>
              <w:rPr>
                <w:rFonts w:ascii="宋体" w:hAnsi="宋体" w:eastAsia="宋体" w:cs="宋体"/>
                <w:color w:val="auto"/>
                <w:spacing w:val="11"/>
                <w:sz w:val="21"/>
                <w:szCs w:val="21"/>
                <w:highlight w:val="none"/>
              </w:rPr>
              <w:t>项目经理具有高级工程师资格的，加</w:t>
            </w:r>
            <w:r>
              <w:rPr>
                <w:rFonts w:hint="eastAsia" w:ascii="宋体" w:hAnsi="宋体" w:eastAsia="宋体" w:cs="宋体"/>
                <w:color w:val="auto"/>
                <w:spacing w:val="11"/>
                <w:sz w:val="21"/>
                <w:szCs w:val="21"/>
                <w:highlight w:val="none"/>
                <w:u w:val="single"/>
                <w:lang w:val="en-US" w:eastAsia="zh-CN"/>
              </w:rPr>
              <w:t>6</w:t>
            </w:r>
            <w:r>
              <w:rPr>
                <w:rFonts w:ascii="宋体" w:hAnsi="宋体" w:eastAsia="宋体" w:cs="宋体"/>
                <w:color w:val="auto"/>
                <w:spacing w:val="11"/>
                <w:sz w:val="21"/>
                <w:szCs w:val="21"/>
                <w:highlight w:val="none"/>
              </w:rPr>
              <w:t>分；</w:t>
            </w:r>
          </w:p>
          <w:p w14:paraId="503D0FB8">
            <w:pPr>
              <w:pStyle w:val="7"/>
              <w:spacing w:line="240" w:lineRule="auto"/>
              <w:ind w:left="0" w:leftChars="0" w:right="0" w:rightChars="0" w:firstLine="0" w:firstLineChars="0"/>
              <w:jc w:val="both"/>
              <w:rPr>
                <w:rFonts w:ascii="宋体" w:hAnsi="宋体"/>
                <w:color w:val="auto"/>
                <w:sz w:val="21"/>
                <w:szCs w:val="21"/>
                <w:highlight w:val="none"/>
              </w:rPr>
            </w:pPr>
          </w:p>
        </w:tc>
      </w:tr>
      <w:tr w14:paraId="46624EEA">
        <w:tblPrEx>
          <w:tblCellMar>
            <w:top w:w="0" w:type="dxa"/>
            <w:left w:w="0" w:type="dxa"/>
            <w:bottom w:w="0" w:type="dxa"/>
            <w:right w:w="0" w:type="dxa"/>
          </w:tblCellMar>
        </w:tblPrEx>
        <w:trPr>
          <w:trHeight w:val="1344" w:hRule="atLeast"/>
        </w:trPr>
        <w:tc>
          <w:tcPr>
            <w:tcW w:w="1031" w:type="dxa"/>
            <w:vMerge w:val="continue"/>
            <w:tcBorders>
              <w:top w:val="single" w:color="auto" w:sz="4" w:space="0"/>
              <w:left w:val="single" w:color="auto" w:sz="4" w:space="0"/>
              <w:bottom w:val="single" w:color="auto" w:sz="4" w:space="0"/>
              <w:right w:val="single" w:color="auto" w:sz="4" w:space="0"/>
            </w:tcBorders>
            <w:noWrap w:val="0"/>
            <w:vAlign w:val="center"/>
          </w:tcPr>
          <w:p w14:paraId="46BDF53E">
            <w:pPr>
              <w:spacing w:line="360" w:lineRule="exact"/>
              <w:ind w:left="42" w:leftChars="20" w:right="42" w:rightChars="20"/>
              <w:jc w:val="center"/>
              <w:rPr>
                <w:rFonts w:ascii="宋体" w:hAnsi="宋体"/>
                <w:color w:val="auto"/>
                <w:szCs w:val="21"/>
                <w:highlight w:val="none"/>
              </w:rPr>
            </w:pPr>
          </w:p>
        </w:tc>
        <w:tc>
          <w:tcPr>
            <w:tcW w:w="1096"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78359B33">
            <w:pPr>
              <w:spacing w:line="360" w:lineRule="exact"/>
              <w:ind w:left="42" w:leftChars="20" w:right="42" w:rightChars="20"/>
              <w:jc w:val="center"/>
              <w:rPr>
                <w:rFonts w:ascii="宋体" w:hAnsi="宋体"/>
                <w:color w:val="auto"/>
                <w:szCs w:val="21"/>
                <w:highlight w:val="none"/>
              </w:rPr>
            </w:pPr>
          </w:p>
        </w:tc>
        <w:tc>
          <w:tcPr>
            <w:tcW w:w="708" w:type="dxa"/>
            <w:vMerge w:val="continue"/>
            <w:tcBorders>
              <w:top w:val="single" w:color="auto" w:sz="4" w:space="0"/>
              <w:left w:val="single" w:color="auto" w:sz="4" w:space="0"/>
              <w:bottom w:val="single" w:color="auto" w:sz="4" w:space="0"/>
              <w:right w:val="single" w:color="auto" w:sz="4" w:space="0"/>
            </w:tcBorders>
            <w:noWrap w:val="0"/>
            <w:vAlign w:val="center"/>
          </w:tcPr>
          <w:p w14:paraId="7515F873">
            <w:pPr>
              <w:spacing w:line="360" w:lineRule="exact"/>
              <w:ind w:left="42" w:leftChars="20" w:right="42" w:rightChars="20"/>
              <w:jc w:val="center"/>
              <w:rPr>
                <w:rFonts w:ascii="宋体" w:hAnsi="宋体"/>
                <w:color w:val="auto"/>
                <w:szCs w:val="21"/>
                <w:highlight w:val="none"/>
              </w:rPr>
            </w:pPr>
          </w:p>
        </w:tc>
        <w:tc>
          <w:tcPr>
            <w:tcW w:w="993" w:type="dxa"/>
            <w:tcBorders>
              <w:top w:val="single" w:color="auto" w:sz="4" w:space="0"/>
              <w:left w:val="single" w:color="auto" w:sz="4" w:space="0"/>
              <w:bottom w:val="single" w:color="auto" w:sz="4" w:space="0"/>
              <w:right w:val="single" w:color="auto" w:sz="4" w:space="0"/>
            </w:tcBorders>
            <w:noWrap w:val="0"/>
            <w:vAlign w:val="center"/>
          </w:tcPr>
          <w:p w14:paraId="69EBABFE">
            <w:pPr>
              <w:pStyle w:val="7"/>
              <w:spacing w:line="240" w:lineRule="auto"/>
              <w:ind w:left="0" w:leftChars="0"/>
              <w:jc w:val="center"/>
              <w:rPr>
                <w:rFonts w:ascii="宋体" w:hAnsi="宋体" w:eastAsia="宋体" w:cs="宋体"/>
                <w:color w:val="auto"/>
                <w:spacing w:val="5"/>
                <w:position w:val="11"/>
                <w:sz w:val="21"/>
                <w:szCs w:val="21"/>
                <w:highlight w:val="none"/>
              </w:rPr>
            </w:pPr>
            <w:r>
              <w:rPr>
                <w:rFonts w:ascii="宋体" w:hAnsi="宋体" w:eastAsia="宋体" w:cs="宋体"/>
                <w:color w:val="auto"/>
                <w:spacing w:val="5"/>
                <w:position w:val="11"/>
                <w:sz w:val="21"/>
                <w:szCs w:val="21"/>
                <w:highlight w:val="none"/>
              </w:rPr>
              <w:t>项目总工任职资格与业绩</w:t>
            </w:r>
          </w:p>
        </w:tc>
        <w:tc>
          <w:tcPr>
            <w:tcW w:w="708" w:type="dxa"/>
            <w:tcBorders>
              <w:top w:val="single" w:color="auto" w:sz="4" w:space="0"/>
              <w:left w:val="single" w:color="auto" w:sz="4" w:space="0"/>
              <w:bottom w:val="single" w:color="auto" w:sz="4" w:space="0"/>
              <w:right w:val="single" w:color="auto" w:sz="4" w:space="0"/>
            </w:tcBorders>
            <w:noWrap w:val="0"/>
            <w:vAlign w:val="center"/>
          </w:tcPr>
          <w:p w14:paraId="1740AE49">
            <w:pPr>
              <w:pStyle w:val="7"/>
              <w:spacing w:line="240" w:lineRule="auto"/>
              <w:ind w:left="0" w:leftChars="0"/>
              <w:jc w:val="center"/>
              <w:rPr>
                <w:rFonts w:ascii="宋体" w:hAnsi="宋体" w:eastAsia="宋体" w:cs="宋体"/>
                <w:color w:val="auto"/>
                <w:spacing w:val="5"/>
                <w:position w:val="11"/>
                <w:sz w:val="21"/>
                <w:szCs w:val="21"/>
                <w:highlight w:val="none"/>
              </w:rPr>
            </w:pPr>
            <w:r>
              <w:rPr>
                <w:rFonts w:hint="eastAsia" w:ascii="宋体" w:hAnsi="宋体" w:eastAsia="宋体" w:cs="宋体"/>
                <w:color w:val="auto"/>
                <w:spacing w:val="5"/>
                <w:position w:val="11"/>
                <w:sz w:val="21"/>
                <w:szCs w:val="21"/>
                <w:highlight w:val="none"/>
                <w:u w:val="single"/>
                <w:lang w:val="en-US" w:eastAsia="zh-CN"/>
              </w:rPr>
              <w:t>15</w:t>
            </w:r>
            <w:r>
              <w:rPr>
                <w:rFonts w:ascii="宋体" w:hAnsi="宋体" w:eastAsia="宋体" w:cs="宋体"/>
                <w:color w:val="auto"/>
                <w:spacing w:val="5"/>
                <w:position w:val="11"/>
                <w:sz w:val="21"/>
                <w:szCs w:val="21"/>
                <w:highlight w:val="none"/>
              </w:rPr>
              <w:t>分</w:t>
            </w:r>
          </w:p>
        </w:tc>
        <w:tc>
          <w:tcPr>
            <w:tcW w:w="5672" w:type="dxa"/>
            <w:tcBorders>
              <w:top w:val="single" w:color="auto" w:sz="4" w:space="0"/>
              <w:left w:val="single" w:color="auto" w:sz="4" w:space="0"/>
              <w:bottom w:val="single" w:color="auto" w:sz="4" w:space="0"/>
              <w:right w:val="single" w:color="auto" w:sz="4" w:space="0"/>
            </w:tcBorders>
            <w:noWrap w:val="0"/>
            <w:vAlign w:val="center"/>
          </w:tcPr>
          <w:p w14:paraId="63E506A0">
            <w:pPr>
              <w:pStyle w:val="7"/>
              <w:numPr>
                <w:ilvl w:val="0"/>
                <w:numId w:val="1"/>
              </w:numPr>
              <w:spacing w:line="240" w:lineRule="auto"/>
              <w:ind w:leftChars="0" w:right="0" w:rightChars="0"/>
              <w:jc w:val="both"/>
              <w:rPr>
                <w:rFonts w:ascii="宋体" w:hAnsi="宋体" w:eastAsia="宋体" w:cs="宋体"/>
                <w:color w:val="auto"/>
                <w:spacing w:val="11"/>
                <w:sz w:val="21"/>
                <w:szCs w:val="21"/>
                <w:highlight w:val="none"/>
              </w:rPr>
            </w:pPr>
            <w:r>
              <w:rPr>
                <w:rFonts w:ascii="宋体" w:hAnsi="宋体" w:eastAsia="宋体" w:cs="宋体"/>
                <w:color w:val="auto"/>
                <w:spacing w:val="11"/>
                <w:sz w:val="21"/>
                <w:szCs w:val="21"/>
                <w:highlight w:val="none"/>
              </w:rPr>
              <w:t>满足资格审查条件（项目总工最低要求）时，得</w:t>
            </w:r>
            <w:r>
              <w:rPr>
                <w:rFonts w:hint="eastAsia" w:ascii="宋体" w:hAnsi="宋体" w:eastAsia="宋体" w:cs="宋体"/>
                <w:color w:val="auto"/>
                <w:spacing w:val="11"/>
                <w:sz w:val="21"/>
                <w:szCs w:val="21"/>
                <w:highlight w:val="none"/>
                <w:u w:val="single"/>
                <w:lang w:val="en-US" w:eastAsia="zh-CN"/>
              </w:rPr>
              <w:t>9</w:t>
            </w:r>
            <w:r>
              <w:rPr>
                <w:rFonts w:ascii="宋体" w:hAnsi="宋体" w:eastAsia="宋体" w:cs="宋体"/>
                <w:color w:val="auto"/>
                <w:spacing w:val="11"/>
                <w:sz w:val="21"/>
                <w:szCs w:val="21"/>
                <w:highlight w:val="none"/>
              </w:rPr>
              <w:t>分；</w:t>
            </w:r>
          </w:p>
          <w:p w14:paraId="5CFED59A">
            <w:pPr>
              <w:pStyle w:val="7"/>
              <w:numPr>
                <w:ilvl w:val="0"/>
                <w:numId w:val="1"/>
              </w:numPr>
              <w:spacing w:line="240" w:lineRule="auto"/>
              <w:ind w:leftChars="0" w:right="0" w:rightChars="0"/>
              <w:jc w:val="both"/>
              <w:rPr>
                <w:rFonts w:ascii="宋体" w:hAnsi="宋体" w:eastAsia="宋体" w:cs="宋体"/>
                <w:color w:val="auto"/>
                <w:spacing w:val="11"/>
                <w:sz w:val="21"/>
                <w:szCs w:val="21"/>
                <w:highlight w:val="none"/>
              </w:rPr>
            </w:pPr>
            <w:r>
              <w:rPr>
                <w:rFonts w:ascii="宋体" w:hAnsi="宋体" w:eastAsia="宋体" w:cs="宋体"/>
                <w:color w:val="auto"/>
                <w:spacing w:val="11"/>
                <w:sz w:val="21"/>
                <w:szCs w:val="21"/>
                <w:highlight w:val="none"/>
              </w:rPr>
              <w:t>每担任</w:t>
            </w:r>
            <w:r>
              <w:rPr>
                <w:rFonts w:ascii="宋体" w:hAnsi="宋体" w:eastAsia="宋体" w:cs="宋体"/>
                <w:color w:val="auto"/>
                <w:spacing w:val="11"/>
                <w:sz w:val="21"/>
                <w:szCs w:val="21"/>
                <w:highlight w:val="none"/>
                <w:u w:val="single"/>
              </w:rPr>
              <w:t xml:space="preserve"> 1 </w:t>
            </w:r>
            <w:r>
              <w:rPr>
                <w:rFonts w:ascii="宋体" w:hAnsi="宋体" w:eastAsia="宋体" w:cs="宋体"/>
                <w:color w:val="auto"/>
                <w:spacing w:val="11"/>
                <w:sz w:val="21"/>
                <w:szCs w:val="21"/>
                <w:highlight w:val="none"/>
              </w:rPr>
              <w:t>个类似工程项目总工岗位工作经验的， 加</w:t>
            </w:r>
            <w:r>
              <w:rPr>
                <w:rFonts w:hint="eastAsia" w:ascii="宋体" w:hAnsi="宋体" w:eastAsia="宋体" w:cs="宋体"/>
                <w:color w:val="auto"/>
                <w:spacing w:val="11"/>
                <w:sz w:val="21"/>
                <w:szCs w:val="21"/>
                <w:highlight w:val="none"/>
                <w:u w:val="single"/>
                <w:lang w:val="en-US" w:eastAsia="zh-CN"/>
              </w:rPr>
              <w:t>6</w:t>
            </w:r>
            <w:r>
              <w:rPr>
                <w:rFonts w:ascii="宋体" w:hAnsi="宋体" w:eastAsia="宋体" w:cs="宋体"/>
                <w:color w:val="auto"/>
                <w:spacing w:val="11"/>
                <w:sz w:val="21"/>
                <w:szCs w:val="21"/>
                <w:highlight w:val="none"/>
              </w:rPr>
              <w:t>分，最多加</w:t>
            </w:r>
            <w:r>
              <w:rPr>
                <w:rFonts w:ascii="宋体" w:hAnsi="宋体" w:eastAsia="宋体" w:cs="宋体"/>
                <w:color w:val="auto"/>
                <w:spacing w:val="11"/>
                <w:sz w:val="21"/>
                <w:szCs w:val="21"/>
                <w:highlight w:val="none"/>
                <w:u w:val="single"/>
              </w:rPr>
              <w:t xml:space="preserve"> </w:t>
            </w:r>
            <w:r>
              <w:rPr>
                <w:rFonts w:hint="eastAsia" w:ascii="宋体" w:hAnsi="宋体" w:eastAsia="宋体" w:cs="宋体"/>
                <w:color w:val="auto"/>
                <w:spacing w:val="11"/>
                <w:sz w:val="21"/>
                <w:szCs w:val="21"/>
                <w:highlight w:val="none"/>
                <w:u w:val="single"/>
                <w:lang w:val="en-US" w:eastAsia="zh-CN"/>
              </w:rPr>
              <w:t>6</w:t>
            </w:r>
            <w:r>
              <w:rPr>
                <w:rFonts w:ascii="宋体" w:hAnsi="宋体" w:eastAsia="宋体" w:cs="宋体"/>
                <w:color w:val="auto"/>
                <w:spacing w:val="11"/>
                <w:sz w:val="21"/>
                <w:szCs w:val="21"/>
                <w:highlight w:val="none"/>
                <w:u w:val="single"/>
              </w:rPr>
              <w:t xml:space="preserve"> </w:t>
            </w:r>
            <w:r>
              <w:rPr>
                <w:rFonts w:ascii="宋体" w:hAnsi="宋体" w:eastAsia="宋体" w:cs="宋体"/>
                <w:color w:val="auto"/>
                <w:spacing w:val="11"/>
                <w:sz w:val="21"/>
                <w:szCs w:val="21"/>
                <w:highlight w:val="none"/>
              </w:rPr>
              <w:t>分。</w:t>
            </w:r>
          </w:p>
          <w:p w14:paraId="641F492A">
            <w:pPr>
              <w:pStyle w:val="7"/>
              <w:spacing w:line="240" w:lineRule="auto"/>
              <w:ind w:left="0" w:leftChars="0" w:right="0" w:rightChars="0" w:firstLine="0" w:firstLineChars="0"/>
              <w:jc w:val="both"/>
              <w:rPr>
                <w:rFonts w:ascii="宋体" w:hAnsi="宋体"/>
                <w:color w:val="auto"/>
                <w:sz w:val="21"/>
                <w:szCs w:val="21"/>
                <w:highlight w:val="none"/>
              </w:rPr>
            </w:pPr>
          </w:p>
        </w:tc>
      </w:tr>
      <w:tr w14:paraId="547413F4">
        <w:tblPrEx>
          <w:tblCellMar>
            <w:top w:w="0" w:type="dxa"/>
            <w:left w:w="0" w:type="dxa"/>
            <w:bottom w:w="0" w:type="dxa"/>
            <w:right w:w="0" w:type="dxa"/>
          </w:tblCellMar>
        </w:tblPrEx>
        <w:trPr>
          <w:trHeight w:val="2373" w:hRule="atLeast"/>
        </w:trPr>
        <w:tc>
          <w:tcPr>
            <w:tcW w:w="1031" w:type="dxa"/>
            <w:vMerge w:val="restart"/>
            <w:tcBorders>
              <w:top w:val="single" w:color="auto" w:sz="4" w:space="0"/>
              <w:left w:val="single" w:color="auto" w:sz="4" w:space="0"/>
              <w:right w:val="single" w:color="auto" w:sz="4" w:space="0"/>
            </w:tcBorders>
            <w:noWrap w:val="0"/>
            <w:vAlign w:val="center"/>
          </w:tcPr>
          <w:p w14:paraId="3AD73C13">
            <w:pPr>
              <w:spacing w:line="400" w:lineRule="exact"/>
              <w:ind w:left="105" w:leftChars="50" w:right="105" w:rightChars="50"/>
              <w:jc w:val="center"/>
              <w:rPr>
                <w:rFonts w:ascii="宋体" w:hAnsi="宋体"/>
                <w:color w:val="auto"/>
                <w:szCs w:val="21"/>
                <w:highlight w:val="none"/>
              </w:rPr>
            </w:pPr>
            <w:r>
              <w:rPr>
                <w:rFonts w:hint="eastAsia" w:ascii="宋体" w:hAnsi="宋体" w:eastAsia="宋体" w:cs="宋体"/>
                <w:color w:val="auto"/>
                <w:szCs w:val="21"/>
                <w:highlight w:val="none"/>
              </w:rPr>
              <w:t>2.2.2（3）</w:t>
            </w:r>
          </w:p>
        </w:tc>
        <w:tc>
          <w:tcPr>
            <w:tcW w:w="387" w:type="dxa"/>
            <w:vMerge w:val="restart"/>
            <w:tcBorders>
              <w:top w:val="single" w:color="auto" w:sz="4" w:space="0"/>
              <w:left w:val="single" w:color="auto" w:sz="4" w:space="0"/>
              <w:right w:val="single" w:color="auto" w:sz="4" w:space="0"/>
            </w:tcBorders>
            <w:noWrap w:val="0"/>
            <w:vAlign w:val="center"/>
          </w:tcPr>
          <w:p w14:paraId="6F7E9632">
            <w:pPr>
              <w:spacing w:line="400" w:lineRule="exact"/>
              <w:ind w:left="105" w:leftChars="50" w:right="105" w:rightChars="50"/>
              <w:jc w:val="center"/>
              <w:rPr>
                <w:rFonts w:ascii="宋体" w:hAnsi="宋体"/>
                <w:color w:val="auto"/>
                <w:szCs w:val="21"/>
                <w:highlight w:val="none"/>
              </w:rPr>
            </w:pPr>
            <w:r>
              <w:rPr>
                <w:rFonts w:hint="eastAsia" w:ascii="宋体" w:hAnsi="宋体"/>
                <w:color w:val="auto"/>
                <w:szCs w:val="21"/>
                <w:highlight w:val="none"/>
              </w:rPr>
              <w:t>其他因素</w:t>
            </w:r>
          </w:p>
        </w:tc>
        <w:tc>
          <w:tcPr>
            <w:tcW w:w="709" w:type="dxa"/>
            <w:tcBorders>
              <w:top w:val="single" w:color="auto" w:sz="4" w:space="0"/>
              <w:left w:val="single" w:color="auto" w:sz="4" w:space="0"/>
              <w:bottom w:val="single" w:color="auto" w:sz="4" w:space="0"/>
              <w:right w:val="single" w:color="auto" w:sz="4" w:space="0"/>
            </w:tcBorders>
            <w:noWrap w:val="0"/>
            <w:vAlign w:val="center"/>
          </w:tcPr>
          <w:p w14:paraId="58964EBE">
            <w:pPr>
              <w:spacing w:line="400" w:lineRule="exact"/>
              <w:ind w:left="105" w:leftChars="50" w:right="105" w:rightChars="50"/>
              <w:jc w:val="center"/>
              <w:rPr>
                <w:rFonts w:ascii="宋体" w:hAnsi="宋体"/>
                <w:color w:val="auto"/>
                <w:szCs w:val="21"/>
                <w:highlight w:val="none"/>
              </w:rPr>
            </w:pPr>
            <w:r>
              <w:rPr>
                <w:rFonts w:hint="eastAsia" w:ascii="宋体" w:hAnsi="宋体"/>
                <w:color w:val="auto"/>
                <w:szCs w:val="21"/>
                <w:highlight w:val="none"/>
              </w:rPr>
              <w:t>技术能力</w:t>
            </w:r>
          </w:p>
        </w:tc>
        <w:tc>
          <w:tcPr>
            <w:tcW w:w="708" w:type="dxa"/>
            <w:tcBorders>
              <w:top w:val="single" w:color="auto" w:sz="4" w:space="0"/>
              <w:left w:val="single" w:color="auto" w:sz="4" w:space="0"/>
              <w:right w:val="single" w:color="auto" w:sz="4" w:space="0"/>
            </w:tcBorders>
            <w:noWrap w:val="0"/>
            <w:vAlign w:val="center"/>
          </w:tcPr>
          <w:p w14:paraId="538ACD43">
            <w:pPr>
              <w:spacing w:line="400" w:lineRule="exact"/>
              <w:ind w:left="105" w:leftChars="50" w:right="105" w:rightChars="50"/>
              <w:jc w:val="center"/>
              <w:rPr>
                <w:rFonts w:ascii="宋体" w:hAnsi="宋体"/>
                <w:color w:val="auto"/>
                <w:szCs w:val="21"/>
                <w:highlight w:val="none"/>
              </w:rPr>
            </w:pPr>
            <w:r>
              <w:rPr>
                <w:rFonts w:hint="eastAsia" w:ascii="宋体" w:hAnsi="宋体"/>
                <w:color w:val="auto"/>
                <w:szCs w:val="21"/>
                <w:highlight w:val="none"/>
                <w:lang w:val="en-US" w:eastAsia="zh-CN"/>
              </w:rPr>
              <w:t>10</w:t>
            </w:r>
            <w:r>
              <w:rPr>
                <w:rFonts w:hint="eastAsia" w:ascii="宋体" w:hAnsi="宋体"/>
                <w:color w:val="auto"/>
                <w:szCs w:val="21"/>
                <w:highlight w:val="none"/>
              </w:rPr>
              <w:t>分</w:t>
            </w:r>
          </w:p>
        </w:tc>
        <w:tc>
          <w:tcPr>
            <w:tcW w:w="7373" w:type="dxa"/>
            <w:gridSpan w:val="3"/>
            <w:tcBorders>
              <w:top w:val="single" w:color="auto" w:sz="4" w:space="0"/>
              <w:left w:val="single" w:color="auto" w:sz="4" w:space="0"/>
              <w:bottom w:val="single" w:color="auto" w:sz="4" w:space="0"/>
              <w:right w:val="single" w:color="auto" w:sz="4" w:space="0"/>
            </w:tcBorders>
            <w:noWrap w:val="0"/>
            <w:vAlign w:val="center"/>
          </w:tcPr>
          <w:p w14:paraId="4A038E20">
            <w:pPr>
              <w:pStyle w:val="7"/>
              <w:spacing w:before="65" w:line="303" w:lineRule="auto"/>
              <w:ind w:left="129" w:right="124" w:firstLine="9"/>
              <w:jc w:val="both"/>
              <w:rPr>
                <w:color w:val="auto"/>
                <w:sz w:val="21"/>
                <w:szCs w:val="21"/>
                <w:highlight w:val="none"/>
              </w:rPr>
            </w:pPr>
            <w:r>
              <w:rPr>
                <w:color w:val="auto"/>
                <w:spacing w:val="8"/>
                <w:sz w:val="21"/>
                <w:szCs w:val="21"/>
                <w:highlight w:val="none"/>
              </w:rPr>
              <w:t>（1）投标人获得与项目施工有关的国家级工法、专利（发明专利或实用新型专利）、国家级科学技术进步奖、鲁班奖、詹天佑奖，主编或参编过</w:t>
            </w:r>
            <w:r>
              <w:rPr>
                <w:color w:val="auto"/>
                <w:spacing w:val="6"/>
                <w:sz w:val="21"/>
                <w:szCs w:val="21"/>
                <w:highlight w:val="none"/>
              </w:rPr>
              <w:t>国家标准，每</w:t>
            </w:r>
            <w:r>
              <w:rPr>
                <w:rFonts w:ascii="宋体" w:hAnsi="宋体" w:eastAsia="宋体" w:cs="宋体"/>
                <w:color w:val="auto"/>
                <w:spacing w:val="8"/>
                <w:sz w:val="21"/>
                <w:szCs w:val="21"/>
                <w:highlight w:val="none"/>
              </w:rPr>
              <w:t>项加</w:t>
            </w:r>
            <w:r>
              <w:rPr>
                <w:rFonts w:hint="default" w:ascii="宋体" w:hAnsi="宋体" w:eastAsia="宋体" w:cs="宋体"/>
                <w:color w:val="auto"/>
                <w:spacing w:val="8"/>
                <w:sz w:val="21"/>
                <w:szCs w:val="21"/>
                <w:highlight w:val="none"/>
                <w:u w:val="single" w:color="auto"/>
                <w:lang w:val="en-US" w:eastAsia="zh-CN"/>
              </w:rPr>
              <w:t xml:space="preserve"> </w:t>
            </w:r>
            <w:r>
              <w:rPr>
                <w:rFonts w:hint="eastAsia" w:ascii="宋体" w:hAnsi="宋体" w:eastAsia="宋体" w:cs="宋体"/>
                <w:color w:val="auto"/>
                <w:spacing w:val="8"/>
                <w:sz w:val="21"/>
                <w:szCs w:val="21"/>
                <w:highlight w:val="none"/>
                <w:u w:val="single"/>
                <w:lang w:val="en-US" w:eastAsia="zh-CN"/>
              </w:rPr>
              <w:t>2.5</w:t>
            </w:r>
            <w:r>
              <w:rPr>
                <w:rFonts w:ascii="宋体" w:hAnsi="宋体" w:eastAsia="宋体" w:cs="宋体"/>
                <w:color w:val="auto"/>
                <w:spacing w:val="8"/>
                <w:sz w:val="21"/>
                <w:szCs w:val="21"/>
                <w:highlight w:val="none"/>
              </w:rPr>
              <w:t>分；</w:t>
            </w:r>
          </w:p>
          <w:p w14:paraId="776ECAE2">
            <w:pPr>
              <w:pStyle w:val="7"/>
              <w:spacing w:before="113" w:line="280" w:lineRule="auto"/>
              <w:ind w:left="132" w:right="196" w:firstLine="6"/>
              <w:rPr>
                <w:rFonts w:hint="eastAsia" w:ascii="宋体" w:hAnsi="宋体" w:eastAsia="宋体" w:cs="宋体"/>
                <w:color w:val="auto"/>
                <w:sz w:val="21"/>
                <w:szCs w:val="21"/>
                <w:highlight w:val="none"/>
              </w:rPr>
            </w:pPr>
            <w:r>
              <w:rPr>
                <w:color w:val="auto"/>
                <w:spacing w:val="9"/>
                <w:sz w:val="21"/>
                <w:szCs w:val="21"/>
                <w:highlight w:val="none"/>
              </w:rPr>
              <w:t>（2）投标人</w:t>
            </w:r>
            <w:r>
              <w:rPr>
                <w:rFonts w:hint="eastAsia" w:ascii="宋体" w:hAnsi="宋体" w:eastAsia="宋体" w:cs="宋体"/>
                <w:color w:val="auto"/>
                <w:spacing w:val="9"/>
                <w:sz w:val="21"/>
                <w:szCs w:val="21"/>
                <w:highlight w:val="none"/>
              </w:rPr>
              <w:t>获得省级科学技术进步奖，主编或参编过的行业或地方（指</w:t>
            </w:r>
            <w:r>
              <w:rPr>
                <w:rFonts w:hint="eastAsia" w:ascii="宋体" w:hAnsi="宋体" w:eastAsia="宋体" w:cs="宋体"/>
                <w:color w:val="auto"/>
                <w:spacing w:val="6"/>
                <w:sz w:val="21"/>
                <w:szCs w:val="21"/>
                <w:highlight w:val="none"/>
              </w:rPr>
              <w:t>省级）标准，每项加</w:t>
            </w:r>
            <w:r>
              <w:rPr>
                <w:rFonts w:hint="eastAsia" w:ascii="宋体" w:hAnsi="宋体" w:eastAsia="宋体" w:cs="宋体"/>
                <w:color w:val="auto"/>
                <w:spacing w:val="-90"/>
                <w:sz w:val="21"/>
                <w:szCs w:val="21"/>
                <w:highlight w:val="none"/>
              </w:rPr>
              <w:t xml:space="preserve"> </w:t>
            </w:r>
            <w:r>
              <w:rPr>
                <w:rFonts w:hint="eastAsia" w:ascii="宋体" w:hAnsi="宋体" w:eastAsia="宋体" w:cs="宋体"/>
                <w:color w:val="auto"/>
                <w:spacing w:val="5"/>
                <w:sz w:val="21"/>
                <w:szCs w:val="21"/>
                <w:highlight w:val="none"/>
                <w:u w:val="single" w:color="auto"/>
              </w:rPr>
              <w:t xml:space="preserve"> </w:t>
            </w:r>
            <w:r>
              <w:rPr>
                <w:rFonts w:hint="eastAsia" w:ascii="宋体" w:hAnsi="宋体" w:eastAsia="宋体" w:cs="宋体"/>
                <w:color w:val="auto"/>
                <w:spacing w:val="5"/>
                <w:sz w:val="21"/>
                <w:szCs w:val="21"/>
                <w:highlight w:val="none"/>
                <w:u w:val="single" w:color="auto"/>
                <w:lang w:val="en-US" w:eastAsia="zh-CN"/>
              </w:rPr>
              <w:t>1.5</w:t>
            </w:r>
            <w:r>
              <w:rPr>
                <w:rFonts w:hint="eastAsia" w:ascii="宋体" w:hAnsi="宋体" w:eastAsia="宋体" w:cs="宋体"/>
                <w:color w:val="auto"/>
                <w:spacing w:val="5"/>
                <w:sz w:val="21"/>
                <w:szCs w:val="21"/>
                <w:highlight w:val="none"/>
                <w:u w:val="single" w:color="auto"/>
              </w:rPr>
              <w:t xml:space="preserve"> </w:t>
            </w:r>
            <w:r>
              <w:rPr>
                <w:rFonts w:hint="eastAsia" w:ascii="宋体" w:hAnsi="宋体" w:eastAsia="宋体" w:cs="宋体"/>
                <w:color w:val="auto"/>
                <w:spacing w:val="-89"/>
                <w:sz w:val="21"/>
                <w:szCs w:val="21"/>
                <w:highlight w:val="none"/>
              </w:rPr>
              <w:t xml:space="preserve"> </w:t>
            </w:r>
            <w:r>
              <w:rPr>
                <w:rFonts w:hint="eastAsia" w:ascii="宋体" w:hAnsi="宋体" w:eastAsia="宋体" w:cs="宋体"/>
                <w:color w:val="auto"/>
                <w:spacing w:val="6"/>
                <w:sz w:val="21"/>
                <w:szCs w:val="21"/>
                <w:highlight w:val="none"/>
              </w:rPr>
              <w:t>分；</w:t>
            </w:r>
          </w:p>
          <w:p w14:paraId="264E77E0">
            <w:pPr>
              <w:spacing w:line="400" w:lineRule="exact"/>
              <w:ind w:left="105" w:leftChars="50" w:right="105" w:rightChars="5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pacing w:val="8"/>
                <w:sz w:val="21"/>
                <w:szCs w:val="21"/>
                <w:highlight w:val="none"/>
              </w:rPr>
              <w:t>注：技术能力加分最高</w:t>
            </w:r>
            <w:r>
              <w:rPr>
                <w:rFonts w:hint="eastAsia" w:ascii="宋体" w:hAnsi="宋体" w:eastAsia="宋体" w:cs="宋体"/>
                <w:color w:val="auto"/>
                <w:spacing w:val="-83"/>
                <w:sz w:val="21"/>
                <w:szCs w:val="21"/>
                <w:highlight w:val="none"/>
              </w:rPr>
              <w:t xml:space="preserve"> </w:t>
            </w:r>
            <w:r>
              <w:rPr>
                <w:rFonts w:hint="eastAsia" w:ascii="宋体" w:hAnsi="宋体" w:eastAsia="宋体" w:cs="宋体"/>
                <w:color w:val="auto"/>
                <w:spacing w:val="5"/>
                <w:sz w:val="21"/>
                <w:szCs w:val="21"/>
                <w:highlight w:val="none"/>
                <w:u w:val="single" w:color="auto"/>
              </w:rPr>
              <w:t xml:space="preserve"> </w:t>
            </w:r>
            <w:r>
              <w:rPr>
                <w:rFonts w:hint="eastAsia" w:ascii="宋体" w:hAnsi="宋体" w:eastAsia="宋体" w:cs="宋体"/>
                <w:color w:val="auto"/>
                <w:spacing w:val="5"/>
                <w:sz w:val="21"/>
                <w:szCs w:val="21"/>
                <w:highlight w:val="none"/>
                <w:u w:val="single" w:color="auto"/>
                <w:lang w:val="en-US" w:eastAsia="zh-CN"/>
              </w:rPr>
              <w:t>10</w:t>
            </w:r>
            <w:r>
              <w:rPr>
                <w:rFonts w:hint="eastAsia" w:ascii="宋体" w:hAnsi="宋体" w:eastAsia="宋体" w:cs="宋体"/>
                <w:color w:val="auto"/>
                <w:spacing w:val="-89"/>
                <w:sz w:val="21"/>
                <w:szCs w:val="21"/>
                <w:highlight w:val="none"/>
              </w:rPr>
              <w:t xml:space="preserve"> </w:t>
            </w:r>
            <w:r>
              <w:rPr>
                <w:rFonts w:hint="eastAsia" w:ascii="宋体" w:hAnsi="宋体" w:eastAsia="宋体" w:cs="宋体"/>
                <w:color w:val="auto"/>
                <w:spacing w:val="-89"/>
                <w:sz w:val="21"/>
                <w:szCs w:val="21"/>
                <w:highlight w:val="none"/>
                <w:lang w:val="en-US" w:eastAsia="zh-CN"/>
              </w:rPr>
              <w:t xml:space="preserve">  </w:t>
            </w:r>
            <w:r>
              <w:rPr>
                <w:rFonts w:hint="eastAsia" w:ascii="宋体" w:hAnsi="宋体" w:eastAsia="宋体" w:cs="宋体"/>
                <w:color w:val="auto"/>
                <w:spacing w:val="8"/>
                <w:sz w:val="21"/>
                <w:szCs w:val="21"/>
                <w:highlight w:val="none"/>
              </w:rPr>
              <w:t>分</w:t>
            </w:r>
            <w:r>
              <w:rPr>
                <w:color w:val="auto"/>
                <w:spacing w:val="8"/>
                <w:sz w:val="21"/>
                <w:szCs w:val="21"/>
                <w:highlight w:val="none"/>
              </w:rPr>
              <w:t>，同一事项按较高分只计一次。</w:t>
            </w:r>
          </w:p>
        </w:tc>
      </w:tr>
      <w:tr w14:paraId="25DE3796">
        <w:tblPrEx>
          <w:tblCellMar>
            <w:top w:w="0" w:type="dxa"/>
            <w:left w:w="0" w:type="dxa"/>
            <w:bottom w:w="0" w:type="dxa"/>
            <w:right w:w="0" w:type="dxa"/>
          </w:tblCellMar>
        </w:tblPrEx>
        <w:trPr>
          <w:trHeight w:val="4812" w:hRule="atLeast"/>
        </w:trPr>
        <w:tc>
          <w:tcPr>
            <w:tcW w:w="1031" w:type="dxa"/>
            <w:vMerge w:val="continue"/>
            <w:tcBorders>
              <w:top w:val="single" w:color="auto" w:sz="4" w:space="0"/>
              <w:left w:val="single" w:color="auto" w:sz="4" w:space="0"/>
              <w:bottom w:val="single" w:color="auto" w:sz="4" w:space="0"/>
              <w:right w:val="single" w:color="auto" w:sz="4" w:space="0"/>
            </w:tcBorders>
            <w:noWrap w:val="0"/>
            <w:vAlign w:val="center"/>
          </w:tcPr>
          <w:p w14:paraId="3B76E95A">
            <w:pPr>
              <w:spacing w:line="400" w:lineRule="exact"/>
              <w:ind w:left="105" w:leftChars="50" w:right="105" w:rightChars="50"/>
              <w:jc w:val="center"/>
              <w:rPr>
                <w:rFonts w:ascii="TimesNewRomanPSMT" w:eastAsia="TimesNewRomanPSMT" w:cs="TimesNewRomanPSMT"/>
                <w:color w:val="auto"/>
                <w:szCs w:val="21"/>
                <w:highlight w:val="none"/>
              </w:rPr>
            </w:pPr>
          </w:p>
        </w:tc>
        <w:tc>
          <w:tcPr>
            <w:tcW w:w="387" w:type="dxa"/>
            <w:vMerge w:val="continue"/>
            <w:tcBorders>
              <w:top w:val="single" w:color="auto" w:sz="4" w:space="0"/>
              <w:left w:val="single" w:color="auto" w:sz="4" w:space="0"/>
              <w:bottom w:val="single" w:color="auto" w:sz="4" w:space="0"/>
              <w:right w:val="single" w:color="auto" w:sz="4" w:space="0"/>
            </w:tcBorders>
            <w:noWrap w:val="0"/>
            <w:vAlign w:val="center"/>
          </w:tcPr>
          <w:p w14:paraId="7923ED99">
            <w:pPr>
              <w:spacing w:line="400" w:lineRule="exact"/>
              <w:ind w:left="105" w:leftChars="50" w:right="105" w:rightChars="50"/>
              <w:jc w:val="center"/>
              <w:rPr>
                <w:rFonts w:ascii="宋体" w:hAnsi="宋体"/>
                <w:color w:val="auto"/>
                <w:szCs w:val="21"/>
                <w:highlight w:val="none"/>
              </w:rPr>
            </w:pPr>
          </w:p>
        </w:tc>
        <w:tc>
          <w:tcPr>
            <w:tcW w:w="709" w:type="dxa"/>
            <w:tcBorders>
              <w:top w:val="single" w:color="auto" w:sz="4" w:space="0"/>
              <w:left w:val="single" w:color="auto" w:sz="4" w:space="0"/>
              <w:bottom w:val="single" w:color="auto" w:sz="4" w:space="0"/>
              <w:right w:val="single" w:color="auto" w:sz="4" w:space="0"/>
            </w:tcBorders>
            <w:noWrap w:val="0"/>
            <w:vAlign w:val="center"/>
          </w:tcPr>
          <w:p w14:paraId="136344DB">
            <w:pPr>
              <w:spacing w:line="400" w:lineRule="exact"/>
              <w:ind w:left="105" w:leftChars="50" w:right="105" w:rightChars="50"/>
              <w:jc w:val="center"/>
              <w:rPr>
                <w:rFonts w:ascii="宋体" w:hAnsi="宋体"/>
                <w:color w:val="auto"/>
                <w:szCs w:val="21"/>
                <w:highlight w:val="none"/>
              </w:rPr>
            </w:pPr>
            <w:r>
              <w:rPr>
                <w:rFonts w:hint="eastAsia" w:ascii="宋体" w:hAnsi="宋体"/>
                <w:color w:val="auto"/>
                <w:szCs w:val="21"/>
                <w:highlight w:val="none"/>
              </w:rPr>
              <w:t>履约信誉</w:t>
            </w:r>
          </w:p>
        </w:tc>
        <w:tc>
          <w:tcPr>
            <w:tcW w:w="708" w:type="dxa"/>
            <w:tcBorders>
              <w:top w:val="single" w:color="auto" w:sz="4" w:space="0"/>
              <w:left w:val="single" w:color="auto" w:sz="4" w:space="0"/>
              <w:bottom w:val="single" w:color="auto" w:sz="4" w:space="0"/>
              <w:right w:val="single" w:color="auto" w:sz="4" w:space="0"/>
            </w:tcBorders>
            <w:noWrap w:val="0"/>
            <w:vAlign w:val="center"/>
          </w:tcPr>
          <w:p w14:paraId="21E6002C">
            <w:pPr>
              <w:spacing w:line="400" w:lineRule="exact"/>
              <w:ind w:left="105" w:leftChars="50" w:right="105" w:rightChars="50"/>
              <w:jc w:val="center"/>
              <w:rPr>
                <w:rFonts w:ascii="宋体" w:hAnsi="宋体"/>
                <w:color w:val="auto"/>
                <w:szCs w:val="21"/>
                <w:highlight w:val="none"/>
              </w:rPr>
            </w:pPr>
            <w:r>
              <w:rPr>
                <w:rFonts w:hint="eastAsia" w:ascii="宋体" w:hAnsi="宋体"/>
                <w:color w:val="auto"/>
                <w:szCs w:val="21"/>
                <w:highlight w:val="none"/>
                <w:lang w:val="en-US" w:eastAsia="zh-CN"/>
              </w:rPr>
              <w:t>20</w:t>
            </w:r>
            <w:r>
              <w:rPr>
                <w:rFonts w:hint="eastAsia" w:ascii="宋体" w:hAnsi="宋体"/>
                <w:color w:val="auto"/>
                <w:szCs w:val="21"/>
                <w:highlight w:val="none"/>
              </w:rPr>
              <w:t>分</w:t>
            </w:r>
          </w:p>
        </w:tc>
        <w:tc>
          <w:tcPr>
            <w:tcW w:w="7373" w:type="dxa"/>
            <w:gridSpan w:val="3"/>
            <w:tcBorders>
              <w:top w:val="single" w:color="auto" w:sz="4" w:space="0"/>
              <w:left w:val="single" w:color="auto" w:sz="4" w:space="0"/>
              <w:bottom w:val="single" w:color="auto" w:sz="4" w:space="0"/>
              <w:right w:val="single" w:color="auto" w:sz="4" w:space="0"/>
            </w:tcBorders>
            <w:noWrap w:val="0"/>
            <w:vAlign w:val="center"/>
          </w:tcPr>
          <w:p w14:paraId="62ED91A3">
            <w:pPr>
              <w:spacing w:line="360" w:lineRule="exact"/>
              <w:ind w:left="42" w:leftChars="20" w:right="42" w:rightChars="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1.信用等级分值（10分）</w:t>
            </w:r>
          </w:p>
          <w:p w14:paraId="7CF633AD">
            <w:pPr>
              <w:spacing w:line="360" w:lineRule="exact"/>
              <w:ind w:left="42" w:leftChars="20" w:right="42" w:rightChars="2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AA、A、B、C级单位的信用等级分得分分别为10、9.5、8.9、7.3分。</w:t>
            </w:r>
          </w:p>
          <w:p w14:paraId="7DEBAC9B">
            <w:pPr>
              <w:spacing w:line="360" w:lineRule="exact"/>
              <w:ind w:left="42" w:leftChars="20" w:right="42" w:rightChars="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注：信用等级的确定原则遵循投标人须知前附表10.2 款的规定。</w:t>
            </w:r>
          </w:p>
          <w:p w14:paraId="1E45DAC0">
            <w:pPr>
              <w:pStyle w:val="3"/>
              <w:spacing w:line="360" w:lineRule="exact"/>
              <w:ind w:left="20" w:right="20"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2.履约情况（</w:t>
            </w: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rPr>
              <w:t>分）</w:t>
            </w:r>
          </w:p>
          <w:p w14:paraId="36BA72CF">
            <w:pPr>
              <w:pStyle w:val="3"/>
              <w:spacing w:line="360" w:lineRule="exact"/>
              <w:ind w:left="20" w:right="2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若没出现下述情形得满分；</w:t>
            </w:r>
          </w:p>
          <w:p w14:paraId="62E309FF">
            <w:pPr>
              <w:pStyle w:val="3"/>
              <w:spacing w:line="360" w:lineRule="exact"/>
              <w:ind w:left="20" w:right="2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投标文件递交截止日前1年内，投标人因公路工程（含附属设施）质量、安全、履约或招标投标问题等原因被：</w:t>
            </w:r>
          </w:p>
          <w:p w14:paraId="4BA2FC2D">
            <w:pPr>
              <w:pStyle w:val="3"/>
              <w:spacing w:line="360" w:lineRule="exact"/>
              <w:ind w:left="20" w:right="20"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（1）交通运输部行政处罚的，扣5分/次；</w:t>
            </w:r>
          </w:p>
          <w:p w14:paraId="173F84EA">
            <w:pPr>
              <w:pStyle w:val="3"/>
              <w:spacing w:line="360" w:lineRule="exact"/>
              <w:ind w:left="20" w:right="20"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（2）广东省交通运输厅行政处罚的，扣3分/次；</w:t>
            </w:r>
          </w:p>
          <w:p w14:paraId="339D3B2E">
            <w:pPr>
              <w:pStyle w:val="3"/>
              <w:spacing w:line="360" w:lineRule="exact"/>
              <w:ind w:left="20" w:right="20"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u w:val="single"/>
                <w:lang w:eastAsia="zh-CN"/>
              </w:rPr>
              <w:t>招标</w:t>
            </w:r>
            <w:r>
              <w:rPr>
                <w:rFonts w:hint="eastAsia" w:ascii="宋体" w:hAnsi="宋体" w:eastAsia="宋体" w:cs="宋体"/>
                <w:color w:val="auto"/>
                <w:sz w:val="21"/>
                <w:szCs w:val="21"/>
                <w:highlight w:val="none"/>
                <w:u w:val="single"/>
              </w:rPr>
              <w:t>项目所在地地市级</w:t>
            </w:r>
            <w:r>
              <w:rPr>
                <w:rFonts w:hint="eastAsia" w:ascii="宋体" w:hAnsi="宋体" w:eastAsia="宋体" w:cs="宋体"/>
                <w:color w:val="auto"/>
                <w:sz w:val="21"/>
                <w:szCs w:val="21"/>
                <w:highlight w:val="none"/>
                <w:u w:val="single"/>
                <w:lang w:val="en-US" w:eastAsia="zh-CN"/>
              </w:rPr>
              <w:t>以上</w:t>
            </w:r>
            <w:r>
              <w:rPr>
                <w:rFonts w:hint="eastAsia" w:ascii="宋体" w:hAnsi="宋体" w:eastAsia="宋体" w:cs="宋体"/>
                <w:color w:val="auto"/>
                <w:sz w:val="21"/>
                <w:szCs w:val="21"/>
                <w:highlight w:val="none"/>
                <w:u w:val="single"/>
              </w:rPr>
              <w:t>市交通运输局行政处罚的，扣1.5分/次</w:t>
            </w:r>
            <w:r>
              <w:rPr>
                <w:rFonts w:hint="eastAsia" w:ascii="宋体" w:hAnsi="宋体" w:eastAsia="宋体" w:cs="宋体"/>
                <w:color w:val="auto"/>
                <w:sz w:val="21"/>
                <w:szCs w:val="21"/>
                <w:highlight w:val="none"/>
              </w:rPr>
              <w:t>；</w:t>
            </w:r>
          </w:p>
          <w:p w14:paraId="688F1FE9">
            <w:pPr>
              <w:pStyle w:val="3"/>
              <w:spacing w:line="360" w:lineRule="exact"/>
              <w:ind w:left="20" w:right="20"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（4）广东省交通运输厅正式约谈的，</w:t>
            </w:r>
            <w:r>
              <w:rPr>
                <w:rFonts w:hint="eastAsia" w:ascii="宋体" w:hAnsi="宋体" w:eastAsia="宋体" w:cs="宋体"/>
                <w:color w:val="auto"/>
                <w:sz w:val="21"/>
                <w:szCs w:val="21"/>
                <w:highlight w:val="none"/>
                <w:u w:val="single"/>
              </w:rPr>
              <w:t>扣0.1分/次</w:t>
            </w:r>
            <w:r>
              <w:rPr>
                <w:rFonts w:hint="eastAsia" w:ascii="宋体" w:hAnsi="宋体" w:eastAsia="宋体" w:cs="宋体"/>
                <w:color w:val="auto"/>
                <w:sz w:val="21"/>
                <w:szCs w:val="21"/>
                <w:highlight w:val="none"/>
              </w:rPr>
              <w:t>。</w:t>
            </w:r>
          </w:p>
          <w:p w14:paraId="713829C1">
            <w:pPr>
              <w:pStyle w:val="3"/>
              <w:spacing w:line="360" w:lineRule="exact"/>
              <w:ind w:left="420" w:leftChars="200" w:right="20" w:rightChars="0" w:firstLine="420" w:firstLineChars="200"/>
              <w:rPr>
                <w:rFonts w:hint="eastAsia"/>
                <w:color w:val="auto"/>
                <w:sz w:val="21"/>
                <w:szCs w:val="21"/>
                <w:highlight w:val="none"/>
              </w:rPr>
            </w:pPr>
            <w:r>
              <w:rPr>
                <w:rFonts w:hint="eastAsia" w:ascii="宋体" w:hAnsi="宋体" w:eastAsia="宋体" w:cs="宋体"/>
                <w:color w:val="auto"/>
                <w:sz w:val="21"/>
                <w:szCs w:val="21"/>
                <w:highlight w:val="none"/>
              </w:rPr>
              <w:t>同一事项同时被多个部门行政处罚或正式约谈只按最高的扣分计算1次。如果扣完本项分值，可以从总分中扣。</w:t>
            </w:r>
          </w:p>
        </w:tc>
      </w:tr>
      <w:tr w14:paraId="1DCE0A8C">
        <w:tblPrEx>
          <w:tblCellMar>
            <w:top w:w="0" w:type="dxa"/>
            <w:left w:w="0" w:type="dxa"/>
            <w:bottom w:w="0" w:type="dxa"/>
            <w:right w:w="0" w:type="dxa"/>
          </w:tblCellMar>
        </w:tblPrEx>
        <w:trPr>
          <w:trHeight w:val="567" w:hRule="atLeast"/>
        </w:trPr>
        <w:tc>
          <w:tcPr>
            <w:tcW w:w="10208" w:type="dxa"/>
            <w:gridSpan w:val="7"/>
            <w:tcBorders>
              <w:top w:val="single" w:color="auto" w:sz="4" w:space="0"/>
              <w:left w:val="single" w:color="auto" w:sz="4" w:space="0"/>
              <w:bottom w:val="single" w:color="auto" w:sz="4" w:space="0"/>
              <w:right w:val="single" w:color="auto" w:sz="4" w:space="0"/>
            </w:tcBorders>
            <w:noWrap w:val="0"/>
            <w:vAlign w:val="center"/>
          </w:tcPr>
          <w:p w14:paraId="65DCF2A4">
            <w:pPr>
              <w:spacing w:line="360" w:lineRule="exact"/>
              <w:ind w:left="42" w:leftChars="20" w:right="42" w:rightChars="20"/>
              <w:rPr>
                <w:color w:val="auto"/>
                <w:szCs w:val="21"/>
                <w:highlight w:val="none"/>
              </w:rPr>
            </w:pPr>
            <w:r>
              <w:rPr>
                <w:rFonts w:ascii="宋体" w:hAnsi="宋体"/>
                <w:color w:val="auto"/>
                <w:szCs w:val="21"/>
                <w:highlight w:val="none"/>
              </w:rPr>
              <w:t>需要补充的其他内容：</w:t>
            </w:r>
          </w:p>
        </w:tc>
      </w:tr>
      <w:tr w14:paraId="30ED5344">
        <w:tblPrEx>
          <w:tblCellMar>
            <w:top w:w="0" w:type="dxa"/>
            <w:left w:w="0" w:type="dxa"/>
            <w:bottom w:w="0" w:type="dxa"/>
            <w:right w:w="0" w:type="dxa"/>
          </w:tblCellMar>
        </w:tblPrEx>
        <w:trPr>
          <w:trHeight w:val="567" w:hRule="atLeast"/>
        </w:trPr>
        <w:tc>
          <w:tcPr>
            <w:tcW w:w="1031" w:type="dxa"/>
            <w:tcBorders>
              <w:top w:val="single" w:color="auto" w:sz="4" w:space="0"/>
              <w:left w:val="single" w:color="auto" w:sz="4" w:space="0"/>
              <w:bottom w:val="single" w:color="auto" w:sz="4" w:space="0"/>
              <w:right w:val="single" w:color="auto" w:sz="4" w:space="0"/>
            </w:tcBorders>
            <w:noWrap w:val="0"/>
            <w:vAlign w:val="center"/>
          </w:tcPr>
          <w:p w14:paraId="07533F00">
            <w:pPr>
              <w:jc w:val="left"/>
              <w:rPr>
                <w:rFonts w:ascii="TimesNewRomanPSMT" w:eastAsia="TimesNewRomanPSMT" w:cs="TimesNewRomanPSMT"/>
                <w:color w:val="auto"/>
                <w:szCs w:val="21"/>
                <w:highlight w:val="none"/>
              </w:rPr>
            </w:pPr>
            <w:r>
              <w:rPr>
                <w:color w:val="auto"/>
                <w:highlight w:val="none"/>
              </w:rPr>
              <w:br w:type="page"/>
            </w:r>
            <w:r>
              <w:rPr>
                <w:rFonts w:hint="eastAsia" w:ascii="宋体" w:cs="宋体"/>
                <w:color w:val="auto"/>
                <w:szCs w:val="21"/>
                <w:highlight w:val="none"/>
              </w:rPr>
              <w:t>条款号</w:t>
            </w:r>
          </w:p>
        </w:tc>
        <w:tc>
          <w:tcPr>
            <w:tcW w:w="9177" w:type="dxa"/>
            <w:gridSpan w:val="6"/>
            <w:tcBorders>
              <w:top w:val="single" w:color="auto" w:sz="4" w:space="0"/>
              <w:left w:val="single" w:color="auto" w:sz="4" w:space="0"/>
              <w:bottom w:val="single" w:color="auto" w:sz="4" w:space="0"/>
              <w:right w:val="single" w:color="auto" w:sz="4" w:space="0"/>
            </w:tcBorders>
            <w:noWrap w:val="0"/>
            <w:vAlign w:val="center"/>
          </w:tcPr>
          <w:p w14:paraId="14FC8992">
            <w:pPr>
              <w:jc w:val="left"/>
              <w:rPr>
                <w:color w:val="auto"/>
                <w:szCs w:val="21"/>
                <w:highlight w:val="none"/>
              </w:rPr>
            </w:pPr>
            <w:r>
              <w:rPr>
                <w:rFonts w:hint="eastAsia"/>
                <w:color w:val="auto"/>
                <w:szCs w:val="21"/>
                <w:highlight w:val="none"/>
              </w:rPr>
              <w:t>补充或修改的内容</w:t>
            </w:r>
          </w:p>
        </w:tc>
      </w:tr>
      <w:tr w14:paraId="63BAC2C9">
        <w:tblPrEx>
          <w:tblCellMar>
            <w:top w:w="0" w:type="dxa"/>
            <w:left w:w="0" w:type="dxa"/>
            <w:bottom w:w="0" w:type="dxa"/>
            <w:right w:w="0" w:type="dxa"/>
          </w:tblCellMar>
        </w:tblPrEx>
        <w:trPr>
          <w:trHeight w:val="1681" w:hRule="atLeast"/>
        </w:trPr>
        <w:tc>
          <w:tcPr>
            <w:tcW w:w="1031" w:type="dxa"/>
            <w:tcBorders>
              <w:top w:val="single" w:color="auto" w:sz="4" w:space="0"/>
              <w:left w:val="single" w:color="auto" w:sz="4" w:space="0"/>
              <w:bottom w:val="single" w:color="auto" w:sz="4" w:space="0"/>
              <w:right w:val="single" w:color="auto" w:sz="4" w:space="0"/>
            </w:tcBorders>
            <w:noWrap w:val="0"/>
            <w:vAlign w:val="center"/>
          </w:tcPr>
          <w:p w14:paraId="2106438F">
            <w:pPr>
              <w:spacing w:line="400" w:lineRule="exact"/>
              <w:ind w:left="105" w:leftChars="50" w:right="105" w:rightChars="50"/>
              <w:jc w:val="center"/>
              <w:rPr>
                <w:rFonts w:ascii="TimesNewRomanPSMT" w:eastAsia="TimesNewRomanPSMT" w:cs="TimesNewRomanPSMT"/>
                <w:color w:val="auto"/>
                <w:szCs w:val="21"/>
                <w:highlight w:val="none"/>
              </w:rPr>
            </w:pPr>
            <w:r>
              <w:rPr>
                <w:rFonts w:hint="eastAsia" w:ascii="TimesNewRomanPSMT" w:eastAsia="TimesNewRomanPSMT" w:cs="TimesNewRomanPSMT"/>
                <w:color w:val="auto"/>
                <w:szCs w:val="21"/>
                <w:highlight w:val="none"/>
              </w:rPr>
              <w:t>1</w:t>
            </w:r>
          </w:p>
        </w:tc>
        <w:tc>
          <w:tcPr>
            <w:tcW w:w="9177" w:type="dxa"/>
            <w:gridSpan w:val="6"/>
            <w:tcBorders>
              <w:top w:val="single" w:color="auto" w:sz="4" w:space="0"/>
              <w:left w:val="single" w:color="auto" w:sz="4" w:space="0"/>
              <w:bottom w:val="single" w:color="auto" w:sz="4" w:space="0"/>
              <w:right w:val="single" w:color="auto" w:sz="4" w:space="0"/>
            </w:tcBorders>
            <w:noWrap w:val="0"/>
            <w:vAlign w:val="center"/>
          </w:tcPr>
          <w:p w14:paraId="60C90414">
            <w:pPr>
              <w:pStyle w:val="6"/>
              <w:ind w:firstLine="316" w:firstLineChars="150"/>
              <w:rPr>
                <w:rFonts w:ascii="宋体" w:hAnsi="宋体"/>
                <w:b/>
                <w:color w:val="auto"/>
                <w:szCs w:val="21"/>
                <w:highlight w:val="none"/>
              </w:rPr>
            </w:pPr>
            <w:r>
              <w:rPr>
                <w:rFonts w:ascii="宋体" w:hAnsi="宋体"/>
                <w:b/>
                <w:color w:val="auto"/>
                <w:szCs w:val="21"/>
                <w:highlight w:val="none"/>
              </w:rPr>
              <w:t>将评标办法原文第1条“评标方法”改为“评标方法、组织及工作程序”，原文内容修改如下：</w:t>
            </w:r>
          </w:p>
          <w:p w14:paraId="2666D904">
            <w:pPr>
              <w:pStyle w:val="6"/>
              <w:spacing w:line="360" w:lineRule="exact"/>
              <w:ind w:left="42" w:leftChars="20" w:right="42" w:rightChars="20" w:firstLine="315" w:firstLineChars="150"/>
              <w:rPr>
                <w:rFonts w:ascii="宋体" w:hAnsi="宋体" w:cs="宋体"/>
                <w:color w:val="auto"/>
                <w:szCs w:val="21"/>
                <w:highlight w:val="none"/>
              </w:rPr>
            </w:pPr>
            <w:r>
              <w:rPr>
                <w:rFonts w:ascii="宋体" w:hAnsi="宋体" w:cs="宋体"/>
                <w:color w:val="auto"/>
                <w:szCs w:val="21"/>
                <w:highlight w:val="none"/>
              </w:rPr>
              <w:t>1.评标方法、组织及工作程序</w:t>
            </w:r>
          </w:p>
          <w:p w14:paraId="00ABA065">
            <w:pPr>
              <w:pStyle w:val="6"/>
              <w:spacing w:line="360" w:lineRule="exact"/>
              <w:ind w:left="42" w:leftChars="20" w:right="42" w:rightChars="20" w:firstLine="315" w:firstLineChars="150"/>
              <w:rPr>
                <w:rFonts w:ascii="宋体" w:hAnsi="宋体" w:cs="宋体"/>
                <w:color w:val="auto"/>
                <w:szCs w:val="21"/>
                <w:highlight w:val="none"/>
              </w:rPr>
            </w:pPr>
            <w:r>
              <w:rPr>
                <w:rFonts w:ascii="宋体" w:hAnsi="宋体" w:cs="宋体"/>
                <w:color w:val="auto"/>
                <w:szCs w:val="21"/>
                <w:highlight w:val="none"/>
              </w:rPr>
              <w:t>1.1评标方法</w:t>
            </w:r>
          </w:p>
          <w:p w14:paraId="2963204E">
            <w:pPr>
              <w:pStyle w:val="6"/>
              <w:spacing w:line="360" w:lineRule="exact"/>
              <w:ind w:left="42" w:leftChars="20" w:right="42" w:rightChars="20" w:firstLine="315" w:firstLineChars="150"/>
              <w:rPr>
                <w:rFonts w:ascii="宋体" w:hAnsi="宋体" w:cs="宋体"/>
                <w:color w:val="auto"/>
                <w:szCs w:val="21"/>
                <w:highlight w:val="none"/>
              </w:rPr>
            </w:pPr>
            <w:r>
              <w:rPr>
                <w:rFonts w:hint="eastAsia" w:ascii="宋体" w:hAnsi="宋体" w:cs="宋体"/>
                <w:color w:val="auto"/>
                <w:szCs w:val="21"/>
                <w:highlight w:val="none"/>
              </w:rPr>
              <w:t>本次评标采用双信封的技术评分最低标价法。评标委员会对满足招标文件实质性要求的投标文件，按照本章第 2.2 款规定对通过初步评审的投标人的施工组织设计、主要人员、其他因素等进行评分，按照得分由高到低排序，对排名在招标文件规定数量</w:t>
            </w:r>
            <w:r>
              <w:rPr>
                <w:rFonts w:hint="eastAsia" w:ascii="宋体" w:hAnsi="宋体" w:cs="宋体"/>
                <w:color w:val="auto"/>
                <w:szCs w:val="21"/>
                <w:highlight w:val="none"/>
                <w:u w:val="single"/>
              </w:rPr>
              <w:t>前5名</w:t>
            </w:r>
            <w:r>
              <w:rPr>
                <w:rFonts w:hint="eastAsia" w:ascii="宋体" w:hAnsi="宋体" w:cs="宋体"/>
                <w:snapToGrid w:val="0"/>
                <w:color w:val="auto"/>
                <w:kern w:val="0"/>
                <w:szCs w:val="21"/>
                <w:highlight w:val="none"/>
                <w:u w:val="single"/>
              </w:rPr>
              <w:t>（不少于3名但不足5名时，按全部实际数量）</w:t>
            </w:r>
            <w:r>
              <w:rPr>
                <w:rFonts w:hint="eastAsia" w:ascii="宋体" w:hAnsi="宋体" w:cs="宋体"/>
                <w:color w:val="auto"/>
                <w:szCs w:val="21"/>
                <w:highlight w:val="none"/>
              </w:rPr>
              <w:t>的投标人的报价文件进行评审，按照评标价由低到高的顺序推荐中标候选人的评标方法。但投标报价低于其成本的除外。评标价相等时，评标委员会应按照评标办法前附表规定的优先次序推荐中标候选人或确定中标人</w:t>
            </w:r>
            <w:r>
              <w:rPr>
                <w:rFonts w:ascii="宋体" w:hAnsi="宋体" w:cs="宋体"/>
                <w:color w:val="auto"/>
                <w:szCs w:val="21"/>
                <w:highlight w:val="none"/>
              </w:rPr>
              <w:t>。</w:t>
            </w:r>
          </w:p>
          <w:p w14:paraId="07A64E17">
            <w:pPr>
              <w:pStyle w:val="6"/>
              <w:spacing w:line="360" w:lineRule="exact"/>
              <w:ind w:left="42" w:leftChars="20" w:right="42" w:rightChars="20" w:firstLine="315" w:firstLineChars="150"/>
              <w:rPr>
                <w:rFonts w:ascii="宋体" w:hAnsi="宋体" w:cs="宋体"/>
                <w:color w:val="auto"/>
                <w:szCs w:val="21"/>
                <w:highlight w:val="none"/>
              </w:rPr>
            </w:pPr>
            <w:r>
              <w:rPr>
                <w:rFonts w:ascii="宋体" w:hAnsi="宋体" w:cs="宋体"/>
                <w:color w:val="auto"/>
                <w:szCs w:val="21"/>
                <w:highlight w:val="none"/>
              </w:rPr>
              <w:t>1.2评标组织</w:t>
            </w:r>
          </w:p>
          <w:p w14:paraId="7A672BC7">
            <w:pPr>
              <w:pStyle w:val="6"/>
              <w:spacing w:line="360" w:lineRule="exact"/>
              <w:ind w:left="42" w:leftChars="20" w:right="42" w:rightChars="20" w:firstLine="315" w:firstLineChars="150"/>
              <w:rPr>
                <w:rFonts w:ascii="宋体" w:hAnsi="宋体" w:cs="宋体"/>
                <w:color w:val="auto"/>
                <w:szCs w:val="21"/>
                <w:highlight w:val="none"/>
              </w:rPr>
            </w:pPr>
            <w:r>
              <w:rPr>
                <w:rFonts w:ascii="宋体" w:hAnsi="宋体" w:cs="宋体"/>
                <w:color w:val="auto"/>
                <w:szCs w:val="21"/>
                <w:highlight w:val="none"/>
              </w:rPr>
              <w:t>1.2.1协助工作组</w:t>
            </w:r>
          </w:p>
          <w:p w14:paraId="30FD14F7">
            <w:pPr>
              <w:pStyle w:val="6"/>
              <w:spacing w:line="360" w:lineRule="exact"/>
              <w:ind w:left="42" w:leftChars="20" w:right="42" w:rightChars="20" w:firstLine="315" w:firstLineChars="150"/>
              <w:rPr>
                <w:rFonts w:ascii="宋体" w:hAnsi="宋体" w:cs="宋体"/>
                <w:color w:val="auto"/>
                <w:szCs w:val="21"/>
                <w:highlight w:val="none"/>
              </w:rPr>
            </w:pPr>
            <w:r>
              <w:rPr>
                <w:rFonts w:ascii="宋体" w:hAnsi="宋体" w:cs="宋体"/>
                <w:color w:val="auto"/>
                <w:szCs w:val="21"/>
                <w:highlight w:val="none"/>
              </w:rPr>
              <w:t>招标人可在评标工作开始前成立协助工作组，选派熟悉招标工作、政治素质高的人员组成，协助评标委员会工作。协助工作组人员的具体数量由招标人视评标工作量确定。</w:t>
            </w:r>
          </w:p>
          <w:p w14:paraId="1D252F67">
            <w:pPr>
              <w:pStyle w:val="6"/>
              <w:spacing w:line="360" w:lineRule="exact"/>
              <w:ind w:left="42" w:leftChars="20" w:right="42" w:rightChars="20" w:firstLine="315" w:firstLineChars="150"/>
              <w:rPr>
                <w:rFonts w:ascii="宋体" w:hAnsi="宋体" w:cs="宋体"/>
                <w:color w:val="auto"/>
                <w:szCs w:val="21"/>
                <w:highlight w:val="none"/>
              </w:rPr>
            </w:pPr>
            <w:r>
              <w:rPr>
                <w:rFonts w:ascii="宋体" w:hAnsi="宋体" w:cs="宋体"/>
                <w:color w:val="auto"/>
                <w:szCs w:val="21"/>
                <w:highlight w:val="none"/>
              </w:rPr>
              <w:t>招标人可以协助评标委员会开展下列工作并提供相关信息：</w:t>
            </w:r>
          </w:p>
          <w:p w14:paraId="600BA606">
            <w:pPr>
              <w:pStyle w:val="6"/>
              <w:spacing w:line="360" w:lineRule="exact"/>
              <w:ind w:left="42" w:leftChars="20" w:right="42" w:rightChars="20" w:firstLine="315" w:firstLineChars="150"/>
              <w:rPr>
                <w:rFonts w:ascii="宋体" w:hAnsi="宋体" w:cs="宋体"/>
                <w:color w:val="auto"/>
                <w:szCs w:val="21"/>
                <w:highlight w:val="none"/>
              </w:rPr>
            </w:pPr>
            <w:r>
              <w:rPr>
                <w:rFonts w:ascii="宋体" w:hAnsi="宋体" w:cs="宋体"/>
                <w:color w:val="auto"/>
                <w:szCs w:val="21"/>
                <w:highlight w:val="none"/>
              </w:rPr>
              <w:t>（1）根据招标文件，编制评标使用的相应表格；</w:t>
            </w:r>
          </w:p>
          <w:p w14:paraId="7061D7D5">
            <w:pPr>
              <w:pStyle w:val="6"/>
              <w:spacing w:line="360" w:lineRule="exact"/>
              <w:ind w:left="42" w:leftChars="20" w:right="42" w:rightChars="20" w:firstLine="315" w:firstLineChars="150"/>
              <w:rPr>
                <w:rFonts w:ascii="宋体" w:hAnsi="宋体" w:cs="宋体"/>
                <w:color w:val="auto"/>
                <w:szCs w:val="21"/>
                <w:highlight w:val="none"/>
              </w:rPr>
            </w:pPr>
            <w:r>
              <w:rPr>
                <w:rFonts w:ascii="宋体" w:hAnsi="宋体" w:cs="宋体"/>
                <w:color w:val="auto"/>
                <w:szCs w:val="21"/>
                <w:highlight w:val="none"/>
              </w:rPr>
              <w:t>（2）对投标报价进行算术性校核（如采用固化工程量清单，本步骤省略）；</w:t>
            </w:r>
          </w:p>
          <w:p w14:paraId="5A77BAF9">
            <w:pPr>
              <w:pStyle w:val="6"/>
              <w:spacing w:line="360" w:lineRule="exact"/>
              <w:ind w:left="42" w:leftChars="20" w:right="42" w:rightChars="20" w:firstLine="315" w:firstLineChars="150"/>
              <w:rPr>
                <w:rFonts w:ascii="宋体" w:hAnsi="宋体" w:cs="宋体"/>
                <w:color w:val="auto"/>
                <w:szCs w:val="21"/>
                <w:highlight w:val="none"/>
              </w:rPr>
            </w:pPr>
            <w:r>
              <w:rPr>
                <w:rFonts w:ascii="宋体" w:hAnsi="宋体" w:cs="宋体"/>
                <w:color w:val="auto"/>
                <w:szCs w:val="21"/>
                <w:highlight w:val="none"/>
              </w:rPr>
              <w:t>（3）以评标标准和方法为依据，列出投标文件相对于招标文件的所有偏差，并进行归类汇总；</w:t>
            </w:r>
          </w:p>
          <w:p w14:paraId="1A689274">
            <w:pPr>
              <w:pStyle w:val="6"/>
              <w:spacing w:line="360" w:lineRule="exact"/>
              <w:ind w:left="42" w:leftChars="20" w:right="42" w:rightChars="20" w:firstLine="315" w:firstLineChars="150"/>
              <w:rPr>
                <w:rFonts w:ascii="宋体" w:hAnsi="宋体" w:cs="宋体"/>
                <w:color w:val="auto"/>
                <w:szCs w:val="21"/>
                <w:highlight w:val="none"/>
              </w:rPr>
            </w:pPr>
            <w:r>
              <w:rPr>
                <w:rFonts w:ascii="宋体" w:hAnsi="宋体" w:cs="宋体"/>
                <w:color w:val="auto"/>
                <w:szCs w:val="21"/>
                <w:highlight w:val="none"/>
              </w:rPr>
              <w:t>（4）查询公路建设市场信用信息管理系统，对投标人的资质、业绩、主要人员资历和目前在岗情况、信用等级进行核实。</w:t>
            </w:r>
          </w:p>
          <w:p w14:paraId="1751B28B">
            <w:pPr>
              <w:pStyle w:val="6"/>
              <w:spacing w:line="360" w:lineRule="exact"/>
              <w:ind w:left="42" w:leftChars="20" w:right="42" w:rightChars="20" w:firstLine="315" w:firstLineChars="150"/>
              <w:rPr>
                <w:rFonts w:ascii="宋体" w:hAnsi="宋体" w:cs="宋体"/>
                <w:color w:val="auto"/>
                <w:szCs w:val="21"/>
                <w:highlight w:val="none"/>
              </w:rPr>
            </w:pPr>
            <w:r>
              <w:rPr>
                <w:rFonts w:ascii="宋体" w:hAnsi="宋体" w:cs="宋体"/>
                <w:color w:val="auto"/>
                <w:szCs w:val="21"/>
                <w:highlight w:val="none"/>
              </w:rPr>
              <w:t>招标人不得对投标文件作出任何评价，不得故意遗漏或者片面摘录，不得在评标委员会对所有偏差定性之前透露存有偏差的投标人名称。</w:t>
            </w:r>
          </w:p>
          <w:p w14:paraId="44B801A0">
            <w:pPr>
              <w:pStyle w:val="6"/>
              <w:spacing w:line="360" w:lineRule="exact"/>
              <w:ind w:left="42" w:leftChars="20" w:right="42" w:rightChars="20" w:firstLine="315" w:firstLineChars="150"/>
              <w:rPr>
                <w:rFonts w:ascii="宋体" w:hAnsi="宋体" w:cs="宋体"/>
                <w:color w:val="auto"/>
                <w:szCs w:val="21"/>
                <w:highlight w:val="none"/>
              </w:rPr>
            </w:pPr>
            <w:r>
              <w:rPr>
                <w:rFonts w:ascii="宋体" w:hAnsi="宋体" w:cs="宋体"/>
                <w:color w:val="auto"/>
                <w:szCs w:val="21"/>
                <w:highlight w:val="none"/>
              </w:rPr>
              <w:t>1.2.2评标委员会</w:t>
            </w:r>
          </w:p>
          <w:p w14:paraId="71573952">
            <w:pPr>
              <w:pStyle w:val="6"/>
              <w:spacing w:line="360" w:lineRule="exact"/>
              <w:ind w:left="42" w:leftChars="20" w:right="42" w:rightChars="20" w:firstLine="315" w:firstLineChars="150"/>
              <w:rPr>
                <w:rFonts w:ascii="宋体" w:hAnsi="宋体" w:cs="宋体"/>
                <w:color w:val="auto"/>
                <w:szCs w:val="21"/>
                <w:highlight w:val="none"/>
              </w:rPr>
            </w:pPr>
            <w:r>
              <w:rPr>
                <w:rFonts w:ascii="宋体" w:hAnsi="宋体" w:cs="宋体"/>
                <w:color w:val="auto"/>
                <w:szCs w:val="21"/>
                <w:highlight w:val="none"/>
              </w:rPr>
              <w:t>评标委员会由招标人按国家、广东省等的有关规定依法组建。评标委员会的主要工作内容包括：</w:t>
            </w:r>
          </w:p>
          <w:p w14:paraId="203DABCB">
            <w:pPr>
              <w:pStyle w:val="6"/>
              <w:spacing w:line="360" w:lineRule="exact"/>
              <w:ind w:left="42" w:leftChars="20" w:right="42" w:rightChars="20" w:firstLine="315" w:firstLineChars="150"/>
              <w:rPr>
                <w:rFonts w:ascii="宋体" w:hAnsi="宋体" w:cs="宋体"/>
                <w:color w:val="auto"/>
                <w:szCs w:val="21"/>
                <w:highlight w:val="none"/>
              </w:rPr>
            </w:pPr>
            <w:r>
              <w:rPr>
                <w:rFonts w:ascii="宋体" w:hAnsi="宋体" w:cs="宋体"/>
                <w:color w:val="auto"/>
                <w:szCs w:val="21"/>
                <w:highlight w:val="none"/>
              </w:rPr>
              <w:t>（1）评标委员会开始评标工作之前，首先听取招标人、协助工作组关于工程情况和辅助工作的说明，并认真研读招标文件，获取评标所需的重要信息和数据；</w:t>
            </w:r>
          </w:p>
          <w:p w14:paraId="19537D2F">
            <w:pPr>
              <w:pStyle w:val="6"/>
              <w:spacing w:line="360" w:lineRule="exact"/>
              <w:ind w:left="42" w:leftChars="20" w:right="42" w:rightChars="20" w:firstLine="315" w:firstLineChars="150"/>
              <w:rPr>
                <w:rFonts w:ascii="宋体" w:hAnsi="宋体" w:cs="宋体"/>
                <w:color w:val="auto"/>
                <w:szCs w:val="21"/>
                <w:highlight w:val="none"/>
              </w:rPr>
            </w:pPr>
            <w:r>
              <w:rPr>
                <w:rFonts w:ascii="宋体" w:hAnsi="宋体" w:cs="宋体"/>
                <w:color w:val="auto"/>
                <w:szCs w:val="21"/>
                <w:highlight w:val="none"/>
              </w:rPr>
              <w:t>（2）对协助工作组提供的评标工作用表和评标内容进行核查；</w:t>
            </w:r>
          </w:p>
          <w:p w14:paraId="548696A4">
            <w:pPr>
              <w:pStyle w:val="6"/>
              <w:spacing w:line="360" w:lineRule="exact"/>
              <w:ind w:left="42" w:leftChars="20" w:right="42" w:rightChars="20" w:firstLine="315" w:firstLineChars="150"/>
              <w:rPr>
                <w:rFonts w:ascii="宋体" w:hAnsi="宋体" w:cs="宋体"/>
                <w:color w:val="auto"/>
                <w:szCs w:val="21"/>
                <w:highlight w:val="none"/>
              </w:rPr>
            </w:pPr>
            <w:r>
              <w:rPr>
                <w:rFonts w:ascii="宋体" w:hAnsi="宋体" w:cs="宋体"/>
                <w:color w:val="auto"/>
                <w:szCs w:val="21"/>
                <w:highlight w:val="none"/>
              </w:rPr>
              <w:t>（3）按照以下1.3款程序进行各项评审工作。</w:t>
            </w:r>
          </w:p>
          <w:p w14:paraId="30937DCF">
            <w:pPr>
              <w:pStyle w:val="6"/>
              <w:spacing w:line="360" w:lineRule="exact"/>
              <w:ind w:left="42" w:leftChars="20" w:right="42" w:rightChars="20" w:firstLine="315" w:firstLineChars="150"/>
              <w:rPr>
                <w:rFonts w:ascii="宋体" w:hAnsi="宋体" w:cs="宋体"/>
                <w:color w:val="auto"/>
                <w:szCs w:val="21"/>
                <w:highlight w:val="none"/>
              </w:rPr>
            </w:pPr>
            <w:r>
              <w:rPr>
                <w:rFonts w:ascii="宋体" w:hAnsi="宋体" w:cs="宋体"/>
                <w:color w:val="auto"/>
                <w:szCs w:val="21"/>
                <w:highlight w:val="none"/>
              </w:rPr>
              <w:t>1.3评审工作程序</w:t>
            </w:r>
          </w:p>
          <w:p w14:paraId="73885892">
            <w:pPr>
              <w:pStyle w:val="6"/>
              <w:spacing w:line="360" w:lineRule="exact"/>
              <w:ind w:left="42" w:leftChars="20" w:right="42" w:rightChars="20" w:firstLine="315" w:firstLineChars="150"/>
              <w:rPr>
                <w:rFonts w:ascii="宋体" w:hAnsi="宋体" w:cs="宋体"/>
                <w:color w:val="auto"/>
                <w:szCs w:val="21"/>
                <w:highlight w:val="none"/>
              </w:rPr>
            </w:pPr>
            <w:r>
              <w:rPr>
                <w:rFonts w:ascii="宋体" w:hAnsi="宋体" w:cs="宋体"/>
                <w:color w:val="auto"/>
                <w:szCs w:val="21"/>
                <w:highlight w:val="none"/>
              </w:rPr>
              <w:t>评标委员会将按以下程序开展评标工作：</w:t>
            </w:r>
          </w:p>
          <w:p w14:paraId="4866E0D2">
            <w:pPr>
              <w:pStyle w:val="6"/>
              <w:spacing w:line="360" w:lineRule="exact"/>
              <w:ind w:left="42" w:leftChars="20" w:right="42" w:rightChars="20" w:firstLine="315" w:firstLineChars="150"/>
              <w:rPr>
                <w:rFonts w:ascii="宋体" w:hAnsi="宋体" w:cs="宋体"/>
                <w:color w:val="auto"/>
                <w:szCs w:val="21"/>
                <w:highlight w:val="none"/>
              </w:rPr>
            </w:pPr>
            <w:r>
              <w:rPr>
                <w:rFonts w:ascii="宋体" w:hAnsi="宋体" w:cs="宋体"/>
                <w:color w:val="auto"/>
                <w:szCs w:val="21"/>
                <w:highlight w:val="none"/>
              </w:rPr>
              <w:t>（一）第一</w:t>
            </w:r>
            <w:r>
              <w:rPr>
                <w:rFonts w:hint="eastAsia" w:ascii="宋体" w:hAnsi="宋体" w:cs="宋体"/>
                <w:color w:val="auto"/>
                <w:szCs w:val="21"/>
                <w:highlight w:val="none"/>
              </w:rPr>
              <w:t>个</w:t>
            </w:r>
            <w:r>
              <w:rPr>
                <w:rFonts w:ascii="宋体" w:hAnsi="宋体" w:cs="宋体"/>
                <w:color w:val="auto"/>
                <w:szCs w:val="21"/>
                <w:highlight w:val="none"/>
              </w:rPr>
              <w:t>信封（商务及技术文件）的评审：</w:t>
            </w:r>
          </w:p>
          <w:p w14:paraId="291D4D79">
            <w:pPr>
              <w:pStyle w:val="6"/>
              <w:spacing w:line="360" w:lineRule="exact"/>
              <w:ind w:left="42" w:leftChars="20" w:right="42" w:rightChars="20" w:firstLine="315" w:firstLineChars="150"/>
              <w:rPr>
                <w:rFonts w:ascii="宋体" w:hAnsi="宋体" w:cs="宋体"/>
                <w:color w:val="auto"/>
                <w:szCs w:val="21"/>
                <w:highlight w:val="none"/>
              </w:rPr>
            </w:pPr>
            <w:r>
              <w:rPr>
                <w:rFonts w:ascii="宋体" w:hAnsi="宋体" w:cs="宋体"/>
                <w:color w:val="auto"/>
                <w:szCs w:val="21"/>
                <w:highlight w:val="none"/>
              </w:rPr>
              <w:t>1、初步评审：包括形式评审与响应性评审、资格评审（适用于未进行资格预审）；</w:t>
            </w:r>
          </w:p>
          <w:p w14:paraId="3225975A">
            <w:pPr>
              <w:pStyle w:val="6"/>
              <w:spacing w:line="360" w:lineRule="exact"/>
              <w:ind w:left="42" w:leftChars="20" w:right="42" w:rightChars="20" w:firstLine="315" w:firstLineChars="150"/>
              <w:rPr>
                <w:rFonts w:ascii="宋体" w:hAnsi="宋体" w:cs="宋体"/>
                <w:color w:val="auto"/>
                <w:szCs w:val="21"/>
                <w:highlight w:val="none"/>
              </w:rPr>
            </w:pPr>
            <w:r>
              <w:rPr>
                <w:rFonts w:ascii="宋体" w:hAnsi="宋体" w:cs="宋体"/>
                <w:color w:val="auto"/>
                <w:szCs w:val="21"/>
                <w:highlight w:val="none"/>
              </w:rPr>
              <w:t>2、详细评审：</w:t>
            </w:r>
            <w:r>
              <w:rPr>
                <w:color w:val="auto"/>
                <w:highlight w:val="none"/>
              </w:rPr>
              <w:t>（评审打分</w:t>
            </w:r>
            <w:r>
              <w:rPr>
                <w:color w:val="auto"/>
                <w:spacing w:val="-67"/>
                <w:highlight w:val="none"/>
              </w:rPr>
              <w:t>）</w:t>
            </w:r>
            <w:r>
              <w:rPr>
                <w:color w:val="auto"/>
                <w:spacing w:val="-9"/>
                <w:highlight w:val="none"/>
              </w:rPr>
              <w:t>：评</w:t>
            </w:r>
            <w:r>
              <w:rPr>
                <w:color w:val="auto"/>
                <w:highlight w:val="none"/>
              </w:rPr>
              <w:t>标委员会首先对通过第一</w:t>
            </w:r>
            <w:r>
              <w:rPr>
                <w:rFonts w:hint="eastAsia"/>
                <w:color w:val="auto"/>
                <w:highlight w:val="none"/>
              </w:rPr>
              <w:t>个</w:t>
            </w:r>
            <w:r>
              <w:rPr>
                <w:color w:val="auto"/>
                <w:highlight w:val="none"/>
              </w:rPr>
              <w:t>信封初步评审的投标文件进行详细评审，对投标人的施工组织设计、主要人员、其他因素等分别评审打分，并按照综合得分由高到低排序，排名在招标文件规定数量</w:t>
            </w:r>
            <w:r>
              <w:rPr>
                <w:color w:val="auto"/>
                <w:highlight w:val="none"/>
                <w:u w:val="single"/>
              </w:rPr>
              <w:t>前</w:t>
            </w:r>
            <w:r>
              <w:rPr>
                <w:rFonts w:hint="eastAsia"/>
                <w:color w:val="auto"/>
                <w:highlight w:val="none"/>
                <w:u w:val="single"/>
              </w:rPr>
              <w:t>5</w:t>
            </w:r>
            <w:r>
              <w:rPr>
                <w:color w:val="auto"/>
                <w:highlight w:val="none"/>
                <w:u w:val="single"/>
              </w:rPr>
              <w:t>名</w:t>
            </w:r>
            <w:r>
              <w:rPr>
                <w:rFonts w:hint="eastAsia" w:ascii="宋体" w:hAnsi="宋体" w:cs="宋体"/>
                <w:snapToGrid w:val="0"/>
                <w:color w:val="auto"/>
                <w:kern w:val="0"/>
                <w:szCs w:val="21"/>
                <w:highlight w:val="none"/>
                <w:u w:val="single"/>
              </w:rPr>
              <w:t>（不少于3名但不足5名的，按全部实际数量）</w:t>
            </w:r>
            <w:r>
              <w:rPr>
                <w:color w:val="auto"/>
                <w:highlight w:val="none"/>
              </w:rPr>
              <w:t>的投标人，其投标文件第一</w:t>
            </w:r>
            <w:r>
              <w:rPr>
                <w:rFonts w:hint="eastAsia"/>
                <w:color w:val="auto"/>
                <w:highlight w:val="none"/>
              </w:rPr>
              <w:t>个</w:t>
            </w:r>
            <w:r>
              <w:rPr>
                <w:color w:val="auto"/>
                <w:highlight w:val="none"/>
              </w:rPr>
              <w:t>信封（商务及技术文件）通过详细评审</w:t>
            </w:r>
            <w:r>
              <w:rPr>
                <w:rFonts w:ascii="宋体" w:hAnsi="宋体" w:cs="宋体"/>
                <w:color w:val="auto"/>
                <w:szCs w:val="21"/>
                <w:highlight w:val="none"/>
              </w:rPr>
              <w:t>；</w:t>
            </w:r>
          </w:p>
          <w:p w14:paraId="25B7B433">
            <w:pPr>
              <w:pStyle w:val="6"/>
              <w:spacing w:line="360" w:lineRule="exact"/>
              <w:ind w:left="42" w:leftChars="20" w:right="42" w:rightChars="20" w:firstLine="315" w:firstLineChars="150"/>
              <w:rPr>
                <w:rFonts w:ascii="宋体" w:hAnsi="宋体" w:cs="宋体"/>
                <w:color w:val="auto"/>
                <w:szCs w:val="21"/>
                <w:highlight w:val="none"/>
              </w:rPr>
            </w:pPr>
            <w:r>
              <w:rPr>
                <w:rFonts w:ascii="宋体" w:hAnsi="宋体" w:cs="宋体"/>
                <w:color w:val="auto"/>
                <w:szCs w:val="21"/>
                <w:highlight w:val="none"/>
              </w:rPr>
              <w:t>（二）第二</w:t>
            </w:r>
            <w:r>
              <w:rPr>
                <w:rFonts w:hint="eastAsia" w:ascii="宋体" w:hAnsi="宋体" w:cs="宋体"/>
                <w:color w:val="auto"/>
                <w:szCs w:val="21"/>
                <w:highlight w:val="none"/>
              </w:rPr>
              <w:t>个</w:t>
            </w:r>
            <w:r>
              <w:rPr>
                <w:rFonts w:ascii="宋体" w:hAnsi="宋体" w:cs="宋体"/>
                <w:color w:val="auto"/>
                <w:szCs w:val="21"/>
                <w:highlight w:val="none"/>
              </w:rPr>
              <w:t>信封（报价文件）的评审：</w:t>
            </w:r>
          </w:p>
          <w:p w14:paraId="545BA623">
            <w:pPr>
              <w:pStyle w:val="6"/>
              <w:spacing w:line="360" w:lineRule="exact"/>
              <w:ind w:left="42" w:leftChars="20" w:right="42" w:rightChars="20" w:firstLine="315" w:firstLineChars="150"/>
              <w:rPr>
                <w:rFonts w:ascii="宋体" w:hAnsi="宋体" w:cs="宋体"/>
                <w:color w:val="auto"/>
                <w:szCs w:val="21"/>
                <w:highlight w:val="none"/>
              </w:rPr>
            </w:pPr>
            <w:r>
              <w:rPr>
                <w:rFonts w:ascii="宋体" w:hAnsi="宋体" w:cs="宋体"/>
                <w:color w:val="auto"/>
                <w:szCs w:val="21"/>
                <w:highlight w:val="none"/>
              </w:rPr>
              <w:t>1、初步评审：</w:t>
            </w:r>
          </w:p>
          <w:p w14:paraId="0045D665">
            <w:pPr>
              <w:pStyle w:val="6"/>
              <w:spacing w:line="360" w:lineRule="exact"/>
              <w:ind w:left="42" w:leftChars="20" w:right="42" w:rightChars="20" w:firstLine="315" w:firstLineChars="150"/>
              <w:rPr>
                <w:rFonts w:ascii="宋体" w:hAnsi="宋体" w:cs="宋体"/>
                <w:color w:val="auto"/>
                <w:szCs w:val="21"/>
                <w:highlight w:val="none"/>
              </w:rPr>
            </w:pPr>
            <w:r>
              <w:rPr>
                <w:rFonts w:ascii="宋体" w:hAnsi="宋体" w:cs="宋体"/>
                <w:color w:val="auto"/>
                <w:szCs w:val="21"/>
                <w:highlight w:val="none"/>
              </w:rPr>
              <w:t>（1）只有</w:t>
            </w:r>
            <w:r>
              <w:rPr>
                <w:rFonts w:hint="eastAsia" w:ascii="宋体" w:hAnsi="宋体" w:cs="宋体"/>
                <w:color w:val="auto"/>
                <w:szCs w:val="21"/>
                <w:highlight w:val="none"/>
              </w:rPr>
              <w:t>对</w:t>
            </w:r>
            <w:r>
              <w:rPr>
                <w:rFonts w:ascii="宋体" w:hAnsi="宋体" w:cs="宋体"/>
                <w:color w:val="auto"/>
                <w:szCs w:val="21"/>
                <w:highlight w:val="none"/>
              </w:rPr>
              <w:t>投标文件第一个信封通过详细评审的投标人</w:t>
            </w:r>
            <w:r>
              <w:rPr>
                <w:rFonts w:hint="eastAsia" w:ascii="宋体" w:hAnsi="宋体" w:cs="宋体"/>
                <w:color w:val="auto"/>
                <w:szCs w:val="21"/>
                <w:highlight w:val="none"/>
              </w:rPr>
              <w:t>的报价文件</w:t>
            </w:r>
            <w:r>
              <w:rPr>
                <w:rFonts w:ascii="宋体" w:hAnsi="宋体" w:cs="宋体"/>
                <w:color w:val="auto"/>
                <w:szCs w:val="21"/>
                <w:highlight w:val="none"/>
              </w:rPr>
              <w:t>才能继续参加第二</w:t>
            </w:r>
            <w:r>
              <w:rPr>
                <w:rFonts w:hint="eastAsia" w:ascii="宋体" w:hAnsi="宋体" w:cs="宋体"/>
                <w:color w:val="auto"/>
                <w:szCs w:val="21"/>
                <w:highlight w:val="none"/>
              </w:rPr>
              <w:t>个</w:t>
            </w:r>
            <w:r>
              <w:rPr>
                <w:rFonts w:ascii="宋体" w:hAnsi="宋体" w:cs="宋体"/>
                <w:color w:val="auto"/>
                <w:szCs w:val="21"/>
                <w:highlight w:val="none"/>
              </w:rPr>
              <w:t>信封报价文件的形式评审与响应性评审；</w:t>
            </w:r>
          </w:p>
          <w:p w14:paraId="390D4693">
            <w:pPr>
              <w:pStyle w:val="6"/>
              <w:spacing w:line="360" w:lineRule="exact"/>
              <w:ind w:left="42" w:leftChars="20" w:right="42" w:rightChars="20" w:firstLine="315" w:firstLineChars="150"/>
              <w:rPr>
                <w:rFonts w:ascii="宋体" w:hAnsi="宋体" w:cs="宋体"/>
                <w:color w:val="auto"/>
                <w:szCs w:val="21"/>
                <w:highlight w:val="none"/>
              </w:rPr>
            </w:pPr>
            <w:r>
              <w:rPr>
                <w:rFonts w:ascii="宋体" w:hAnsi="宋体" w:cs="宋体"/>
                <w:color w:val="auto"/>
                <w:szCs w:val="21"/>
                <w:highlight w:val="none"/>
              </w:rPr>
              <w:t>（2）报价算术性修正（如采用固化工程量清单，本步骤省略）；</w:t>
            </w:r>
          </w:p>
          <w:p w14:paraId="4B961AEA">
            <w:pPr>
              <w:pStyle w:val="6"/>
              <w:spacing w:line="360" w:lineRule="exact"/>
              <w:ind w:left="42" w:leftChars="20" w:right="42" w:rightChars="20" w:firstLine="315" w:firstLineChars="150"/>
              <w:rPr>
                <w:rFonts w:ascii="宋体" w:hAnsi="宋体" w:cs="宋体"/>
                <w:color w:val="auto"/>
                <w:szCs w:val="21"/>
                <w:highlight w:val="none"/>
              </w:rPr>
            </w:pPr>
            <w:r>
              <w:rPr>
                <w:rFonts w:ascii="宋体" w:hAnsi="宋体" w:cs="宋体"/>
                <w:color w:val="auto"/>
                <w:szCs w:val="21"/>
                <w:highlight w:val="none"/>
              </w:rPr>
              <w:t>2、详细评审：</w:t>
            </w:r>
            <w:r>
              <w:rPr>
                <w:rFonts w:hint="eastAsia" w:ascii="宋体" w:hAnsi="宋体" w:cs="宋体"/>
                <w:color w:val="auto"/>
                <w:szCs w:val="21"/>
                <w:highlight w:val="none"/>
              </w:rPr>
              <w:t>计算评标价。</w:t>
            </w:r>
          </w:p>
          <w:p w14:paraId="68E8BBC9">
            <w:pPr>
              <w:pStyle w:val="6"/>
              <w:spacing w:line="360" w:lineRule="exact"/>
              <w:ind w:left="42" w:leftChars="20" w:right="42" w:rightChars="20" w:firstLine="315" w:firstLineChars="150"/>
              <w:rPr>
                <w:rFonts w:ascii="宋体" w:hAnsi="宋体" w:cs="宋体"/>
                <w:color w:val="auto"/>
                <w:szCs w:val="21"/>
                <w:highlight w:val="none"/>
              </w:rPr>
            </w:pPr>
            <w:r>
              <w:rPr>
                <w:rFonts w:ascii="宋体" w:hAnsi="宋体" w:cs="宋体"/>
                <w:color w:val="auto"/>
                <w:szCs w:val="21"/>
                <w:highlight w:val="none"/>
              </w:rPr>
              <w:t>（三）投标文件相关信息的核查。</w:t>
            </w:r>
          </w:p>
          <w:p w14:paraId="0A3893CF">
            <w:pPr>
              <w:pStyle w:val="6"/>
              <w:spacing w:line="360" w:lineRule="exact"/>
              <w:ind w:left="42" w:leftChars="20" w:right="42" w:rightChars="20" w:firstLine="315" w:firstLineChars="150"/>
              <w:rPr>
                <w:rFonts w:ascii="宋体" w:hAnsi="宋体" w:cs="宋体"/>
                <w:color w:val="auto"/>
                <w:szCs w:val="21"/>
                <w:highlight w:val="none"/>
              </w:rPr>
            </w:pPr>
            <w:r>
              <w:rPr>
                <w:rFonts w:ascii="宋体" w:hAnsi="宋体" w:cs="宋体"/>
                <w:color w:val="auto"/>
                <w:szCs w:val="21"/>
                <w:highlight w:val="none"/>
              </w:rPr>
              <w:t>（</w:t>
            </w:r>
            <w:r>
              <w:rPr>
                <w:rFonts w:hint="eastAsia" w:ascii="宋体" w:hAnsi="宋体" w:cs="宋体"/>
                <w:color w:val="auto"/>
                <w:szCs w:val="21"/>
                <w:highlight w:val="none"/>
              </w:rPr>
              <w:t>四</w:t>
            </w:r>
            <w:r>
              <w:rPr>
                <w:rFonts w:ascii="宋体" w:hAnsi="宋体" w:cs="宋体"/>
                <w:color w:val="auto"/>
                <w:szCs w:val="21"/>
                <w:highlight w:val="none"/>
              </w:rPr>
              <w:t>）投标文件的澄清和说明(如有)</w:t>
            </w:r>
          </w:p>
          <w:p w14:paraId="302DDE6B">
            <w:pPr>
              <w:pStyle w:val="6"/>
              <w:spacing w:line="360" w:lineRule="exact"/>
              <w:ind w:left="42" w:leftChars="20" w:firstLine="315" w:firstLineChars="150"/>
              <w:rPr>
                <w:color w:val="auto"/>
                <w:szCs w:val="21"/>
                <w:highlight w:val="none"/>
              </w:rPr>
            </w:pPr>
            <w:r>
              <w:rPr>
                <w:rFonts w:ascii="宋体" w:hAnsi="宋体" w:cs="宋体"/>
                <w:color w:val="auto"/>
                <w:szCs w:val="21"/>
                <w:highlight w:val="none"/>
              </w:rPr>
              <w:t>（五）</w:t>
            </w:r>
            <w:r>
              <w:rPr>
                <w:rFonts w:hint="eastAsia" w:ascii="宋体" w:hAnsi="宋体" w:cs="宋体"/>
                <w:color w:val="auto"/>
                <w:szCs w:val="21"/>
                <w:highlight w:val="none"/>
              </w:rPr>
              <w:t>按评标办法规定按照第二个信封的评标价由低到高的顺序推荐中标候选人，编写评标报告</w:t>
            </w:r>
            <w:r>
              <w:rPr>
                <w:rFonts w:ascii="宋体" w:hAnsi="宋体" w:cs="宋体"/>
                <w:color w:val="auto"/>
                <w:szCs w:val="21"/>
                <w:highlight w:val="none"/>
              </w:rPr>
              <w:t>。</w:t>
            </w:r>
          </w:p>
        </w:tc>
      </w:tr>
      <w:tr w14:paraId="79B4443D">
        <w:tblPrEx>
          <w:tblCellMar>
            <w:top w:w="0" w:type="dxa"/>
            <w:left w:w="0" w:type="dxa"/>
            <w:bottom w:w="0" w:type="dxa"/>
            <w:right w:w="0" w:type="dxa"/>
          </w:tblCellMar>
        </w:tblPrEx>
        <w:trPr>
          <w:trHeight w:val="978" w:hRule="atLeast"/>
        </w:trPr>
        <w:tc>
          <w:tcPr>
            <w:tcW w:w="1031" w:type="dxa"/>
            <w:tcBorders>
              <w:top w:val="single" w:color="auto" w:sz="4" w:space="0"/>
              <w:left w:val="single" w:color="auto" w:sz="4" w:space="0"/>
              <w:bottom w:val="single" w:color="auto" w:sz="4" w:space="0"/>
              <w:right w:val="single" w:color="auto" w:sz="4" w:space="0"/>
            </w:tcBorders>
            <w:noWrap w:val="0"/>
            <w:vAlign w:val="center"/>
          </w:tcPr>
          <w:p w14:paraId="42E6C005">
            <w:pPr>
              <w:spacing w:line="400" w:lineRule="exact"/>
              <w:ind w:left="105" w:leftChars="50" w:right="105" w:rightChars="50"/>
              <w:jc w:val="center"/>
              <w:rPr>
                <w:rFonts w:hint="eastAsia" w:ascii="TimesNewRomanPSMT" w:eastAsia="TimesNewRomanPSMT" w:cs="TimesNewRomanPSMT"/>
                <w:color w:val="auto"/>
                <w:szCs w:val="21"/>
                <w:highlight w:val="none"/>
              </w:rPr>
            </w:pPr>
            <w:r>
              <w:rPr>
                <w:rFonts w:hint="eastAsia" w:ascii="宋体" w:hAnsi="Calibri"/>
                <w:color w:val="auto"/>
                <w:szCs w:val="21"/>
                <w:highlight w:val="none"/>
              </w:rPr>
              <w:t>3.2.2</w:t>
            </w:r>
          </w:p>
        </w:tc>
        <w:tc>
          <w:tcPr>
            <w:tcW w:w="9177" w:type="dxa"/>
            <w:gridSpan w:val="6"/>
            <w:tcBorders>
              <w:top w:val="single" w:color="auto" w:sz="4" w:space="0"/>
              <w:left w:val="single" w:color="auto" w:sz="4" w:space="0"/>
              <w:bottom w:val="single" w:color="auto" w:sz="4" w:space="0"/>
              <w:right w:val="single" w:color="auto" w:sz="4" w:space="0"/>
            </w:tcBorders>
            <w:noWrap w:val="0"/>
            <w:vAlign w:val="center"/>
          </w:tcPr>
          <w:p w14:paraId="38834480">
            <w:pPr>
              <w:pStyle w:val="6"/>
              <w:spacing w:line="360" w:lineRule="exact"/>
              <w:ind w:left="42" w:leftChars="20" w:right="42" w:rightChars="20"/>
              <w:rPr>
                <w:rFonts w:ascii="宋体" w:hAnsi="宋体" w:cs="宋体"/>
                <w:color w:val="auto"/>
                <w:szCs w:val="21"/>
                <w:highlight w:val="none"/>
              </w:rPr>
            </w:pPr>
            <w:r>
              <w:rPr>
                <w:rFonts w:ascii="宋体" w:hAnsi="宋体" w:cs="宋体"/>
                <w:color w:val="auto"/>
                <w:szCs w:val="21"/>
                <w:highlight w:val="none"/>
              </w:rPr>
              <w:t>将评标办法范本原文第3.</w:t>
            </w:r>
            <w:r>
              <w:rPr>
                <w:rFonts w:hint="eastAsia" w:ascii="宋体" w:hAnsi="宋体" w:cs="宋体"/>
                <w:color w:val="auto"/>
                <w:szCs w:val="21"/>
                <w:highlight w:val="none"/>
              </w:rPr>
              <w:t>2</w:t>
            </w:r>
            <w:r>
              <w:rPr>
                <w:rFonts w:ascii="宋体" w:hAnsi="宋体" w:cs="宋体"/>
                <w:color w:val="auto"/>
                <w:szCs w:val="21"/>
                <w:highlight w:val="none"/>
              </w:rPr>
              <w:t>.2项修改</w:t>
            </w:r>
            <w:r>
              <w:rPr>
                <w:rFonts w:hint="eastAsia" w:ascii="宋体" w:hAnsi="宋体" w:cs="宋体"/>
                <w:color w:val="auto"/>
                <w:szCs w:val="21"/>
                <w:highlight w:val="none"/>
              </w:rPr>
              <w:t>如下</w:t>
            </w:r>
            <w:r>
              <w:rPr>
                <w:rFonts w:ascii="宋体" w:hAnsi="宋体" w:cs="宋体"/>
                <w:color w:val="auto"/>
                <w:szCs w:val="21"/>
                <w:highlight w:val="none"/>
              </w:rPr>
              <w:t>：</w:t>
            </w:r>
          </w:p>
          <w:p w14:paraId="312F8320">
            <w:pPr>
              <w:spacing w:line="360" w:lineRule="exact"/>
              <w:ind w:left="42" w:leftChars="20" w:right="42" w:rightChars="20" w:firstLine="420" w:firstLineChars="200"/>
              <w:rPr>
                <w:rFonts w:ascii="宋体" w:hAnsi="宋体"/>
                <w:b/>
                <w:color w:val="auto"/>
                <w:szCs w:val="21"/>
                <w:highlight w:val="none"/>
              </w:rPr>
            </w:pPr>
            <w:r>
              <w:rPr>
                <w:rFonts w:ascii="宋体" w:hAnsi="宋体" w:cs="宋体"/>
                <w:color w:val="auto"/>
                <w:szCs w:val="21"/>
                <w:highlight w:val="none"/>
              </w:rPr>
              <w:t>投标人</w:t>
            </w:r>
            <w:r>
              <w:rPr>
                <w:rFonts w:hint="eastAsia" w:ascii="宋体" w:hAnsi="宋体" w:cs="宋体"/>
                <w:color w:val="auto"/>
                <w:szCs w:val="21"/>
                <w:highlight w:val="none"/>
              </w:rPr>
              <w:t>的商务和技术</w:t>
            </w:r>
            <w:r>
              <w:rPr>
                <w:rFonts w:ascii="宋体" w:hAnsi="宋体" w:cs="宋体"/>
                <w:color w:val="auto"/>
                <w:szCs w:val="21"/>
                <w:highlight w:val="none"/>
              </w:rPr>
              <w:t>得分分值计算保留小数点后</w:t>
            </w:r>
            <w:r>
              <w:rPr>
                <w:rFonts w:hint="eastAsia" w:ascii="宋体" w:hAnsi="宋体" w:cs="宋体"/>
                <w:color w:val="auto"/>
                <w:szCs w:val="21"/>
                <w:highlight w:val="none"/>
              </w:rPr>
              <w:t>三</w:t>
            </w:r>
            <w:r>
              <w:rPr>
                <w:rFonts w:ascii="宋体" w:hAnsi="宋体" w:cs="宋体"/>
                <w:color w:val="auto"/>
                <w:szCs w:val="21"/>
                <w:highlight w:val="none"/>
              </w:rPr>
              <w:t>位，小数点后第</w:t>
            </w:r>
            <w:r>
              <w:rPr>
                <w:rFonts w:hint="eastAsia" w:ascii="宋体" w:hAnsi="宋体" w:cs="宋体"/>
                <w:color w:val="auto"/>
                <w:szCs w:val="21"/>
                <w:highlight w:val="none"/>
              </w:rPr>
              <w:t>四</w:t>
            </w:r>
            <w:r>
              <w:rPr>
                <w:rFonts w:ascii="宋体" w:hAnsi="宋体" w:cs="宋体"/>
                <w:color w:val="auto"/>
                <w:szCs w:val="21"/>
                <w:highlight w:val="none"/>
              </w:rPr>
              <w:t>位“四舍五入”。</w:t>
            </w:r>
          </w:p>
        </w:tc>
      </w:tr>
      <w:tr w14:paraId="633B3F95">
        <w:tblPrEx>
          <w:tblCellMar>
            <w:top w:w="0" w:type="dxa"/>
            <w:left w:w="0" w:type="dxa"/>
            <w:bottom w:w="0" w:type="dxa"/>
            <w:right w:w="0" w:type="dxa"/>
          </w:tblCellMar>
        </w:tblPrEx>
        <w:trPr>
          <w:trHeight w:val="825" w:hRule="atLeast"/>
        </w:trPr>
        <w:tc>
          <w:tcPr>
            <w:tcW w:w="1031" w:type="dxa"/>
            <w:tcBorders>
              <w:top w:val="single" w:color="auto" w:sz="4" w:space="0"/>
              <w:left w:val="single" w:color="auto" w:sz="4" w:space="0"/>
              <w:bottom w:val="single" w:color="auto" w:sz="4" w:space="0"/>
              <w:right w:val="single" w:color="auto" w:sz="4" w:space="0"/>
            </w:tcBorders>
            <w:noWrap w:val="0"/>
            <w:vAlign w:val="center"/>
          </w:tcPr>
          <w:p w14:paraId="063B3BBC">
            <w:pPr>
              <w:spacing w:line="400" w:lineRule="exact"/>
              <w:ind w:left="105" w:leftChars="50" w:right="105" w:rightChars="50"/>
              <w:jc w:val="center"/>
              <w:rPr>
                <w:rFonts w:hint="eastAsia" w:ascii="宋体" w:hAnsi="Calibri"/>
                <w:color w:val="auto"/>
                <w:szCs w:val="21"/>
                <w:highlight w:val="none"/>
              </w:rPr>
            </w:pPr>
            <w:r>
              <w:rPr>
                <w:rFonts w:hint="eastAsia" w:ascii="宋体" w:hAnsi="宋体" w:cs="宋体"/>
                <w:color w:val="auto"/>
                <w:highlight w:val="none"/>
              </w:rPr>
              <w:t>3.2.3</w:t>
            </w:r>
          </w:p>
        </w:tc>
        <w:tc>
          <w:tcPr>
            <w:tcW w:w="9177" w:type="dxa"/>
            <w:gridSpan w:val="6"/>
            <w:tcBorders>
              <w:top w:val="single" w:color="auto" w:sz="4" w:space="0"/>
              <w:left w:val="single" w:color="auto" w:sz="4" w:space="0"/>
              <w:bottom w:val="single" w:color="auto" w:sz="4" w:space="0"/>
              <w:right w:val="single" w:color="auto" w:sz="4" w:space="0"/>
            </w:tcBorders>
            <w:noWrap w:val="0"/>
            <w:vAlign w:val="center"/>
          </w:tcPr>
          <w:p w14:paraId="290EEEEB">
            <w:pPr>
              <w:pStyle w:val="6"/>
              <w:spacing w:line="360" w:lineRule="exact"/>
              <w:ind w:left="42" w:leftChars="20" w:right="42" w:rightChars="20" w:firstLine="0" w:firstLineChars="0"/>
              <w:rPr>
                <w:rFonts w:ascii="宋体" w:hAnsi="宋体" w:eastAsia="宋体" w:cs="宋体"/>
                <w:color w:val="auto"/>
                <w:szCs w:val="21"/>
                <w:highlight w:val="none"/>
              </w:rPr>
            </w:pPr>
            <w:r>
              <w:rPr>
                <w:rFonts w:ascii="宋体" w:hAnsi="宋体" w:eastAsia="宋体" w:cs="宋体"/>
                <w:color w:val="auto"/>
                <w:szCs w:val="21"/>
                <w:highlight w:val="none"/>
              </w:rPr>
              <w:t>将评标办法范本原文第 3.2.3 项细化如下：</w:t>
            </w:r>
          </w:p>
          <w:p w14:paraId="0255D715">
            <w:pPr>
              <w:pStyle w:val="6"/>
              <w:spacing w:line="360" w:lineRule="exact"/>
              <w:ind w:left="42" w:leftChars="20" w:right="42" w:rightChars="20" w:firstLine="420" w:firstLineChars="200"/>
              <w:rPr>
                <w:rFonts w:ascii="宋体" w:hAnsi="宋体" w:eastAsia="宋体" w:cs="宋体"/>
                <w:color w:val="auto"/>
                <w:szCs w:val="21"/>
                <w:highlight w:val="none"/>
              </w:rPr>
            </w:pPr>
            <w:r>
              <w:rPr>
                <w:rFonts w:ascii="宋体" w:hAnsi="宋体" w:eastAsia="宋体" w:cs="宋体"/>
                <w:color w:val="auto"/>
                <w:szCs w:val="21"/>
                <w:highlight w:val="none"/>
              </w:rPr>
              <w:t>投标人的商务和技术得分=A+B+C。</w:t>
            </w:r>
          </w:p>
          <w:p w14:paraId="3F890A04">
            <w:pPr>
              <w:pStyle w:val="6"/>
              <w:spacing w:line="360" w:lineRule="exact"/>
              <w:ind w:left="42" w:leftChars="20" w:right="42" w:rightChars="20" w:firstLine="420" w:firstLineChars="200"/>
              <w:rPr>
                <w:color w:val="auto"/>
                <w:highlight w:val="none"/>
              </w:rPr>
            </w:pPr>
            <w:r>
              <w:rPr>
                <w:rFonts w:ascii="宋体" w:hAnsi="宋体" w:eastAsia="宋体" w:cs="宋体"/>
                <w:color w:val="auto"/>
                <w:szCs w:val="21"/>
                <w:highlight w:val="none"/>
              </w:rPr>
              <w:t>除履约信誉、技术能力得分外，投标文件各评分因素细分项得分均不应低于其 权重分的60%，评分低于权重分值60%的，评标委员会成员应当在评标报告中作出说明。计算投标人技术得分时:对各评分因素细分项中取消一个最高、一个最低分后计算算术平均值的和为投标人的最终技术得分，平均值计算保留小数点后三位，小数点后第四位“ 四舍五入 ”。</w:t>
            </w:r>
          </w:p>
        </w:tc>
      </w:tr>
      <w:tr w14:paraId="20021C64">
        <w:tblPrEx>
          <w:tblCellMar>
            <w:top w:w="0" w:type="dxa"/>
            <w:left w:w="0" w:type="dxa"/>
            <w:bottom w:w="0" w:type="dxa"/>
            <w:right w:w="0" w:type="dxa"/>
          </w:tblCellMar>
        </w:tblPrEx>
        <w:trPr>
          <w:trHeight w:val="3228" w:hRule="atLeast"/>
        </w:trPr>
        <w:tc>
          <w:tcPr>
            <w:tcW w:w="1031" w:type="dxa"/>
            <w:tcBorders>
              <w:top w:val="single" w:color="auto" w:sz="4" w:space="0"/>
              <w:left w:val="single" w:color="auto" w:sz="4" w:space="0"/>
              <w:bottom w:val="single" w:color="auto" w:sz="4" w:space="0"/>
              <w:right w:val="single" w:color="auto" w:sz="4" w:space="0"/>
            </w:tcBorders>
            <w:noWrap w:val="0"/>
            <w:vAlign w:val="center"/>
          </w:tcPr>
          <w:p w14:paraId="1D0AE252">
            <w:pPr>
              <w:pStyle w:val="6"/>
              <w:jc w:val="center"/>
              <w:rPr>
                <w:rFonts w:hint="eastAsia" w:ascii="宋体" w:hAnsi="Calibri"/>
                <w:color w:val="auto"/>
                <w:szCs w:val="21"/>
                <w:highlight w:val="none"/>
              </w:rPr>
            </w:pPr>
            <w:r>
              <w:rPr>
                <w:rFonts w:ascii="宋体" w:hAnsi="Calibri"/>
                <w:color w:val="auto"/>
                <w:szCs w:val="21"/>
                <w:highlight w:val="none"/>
              </w:rPr>
              <w:t>3.</w:t>
            </w:r>
            <w:r>
              <w:rPr>
                <w:rFonts w:hint="eastAsia" w:ascii="宋体" w:hAnsi="Calibri"/>
                <w:color w:val="auto"/>
                <w:szCs w:val="21"/>
                <w:highlight w:val="none"/>
              </w:rPr>
              <w:t>6</w:t>
            </w:r>
          </w:p>
        </w:tc>
        <w:tc>
          <w:tcPr>
            <w:tcW w:w="9177" w:type="dxa"/>
            <w:gridSpan w:val="6"/>
            <w:tcBorders>
              <w:top w:val="single" w:color="auto" w:sz="4" w:space="0"/>
              <w:left w:val="single" w:color="auto" w:sz="4" w:space="0"/>
              <w:bottom w:val="single" w:color="auto" w:sz="4" w:space="0"/>
              <w:right w:val="single" w:color="auto" w:sz="4" w:space="0"/>
            </w:tcBorders>
            <w:noWrap w:val="0"/>
            <w:vAlign w:val="center"/>
          </w:tcPr>
          <w:p w14:paraId="0F15545F">
            <w:pPr>
              <w:pStyle w:val="6"/>
              <w:spacing w:line="360" w:lineRule="exact"/>
              <w:ind w:right="42" w:rightChars="20"/>
              <w:rPr>
                <w:rFonts w:hint="eastAsia" w:ascii="宋体" w:hAnsi="宋体" w:cs="宋体"/>
                <w:color w:val="auto"/>
                <w:szCs w:val="21"/>
                <w:highlight w:val="none"/>
              </w:rPr>
            </w:pPr>
            <w:r>
              <w:rPr>
                <w:rFonts w:hint="eastAsia" w:ascii="宋体" w:hAnsi="宋体" w:cs="宋体"/>
                <w:color w:val="auto"/>
                <w:szCs w:val="21"/>
                <w:highlight w:val="none"/>
              </w:rPr>
              <w:t>3.6.2项（2）目末增加以下条款：</w:t>
            </w:r>
          </w:p>
          <w:p w14:paraId="124EBDF9">
            <w:pPr>
              <w:pStyle w:val="6"/>
              <w:spacing w:line="360" w:lineRule="exact"/>
              <w:ind w:right="42" w:rightChars="20" w:firstLine="420" w:firstLineChars="200"/>
              <w:rPr>
                <w:rFonts w:ascii="宋体" w:hAnsi="宋体" w:cs="宋体"/>
                <w:color w:val="auto"/>
                <w:szCs w:val="21"/>
                <w:highlight w:val="none"/>
              </w:rPr>
            </w:pPr>
            <w:r>
              <w:rPr>
                <w:rFonts w:ascii="宋体" w:hAnsi="宋体" w:cs="宋体"/>
                <w:color w:val="auto"/>
                <w:szCs w:val="21"/>
                <w:highlight w:val="none"/>
              </w:rPr>
              <w:t xml:space="preserve">g.当一家以上投标人评标价相同时，若各投标人工程量清单细目单价也相同，视为串标（一个标段仅一工作细目报价的除外）。 </w:t>
            </w:r>
          </w:p>
          <w:p w14:paraId="302BD868">
            <w:pPr>
              <w:pStyle w:val="6"/>
              <w:spacing w:line="360" w:lineRule="exact"/>
              <w:ind w:right="42" w:rightChars="20" w:firstLine="420" w:firstLineChars="200"/>
              <w:rPr>
                <w:rFonts w:ascii="宋体" w:hAnsi="宋体" w:cs="宋体"/>
                <w:color w:val="auto"/>
                <w:szCs w:val="21"/>
                <w:highlight w:val="none"/>
              </w:rPr>
            </w:pPr>
            <w:r>
              <w:rPr>
                <w:rFonts w:ascii="宋体" w:hAnsi="宋体" w:cs="宋体"/>
                <w:color w:val="auto"/>
                <w:szCs w:val="21"/>
                <w:highlight w:val="none"/>
              </w:rPr>
              <w:t>h.广东省实施《中华人民共和国招标投标法》办法第十六条规定的情形。</w:t>
            </w:r>
          </w:p>
          <w:p w14:paraId="359E3578">
            <w:pPr>
              <w:pStyle w:val="6"/>
              <w:spacing w:line="360" w:lineRule="exact"/>
              <w:ind w:left="42" w:leftChars="20" w:right="42" w:rightChars="20"/>
              <w:rPr>
                <w:rFonts w:ascii="宋体" w:hAnsi="宋体" w:cs="宋体"/>
                <w:color w:val="auto"/>
                <w:szCs w:val="21"/>
                <w:highlight w:val="none"/>
              </w:rPr>
            </w:pPr>
            <w:r>
              <w:rPr>
                <w:rFonts w:ascii="宋体" w:hAnsi="宋体" w:cs="宋体"/>
                <w:color w:val="auto"/>
                <w:szCs w:val="21"/>
                <w:highlight w:val="none"/>
              </w:rPr>
              <w:t>增加3.</w:t>
            </w:r>
            <w:r>
              <w:rPr>
                <w:rFonts w:hint="eastAsia" w:ascii="宋体" w:hAnsi="宋体" w:cs="宋体"/>
                <w:color w:val="auto"/>
                <w:szCs w:val="21"/>
                <w:highlight w:val="none"/>
              </w:rPr>
              <w:t>6</w:t>
            </w:r>
            <w:r>
              <w:rPr>
                <w:rFonts w:ascii="宋体" w:hAnsi="宋体" w:cs="宋体"/>
                <w:color w:val="auto"/>
                <w:szCs w:val="21"/>
                <w:highlight w:val="none"/>
              </w:rPr>
              <w:t>.3项：</w:t>
            </w:r>
          </w:p>
          <w:p w14:paraId="0BF984E7">
            <w:pPr>
              <w:pStyle w:val="6"/>
              <w:spacing w:line="360" w:lineRule="exact"/>
              <w:ind w:left="42" w:leftChars="20" w:right="42" w:rightChars="20" w:firstLine="420" w:firstLineChars="200"/>
              <w:rPr>
                <w:rFonts w:hint="eastAsia" w:ascii="宋体" w:hAnsi="宋体" w:cs="宋体"/>
                <w:color w:val="auto"/>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6</w:t>
            </w:r>
            <w:r>
              <w:rPr>
                <w:rFonts w:ascii="宋体" w:hAnsi="宋体" w:cs="宋体"/>
                <w:color w:val="auto"/>
                <w:szCs w:val="21"/>
                <w:highlight w:val="none"/>
              </w:rPr>
              <w:t>.3依法必须进行招标的项目，除第一中标候选人或者中标人，其他投标人存在串通投标、弄虚作假、行贿情形且在评标过程中未被发现的，视为对中标结果没有造成实质性影响，招标人可以依法继续开展招标活动。投标人的违法行为由行政监督部门依法处理。</w:t>
            </w:r>
          </w:p>
        </w:tc>
      </w:tr>
      <w:tr w14:paraId="60EFAFE5">
        <w:tblPrEx>
          <w:tblCellMar>
            <w:top w:w="0" w:type="dxa"/>
            <w:left w:w="0" w:type="dxa"/>
            <w:bottom w:w="0" w:type="dxa"/>
            <w:right w:w="0" w:type="dxa"/>
          </w:tblCellMar>
        </w:tblPrEx>
        <w:trPr>
          <w:trHeight w:val="347" w:hRule="atLeast"/>
        </w:trPr>
        <w:tc>
          <w:tcPr>
            <w:tcW w:w="1031" w:type="dxa"/>
            <w:tcBorders>
              <w:top w:val="single" w:color="auto" w:sz="4" w:space="0"/>
              <w:left w:val="single" w:color="auto" w:sz="4" w:space="0"/>
              <w:bottom w:val="single" w:color="auto" w:sz="4" w:space="0"/>
              <w:right w:val="single" w:color="auto" w:sz="4" w:space="0"/>
            </w:tcBorders>
            <w:noWrap w:val="0"/>
            <w:vAlign w:val="center"/>
          </w:tcPr>
          <w:p w14:paraId="37490196">
            <w:pPr>
              <w:pStyle w:val="6"/>
              <w:jc w:val="center"/>
              <w:rPr>
                <w:rFonts w:hint="eastAsia" w:ascii="宋体" w:hAnsi="Calibri"/>
                <w:color w:val="auto"/>
                <w:szCs w:val="21"/>
                <w:highlight w:val="none"/>
              </w:rPr>
            </w:pPr>
            <w:r>
              <w:rPr>
                <w:rFonts w:hint="eastAsia" w:ascii="宋体" w:hAnsi="Calibri"/>
                <w:color w:val="auto"/>
                <w:szCs w:val="21"/>
                <w:highlight w:val="none"/>
              </w:rPr>
              <w:t>3</w:t>
            </w:r>
            <w:r>
              <w:rPr>
                <w:rFonts w:ascii="宋体" w:hAnsi="Calibri"/>
                <w:color w:val="auto"/>
                <w:szCs w:val="21"/>
                <w:highlight w:val="none"/>
              </w:rPr>
              <w:t>.</w:t>
            </w:r>
            <w:r>
              <w:rPr>
                <w:rFonts w:hint="eastAsia" w:ascii="宋体" w:hAnsi="Calibri"/>
                <w:color w:val="auto"/>
                <w:szCs w:val="21"/>
                <w:highlight w:val="none"/>
              </w:rPr>
              <w:t>9</w:t>
            </w:r>
          </w:p>
        </w:tc>
        <w:tc>
          <w:tcPr>
            <w:tcW w:w="9177" w:type="dxa"/>
            <w:gridSpan w:val="6"/>
            <w:tcBorders>
              <w:top w:val="single" w:color="auto" w:sz="4" w:space="0"/>
              <w:left w:val="single" w:color="auto" w:sz="4" w:space="0"/>
              <w:bottom w:val="single" w:color="auto" w:sz="4" w:space="0"/>
              <w:right w:val="single" w:color="auto" w:sz="4" w:space="0"/>
            </w:tcBorders>
            <w:noWrap w:val="0"/>
            <w:vAlign w:val="center"/>
          </w:tcPr>
          <w:p w14:paraId="453F5A5A">
            <w:pPr>
              <w:pStyle w:val="6"/>
              <w:spacing w:line="360" w:lineRule="exact"/>
              <w:ind w:left="42" w:leftChars="20" w:right="42" w:rightChars="20" w:firstLine="420"/>
              <w:rPr>
                <w:rFonts w:ascii="宋体" w:hAnsi="宋体" w:cs="宋体"/>
                <w:color w:val="auto"/>
                <w:szCs w:val="21"/>
                <w:highlight w:val="none"/>
              </w:rPr>
            </w:pPr>
            <w:r>
              <w:rPr>
                <w:rFonts w:ascii="宋体" w:hAnsi="宋体" w:cs="宋体"/>
                <w:color w:val="auto"/>
                <w:szCs w:val="21"/>
                <w:highlight w:val="none"/>
              </w:rPr>
              <w:t>增加3.</w:t>
            </w:r>
            <w:r>
              <w:rPr>
                <w:rFonts w:hint="eastAsia" w:ascii="宋体" w:hAnsi="宋体" w:cs="宋体"/>
                <w:color w:val="auto"/>
                <w:szCs w:val="21"/>
                <w:highlight w:val="none"/>
              </w:rPr>
              <w:t>9</w:t>
            </w:r>
            <w:r>
              <w:rPr>
                <w:rFonts w:ascii="宋体" w:hAnsi="宋体" w:cs="宋体"/>
                <w:color w:val="auto"/>
                <w:szCs w:val="21"/>
                <w:highlight w:val="none"/>
              </w:rPr>
              <w:t>.3-3.</w:t>
            </w:r>
            <w:r>
              <w:rPr>
                <w:rFonts w:hint="eastAsia" w:ascii="宋体" w:hAnsi="宋体" w:cs="宋体"/>
                <w:color w:val="auto"/>
                <w:szCs w:val="21"/>
                <w:highlight w:val="none"/>
              </w:rPr>
              <w:t>9</w:t>
            </w:r>
            <w:r>
              <w:rPr>
                <w:rFonts w:ascii="宋体" w:hAnsi="宋体" w:cs="宋体"/>
                <w:color w:val="auto"/>
                <w:szCs w:val="21"/>
                <w:highlight w:val="none"/>
              </w:rPr>
              <w:t>.</w:t>
            </w:r>
            <w:r>
              <w:rPr>
                <w:rFonts w:hint="eastAsia" w:ascii="宋体" w:hAnsi="宋体" w:cs="宋体"/>
                <w:color w:val="auto"/>
                <w:szCs w:val="21"/>
                <w:highlight w:val="none"/>
              </w:rPr>
              <w:t>6</w:t>
            </w:r>
            <w:r>
              <w:rPr>
                <w:rFonts w:ascii="宋体" w:hAnsi="宋体" w:cs="宋体"/>
                <w:color w:val="auto"/>
                <w:szCs w:val="21"/>
                <w:highlight w:val="none"/>
              </w:rPr>
              <w:t>项：</w:t>
            </w:r>
          </w:p>
          <w:p w14:paraId="3E546A80">
            <w:pPr>
              <w:pStyle w:val="6"/>
              <w:spacing w:line="360" w:lineRule="exact"/>
              <w:ind w:left="42" w:leftChars="20" w:right="42" w:rightChars="20" w:firstLine="420"/>
              <w:rPr>
                <w:rFonts w:ascii="宋体" w:hAnsi="宋体" w:cs="宋体"/>
                <w:color w:val="auto"/>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9</w:t>
            </w:r>
            <w:r>
              <w:rPr>
                <w:rFonts w:ascii="宋体" w:hAnsi="宋体" w:cs="宋体"/>
                <w:color w:val="auto"/>
                <w:szCs w:val="21"/>
                <w:highlight w:val="none"/>
              </w:rPr>
              <w:t>.</w:t>
            </w:r>
            <w:r>
              <w:rPr>
                <w:rFonts w:hint="eastAsia" w:ascii="宋体" w:hAnsi="宋体" w:cs="宋体"/>
                <w:color w:val="auto"/>
                <w:szCs w:val="21"/>
                <w:highlight w:val="none"/>
              </w:rPr>
              <w:t>3通过第一个信封商务及技术文件评审的投标人少于3个的，评标委员会应否决全部投标</w:t>
            </w:r>
            <w:r>
              <w:rPr>
                <w:rFonts w:ascii="宋体" w:hAnsi="宋体" w:cs="宋体"/>
                <w:color w:val="auto"/>
                <w:szCs w:val="21"/>
                <w:highlight w:val="none"/>
              </w:rPr>
              <w:t>。</w:t>
            </w:r>
          </w:p>
          <w:p w14:paraId="26E01334">
            <w:pPr>
              <w:pStyle w:val="6"/>
              <w:spacing w:line="360" w:lineRule="exact"/>
              <w:ind w:left="42" w:leftChars="20" w:right="42" w:rightChars="20" w:firstLine="420"/>
              <w:rPr>
                <w:rFonts w:ascii="宋体" w:hAnsi="宋体" w:cs="宋体"/>
                <w:color w:val="auto"/>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9</w:t>
            </w:r>
            <w:r>
              <w:rPr>
                <w:rFonts w:ascii="宋体" w:hAnsi="宋体" w:cs="宋体"/>
                <w:color w:val="auto"/>
                <w:szCs w:val="21"/>
                <w:highlight w:val="none"/>
              </w:rPr>
              <w:t>.</w:t>
            </w:r>
            <w:r>
              <w:rPr>
                <w:rFonts w:hint="eastAsia" w:ascii="宋体" w:hAnsi="宋体" w:cs="宋体"/>
                <w:color w:val="auto"/>
                <w:szCs w:val="21"/>
                <w:highlight w:val="none"/>
              </w:rPr>
              <w:t>4通过第一个信封商务及技术文件评审的投标人在3个及以上的，招标人应当按照招标文件规定的程序进行第二个信封报价文件开标；在对报价文件进行评审后，有效投标不足3个的，评标委员会可以否决全部投标。未否决全部投标的，评标委员会应当在评标报告中阐明理由并推荐中标候选人</w:t>
            </w:r>
            <w:r>
              <w:rPr>
                <w:rFonts w:ascii="宋体" w:hAnsi="宋体" w:cs="宋体"/>
                <w:color w:val="auto"/>
                <w:szCs w:val="21"/>
                <w:highlight w:val="none"/>
              </w:rPr>
              <w:t>。</w:t>
            </w:r>
          </w:p>
          <w:p w14:paraId="6D21387F">
            <w:pPr>
              <w:pStyle w:val="6"/>
              <w:spacing w:line="360" w:lineRule="exact"/>
              <w:ind w:left="42" w:leftChars="20" w:right="42" w:rightChars="20" w:firstLine="420"/>
              <w:rPr>
                <w:rFonts w:ascii="宋体" w:hAnsi="宋体" w:cs="宋体"/>
                <w:color w:val="auto"/>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9</w:t>
            </w:r>
            <w:r>
              <w:rPr>
                <w:rFonts w:ascii="宋体" w:hAnsi="宋体" w:cs="宋体"/>
                <w:color w:val="auto"/>
                <w:szCs w:val="21"/>
                <w:highlight w:val="none"/>
              </w:rPr>
              <w:t>.</w:t>
            </w:r>
            <w:r>
              <w:rPr>
                <w:rFonts w:hint="eastAsia" w:ascii="宋体" w:hAnsi="宋体" w:cs="宋体"/>
                <w:color w:val="auto"/>
                <w:szCs w:val="21"/>
                <w:highlight w:val="none"/>
              </w:rPr>
              <w:t>5如果发生无法确定推荐中标候选人的其它意外情况，评标委员会可建议招标人重新招标</w:t>
            </w:r>
            <w:r>
              <w:rPr>
                <w:rFonts w:ascii="宋体" w:hAnsi="宋体" w:cs="宋体"/>
                <w:color w:val="auto"/>
                <w:szCs w:val="21"/>
                <w:highlight w:val="none"/>
              </w:rPr>
              <w:t>。</w:t>
            </w:r>
          </w:p>
          <w:p w14:paraId="72170B29">
            <w:pPr>
              <w:pStyle w:val="6"/>
              <w:spacing w:line="360" w:lineRule="exact"/>
              <w:ind w:left="42" w:leftChars="20" w:right="42" w:rightChars="20" w:firstLine="420"/>
              <w:rPr>
                <w:rFonts w:hint="eastAsia" w:ascii="宋体" w:hAnsi="宋体" w:cs="宋体"/>
                <w:b/>
                <w:bCs/>
                <w:color w:val="auto"/>
                <w:szCs w:val="21"/>
                <w:highlight w:val="none"/>
              </w:rPr>
            </w:pPr>
            <w:r>
              <w:rPr>
                <w:rFonts w:hint="eastAsia" w:ascii="宋体" w:hAnsi="宋体" w:cs="宋体"/>
                <w:b/>
                <w:bCs/>
                <w:color w:val="auto"/>
                <w:szCs w:val="21"/>
                <w:highlight w:val="none"/>
              </w:rPr>
              <w:t xml:space="preserve">3.9.6 本招标文件规定的否决投标条款包含在以下条款： </w:t>
            </w:r>
          </w:p>
          <w:p w14:paraId="726FD610">
            <w:pPr>
              <w:pStyle w:val="6"/>
              <w:spacing w:line="360" w:lineRule="exact"/>
              <w:ind w:left="42" w:leftChars="20" w:right="42" w:rightChars="20" w:firstLine="420"/>
              <w:rPr>
                <w:rFonts w:hint="eastAsia" w:ascii="宋体" w:hAnsi="宋体" w:cs="宋体"/>
                <w:b/>
                <w:bCs/>
                <w:color w:val="auto"/>
                <w:szCs w:val="21"/>
                <w:highlight w:val="none"/>
              </w:rPr>
            </w:pPr>
            <w:r>
              <w:rPr>
                <w:rFonts w:hint="eastAsia" w:ascii="宋体" w:hAnsi="宋体" w:cs="宋体"/>
                <w:b/>
                <w:bCs/>
                <w:color w:val="auto"/>
                <w:szCs w:val="21"/>
                <w:highlight w:val="none"/>
              </w:rPr>
              <w:t xml:space="preserve">（1）招标公告第 3 点 投标人资格要求； </w:t>
            </w:r>
          </w:p>
          <w:p w14:paraId="73E421FE">
            <w:pPr>
              <w:pStyle w:val="6"/>
              <w:spacing w:line="360" w:lineRule="exact"/>
              <w:ind w:left="42" w:leftChars="20" w:right="42" w:rightChars="20" w:firstLine="420"/>
              <w:rPr>
                <w:rFonts w:hint="eastAsia" w:ascii="宋体" w:hAnsi="宋体" w:cs="宋体"/>
                <w:b/>
                <w:bCs/>
                <w:color w:val="auto"/>
                <w:szCs w:val="21"/>
                <w:highlight w:val="none"/>
              </w:rPr>
            </w:pPr>
            <w:r>
              <w:rPr>
                <w:rFonts w:hint="eastAsia" w:ascii="宋体" w:hAnsi="宋体" w:cs="宋体"/>
                <w:b/>
                <w:bCs/>
                <w:color w:val="auto"/>
                <w:szCs w:val="21"/>
                <w:highlight w:val="none"/>
              </w:rPr>
              <w:t xml:space="preserve">（2）投标人须知 1.4.3 项、1.4.4 项、1.4.5 项、1.11.1 项、1.12.2 项、 3.4.2 项、3.5.11 项、3.6.1 项； </w:t>
            </w:r>
          </w:p>
          <w:p w14:paraId="1BEC8F76">
            <w:pPr>
              <w:pStyle w:val="6"/>
              <w:spacing w:line="360" w:lineRule="exact"/>
              <w:ind w:left="42" w:leftChars="20" w:right="42" w:rightChars="20" w:firstLine="420"/>
              <w:rPr>
                <w:rFonts w:hint="eastAsia" w:ascii="宋体" w:hAnsi="宋体" w:cs="宋体"/>
                <w:color w:val="auto"/>
                <w:szCs w:val="21"/>
                <w:highlight w:val="none"/>
              </w:rPr>
            </w:pPr>
            <w:r>
              <w:rPr>
                <w:rFonts w:hint="eastAsia" w:ascii="宋体" w:hAnsi="宋体" w:cs="宋体"/>
                <w:b/>
                <w:bCs/>
                <w:color w:val="auto"/>
                <w:szCs w:val="21"/>
                <w:highlight w:val="none"/>
              </w:rPr>
              <w:t>（3）本评标办法的否决条款。</w:t>
            </w:r>
          </w:p>
        </w:tc>
      </w:tr>
    </w:tbl>
    <w:p w14:paraId="45311F36"/>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auto"/>
    <w:pitch w:val="default"/>
    <w:sig w:usb0="E0002AFF" w:usb1="C0007841" w:usb2="00000009" w:usb3="00000000" w:csb0="400001FF" w:csb1="FFFF0000"/>
  </w:font>
  <w:font w:name="宋体">
    <w:panose1 w:val="02010600030101010101"/>
    <w:charset w:val="B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ingLiU">
    <w:panose1 w:val="02020509000000000000"/>
    <w:charset w:val="88"/>
    <w:family w:val="modern"/>
    <w:pitch w:val="default"/>
    <w:sig w:usb0="A00002FF" w:usb1="28CFFCFA" w:usb2="00000016" w:usb3="00000000" w:csb0="00100001" w:csb1="00000000"/>
  </w:font>
  <w:font w:name="TimesNewRomanPSMT">
    <w:altName w:val="Times New Roman"/>
    <w:panose1 w:val="00000000000000000000"/>
    <w:charset w:val="00"/>
    <w:family w:val="roman"/>
    <w:pitch w:val="default"/>
    <w:sig w:usb0="00000000"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76E092A"/>
    <w:multiLevelType w:val="singleLevel"/>
    <w:tmpl w:val="176E092A"/>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UyNmYwNjI4MWVjNmM1MjY3OWZhM2ZkMzEzNDM2OWQifQ=="/>
  </w:docVars>
  <w:rsids>
    <w:rsidRoot w:val="1536310F"/>
    <w:rsid w:val="04915E17"/>
    <w:rsid w:val="1536310F"/>
    <w:rsid w:val="44B30262"/>
    <w:rsid w:val="4AD8780F"/>
    <w:rsid w:val="52644E71"/>
    <w:rsid w:val="58E220EE"/>
    <w:rsid w:val="598134E5"/>
    <w:rsid w:val="7A4340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pPr>
    <w:rPr>
      <w:kern w:val="0"/>
      <w:sz w:val="20"/>
    </w:rPr>
  </w:style>
  <w:style w:type="paragraph" w:styleId="3">
    <w:name w:val="Body Text Indent"/>
    <w:basedOn w:val="2"/>
    <w:qFormat/>
    <w:uiPriority w:val="0"/>
    <w:pPr>
      <w:spacing w:after="120"/>
      <w:ind w:left="420" w:leftChars="200"/>
    </w:pPr>
    <w:rPr>
      <w:kern w:val="0"/>
      <w:sz w:val="20"/>
    </w:rPr>
  </w:style>
  <w:style w:type="paragraph" w:customStyle="1" w:styleId="6">
    <w:name w:val="Table Paragraph"/>
    <w:basedOn w:val="1"/>
    <w:qFormat/>
    <w:uiPriority w:val="1"/>
    <w:rPr>
      <w:rFonts w:ascii="Calibri" w:hAnsi="Calibri"/>
    </w:rPr>
  </w:style>
  <w:style w:type="paragraph" w:customStyle="1" w:styleId="7">
    <w:name w:val="Table Text"/>
    <w:basedOn w:val="1"/>
    <w:semiHidden/>
    <w:qFormat/>
    <w:uiPriority w:val="0"/>
    <w:rPr>
      <w:rFonts w:ascii="宋体" w:hAnsi="宋体" w:eastAsia="宋体" w:cs="宋体"/>
      <w:sz w:val="24"/>
      <w:szCs w:val="24"/>
      <w:lang w:val="en-US" w:eastAsia="en-US"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5731</Words>
  <Characters>6054</Characters>
  <Lines>0</Lines>
  <Paragraphs>0</Paragraphs>
  <TotalTime>0</TotalTime>
  <ScaleCrop>false</ScaleCrop>
  <LinksUpToDate>false</LinksUpToDate>
  <CharactersWithSpaces>6158</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2024-08-23T01:47:00Z</dcterms:created>
  <dc:creator>飛飛</dc:creator>
  <cp:lastModifiedBy>飛飛</cp:lastModifiedBy>
  <dcterms:modified xsi:type="dcterms:W3CDTF">2024-09-02T08:01:30Z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6F3F8D20B3E944A6B3E48AA727445B48_11</vt:lpwstr>
  </property>
</Properties>
</file>