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70F36">
      <w:pPr>
        <w:rPr>
          <w:rFonts w:hint="default" w:ascii="宋体" w:hAnsi="宋体" w:eastAsia="宋体" w:cs="宋体"/>
          <w:b/>
          <w:bCs/>
          <w:color w:val="auto"/>
          <w:sz w:val="32"/>
          <w:szCs w:val="32"/>
          <w:highlight w:val="none"/>
          <w:u w:val="none" w:color="000000"/>
          <w:lang w:val="en-US" w:eastAsia="zh-CN"/>
        </w:rPr>
      </w:pPr>
      <w:r>
        <w:rPr>
          <w:rFonts w:hint="eastAsia" w:ascii="宋体" w:hAnsi="宋体" w:cs="宋体"/>
          <w:b/>
          <w:bCs/>
          <w:color w:val="auto"/>
          <w:sz w:val="32"/>
          <w:szCs w:val="32"/>
          <w:highlight w:val="none"/>
          <w:u w:val="none" w:color="000000"/>
          <w:lang w:eastAsia="zh-CN"/>
        </w:rPr>
        <w:t>附件</w:t>
      </w:r>
      <w:r>
        <w:rPr>
          <w:rFonts w:hint="eastAsia" w:ascii="宋体" w:hAnsi="宋体" w:cs="宋体"/>
          <w:b/>
          <w:bCs/>
          <w:color w:val="auto"/>
          <w:sz w:val="32"/>
          <w:szCs w:val="32"/>
          <w:highlight w:val="none"/>
          <w:u w:val="none" w:color="000000"/>
          <w:lang w:val="en-US" w:eastAsia="zh-CN"/>
        </w:rPr>
        <w:t>2:</w:t>
      </w:r>
    </w:p>
    <w:p w14:paraId="1378A75B">
      <w:pPr>
        <w:spacing w:line="360" w:lineRule="auto"/>
        <w:jc w:val="center"/>
        <w:rPr>
          <w:rFonts w:hint="eastAsia" w:ascii="宋体" w:hAnsi="宋体" w:cs="宋体"/>
          <w:b/>
          <w:color w:val="auto"/>
          <w:sz w:val="28"/>
          <w:szCs w:val="28"/>
          <w:highlight w:val="none"/>
        </w:rPr>
      </w:pPr>
    </w:p>
    <w:p w14:paraId="0F83D892">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附录1  资格审查条件(资质最低要求)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8"/>
      </w:tblGrid>
      <w:tr w14:paraId="0AAB5A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43" w:hRule="atLeast"/>
          <w:jc w:val="center"/>
        </w:trPr>
        <w:tc>
          <w:tcPr>
            <w:tcW w:w="9188" w:type="dxa"/>
            <w:noWrap w:val="0"/>
            <w:vAlign w:val="center"/>
          </w:tcPr>
          <w:p w14:paraId="0933F241">
            <w:pPr>
              <w:jc w:val="center"/>
              <w:rPr>
                <w:rFonts w:ascii="宋体" w:hAnsi="宋体" w:cs="宋体"/>
                <w:color w:val="auto"/>
                <w:highlight w:val="none"/>
              </w:rPr>
            </w:pPr>
            <w:r>
              <w:rPr>
                <w:rFonts w:hint="eastAsia" w:ascii="宋体" w:hAnsi="宋体" w:cs="宋体"/>
                <w:color w:val="auto"/>
                <w:highlight w:val="none"/>
              </w:rPr>
              <w:t>施工企业资质等级要求</w:t>
            </w:r>
          </w:p>
        </w:tc>
      </w:tr>
      <w:tr w14:paraId="73989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850" w:hRule="atLeast"/>
          <w:jc w:val="center"/>
        </w:trPr>
        <w:tc>
          <w:tcPr>
            <w:tcW w:w="9188" w:type="dxa"/>
            <w:tcBorders>
              <w:bottom w:val="single" w:color="auto" w:sz="4" w:space="0"/>
            </w:tcBorders>
            <w:noWrap w:val="0"/>
            <w:vAlign w:val="center"/>
          </w:tcPr>
          <w:p w14:paraId="3CC57C34">
            <w:pPr>
              <w:autoSpaceDE w:val="0"/>
              <w:autoSpaceDN w:val="0"/>
              <w:adjustRightInd w:val="0"/>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1、中华人民共和国国内注册成立的独立企业法人。</w:t>
            </w:r>
          </w:p>
          <w:p w14:paraId="10AEE442">
            <w:pPr>
              <w:autoSpaceDE w:val="0"/>
              <w:autoSpaceDN w:val="0"/>
              <w:adjustRightInd w:val="0"/>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投标人须同时具备住房城乡建设主管部门核发的公路工程施工总承包三级（或以上）资质和市政公用工程施工总承包三级或以上资质。</w:t>
            </w:r>
          </w:p>
          <w:p w14:paraId="1B0EE1DF">
            <w:pPr>
              <w:autoSpaceDE w:val="0"/>
              <w:autoSpaceDN w:val="0"/>
              <w:adjustRightInd w:val="0"/>
              <w:ind w:firstLine="420" w:firstLineChars="200"/>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lang w:eastAsia="zh-CN"/>
              </w:rPr>
              <w:t>具有有效的安全生产许可证。</w:t>
            </w:r>
          </w:p>
        </w:tc>
      </w:tr>
    </w:tbl>
    <w:p w14:paraId="07F506E9">
      <w:pPr>
        <w:rPr>
          <w:rFonts w:ascii="宋体" w:hAnsi="宋体" w:cs="宋体"/>
          <w:color w:val="auto"/>
          <w:sz w:val="20"/>
          <w:szCs w:val="20"/>
          <w:highlight w:val="none"/>
        </w:rPr>
      </w:pPr>
    </w:p>
    <w:p w14:paraId="14D70212">
      <w:pPr>
        <w:spacing w:line="360" w:lineRule="auto"/>
        <w:jc w:val="center"/>
        <w:rPr>
          <w:rFonts w:hint="eastAsia" w:ascii="宋体" w:hAnsi="宋体" w:cs="宋体"/>
          <w:b/>
          <w:color w:val="auto"/>
          <w:sz w:val="28"/>
          <w:szCs w:val="28"/>
          <w:highlight w:val="none"/>
        </w:rPr>
      </w:pPr>
      <w:r>
        <w:rPr>
          <w:rFonts w:hint="eastAsia" w:ascii="宋体" w:hAnsi="宋体" w:cs="宋体"/>
          <w:color w:val="auto"/>
          <w:sz w:val="21"/>
          <w:szCs w:val="21"/>
          <w:highlight w:val="none"/>
        </w:rPr>
        <w:t>注：投标人应根据招标文件第二章“投标人须知”第 3.5.1 项的要求附相关证明材料。</w:t>
      </w:r>
      <w:r>
        <w:rPr>
          <w:rFonts w:hint="eastAsia" w:ascii="宋体" w:hAnsi="宋体" w:cs="宋体"/>
          <w:b/>
          <w:color w:val="auto"/>
          <w:sz w:val="28"/>
          <w:szCs w:val="28"/>
          <w:highlight w:val="none"/>
        </w:rPr>
        <w:br w:type="page"/>
      </w:r>
    </w:p>
    <w:p w14:paraId="4D7875A8">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附录2  资格审查条件(财务最低要求)</w:t>
      </w:r>
    </w:p>
    <w:p w14:paraId="5D8BE237">
      <w:pPr>
        <w:widowControl/>
        <w:autoSpaceDE w:val="0"/>
        <w:autoSpaceDN w:val="0"/>
        <w:spacing w:line="300" w:lineRule="auto"/>
        <w:ind w:right="397" w:rightChars="189"/>
        <w:contextualSpacing/>
        <w:textAlignment w:val="bottom"/>
        <w:rPr>
          <w:rFonts w:hint="eastAsia" w:ascii="宋体" w:hAnsi="宋体" w:cs="宋体"/>
          <w:bCs/>
          <w:color w:val="auto"/>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2"/>
      </w:tblGrid>
      <w:tr w14:paraId="0D8985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9152" w:type="dxa"/>
            <w:noWrap w:val="0"/>
            <w:vAlign w:val="center"/>
          </w:tcPr>
          <w:p w14:paraId="293EB257">
            <w:pPr>
              <w:spacing w:line="600" w:lineRule="exact"/>
              <w:jc w:val="center"/>
              <w:rPr>
                <w:rFonts w:ascii="宋体" w:hAnsi="宋体" w:cs="宋体"/>
                <w:color w:val="auto"/>
                <w:highlight w:val="none"/>
              </w:rPr>
            </w:pPr>
            <w:r>
              <w:rPr>
                <w:rFonts w:hint="eastAsia" w:ascii="宋体" w:hAnsi="宋体" w:cs="宋体"/>
                <w:color w:val="auto"/>
                <w:sz w:val="24"/>
                <w:szCs w:val="24"/>
                <w:highlight w:val="none"/>
              </w:rPr>
              <w:t>财 务 要 求</w:t>
            </w:r>
          </w:p>
        </w:tc>
      </w:tr>
      <w:tr w14:paraId="4383B6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0" w:hRule="atLeast"/>
          <w:jc w:val="center"/>
        </w:trPr>
        <w:tc>
          <w:tcPr>
            <w:tcW w:w="9152" w:type="dxa"/>
            <w:noWrap w:val="0"/>
            <w:vAlign w:val="center"/>
          </w:tcPr>
          <w:p w14:paraId="171D6F88">
            <w:pPr>
              <w:pStyle w:val="11"/>
              <w:spacing w:before="7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1、企业净资产（总资产-总负债）不少于</w:t>
            </w:r>
            <w:r>
              <w:rPr>
                <w:rFonts w:hint="eastAsia" w:ascii="宋体" w:hAnsi="宋体" w:eastAsia="宋体" w:cs="宋体"/>
                <w:color w:val="auto"/>
                <w:spacing w:val="-2"/>
                <w:sz w:val="21"/>
                <w:szCs w:val="21"/>
                <w:highlight w:val="none"/>
                <w:u w:val="single" w:color="auto"/>
                <w:lang w:val="en-US" w:eastAsia="zh-CN"/>
              </w:rPr>
              <w:t>15000</w:t>
            </w:r>
            <w:r>
              <w:rPr>
                <w:rFonts w:hint="eastAsia" w:ascii="宋体" w:hAnsi="宋体" w:eastAsia="宋体" w:cs="宋体"/>
                <w:color w:val="auto"/>
                <w:spacing w:val="-2"/>
                <w:sz w:val="21"/>
                <w:szCs w:val="21"/>
                <w:highlight w:val="none"/>
              </w:rPr>
              <w:t>万元人民币。</w:t>
            </w:r>
          </w:p>
          <w:p w14:paraId="47148653">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、近三个年度的年平均营业总收入不少于</w:t>
            </w:r>
            <w:r>
              <w:rPr>
                <w:rFonts w:hint="eastAsia" w:ascii="宋体" w:hAnsi="宋体" w:eastAsia="宋体" w:cs="宋体"/>
                <w:color w:val="auto"/>
                <w:spacing w:val="-1"/>
                <w:sz w:val="21"/>
                <w:szCs w:val="21"/>
                <w:highlight w:val="none"/>
                <w:u w:val="single" w:color="auto"/>
                <w:lang w:val="en-US" w:eastAsia="zh-CN"/>
              </w:rPr>
              <w:t>10000</w:t>
            </w:r>
            <w:r>
              <w:rPr>
                <w:rFonts w:hint="eastAsia" w:ascii="宋体" w:hAnsi="宋体" w:eastAsia="宋体" w:cs="宋体"/>
                <w:color w:val="auto"/>
                <w:spacing w:val="-1"/>
                <w:sz w:val="21"/>
                <w:szCs w:val="21"/>
                <w:highlight w:val="none"/>
              </w:rPr>
              <w:t>万元人民币。</w:t>
            </w:r>
          </w:p>
          <w:p w14:paraId="3A35EACD">
            <w:pPr>
              <w:tabs>
                <w:tab w:val="left" w:pos="5330"/>
              </w:tabs>
              <w:spacing w:line="360" w:lineRule="auto"/>
              <w:rPr>
                <w:color w:val="auto"/>
                <w:highlight w:val="none"/>
              </w:rPr>
            </w:pP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、近三个年度至少有</w:t>
            </w:r>
            <w:r>
              <w:rPr>
                <w:rFonts w:hint="eastAsia" w:ascii="宋体" w:hAnsi="宋体" w:eastAsia="宋体" w:cs="宋体"/>
                <w:color w:val="auto"/>
                <w:spacing w:val="20"/>
                <w:sz w:val="21"/>
                <w:szCs w:val="21"/>
                <w:highlight w:val="none"/>
                <w:u w:val="single" w:color="auto"/>
                <w:lang w:val="en-US" w:eastAsia="zh-CN"/>
              </w:rPr>
              <w:t>2</w:t>
            </w:r>
            <w:r>
              <w:rPr>
                <w:rFonts w:hint="eastAsia" w:ascii="宋体" w:hAnsi="宋体" w:eastAsia="宋体" w:cs="宋体"/>
                <w:color w:val="auto"/>
                <w:spacing w:val="-2"/>
                <w:sz w:val="21"/>
                <w:szCs w:val="21"/>
                <w:highlight w:val="none"/>
              </w:rPr>
              <w:t>年盈利</w:t>
            </w:r>
            <w:r>
              <w:rPr>
                <w:rFonts w:hint="eastAsia" w:ascii="宋体" w:hAnsi="宋体" w:eastAsia="宋体" w:cs="宋体"/>
                <w:color w:val="auto"/>
                <w:spacing w:val="-2"/>
                <w:sz w:val="21"/>
                <w:szCs w:val="21"/>
                <w:highlight w:val="none"/>
                <w:lang w:val="en-US" w:eastAsia="zh-CN"/>
              </w:rPr>
              <w:t>。</w:t>
            </w:r>
          </w:p>
        </w:tc>
      </w:tr>
    </w:tbl>
    <w:p w14:paraId="0AB9CFE7">
      <w:pPr>
        <w:spacing w:before="120" w:beforeLines="50" w:line="360" w:lineRule="auto"/>
        <w:ind w:left="420" w:leftChars="200" w:right="420" w:rightChars="200" w:firstLine="420" w:firstLineChars="200"/>
        <w:rPr>
          <w:rFonts w:hint="eastAsia"/>
          <w:color w:val="auto"/>
          <w:highlight w:val="none"/>
        </w:rPr>
      </w:pPr>
      <w:r>
        <w:rPr>
          <w:rFonts w:hint="eastAsia" w:ascii="宋体" w:hAnsi="宋体"/>
          <w:color w:val="auto"/>
          <w:highlight w:val="none"/>
        </w:rPr>
        <w:t>注：1、企业净资产、营运资金是按交通运输部“</w:t>
      </w:r>
      <w:r>
        <w:rPr>
          <w:rFonts w:hint="eastAsia" w:ascii="宋体" w:hAnsi="宋体"/>
          <w:color w:val="auto"/>
          <w:highlight w:val="none"/>
          <w:lang w:eastAsia="zh-CN"/>
        </w:rPr>
        <w:t>全国公路建设市场监督管理系统</w:t>
      </w:r>
      <w:r>
        <w:rPr>
          <w:rFonts w:hint="eastAsia" w:ascii="宋体" w:hAnsi="宋体"/>
          <w:color w:val="auto"/>
          <w:highlight w:val="none"/>
        </w:rPr>
        <w:t>”登记的最新年度（近三个年度的最后一年，下同）数据计算得出。近三个年度是指</w:t>
      </w:r>
      <w:r>
        <w:rPr>
          <w:rFonts w:hint="eastAsia" w:ascii="宋体" w:hAnsi="宋体" w:cs="宋体"/>
          <w:color w:val="auto"/>
          <w:highlight w:val="none"/>
          <w:lang w:val="en-US" w:eastAsia="zh-CN"/>
        </w:rPr>
        <w:t>2021</w:t>
      </w:r>
      <w:r>
        <w:rPr>
          <w:rFonts w:hint="eastAsia" w:ascii="宋体" w:hAnsi="宋体" w:cs="宋体"/>
          <w:color w:val="auto"/>
          <w:highlight w:val="none"/>
        </w:rPr>
        <w:t>至202</w:t>
      </w:r>
      <w:r>
        <w:rPr>
          <w:rFonts w:hint="eastAsia" w:ascii="宋体" w:hAnsi="宋体" w:cs="宋体"/>
          <w:color w:val="auto"/>
          <w:highlight w:val="none"/>
          <w:lang w:val="en-US" w:eastAsia="zh-CN"/>
        </w:rPr>
        <w:t>3</w:t>
      </w:r>
      <w:r>
        <w:rPr>
          <w:color w:val="auto"/>
          <w:highlight w:val="none"/>
        </w:rPr>
        <w:t>年</w:t>
      </w:r>
      <w:r>
        <w:rPr>
          <w:rFonts w:hint="eastAsia"/>
          <w:color w:val="auto"/>
          <w:highlight w:val="none"/>
        </w:rPr>
        <w:t>。</w:t>
      </w:r>
    </w:p>
    <w:p w14:paraId="07E7B046">
      <w:pPr>
        <w:spacing w:before="120" w:beforeLines="50" w:line="360" w:lineRule="auto"/>
        <w:ind w:left="420" w:leftChars="200" w:right="420" w:rightChars="200" w:firstLine="420" w:firstLineChars="200"/>
        <w:rPr>
          <w:rFonts w:hint="eastAsia" w:eastAsia="宋体"/>
          <w:color w:val="auto"/>
          <w:highlight w:val="none"/>
          <w:lang w:eastAsia="zh-CN"/>
        </w:rPr>
      </w:pPr>
      <w:r>
        <w:rPr>
          <w:rFonts w:hint="eastAsia"/>
          <w:color w:val="auto"/>
          <w:highlight w:val="none"/>
        </w:rPr>
        <w:t>2、以联合体形式投标的，财务最低要求中的第 1、2、3 项其财务能力以所有成员（含牵头人） 合并加总计算为准。</w:t>
      </w:r>
    </w:p>
    <w:p w14:paraId="757BBF10">
      <w:pPr>
        <w:spacing w:line="360" w:lineRule="auto"/>
        <w:ind w:left="420" w:leftChars="200" w:right="420" w:rightChars="200" w:firstLine="420" w:firstLineChars="200"/>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、投标人应根据招标文件第二章“投标人须知”第 3.5.2 项的要求附相关证明材料。</w:t>
      </w:r>
    </w:p>
    <w:p w14:paraId="6523FF29">
      <w:pPr>
        <w:adjustRightInd w:val="0"/>
        <w:snapToGrid w:val="0"/>
        <w:spacing w:line="400" w:lineRule="atLeast"/>
        <w:rPr>
          <w:rFonts w:hint="eastAsia" w:ascii="宋体" w:hAnsi="宋体" w:eastAsia="宋体" w:cs="宋体"/>
          <w:color w:val="auto"/>
          <w:szCs w:val="21"/>
          <w:highlight w:val="none"/>
          <w:lang w:val="en-US" w:eastAsia="zh-CN"/>
        </w:rPr>
      </w:pPr>
    </w:p>
    <w:p w14:paraId="4302DFB7">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column"/>
      </w:r>
    </w:p>
    <w:p w14:paraId="3E5BFFD4">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附录3  资格审查条件(业绩最低要求)</w:t>
      </w:r>
    </w:p>
    <w:p w14:paraId="12468E99">
      <w:pPr>
        <w:spacing w:line="360" w:lineRule="auto"/>
        <w:rPr>
          <w:rFonts w:hint="eastAsia" w:ascii="宋体" w:hAnsi="宋体" w:cs="宋体"/>
          <w:color w:val="auto"/>
          <w:highlight w:val="none"/>
        </w:rPr>
      </w:pPr>
    </w:p>
    <w:p w14:paraId="590D515E">
      <w:pPr>
        <w:rPr>
          <w:rFonts w:ascii="宋体" w:hAnsi="宋体" w:cs="宋体"/>
          <w:color w:val="auto"/>
          <w:sz w:val="28"/>
          <w:szCs w:val="2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43"/>
      </w:tblGrid>
      <w:tr w14:paraId="365E5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43" w:hRule="atLeast"/>
          <w:jc w:val="center"/>
        </w:trPr>
        <w:tc>
          <w:tcPr>
            <w:tcW w:w="8943" w:type="dxa"/>
            <w:noWrap w:val="0"/>
            <w:vAlign w:val="center"/>
          </w:tcPr>
          <w:p w14:paraId="07B2783B">
            <w:pPr>
              <w:jc w:val="center"/>
              <w:rPr>
                <w:rFonts w:ascii="宋体" w:hAnsi="宋体" w:cs="宋体"/>
                <w:color w:val="auto"/>
                <w:sz w:val="28"/>
                <w:szCs w:val="28"/>
                <w:highlight w:val="none"/>
              </w:rPr>
            </w:pPr>
            <w:r>
              <w:rPr>
                <w:rFonts w:hint="eastAsia" w:ascii="宋体" w:hAnsi="宋体" w:cs="宋体"/>
                <w:color w:val="auto"/>
                <w:sz w:val="28"/>
                <w:szCs w:val="28"/>
                <w:highlight w:val="none"/>
              </w:rPr>
              <w:t>业 绩 要 求</w:t>
            </w:r>
          </w:p>
        </w:tc>
      </w:tr>
      <w:tr w14:paraId="68624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8943" w:type="dxa"/>
            <w:noWrap w:val="0"/>
            <w:vAlign w:val="center"/>
          </w:tcPr>
          <w:p w14:paraId="5C3A3EBC">
            <w:pPr>
              <w:pStyle w:val="11"/>
              <w:spacing w:before="181" w:line="219" w:lineRule="auto"/>
              <w:ind w:left="0" w:firstLine="416" w:firstLineChars="200"/>
              <w:rPr>
                <w:color w:val="auto"/>
                <w:sz w:val="21"/>
                <w:szCs w:val="21"/>
                <w:highlight w:val="none"/>
              </w:rPr>
            </w:pPr>
            <w:r>
              <w:rPr>
                <w:color w:val="auto"/>
                <w:spacing w:val="-1"/>
                <w:sz w:val="21"/>
                <w:szCs w:val="21"/>
                <w:highlight w:val="none"/>
              </w:rPr>
              <w:t>近五年，成功完成：</w:t>
            </w:r>
          </w:p>
          <w:p w14:paraId="3D482A89">
            <w:pPr>
              <w:adjustRightInd w:val="0"/>
              <w:spacing w:line="360" w:lineRule="auto"/>
              <w:ind w:right="105" w:rightChars="50" w:firstLine="408" w:firstLineChars="200"/>
              <w:rPr>
                <w:rFonts w:hint="eastAsia" w:ascii="宋体" w:hAnsi="宋体" w:cs="宋体"/>
                <w:color w:val="auto"/>
                <w:sz w:val="28"/>
                <w:szCs w:val="28"/>
                <w:highlight w:val="none"/>
              </w:rPr>
            </w:pPr>
            <w:r>
              <w:rPr>
                <w:color w:val="auto"/>
                <w:spacing w:val="-3"/>
                <w:sz w:val="21"/>
                <w:szCs w:val="21"/>
                <w:highlight w:val="none"/>
              </w:rPr>
              <w:t>类似</w:t>
            </w:r>
            <w:r>
              <w:rPr>
                <w:rFonts w:hint="eastAsia"/>
                <w:color w:val="auto"/>
                <w:spacing w:val="-3"/>
                <w:sz w:val="21"/>
                <w:szCs w:val="21"/>
                <w:highlight w:val="none"/>
                <w:lang w:val="en-US" w:eastAsia="zh-CN"/>
              </w:rPr>
              <w:t>公路工程</w:t>
            </w:r>
            <w:r>
              <w:rPr>
                <w:color w:val="auto"/>
                <w:spacing w:val="-3"/>
                <w:sz w:val="21"/>
                <w:szCs w:val="21"/>
                <w:highlight w:val="none"/>
              </w:rPr>
              <w:t>至少</w:t>
            </w:r>
            <w:r>
              <w:rPr>
                <w:color w:val="auto"/>
                <w:spacing w:val="-3"/>
                <w:sz w:val="21"/>
                <w:szCs w:val="21"/>
                <w:highlight w:val="none"/>
                <w:u w:val="single" w:color="auto"/>
              </w:rPr>
              <w:t xml:space="preserve"> </w:t>
            </w:r>
            <w:r>
              <w:rPr>
                <w:rFonts w:hint="eastAsia"/>
                <w:color w:val="auto"/>
                <w:spacing w:val="-3"/>
                <w:sz w:val="21"/>
                <w:szCs w:val="21"/>
                <w:highlight w:val="none"/>
                <w:u w:val="single" w:color="auto"/>
                <w:lang w:val="en-US" w:eastAsia="zh-CN"/>
              </w:rPr>
              <w:t>1</w:t>
            </w:r>
            <w:r>
              <w:rPr>
                <w:color w:val="auto"/>
                <w:spacing w:val="-3"/>
                <w:sz w:val="21"/>
                <w:szCs w:val="21"/>
                <w:highlight w:val="none"/>
                <w:u w:val="single" w:color="auto"/>
              </w:rPr>
              <w:t xml:space="preserve"> </w:t>
            </w:r>
            <w:r>
              <w:rPr>
                <w:color w:val="auto"/>
                <w:spacing w:val="-111"/>
                <w:sz w:val="21"/>
                <w:szCs w:val="21"/>
                <w:highlight w:val="none"/>
              </w:rPr>
              <w:t xml:space="preserve"> </w:t>
            </w:r>
            <w:r>
              <w:rPr>
                <w:color w:val="auto"/>
                <w:spacing w:val="-3"/>
                <w:sz w:val="21"/>
                <w:szCs w:val="21"/>
                <w:highlight w:val="none"/>
              </w:rPr>
              <w:t>个标段（</w:t>
            </w:r>
            <w:r>
              <w:rPr>
                <w:color w:val="auto"/>
                <w:spacing w:val="-4"/>
                <w:sz w:val="21"/>
                <w:szCs w:val="21"/>
                <w:highlight w:val="none"/>
                <w:u w:val="single" w:color="auto"/>
              </w:rPr>
              <w:t>其中有</w:t>
            </w:r>
            <w:r>
              <w:rPr>
                <w:color w:val="auto"/>
                <w:spacing w:val="-32"/>
                <w:sz w:val="21"/>
                <w:szCs w:val="21"/>
                <w:highlight w:val="none"/>
                <w:u w:val="single" w:color="auto"/>
              </w:rPr>
              <w:t xml:space="preserve"> </w:t>
            </w:r>
            <w:r>
              <w:rPr>
                <w:color w:val="auto"/>
                <w:spacing w:val="-4"/>
                <w:sz w:val="21"/>
                <w:szCs w:val="21"/>
                <w:highlight w:val="none"/>
                <w:u w:val="single" w:color="auto"/>
              </w:rPr>
              <w:t>1</w:t>
            </w:r>
            <w:r>
              <w:rPr>
                <w:color w:val="auto"/>
                <w:spacing w:val="-51"/>
                <w:sz w:val="21"/>
                <w:szCs w:val="21"/>
                <w:highlight w:val="none"/>
                <w:u w:val="single" w:color="auto"/>
              </w:rPr>
              <w:t xml:space="preserve"> </w:t>
            </w:r>
            <w:r>
              <w:rPr>
                <w:color w:val="auto"/>
                <w:spacing w:val="-4"/>
                <w:sz w:val="21"/>
                <w:szCs w:val="21"/>
                <w:highlight w:val="none"/>
                <w:u w:val="single" w:color="auto"/>
              </w:rPr>
              <w:t>个标段里程</w:t>
            </w:r>
            <w:r>
              <w:rPr>
                <w:rFonts w:hint="eastAsia"/>
                <w:color w:val="auto"/>
                <w:spacing w:val="-4"/>
                <w:sz w:val="21"/>
                <w:szCs w:val="21"/>
                <w:highlight w:val="none"/>
                <w:u w:val="single" w:color="auto"/>
                <w:lang w:val="en-US" w:eastAsia="zh-CN"/>
              </w:rPr>
              <w:t>不少于5</w:t>
            </w:r>
            <w:r>
              <w:rPr>
                <w:color w:val="auto"/>
                <w:spacing w:val="-4"/>
                <w:sz w:val="21"/>
                <w:szCs w:val="21"/>
                <w:highlight w:val="none"/>
                <w:u w:val="single" w:color="auto"/>
              </w:rPr>
              <w:t xml:space="preserve"> km</w:t>
            </w:r>
            <w:r>
              <w:rPr>
                <w:color w:val="auto"/>
                <w:spacing w:val="-29"/>
                <w:sz w:val="21"/>
                <w:szCs w:val="21"/>
                <w:highlight w:val="none"/>
                <w:u w:val="single" w:color="auto"/>
              </w:rPr>
              <w:t>）</w:t>
            </w:r>
            <w:r>
              <w:rPr>
                <w:color w:val="auto"/>
                <w:spacing w:val="-29"/>
                <w:sz w:val="21"/>
                <w:szCs w:val="21"/>
                <w:highlight w:val="none"/>
              </w:rPr>
              <w:t>，</w:t>
            </w:r>
            <w:r>
              <w:rPr>
                <w:color w:val="auto"/>
                <w:spacing w:val="-4"/>
                <w:sz w:val="21"/>
                <w:szCs w:val="21"/>
                <w:highlight w:val="none"/>
              </w:rPr>
              <w:t>且累计里程</w:t>
            </w:r>
            <w:r>
              <w:rPr>
                <w:rFonts w:hint="eastAsia"/>
                <w:color w:val="auto"/>
                <w:spacing w:val="-4"/>
                <w:sz w:val="21"/>
                <w:szCs w:val="21"/>
                <w:highlight w:val="none"/>
                <w:lang w:val="en-US" w:eastAsia="zh-CN"/>
              </w:rPr>
              <w:t>不少于</w:t>
            </w:r>
            <w:r>
              <w:rPr>
                <w:color w:val="auto"/>
                <w:spacing w:val="-4"/>
                <w:sz w:val="21"/>
                <w:szCs w:val="21"/>
                <w:highlight w:val="none"/>
                <w:u w:val="single" w:color="auto"/>
              </w:rPr>
              <w:t xml:space="preserve"> </w:t>
            </w:r>
            <w:r>
              <w:rPr>
                <w:rFonts w:hint="eastAsia"/>
                <w:color w:val="auto"/>
                <w:spacing w:val="-4"/>
                <w:sz w:val="21"/>
                <w:szCs w:val="21"/>
                <w:highlight w:val="none"/>
                <w:u w:val="single" w:color="auto"/>
                <w:lang w:val="en-US" w:eastAsia="zh-CN"/>
              </w:rPr>
              <w:t>35</w:t>
            </w:r>
            <w:r>
              <w:rPr>
                <w:color w:val="auto"/>
                <w:spacing w:val="-4"/>
                <w:sz w:val="21"/>
                <w:szCs w:val="21"/>
                <w:highlight w:val="none"/>
                <w:u w:val="single" w:color="auto"/>
              </w:rPr>
              <w:t xml:space="preserve"> </w:t>
            </w:r>
            <w:r>
              <w:rPr>
                <w:color w:val="auto"/>
                <w:spacing w:val="-111"/>
                <w:sz w:val="21"/>
                <w:szCs w:val="21"/>
                <w:highlight w:val="none"/>
              </w:rPr>
              <w:t xml:space="preserve"> </w:t>
            </w:r>
            <w:r>
              <w:rPr>
                <w:color w:val="auto"/>
                <w:spacing w:val="-4"/>
                <w:sz w:val="21"/>
                <w:szCs w:val="21"/>
                <w:highlight w:val="none"/>
              </w:rPr>
              <w:t>km。</w:t>
            </w:r>
          </w:p>
        </w:tc>
      </w:tr>
    </w:tbl>
    <w:p w14:paraId="7B568696">
      <w:pPr>
        <w:spacing w:line="200" w:lineRule="atLeast"/>
        <w:rPr>
          <w:rFonts w:ascii="宋体" w:hAnsi="宋体" w:cs="宋体"/>
          <w:color w:val="auto"/>
          <w:sz w:val="20"/>
          <w:szCs w:val="20"/>
          <w:highlight w:val="none"/>
        </w:rPr>
      </w:pPr>
    </w:p>
    <w:p w14:paraId="5BE9980A">
      <w:pPr>
        <w:spacing w:before="24" w:line="239" w:lineRule="auto"/>
        <w:ind w:left="553" w:right="807" w:hanging="5"/>
        <w:rPr>
          <w:rFonts w:ascii="宋体" w:hAnsi="宋体" w:eastAsia="宋体" w:cs="宋体"/>
          <w:color w:val="auto"/>
          <w:spacing w:val="7"/>
          <w:sz w:val="20"/>
          <w:szCs w:val="20"/>
          <w:highlight w:val="none"/>
        </w:rPr>
      </w:pPr>
      <w:r>
        <w:rPr>
          <w:rFonts w:ascii="宋体" w:hAnsi="宋体" w:eastAsia="宋体" w:cs="宋体"/>
          <w:color w:val="auto"/>
          <w:spacing w:val="9"/>
          <w:sz w:val="20"/>
          <w:szCs w:val="20"/>
          <w:highlight w:val="none"/>
        </w:rPr>
        <w:t>注：1</w:t>
      </w:r>
      <w:r>
        <w:rPr>
          <w:rFonts w:ascii="宋体" w:hAnsi="宋体" w:eastAsia="宋体" w:cs="宋体"/>
          <w:color w:val="auto"/>
          <w:spacing w:val="7"/>
          <w:sz w:val="20"/>
          <w:szCs w:val="20"/>
          <w:highlight w:val="none"/>
        </w:rPr>
        <w:t>、本附录所要求的业绩仅限中华人民共和国境内业绩。</w:t>
      </w:r>
    </w:p>
    <w:p w14:paraId="4CA0C590">
      <w:pPr>
        <w:spacing w:before="24" w:line="239" w:lineRule="auto"/>
        <w:ind w:left="553" w:right="807" w:hanging="5"/>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2、若投标人提供的业绩证明为联合体业绩，则按交通运输部“</w:t>
      </w:r>
      <w:r>
        <w:rPr>
          <w:rFonts w:hint="eastAsia" w:ascii="宋体" w:hAnsi="宋体" w:eastAsia="宋体" w:cs="宋体"/>
          <w:color w:val="auto"/>
          <w:spacing w:val="7"/>
          <w:sz w:val="20"/>
          <w:szCs w:val="20"/>
          <w:highlight w:val="none"/>
          <w:lang w:eastAsia="zh-CN"/>
        </w:rPr>
        <w:t>全国公路建设市场监督管理系统</w:t>
      </w:r>
      <w:r>
        <w:rPr>
          <w:rFonts w:ascii="宋体" w:hAnsi="宋体" w:eastAsia="宋体" w:cs="宋体"/>
          <w:color w:val="auto"/>
          <w:spacing w:val="7"/>
          <w:sz w:val="20"/>
          <w:szCs w:val="20"/>
          <w:highlight w:val="none"/>
        </w:rPr>
        <w:t xml:space="preserve"> ”业绩信息的网页截图体现其完成的相关专项工程的工程量认定，</w:t>
      </w:r>
      <w:r>
        <w:rPr>
          <w:rFonts w:hint="eastAsia" w:ascii="宋体" w:hAnsi="宋体" w:eastAsia="宋体" w:cs="宋体"/>
          <w:color w:val="auto"/>
          <w:spacing w:val="7"/>
          <w:sz w:val="20"/>
          <w:szCs w:val="20"/>
          <w:highlight w:val="none"/>
          <w:lang w:val="en-US" w:eastAsia="zh-CN"/>
        </w:rPr>
        <w:t>以联合体各成员业绩之和计算。</w:t>
      </w:r>
      <w:r>
        <w:rPr>
          <w:rFonts w:ascii="宋体" w:hAnsi="宋体" w:eastAsia="宋体" w:cs="宋体"/>
          <w:color w:val="auto"/>
          <w:spacing w:val="7"/>
          <w:sz w:val="20"/>
          <w:szCs w:val="20"/>
          <w:highlight w:val="none"/>
        </w:rPr>
        <w:t>无法界定其完成的相关专项 工程的工程量，此业绩不予认定。</w:t>
      </w:r>
    </w:p>
    <w:p w14:paraId="7EB25AA6">
      <w:pPr>
        <w:spacing w:before="24" w:line="239" w:lineRule="auto"/>
        <w:ind w:left="553" w:right="807" w:hanging="5"/>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lang w:val="en-US" w:eastAsia="zh-CN"/>
        </w:rPr>
        <w:t>3</w:t>
      </w:r>
      <w:r>
        <w:rPr>
          <w:rFonts w:ascii="宋体" w:hAnsi="宋体" w:eastAsia="宋体" w:cs="宋体"/>
          <w:color w:val="auto"/>
          <w:spacing w:val="7"/>
          <w:sz w:val="20"/>
          <w:szCs w:val="20"/>
          <w:highlight w:val="none"/>
        </w:rPr>
        <w:t>、投标人应根据招标文件第二章“投标人须知</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”第</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3.5.3</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项的要求附</w:t>
      </w:r>
      <w:r>
        <w:rPr>
          <w:rFonts w:ascii="宋体" w:hAnsi="宋体" w:eastAsia="宋体" w:cs="宋体"/>
          <w:color w:val="auto"/>
          <w:spacing w:val="6"/>
          <w:sz w:val="20"/>
          <w:szCs w:val="20"/>
          <w:highlight w:val="none"/>
        </w:rPr>
        <w:t>相关证明材料。</w:t>
      </w:r>
      <w:r>
        <w:rPr>
          <w:rFonts w:ascii="宋体" w:hAnsi="宋体" w:eastAsia="宋体" w:cs="宋体"/>
          <w:color w:val="auto"/>
          <w:sz w:val="20"/>
          <w:szCs w:val="20"/>
          <w:highlight w:val="none"/>
        </w:rPr>
        <w:t xml:space="preserve"> </w:t>
      </w:r>
    </w:p>
    <w:p w14:paraId="22213922">
      <w:pPr>
        <w:spacing w:before="24" w:line="239" w:lineRule="auto"/>
        <w:ind w:left="553" w:right="807" w:hanging="5"/>
        <w:rPr>
          <w:rFonts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lang w:val="en-US" w:eastAsia="zh-CN"/>
        </w:rPr>
        <w:t>4</w:t>
      </w:r>
      <w:r>
        <w:rPr>
          <w:rFonts w:ascii="宋体" w:hAnsi="宋体" w:eastAsia="宋体" w:cs="宋体"/>
          <w:color w:val="auto"/>
          <w:spacing w:val="6"/>
          <w:sz w:val="20"/>
          <w:szCs w:val="20"/>
          <w:highlight w:val="none"/>
        </w:rPr>
        <w:t>、近五年是指：</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2019</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1</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1</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日至投标</w:t>
      </w:r>
      <w:r>
        <w:rPr>
          <w:rFonts w:ascii="宋体" w:hAnsi="宋体" w:eastAsia="宋体" w:cs="宋体"/>
          <w:color w:val="auto"/>
          <w:spacing w:val="5"/>
          <w:sz w:val="20"/>
          <w:szCs w:val="20"/>
          <w:highlight w:val="none"/>
        </w:rPr>
        <w:t>文件递交截止之日止。</w:t>
      </w:r>
    </w:p>
    <w:p w14:paraId="5AC282DE">
      <w:pPr>
        <w:spacing w:before="24" w:line="239" w:lineRule="auto"/>
        <w:ind w:left="553" w:right="807" w:hanging="5"/>
        <w:rPr>
          <w:rFonts w:hint="eastAsia" w:ascii="宋体" w:hAnsi="宋体" w:eastAsia="宋体" w:cs="宋体"/>
          <w:color w:val="auto"/>
          <w:spacing w:val="7"/>
          <w:sz w:val="20"/>
          <w:szCs w:val="20"/>
          <w:highlight w:val="none"/>
        </w:rPr>
      </w:pPr>
      <w:r>
        <w:rPr>
          <w:rFonts w:hint="eastAsia" w:ascii="宋体" w:hAnsi="宋体" w:eastAsia="宋体" w:cs="宋体"/>
          <w:color w:val="auto"/>
          <w:spacing w:val="9"/>
          <w:sz w:val="20"/>
          <w:szCs w:val="20"/>
          <w:highlight w:val="none"/>
          <w:lang w:val="en-US" w:eastAsia="zh-CN"/>
        </w:rPr>
        <w:t>5</w:t>
      </w:r>
      <w:r>
        <w:rPr>
          <w:rFonts w:ascii="宋体" w:hAnsi="宋体" w:eastAsia="宋体" w:cs="宋体"/>
          <w:color w:val="auto"/>
          <w:spacing w:val="9"/>
          <w:sz w:val="20"/>
          <w:szCs w:val="20"/>
          <w:highlight w:val="none"/>
        </w:rPr>
        <w:t>、类似工程</w:t>
      </w:r>
      <w:r>
        <w:rPr>
          <w:rFonts w:ascii="宋体" w:hAnsi="宋体" w:eastAsia="宋体" w:cs="宋体"/>
          <w:color w:val="auto"/>
          <w:spacing w:val="7"/>
          <w:sz w:val="20"/>
          <w:szCs w:val="20"/>
          <w:highlight w:val="none"/>
        </w:rPr>
        <w:t>是指：</w:t>
      </w:r>
      <w:r>
        <w:rPr>
          <w:rFonts w:hint="eastAsia" w:ascii="宋体" w:hAnsi="宋体" w:eastAsia="宋体" w:cs="宋体"/>
          <w:color w:val="auto"/>
          <w:spacing w:val="7"/>
          <w:sz w:val="20"/>
          <w:szCs w:val="20"/>
          <w:highlight w:val="none"/>
          <w:lang w:eastAsia="zh-CN"/>
        </w:rPr>
        <w:t>新建或改、扩建</w:t>
      </w:r>
      <w:r>
        <w:rPr>
          <w:rFonts w:hint="eastAsia" w:ascii="宋体" w:hAnsi="宋体" w:eastAsia="宋体" w:cs="宋体"/>
          <w:color w:val="auto"/>
          <w:spacing w:val="7"/>
          <w:sz w:val="20"/>
          <w:szCs w:val="20"/>
          <w:highlight w:val="none"/>
          <w:lang w:val="en-US" w:eastAsia="zh-CN"/>
        </w:rPr>
        <w:t>的三级</w:t>
      </w:r>
      <w:r>
        <w:rPr>
          <w:rFonts w:hint="eastAsia" w:ascii="宋体" w:hAnsi="宋体" w:eastAsia="宋体" w:cs="宋体"/>
          <w:color w:val="auto"/>
          <w:spacing w:val="7"/>
          <w:sz w:val="20"/>
          <w:szCs w:val="20"/>
          <w:highlight w:val="none"/>
        </w:rPr>
        <w:t>或以上(公路技术等级)公路施工项目。在采用新建公路项目完工业绩时，对于同公路等级改、扩建中的新建桥梁或隧道工程业绩也应认可。</w:t>
      </w:r>
    </w:p>
    <w:p w14:paraId="76959D5F">
      <w:pPr>
        <w:spacing w:before="24" w:line="239" w:lineRule="auto"/>
        <w:ind w:left="553" w:right="807" w:hanging="5"/>
        <w:rPr>
          <w:rFonts w:hint="eastAsia" w:ascii="宋体" w:hAnsi="宋体" w:cs="宋体"/>
          <w:color w:val="auto"/>
          <w:szCs w:val="21"/>
          <w:highlight w:val="none"/>
        </w:rPr>
      </w:pPr>
      <w:r>
        <w:rPr>
          <w:rFonts w:hint="eastAsia" w:ascii="宋体" w:hAnsi="宋体" w:eastAsia="宋体" w:cs="宋体"/>
          <w:color w:val="auto"/>
          <w:spacing w:val="7"/>
          <w:sz w:val="20"/>
          <w:szCs w:val="20"/>
          <w:highlight w:val="none"/>
          <w:lang w:val="en-US" w:eastAsia="zh-CN"/>
        </w:rPr>
        <w:t xml:space="preserve"> </w:t>
      </w:r>
      <w:r>
        <w:rPr>
          <w:rFonts w:hint="eastAsia" w:ascii="宋体" w:hAnsi="宋体" w:cs="宋体"/>
          <w:color w:val="auto"/>
          <w:szCs w:val="21"/>
          <w:highlight w:val="none"/>
        </w:rPr>
        <w:br w:type="page"/>
      </w:r>
      <w:bookmarkStart w:id="0" w:name="_Toc235615869"/>
      <w:bookmarkStart w:id="1" w:name="_Toc235615587"/>
      <w:bookmarkStart w:id="2" w:name="_Toc236215684"/>
      <w:bookmarkStart w:id="3" w:name="_Toc236215685"/>
      <w:bookmarkStart w:id="4" w:name="_Toc235615870"/>
      <w:bookmarkStart w:id="5" w:name="_Toc235615588"/>
    </w:p>
    <w:p w14:paraId="07B563B1">
      <w:pPr>
        <w:spacing w:line="360" w:lineRule="auto"/>
        <w:ind w:left="420" w:leftChars="200" w:right="420" w:rightChars="200"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附录4  资格审查条件(信誉最低要求)</w:t>
      </w:r>
      <w:bookmarkEnd w:id="0"/>
      <w:bookmarkEnd w:id="1"/>
      <w:bookmarkEnd w:id="2"/>
    </w:p>
    <w:p w14:paraId="0D826724">
      <w:pPr>
        <w:pStyle w:val="8"/>
        <w:rPr>
          <w:rFonts w:hint="eastAsia" w:ascii="宋体" w:hAnsi="宋体" w:cs="宋体"/>
          <w:b/>
          <w:color w:val="auto"/>
          <w:sz w:val="28"/>
          <w:szCs w:val="28"/>
          <w:highlight w:val="none"/>
        </w:rPr>
      </w:pPr>
    </w:p>
    <w:p w14:paraId="0DDA82D7">
      <w:pPr>
        <w:pStyle w:val="7"/>
        <w:rPr>
          <w:rFonts w:hint="eastAsia"/>
          <w:color w:val="auto"/>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7"/>
      </w:tblGrid>
      <w:tr w14:paraId="28A616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537" w:type="dxa"/>
            <w:noWrap w:val="0"/>
            <w:vAlign w:val="center"/>
          </w:tcPr>
          <w:p w14:paraId="15C5B709">
            <w:pPr>
              <w:jc w:val="center"/>
              <w:rPr>
                <w:rFonts w:ascii="宋体" w:hAnsi="宋体" w:cs="宋体"/>
                <w:color w:val="auto"/>
                <w:highlight w:val="none"/>
              </w:rPr>
            </w:pPr>
            <w:r>
              <w:rPr>
                <w:rFonts w:hint="eastAsia" w:ascii="宋体" w:hAnsi="宋体" w:cs="宋体"/>
                <w:color w:val="auto"/>
                <w:highlight w:val="none"/>
              </w:rPr>
              <w:t>信 誉 要 求</w:t>
            </w:r>
          </w:p>
        </w:tc>
      </w:tr>
      <w:tr w14:paraId="4B1079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01" w:hRule="atLeast"/>
          <w:jc w:val="center"/>
        </w:trPr>
        <w:tc>
          <w:tcPr>
            <w:tcW w:w="8537" w:type="dxa"/>
            <w:noWrap w:val="0"/>
            <w:vAlign w:val="center"/>
          </w:tcPr>
          <w:p w14:paraId="752ED85A">
            <w:pPr>
              <w:pStyle w:val="11"/>
              <w:spacing w:before="78" w:line="465" w:lineRule="exact"/>
              <w:rPr>
                <w:rFonts w:ascii="宋体" w:hAnsi="宋体" w:cs="宋体"/>
                <w:color w:val="auto"/>
                <w:szCs w:val="21"/>
                <w:highlight w:val="none"/>
              </w:rPr>
            </w:pPr>
            <w:r>
              <w:rPr>
                <w:rFonts w:ascii="宋体" w:hAnsi="宋体" w:eastAsia="宋体" w:cs="宋体"/>
                <w:color w:val="auto"/>
                <w:position w:val="17"/>
                <w:sz w:val="21"/>
                <w:szCs w:val="21"/>
                <w:highlight w:val="none"/>
              </w:rPr>
              <w:t>在最新年度广东省公路工程从业单位（施工单位）信用评价（含无最新年度而上一年度有信用评价）中，信用等级未被评为 D 级；初次进入广东省的投标人，在最新年度的全国公路从业单位（施工单位）信用评价结果中未被评为 D 级。</w:t>
            </w:r>
          </w:p>
        </w:tc>
      </w:tr>
    </w:tbl>
    <w:p w14:paraId="54DB02B2">
      <w:pPr>
        <w:spacing w:before="10"/>
        <w:rPr>
          <w:rFonts w:ascii="宋体" w:hAnsi="宋体" w:cs="宋体"/>
          <w:color w:val="auto"/>
          <w:sz w:val="18"/>
          <w:szCs w:val="18"/>
          <w:highlight w:val="none"/>
        </w:rPr>
      </w:pPr>
    </w:p>
    <w:p w14:paraId="542C063D">
      <w:pPr>
        <w:spacing w:line="360" w:lineRule="auto"/>
        <w:ind w:left="420" w:leftChars="200" w:right="420" w:righ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注：1、信用等级的确定原则遵循投标人须知前附表10.2款的规定。</w:t>
      </w:r>
    </w:p>
    <w:p w14:paraId="4F64C717">
      <w:pPr>
        <w:pStyle w:val="3"/>
        <w:numPr>
          <w:ilvl w:val="0"/>
          <w:numId w:val="0"/>
        </w:numPr>
        <w:ind w:left="420" w:leftChars="200" w:firstLine="840" w:firstLineChars="4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 w:val="21"/>
          <w:szCs w:val="21"/>
          <w:highlight w:val="none"/>
        </w:rPr>
        <w:t>投标人应根据第九章“投标文件格式”中“七、资格审查资料（五）投标人的信誉情况表”填写情况说明。</w:t>
      </w:r>
    </w:p>
    <w:p w14:paraId="6F9261B4">
      <w:pPr>
        <w:spacing w:line="360" w:lineRule="auto"/>
        <w:rPr>
          <w:rFonts w:hint="eastAsia" w:ascii="宋体" w:hAnsi="宋体" w:cs="宋体"/>
          <w:color w:val="auto"/>
          <w:highlight w:val="none"/>
        </w:rPr>
      </w:pPr>
    </w:p>
    <w:p w14:paraId="622DB94C">
      <w:pPr>
        <w:widowControl/>
        <w:jc w:val="left"/>
        <w:rPr>
          <w:color w:val="auto"/>
          <w:highlight w:val="none"/>
        </w:rPr>
      </w:pPr>
    </w:p>
    <w:p w14:paraId="5D13B610">
      <w:pPr>
        <w:spacing w:line="360" w:lineRule="auto"/>
        <w:jc w:val="center"/>
        <w:rPr>
          <w:rFonts w:hint="eastAsia" w:ascii="宋体" w:hAnsi="宋体" w:cs="宋体"/>
          <w:b/>
          <w:color w:val="auto"/>
          <w:sz w:val="28"/>
          <w:szCs w:val="28"/>
          <w:highlight w:val="none"/>
        </w:rPr>
      </w:pPr>
    </w:p>
    <w:p w14:paraId="606313D5">
      <w:pPr>
        <w:spacing w:line="360" w:lineRule="auto"/>
        <w:jc w:val="center"/>
        <w:rPr>
          <w:rFonts w:hint="eastAsia" w:ascii="宋体" w:hAnsi="宋体" w:cs="宋体"/>
          <w:b/>
          <w:color w:val="auto"/>
          <w:sz w:val="28"/>
          <w:szCs w:val="28"/>
          <w:highlight w:val="none"/>
        </w:rPr>
      </w:pPr>
    </w:p>
    <w:p w14:paraId="70786FE1">
      <w:pPr>
        <w:spacing w:line="360" w:lineRule="auto"/>
        <w:jc w:val="center"/>
        <w:rPr>
          <w:rFonts w:hint="eastAsia" w:ascii="宋体" w:hAnsi="宋体" w:cs="宋体"/>
          <w:b/>
          <w:color w:val="auto"/>
          <w:sz w:val="28"/>
          <w:szCs w:val="28"/>
          <w:highlight w:val="none"/>
        </w:rPr>
      </w:pPr>
    </w:p>
    <w:p w14:paraId="531A316A">
      <w:pPr>
        <w:spacing w:line="360" w:lineRule="auto"/>
        <w:jc w:val="center"/>
        <w:rPr>
          <w:rFonts w:hint="eastAsia" w:ascii="宋体" w:hAnsi="宋体" w:cs="宋体"/>
          <w:b/>
          <w:color w:val="auto"/>
          <w:sz w:val="28"/>
          <w:szCs w:val="28"/>
          <w:highlight w:val="none"/>
        </w:rPr>
      </w:pPr>
    </w:p>
    <w:p w14:paraId="03DB4A1C">
      <w:pPr>
        <w:spacing w:line="360" w:lineRule="auto"/>
        <w:rPr>
          <w:rFonts w:hint="eastAsia" w:ascii="宋体" w:hAnsi="宋体" w:cs="宋体"/>
          <w:b/>
          <w:color w:val="auto"/>
          <w:sz w:val="28"/>
          <w:szCs w:val="28"/>
          <w:highlight w:val="none"/>
        </w:rPr>
      </w:pPr>
    </w:p>
    <w:p w14:paraId="4859852F">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739B2D3E">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附录5  资格审查条件(项目经理、项目总工最低要求)</w:t>
      </w:r>
      <w:bookmarkEnd w:id="3"/>
      <w:bookmarkEnd w:id="4"/>
      <w:bookmarkEnd w:id="5"/>
    </w:p>
    <w:tbl>
      <w:tblPr>
        <w:tblStyle w:val="9"/>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851"/>
        <w:gridCol w:w="5430"/>
        <w:gridCol w:w="1625"/>
      </w:tblGrid>
      <w:tr w14:paraId="6AE0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exact"/>
          <w:jc w:val="center"/>
        </w:trPr>
        <w:tc>
          <w:tcPr>
            <w:tcW w:w="1198" w:type="dxa"/>
            <w:noWrap w:val="0"/>
            <w:vAlign w:val="center"/>
          </w:tcPr>
          <w:p w14:paraId="5C7FCA68">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人员</w:t>
            </w:r>
          </w:p>
        </w:tc>
        <w:tc>
          <w:tcPr>
            <w:tcW w:w="851" w:type="dxa"/>
            <w:noWrap w:val="0"/>
            <w:vAlign w:val="center"/>
          </w:tcPr>
          <w:p w14:paraId="120CA031">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5430" w:type="dxa"/>
            <w:noWrap w:val="0"/>
            <w:vAlign w:val="center"/>
          </w:tcPr>
          <w:p w14:paraId="058253F9">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资 格 要 求</w:t>
            </w:r>
          </w:p>
        </w:tc>
        <w:tc>
          <w:tcPr>
            <w:tcW w:w="1625" w:type="dxa"/>
            <w:noWrap w:val="0"/>
            <w:vAlign w:val="center"/>
          </w:tcPr>
          <w:p w14:paraId="78585B38">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在岗要求</w:t>
            </w:r>
          </w:p>
        </w:tc>
      </w:tr>
      <w:tr w14:paraId="645E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3" w:hRule="atLeast"/>
          <w:jc w:val="center"/>
        </w:trPr>
        <w:tc>
          <w:tcPr>
            <w:tcW w:w="1198" w:type="dxa"/>
            <w:noWrap w:val="0"/>
            <w:vAlign w:val="center"/>
          </w:tcPr>
          <w:p w14:paraId="655266FC">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项目经理</w:t>
            </w:r>
          </w:p>
        </w:tc>
        <w:tc>
          <w:tcPr>
            <w:tcW w:w="851" w:type="dxa"/>
            <w:noWrap w:val="0"/>
            <w:vAlign w:val="center"/>
          </w:tcPr>
          <w:p w14:paraId="32BD73C3">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430" w:type="dxa"/>
            <w:noWrap w:val="0"/>
            <w:vAlign w:val="center"/>
          </w:tcPr>
          <w:p w14:paraId="733A9305">
            <w:pPr>
              <w:pStyle w:val="11"/>
              <w:kinsoku/>
              <w:topLinePunct/>
              <w:spacing w:line="360" w:lineRule="auto"/>
              <w:ind w:left="124" w:leftChars="0" w:right="145" w:rightChars="69" w:firstLine="1" w:firstLineChars="0"/>
              <w:jc w:val="both"/>
              <w:rPr>
                <w:rFonts w:hint="eastAsia" w:ascii="宋体" w:hAnsi="宋体" w:eastAsia="宋体" w:cs="宋体"/>
                <w:color w:val="auto"/>
                <w:sz w:val="21"/>
                <w:szCs w:val="21"/>
                <w:highlight w:val="none"/>
              </w:rPr>
            </w:pPr>
            <w:r>
              <w:rPr>
                <w:rFonts w:hint="eastAsia" w:ascii="Times New Roman" w:hAnsi="Times New Roman" w:eastAsia="宋体" w:cs="Times New Roman"/>
                <w:snapToGrid/>
                <w:color w:val="auto"/>
                <w:kern w:val="2"/>
                <w:sz w:val="21"/>
                <w:szCs w:val="21"/>
                <w:highlight w:val="none"/>
                <w:lang w:val="en-US" w:eastAsia="zh-CN" w:bidi="ar-SA"/>
              </w:rPr>
              <w:t>工程师或以上职称，担任类似工程项目经理（或项目副经理或项目总工）岗位累计</w:t>
            </w:r>
            <w:r>
              <w:rPr>
                <w:rFonts w:hint="eastAsia" w:ascii="Times New Roman" w:hAnsi="Times New Roman" w:cs="Times New Roman"/>
                <w:snapToGrid/>
                <w:color w:val="auto"/>
                <w:kern w:val="2"/>
                <w:sz w:val="21"/>
                <w:szCs w:val="21"/>
                <w:highlight w:val="none"/>
                <w:lang w:val="en-US" w:eastAsia="zh-CN" w:bidi="ar-SA"/>
              </w:rPr>
              <w:t>12</w:t>
            </w:r>
            <w:r>
              <w:rPr>
                <w:rFonts w:hint="eastAsia" w:ascii="Times New Roman" w:hAnsi="Times New Roman" w:eastAsia="宋体" w:cs="Times New Roman"/>
                <w:snapToGrid/>
                <w:color w:val="auto"/>
                <w:kern w:val="2"/>
                <w:sz w:val="21"/>
                <w:szCs w:val="21"/>
                <w:highlight w:val="none"/>
                <w:lang w:val="en-US" w:eastAsia="zh-CN" w:bidi="ar-SA"/>
              </w:rPr>
              <w:t>个月，并持有住房和城乡建设部颁发的公路工程专业一级建造师注册证书（不含临时资格证书），具有交通主管部门颁发的有效安全生产“三类人员”B类证书。</w:t>
            </w:r>
          </w:p>
        </w:tc>
        <w:tc>
          <w:tcPr>
            <w:tcW w:w="1625" w:type="dxa"/>
            <w:vMerge w:val="restart"/>
            <w:noWrap w:val="0"/>
            <w:vAlign w:val="center"/>
          </w:tcPr>
          <w:p w14:paraId="00E98313">
            <w:pPr>
              <w:snapToGrid w:val="0"/>
              <w:spacing w:line="360" w:lineRule="auto"/>
              <w:textAlignment w:val="baseline"/>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无在岗项目（指目前未在其他项目上任职</w:t>
            </w:r>
            <w:r>
              <w:rPr>
                <w:rFonts w:hint="eastAsia" w:ascii="宋体" w:hAnsi="宋体" w:cs="宋体"/>
                <w:color w:val="auto"/>
                <w:spacing w:val="-2"/>
                <w:sz w:val="21"/>
                <w:szCs w:val="21"/>
                <w:highlight w:val="none"/>
                <w:lang w:eastAsia="zh-CN"/>
              </w:rPr>
              <w:t>，</w:t>
            </w:r>
            <w:r>
              <w:rPr>
                <w:rFonts w:hint="eastAsia" w:ascii="宋体" w:hAnsi="宋体" w:cs="宋体"/>
                <w:color w:val="auto"/>
                <w:spacing w:val="-2"/>
                <w:sz w:val="21"/>
                <w:szCs w:val="21"/>
                <w:highlight w:val="none"/>
              </w:rPr>
              <w:t>或虽在其他项目上任职但本项目中标后能够从该项目撤离）</w:t>
            </w:r>
          </w:p>
        </w:tc>
      </w:tr>
      <w:tr w14:paraId="1339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1198" w:type="dxa"/>
            <w:noWrap w:val="0"/>
            <w:vAlign w:val="center"/>
          </w:tcPr>
          <w:p w14:paraId="695A498F">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项目总工</w:t>
            </w:r>
          </w:p>
        </w:tc>
        <w:tc>
          <w:tcPr>
            <w:tcW w:w="851" w:type="dxa"/>
            <w:noWrap w:val="0"/>
            <w:vAlign w:val="center"/>
          </w:tcPr>
          <w:p w14:paraId="0E1A2088">
            <w:pPr>
              <w:snapToGrid w:val="0"/>
              <w:spacing w:line="360" w:lineRule="auto"/>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430" w:type="dxa"/>
            <w:noWrap w:val="0"/>
            <w:vAlign w:val="center"/>
          </w:tcPr>
          <w:p w14:paraId="7D7A3BD7">
            <w:pPr>
              <w:pStyle w:val="11"/>
              <w:kinsoku/>
              <w:topLinePunct/>
              <w:spacing w:line="360" w:lineRule="auto"/>
              <w:ind w:left="123" w:leftChars="0" w:right="145" w:rightChars="69" w:firstLine="1" w:firstLineChars="0"/>
              <w:jc w:val="both"/>
              <w:rPr>
                <w:rFonts w:hint="eastAsia" w:ascii="宋体" w:hAnsi="宋体" w:eastAsia="宋体" w:cs="宋体"/>
                <w:color w:val="auto"/>
                <w:sz w:val="21"/>
                <w:szCs w:val="21"/>
                <w:highlight w:val="none"/>
              </w:rPr>
            </w:pPr>
            <w:r>
              <w:rPr>
                <w:rFonts w:hint="eastAsia" w:ascii="Times New Roman" w:hAnsi="Times New Roman" w:eastAsia="宋体" w:cs="Times New Roman"/>
                <w:snapToGrid/>
                <w:color w:val="auto"/>
                <w:kern w:val="2"/>
                <w:sz w:val="21"/>
                <w:szCs w:val="21"/>
                <w:highlight w:val="none"/>
                <w:lang w:val="en-US" w:eastAsia="zh-CN" w:bidi="ar-SA"/>
              </w:rPr>
              <w:t>路桥相关专业高级工程师或以上职称，主管类似工程技术工作岗位累计</w:t>
            </w:r>
            <w:r>
              <w:rPr>
                <w:rFonts w:hint="eastAsia" w:ascii="Times New Roman" w:hAnsi="Times New Roman" w:cs="Times New Roman"/>
                <w:snapToGrid/>
                <w:color w:val="auto"/>
                <w:kern w:val="2"/>
                <w:sz w:val="21"/>
                <w:szCs w:val="21"/>
                <w:highlight w:val="none"/>
                <w:lang w:val="en-US" w:eastAsia="zh-CN" w:bidi="ar-SA"/>
              </w:rPr>
              <w:t>12</w:t>
            </w:r>
            <w:r>
              <w:rPr>
                <w:rFonts w:hint="eastAsia" w:ascii="Times New Roman" w:hAnsi="Times New Roman" w:eastAsia="宋体" w:cs="Times New Roman"/>
                <w:snapToGrid/>
                <w:color w:val="auto"/>
                <w:kern w:val="2"/>
                <w:sz w:val="21"/>
                <w:szCs w:val="21"/>
                <w:highlight w:val="none"/>
                <w:lang w:val="en-US" w:eastAsia="zh-CN" w:bidi="ar-SA"/>
              </w:rPr>
              <w:t>个月，具有交通主管部门颁发的有效安全生产“三类人员”B类证书。</w:t>
            </w:r>
          </w:p>
        </w:tc>
        <w:tc>
          <w:tcPr>
            <w:tcW w:w="1625" w:type="dxa"/>
            <w:vMerge w:val="continue"/>
            <w:noWrap w:val="0"/>
            <w:vAlign w:val="center"/>
          </w:tcPr>
          <w:p w14:paraId="2C55F45C">
            <w:pPr>
              <w:snapToGrid w:val="0"/>
              <w:spacing w:line="360" w:lineRule="auto"/>
              <w:textAlignment w:val="baseline"/>
              <w:rPr>
                <w:rFonts w:ascii="宋体" w:hAnsi="宋体" w:cs="宋体"/>
                <w:color w:val="auto"/>
                <w:spacing w:val="-2"/>
                <w:sz w:val="21"/>
                <w:szCs w:val="21"/>
                <w:highlight w:val="none"/>
              </w:rPr>
            </w:pPr>
          </w:p>
        </w:tc>
      </w:tr>
    </w:tbl>
    <w:p w14:paraId="7D83D911">
      <w:pPr>
        <w:ind w:firstLine="420" w:firstLineChars="200"/>
        <w:rPr>
          <w:rFonts w:hint="eastAsia" w:ascii="宋体" w:hAnsi="宋体" w:cs="宋体"/>
          <w:color w:val="auto"/>
          <w:szCs w:val="21"/>
          <w:highlight w:val="none"/>
        </w:rPr>
      </w:pPr>
    </w:p>
    <w:p w14:paraId="7628091E">
      <w:pPr>
        <w:adjustRightInd w:val="0"/>
        <w:snapToGrid w:val="0"/>
        <w:spacing w:line="320" w:lineRule="exact"/>
        <w:ind w:left="420" w:leftChars="200" w:right="420" w:rightChars="200"/>
        <w:rPr>
          <w:color w:val="auto"/>
          <w:szCs w:val="21"/>
          <w:highlight w:val="none"/>
        </w:rPr>
      </w:pPr>
      <w:r>
        <w:rPr>
          <w:color w:val="auto"/>
          <w:szCs w:val="21"/>
          <w:highlight w:val="none"/>
        </w:rPr>
        <w:t>注：1.资格要求的人员建造师注册证书、安全生产</w:t>
      </w:r>
      <w:r>
        <w:rPr>
          <w:rFonts w:hint="eastAsia" w:ascii="宋体" w:hAnsi="宋体" w:eastAsia="宋体" w:cs="宋体"/>
          <w:color w:val="auto"/>
          <w:szCs w:val="21"/>
          <w:highlight w:val="none"/>
        </w:rPr>
        <w:t>“三类人员”</w:t>
      </w:r>
      <w:r>
        <w:rPr>
          <w:color w:val="auto"/>
          <w:szCs w:val="21"/>
          <w:highlight w:val="none"/>
        </w:rPr>
        <w:t>B类证书均应在投标人所在单位，否则视为无效。</w:t>
      </w:r>
    </w:p>
    <w:p w14:paraId="06AF98D4">
      <w:pPr>
        <w:adjustRightInd w:val="0"/>
        <w:snapToGrid w:val="0"/>
        <w:spacing w:line="320" w:lineRule="exact"/>
        <w:ind w:left="420" w:leftChars="200" w:right="420" w:rightChars="200" w:firstLine="420" w:firstLineChars="200"/>
        <w:rPr>
          <w:color w:val="auto"/>
          <w:szCs w:val="21"/>
          <w:highlight w:val="none"/>
        </w:rPr>
      </w:pPr>
      <w:r>
        <w:rPr>
          <w:rFonts w:hint="default" w:ascii="Times New Roman" w:hAnsi="Times New Roman" w:cs="Times New Roman"/>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主管技术工作指：担任过项目经理、项目副经理、总工程师、</w:t>
      </w:r>
      <w:r>
        <w:rPr>
          <w:rFonts w:hint="eastAsia" w:ascii="宋体" w:hAnsi="宋体" w:cs="宋体"/>
          <w:color w:val="auto"/>
          <w:szCs w:val="21"/>
          <w:highlight w:val="none"/>
          <w:lang w:val="en-US" w:eastAsia="zh-CN"/>
        </w:rPr>
        <w:t>副总工程师、</w:t>
      </w:r>
      <w:r>
        <w:rPr>
          <w:rFonts w:hint="eastAsia" w:ascii="宋体" w:hAnsi="宋体" w:cs="宋体"/>
          <w:color w:val="auto"/>
          <w:szCs w:val="21"/>
          <w:highlight w:val="none"/>
        </w:rPr>
        <w:t>质检部门负责人、工程部门负责人。担任类似工程项目经理(或项目副经理或项目总工)岗位经验累计时间、主管类似工程技术工作岗位经验累计时间统计至月，计算时尾数如不少于15天的按1个月计，不足15天部分不计。</w:t>
      </w:r>
    </w:p>
    <w:p w14:paraId="499E2C39">
      <w:pPr>
        <w:adjustRightInd w:val="0"/>
        <w:snapToGrid w:val="0"/>
        <w:spacing w:line="320" w:lineRule="exact"/>
        <w:ind w:left="420" w:leftChars="200" w:right="420" w:rightChars="200"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w:t>
      </w:r>
      <w:r>
        <w:rPr>
          <w:rFonts w:hint="eastAsia"/>
          <w:color w:val="auto"/>
          <w:szCs w:val="21"/>
          <w:highlight w:val="none"/>
        </w:rPr>
        <w:t>路桥相关专业应以资质申请的为准</w:t>
      </w:r>
      <w:r>
        <w:rPr>
          <w:color w:val="auto"/>
          <w:szCs w:val="21"/>
          <w:highlight w:val="none"/>
        </w:rPr>
        <w:t>。</w:t>
      </w:r>
      <w:r>
        <w:rPr>
          <w:rFonts w:ascii="宋体" w:hAnsi="宋体"/>
          <w:color w:val="auto"/>
          <w:szCs w:val="21"/>
          <w:highlight w:val="none"/>
          <w:u w:val="none"/>
        </w:rPr>
        <w:t>“路桥相关工程专业”</w:t>
      </w:r>
      <w:r>
        <w:rPr>
          <w:rFonts w:hint="eastAsia"/>
          <w:color w:val="auto"/>
          <w:szCs w:val="21"/>
          <w:highlight w:val="none"/>
          <w:u w:val="none"/>
          <w:lang w:val="en-US" w:eastAsia="zh-CN"/>
        </w:rPr>
        <w:t>包括</w:t>
      </w:r>
      <w:r>
        <w:rPr>
          <w:color w:val="auto"/>
          <w:szCs w:val="21"/>
          <w:highlight w:val="none"/>
          <w:u w:val="none"/>
        </w:rPr>
        <w:t>公路工程、</w:t>
      </w:r>
      <w:r>
        <w:rPr>
          <w:rFonts w:hint="eastAsia"/>
          <w:color w:val="auto"/>
          <w:szCs w:val="21"/>
          <w:highlight w:val="none"/>
          <w:u w:val="none"/>
          <w:lang w:val="en-US" w:eastAsia="zh-CN"/>
        </w:rPr>
        <w:t>桥梁工程、</w:t>
      </w:r>
      <w:r>
        <w:rPr>
          <w:color w:val="auto"/>
          <w:szCs w:val="21"/>
          <w:highlight w:val="none"/>
          <w:u w:val="none"/>
        </w:rPr>
        <w:t>公路与桥梁工程</w:t>
      </w:r>
      <w:r>
        <w:rPr>
          <w:rFonts w:hint="eastAsia"/>
          <w:color w:val="auto"/>
          <w:szCs w:val="21"/>
          <w:highlight w:val="none"/>
          <w:u w:val="none"/>
          <w:lang w:eastAsia="zh-CN"/>
        </w:rPr>
        <w:t>、</w:t>
      </w:r>
      <w:r>
        <w:rPr>
          <w:color w:val="auto"/>
          <w:szCs w:val="21"/>
          <w:highlight w:val="none"/>
          <w:u w:val="none"/>
        </w:rPr>
        <w:t>交通土建、</w:t>
      </w:r>
      <w:r>
        <w:rPr>
          <w:rFonts w:hint="eastAsia"/>
          <w:color w:val="auto"/>
          <w:szCs w:val="21"/>
          <w:highlight w:val="none"/>
          <w:u w:val="none"/>
          <w:lang w:val="en-US" w:eastAsia="zh-CN"/>
        </w:rPr>
        <w:t>隧道（地下结构）</w:t>
      </w:r>
      <w:r>
        <w:rPr>
          <w:color w:val="auto"/>
          <w:szCs w:val="21"/>
          <w:highlight w:val="none"/>
          <w:u w:val="none"/>
        </w:rPr>
        <w:t>工程、交通工程</w:t>
      </w:r>
      <w:r>
        <w:rPr>
          <w:rFonts w:hint="eastAsia"/>
          <w:color w:val="auto"/>
          <w:szCs w:val="21"/>
          <w:highlight w:val="none"/>
          <w:u w:val="none"/>
          <w:lang w:val="en-US" w:eastAsia="zh-CN"/>
        </w:rPr>
        <w:t>等专业</w:t>
      </w:r>
      <w:r>
        <w:rPr>
          <w:color w:val="auto"/>
          <w:szCs w:val="21"/>
          <w:highlight w:val="none"/>
        </w:rPr>
        <w:t>。</w:t>
      </w:r>
    </w:p>
    <w:p w14:paraId="2FECEDE3">
      <w:pPr>
        <w:pStyle w:val="3"/>
        <w:adjustRightInd w:val="0"/>
        <w:snapToGrid w:val="0"/>
        <w:spacing w:line="320" w:lineRule="exact"/>
        <w:ind w:left="420" w:leftChars="200" w:right="420" w:rightChars="200" w:firstLine="420" w:firstLineChars="20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投标人应根据招标文件第二章“投标人须知”第 3.5.5 项的要求附相关证明材料。</w:t>
      </w:r>
      <w:bookmarkStart w:id="6" w:name="_Toc27223"/>
      <w:bookmarkStart w:id="7" w:name="_Toc26078"/>
    </w:p>
    <w:bookmarkEnd w:id="6"/>
    <w:bookmarkEnd w:id="7"/>
    <w:p w14:paraId="683396E6">
      <w:pPr>
        <w:pStyle w:val="3"/>
        <w:adjustRightInd w:val="0"/>
        <w:snapToGrid w:val="0"/>
        <w:spacing w:line="320" w:lineRule="exact"/>
        <w:ind w:left="420" w:leftChars="200" w:right="420" w:rightChars="200" w:firstLine="420" w:firstLineChars="200"/>
        <w:rPr>
          <w:rFonts w:hint="eastAsia"/>
          <w:color w:val="auto"/>
          <w:sz w:val="21"/>
          <w:szCs w:val="21"/>
          <w:highlight w:val="none"/>
        </w:rPr>
      </w:pPr>
      <w:r>
        <w:rPr>
          <w:rFonts w:hint="eastAsia"/>
          <w:color w:val="auto"/>
          <w:sz w:val="21"/>
          <w:szCs w:val="21"/>
          <w:highlight w:val="none"/>
          <w:lang w:val="en-US" w:eastAsia="zh-CN"/>
        </w:rPr>
        <w:t>5、如为联合体投标，本表人员由牵头人提供。</w:t>
      </w:r>
    </w:p>
    <w:p w14:paraId="6EFB492E">
      <w:pPr>
        <w:pStyle w:val="3"/>
        <w:adjustRightInd w:val="0"/>
        <w:snapToGrid w:val="0"/>
        <w:spacing w:line="320" w:lineRule="exact"/>
        <w:ind w:left="420" w:leftChars="200" w:right="420" w:rightChars="200" w:firstLine="420" w:firstLineChars="200"/>
        <w:rPr>
          <w:rFonts w:hint="eastAsia"/>
          <w:color w:val="auto"/>
          <w:sz w:val="21"/>
          <w:szCs w:val="21"/>
          <w:highlight w:val="none"/>
        </w:rPr>
      </w:pPr>
    </w:p>
    <w:p w14:paraId="569431CC">
      <w:pPr>
        <w:pStyle w:val="3"/>
        <w:adjustRightInd w:val="0"/>
        <w:snapToGrid w:val="0"/>
        <w:spacing w:line="320" w:lineRule="exact"/>
        <w:ind w:left="420" w:leftChars="200" w:right="420" w:rightChars="200" w:firstLine="420" w:firstLineChars="200"/>
        <w:rPr>
          <w:rFonts w:hint="eastAsia"/>
          <w:color w:val="auto"/>
          <w:sz w:val="21"/>
          <w:szCs w:val="21"/>
          <w:highlight w:val="none"/>
        </w:rPr>
      </w:pPr>
    </w:p>
    <w:p w14:paraId="57FF69B2">
      <w:pPr>
        <w:spacing w:line="400" w:lineRule="exact"/>
        <w:rPr>
          <w:color w:val="auto"/>
          <w:sz w:val="24"/>
          <w:highlight w:val="none"/>
        </w:rPr>
      </w:pPr>
    </w:p>
    <w:p w14:paraId="5F6B0DF4">
      <w:pPr>
        <w:pStyle w:val="4"/>
        <w:rPr>
          <w:color w:val="auto"/>
          <w:sz w:val="24"/>
          <w:highlight w:val="none"/>
        </w:rPr>
      </w:pPr>
    </w:p>
    <w:p w14:paraId="7C4DF26A">
      <w:pPr>
        <w:pStyle w:val="4"/>
        <w:rPr>
          <w:color w:val="auto"/>
          <w:sz w:val="24"/>
          <w:highlight w:val="none"/>
        </w:rPr>
      </w:pPr>
    </w:p>
    <w:p w14:paraId="0C840A5D">
      <w:pPr>
        <w:pStyle w:val="4"/>
        <w:rPr>
          <w:color w:val="auto"/>
          <w:sz w:val="24"/>
          <w:highlight w:val="none"/>
        </w:rPr>
      </w:pPr>
    </w:p>
    <w:p w14:paraId="72A63814">
      <w:pPr>
        <w:tabs>
          <w:tab w:val="left" w:pos="3071"/>
        </w:tabs>
        <w:spacing w:before="120" w:beforeLines="50" w:after="120" w:afterLines="50"/>
        <w:jc w:val="center"/>
        <w:rPr>
          <w:color w:val="auto"/>
          <w:highlight w:val="none"/>
        </w:rPr>
      </w:pPr>
      <w:r>
        <w:rPr>
          <w:color w:val="auto"/>
          <w:highlight w:val="none"/>
        </w:rPr>
        <w:br w:type="page"/>
      </w:r>
    </w:p>
    <w:p w14:paraId="34284DDF">
      <w:pPr>
        <w:tabs>
          <w:tab w:val="left" w:pos="3071"/>
        </w:tabs>
        <w:spacing w:before="120" w:beforeLines="50" w:after="120" w:afterLines="50"/>
        <w:jc w:val="center"/>
        <w:rPr>
          <w:rFonts w:ascii="宋体" w:hAnsi="宋体" w:cs="宋体"/>
          <w:b/>
          <w:bCs/>
          <w:color w:val="auto"/>
          <w:sz w:val="28"/>
          <w:szCs w:val="28"/>
          <w:highlight w:val="none"/>
        </w:rPr>
      </w:pPr>
      <w:r>
        <w:rPr>
          <w:rFonts w:ascii="宋体" w:hAnsi="宋体" w:cs="宋体"/>
          <w:b/>
          <w:bCs/>
          <w:color w:val="auto"/>
          <w:sz w:val="28"/>
          <w:szCs w:val="28"/>
          <w:highlight w:val="none"/>
        </w:rPr>
        <w:t>附录6 资格审查条件(其他管理人员和技术人员最低要求)</w:t>
      </w:r>
    </w:p>
    <w:p w14:paraId="6558C750">
      <w:pPr>
        <w:rPr>
          <w:rFonts w:ascii="宋体" w:hAnsi="宋体" w:cs="宋体"/>
          <w:color w:val="auto"/>
          <w:sz w:val="20"/>
          <w:szCs w:val="20"/>
          <w:highlight w:val="none"/>
        </w:rPr>
      </w:pPr>
    </w:p>
    <w:p w14:paraId="4C79925C">
      <w:pPr>
        <w:autoSpaceDE w:val="0"/>
        <w:autoSpaceDN w:val="0"/>
        <w:adjustRightInd w:val="0"/>
        <w:spacing w:before="1"/>
        <w:rPr>
          <w:rFonts w:ascii="黑体" w:hAnsi="黑体" w:eastAsia="黑体" w:cs="黑体"/>
          <w:b/>
          <w:bCs/>
          <w:color w:val="auto"/>
          <w:highlight w:val="none"/>
        </w:rPr>
      </w:pPr>
    </w:p>
    <w:tbl>
      <w:tblPr>
        <w:tblStyle w:val="12"/>
        <w:tblW w:w="9658"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5"/>
        <w:gridCol w:w="773"/>
        <w:gridCol w:w="6180"/>
      </w:tblGrid>
      <w:tr w14:paraId="63FB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705" w:type="dxa"/>
            <w:tcBorders>
              <w:top w:val="single" w:color="000000" w:sz="10" w:space="0"/>
              <w:left w:val="single" w:color="000000" w:sz="10" w:space="0"/>
            </w:tcBorders>
            <w:noWrap w:val="0"/>
            <w:vAlign w:val="center"/>
          </w:tcPr>
          <w:p w14:paraId="15D82848">
            <w:pPr>
              <w:pStyle w:val="11"/>
              <w:spacing w:line="240" w:lineRule="auto"/>
              <w:ind w:left="0"/>
              <w:jc w:val="center"/>
              <w:rPr>
                <w:color w:val="auto"/>
                <w:sz w:val="21"/>
                <w:szCs w:val="21"/>
                <w:highlight w:val="none"/>
              </w:rPr>
            </w:pPr>
            <w:r>
              <w:rPr>
                <w:color w:val="auto"/>
                <w:spacing w:val="-6"/>
                <w:sz w:val="21"/>
                <w:szCs w:val="21"/>
                <w:highlight w:val="none"/>
              </w:rPr>
              <w:t>人</w:t>
            </w:r>
            <w:r>
              <w:rPr>
                <w:color w:val="auto"/>
                <w:spacing w:val="9"/>
                <w:sz w:val="21"/>
                <w:szCs w:val="21"/>
                <w:highlight w:val="none"/>
              </w:rPr>
              <w:t xml:space="preserve">  </w:t>
            </w:r>
            <w:r>
              <w:rPr>
                <w:color w:val="auto"/>
                <w:spacing w:val="-6"/>
                <w:sz w:val="21"/>
                <w:szCs w:val="21"/>
                <w:highlight w:val="none"/>
              </w:rPr>
              <w:t>员</w:t>
            </w:r>
          </w:p>
        </w:tc>
        <w:tc>
          <w:tcPr>
            <w:tcW w:w="773" w:type="dxa"/>
            <w:tcBorders>
              <w:top w:val="single" w:color="000000" w:sz="10" w:space="0"/>
            </w:tcBorders>
            <w:noWrap w:val="0"/>
            <w:vAlign w:val="center"/>
          </w:tcPr>
          <w:p w14:paraId="041437E9">
            <w:pPr>
              <w:pStyle w:val="11"/>
              <w:spacing w:line="240" w:lineRule="auto"/>
              <w:ind w:left="0"/>
              <w:jc w:val="center"/>
              <w:rPr>
                <w:color w:val="auto"/>
                <w:sz w:val="21"/>
                <w:szCs w:val="21"/>
                <w:highlight w:val="none"/>
              </w:rPr>
            </w:pPr>
            <w:r>
              <w:rPr>
                <w:color w:val="auto"/>
                <w:spacing w:val="-6"/>
                <w:sz w:val="21"/>
                <w:szCs w:val="21"/>
                <w:highlight w:val="none"/>
              </w:rPr>
              <w:t>数量</w:t>
            </w:r>
          </w:p>
        </w:tc>
        <w:tc>
          <w:tcPr>
            <w:tcW w:w="6180" w:type="dxa"/>
            <w:tcBorders>
              <w:top w:val="single" w:color="000000" w:sz="10" w:space="0"/>
              <w:right w:val="single" w:color="000000" w:sz="10" w:space="0"/>
            </w:tcBorders>
            <w:noWrap w:val="0"/>
            <w:vAlign w:val="center"/>
          </w:tcPr>
          <w:p w14:paraId="57935DC5">
            <w:pPr>
              <w:pStyle w:val="11"/>
              <w:spacing w:line="240" w:lineRule="auto"/>
              <w:ind w:left="0"/>
              <w:jc w:val="center"/>
              <w:rPr>
                <w:color w:val="auto"/>
                <w:sz w:val="21"/>
                <w:szCs w:val="21"/>
                <w:highlight w:val="none"/>
              </w:rPr>
            </w:pPr>
            <w:r>
              <w:rPr>
                <w:color w:val="auto"/>
                <w:spacing w:val="-10"/>
                <w:sz w:val="21"/>
                <w:szCs w:val="21"/>
                <w:highlight w:val="none"/>
              </w:rPr>
              <w:t>资</w:t>
            </w:r>
            <w:r>
              <w:rPr>
                <w:color w:val="auto"/>
                <w:spacing w:val="9"/>
                <w:sz w:val="21"/>
                <w:szCs w:val="21"/>
                <w:highlight w:val="none"/>
              </w:rPr>
              <w:t xml:space="preserve"> </w:t>
            </w:r>
            <w:r>
              <w:rPr>
                <w:color w:val="auto"/>
                <w:spacing w:val="-10"/>
                <w:sz w:val="21"/>
                <w:szCs w:val="21"/>
                <w:highlight w:val="none"/>
              </w:rPr>
              <w:t>格</w:t>
            </w:r>
            <w:r>
              <w:rPr>
                <w:color w:val="auto"/>
                <w:spacing w:val="10"/>
                <w:sz w:val="21"/>
                <w:szCs w:val="21"/>
                <w:highlight w:val="none"/>
              </w:rPr>
              <w:t xml:space="preserve"> </w:t>
            </w:r>
            <w:r>
              <w:rPr>
                <w:color w:val="auto"/>
                <w:spacing w:val="-10"/>
                <w:sz w:val="21"/>
                <w:szCs w:val="21"/>
                <w:highlight w:val="none"/>
              </w:rPr>
              <w:t>要</w:t>
            </w:r>
            <w:r>
              <w:rPr>
                <w:color w:val="auto"/>
                <w:spacing w:val="11"/>
                <w:sz w:val="21"/>
                <w:szCs w:val="21"/>
                <w:highlight w:val="none"/>
              </w:rPr>
              <w:t xml:space="preserve"> </w:t>
            </w:r>
            <w:r>
              <w:rPr>
                <w:color w:val="auto"/>
                <w:spacing w:val="-10"/>
                <w:sz w:val="21"/>
                <w:szCs w:val="21"/>
                <w:highlight w:val="none"/>
              </w:rPr>
              <w:t>求</w:t>
            </w:r>
          </w:p>
        </w:tc>
      </w:tr>
      <w:tr w14:paraId="50C1F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05" w:type="dxa"/>
            <w:tcBorders>
              <w:left w:val="single" w:color="000000" w:sz="10" w:space="0"/>
            </w:tcBorders>
            <w:noWrap w:val="0"/>
            <w:vAlign w:val="center"/>
          </w:tcPr>
          <w:p w14:paraId="1B7557FD">
            <w:pPr>
              <w:pStyle w:val="11"/>
              <w:spacing w:before="203" w:line="219" w:lineRule="auto"/>
              <w:jc w:val="center"/>
              <w:rPr>
                <w:b/>
                <w:bCs/>
                <w:color w:val="auto"/>
                <w:sz w:val="21"/>
                <w:szCs w:val="21"/>
                <w:highlight w:val="none"/>
              </w:rPr>
            </w:pPr>
            <w:r>
              <w:rPr>
                <w:color w:val="auto"/>
                <w:spacing w:val="-3"/>
                <w:sz w:val="21"/>
                <w:szCs w:val="21"/>
                <w:highlight w:val="none"/>
              </w:rPr>
              <w:t>质检工程师</w:t>
            </w:r>
          </w:p>
        </w:tc>
        <w:tc>
          <w:tcPr>
            <w:tcW w:w="773" w:type="dxa"/>
            <w:noWrap w:val="0"/>
            <w:vAlign w:val="center"/>
          </w:tcPr>
          <w:p w14:paraId="66ACA2BD">
            <w:pPr>
              <w:jc w:val="center"/>
              <w:rPr>
                <w:rFonts w:hint="default" w:ascii="Arial" w:eastAsia="宋体"/>
                <w:b w:val="0"/>
                <w:bCs w:val="0"/>
                <w:color w:val="auto"/>
                <w:sz w:val="21"/>
                <w:szCs w:val="21"/>
                <w:highlight w:val="none"/>
                <w:lang w:val="en-US" w:eastAsia="zh-CN"/>
              </w:rPr>
            </w:pPr>
            <w:r>
              <w:rPr>
                <w:rFonts w:hint="eastAsia" w:ascii="Arial"/>
                <w:b w:val="0"/>
                <w:bCs w:val="0"/>
                <w:color w:val="auto"/>
                <w:sz w:val="21"/>
                <w:szCs w:val="21"/>
                <w:highlight w:val="none"/>
                <w:lang w:val="en-US" w:eastAsia="zh-CN"/>
              </w:rPr>
              <w:t>1</w:t>
            </w:r>
          </w:p>
        </w:tc>
        <w:tc>
          <w:tcPr>
            <w:tcW w:w="6180" w:type="dxa"/>
            <w:tcBorders>
              <w:right w:val="single" w:color="000000" w:sz="10" w:space="0"/>
            </w:tcBorders>
            <w:noWrap w:val="0"/>
            <w:vAlign w:val="center"/>
          </w:tcPr>
          <w:p w14:paraId="39C40855">
            <w:pPr>
              <w:pStyle w:val="11"/>
              <w:spacing w:before="203" w:line="219" w:lineRule="auto"/>
              <w:ind w:left="112" w:leftChars="0"/>
              <w:jc w:val="center"/>
              <w:rPr>
                <w:b/>
                <w:bCs/>
                <w:color w:val="auto"/>
                <w:sz w:val="21"/>
                <w:szCs w:val="21"/>
                <w:highlight w:val="none"/>
              </w:rPr>
            </w:pPr>
            <w:r>
              <w:rPr>
                <w:color w:val="auto"/>
                <w:spacing w:val="-2"/>
                <w:sz w:val="21"/>
                <w:szCs w:val="21"/>
                <w:highlight w:val="none"/>
              </w:rPr>
              <w:t>路桥相关专业工程师。</w:t>
            </w:r>
          </w:p>
        </w:tc>
      </w:tr>
      <w:tr w14:paraId="24C38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2705" w:type="dxa"/>
            <w:tcBorders>
              <w:left w:val="single" w:color="000000" w:sz="10" w:space="0"/>
            </w:tcBorders>
            <w:noWrap w:val="0"/>
            <w:vAlign w:val="center"/>
          </w:tcPr>
          <w:p w14:paraId="01C261DC">
            <w:pPr>
              <w:pStyle w:val="11"/>
              <w:spacing w:before="78" w:line="219" w:lineRule="auto"/>
              <w:jc w:val="center"/>
              <w:rPr>
                <w:b/>
                <w:bCs/>
                <w:color w:val="auto"/>
                <w:sz w:val="21"/>
                <w:szCs w:val="21"/>
                <w:highlight w:val="none"/>
              </w:rPr>
            </w:pPr>
            <w:r>
              <w:rPr>
                <w:color w:val="auto"/>
                <w:spacing w:val="-2"/>
                <w:sz w:val="21"/>
                <w:szCs w:val="21"/>
                <w:highlight w:val="none"/>
              </w:rPr>
              <w:t>计划工程师</w:t>
            </w:r>
          </w:p>
        </w:tc>
        <w:tc>
          <w:tcPr>
            <w:tcW w:w="773" w:type="dxa"/>
            <w:noWrap w:val="0"/>
            <w:vAlign w:val="center"/>
          </w:tcPr>
          <w:p w14:paraId="5FD1A3CE">
            <w:pPr>
              <w:jc w:val="center"/>
              <w:rPr>
                <w:rFonts w:hint="default" w:ascii="Arial" w:eastAsia="宋体"/>
                <w:b w:val="0"/>
                <w:bCs w:val="0"/>
                <w:color w:val="auto"/>
                <w:sz w:val="21"/>
                <w:szCs w:val="21"/>
                <w:highlight w:val="none"/>
                <w:lang w:val="en-US" w:eastAsia="zh-CN"/>
              </w:rPr>
            </w:pPr>
            <w:r>
              <w:rPr>
                <w:rFonts w:hint="eastAsia" w:ascii="Arial"/>
                <w:b w:val="0"/>
                <w:bCs w:val="0"/>
                <w:color w:val="auto"/>
                <w:sz w:val="21"/>
                <w:szCs w:val="21"/>
                <w:highlight w:val="none"/>
                <w:lang w:val="en-US" w:eastAsia="zh-CN"/>
              </w:rPr>
              <w:t>1</w:t>
            </w:r>
          </w:p>
        </w:tc>
        <w:tc>
          <w:tcPr>
            <w:tcW w:w="6180" w:type="dxa"/>
            <w:tcBorders>
              <w:right w:val="single" w:color="000000" w:sz="10" w:space="0"/>
            </w:tcBorders>
            <w:noWrap w:val="0"/>
            <w:vAlign w:val="center"/>
          </w:tcPr>
          <w:p w14:paraId="120B1709">
            <w:pPr>
              <w:pStyle w:val="11"/>
              <w:spacing w:before="78" w:line="235" w:lineRule="auto"/>
              <w:jc w:val="center"/>
              <w:rPr>
                <w:b/>
                <w:bCs/>
                <w:color w:val="auto"/>
                <w:sz w:val="21"/>
                <w:szCs w:val="21"/>
                <w:highlight w:val="none"/>
              </w:rPr>
            </w:pPr>
            <w:r>
              <w:rPr>
                <w:color w:val="auto"/>
                <w:spacing w:val="-3"/>
                <w:sz w:val="21"/>
                <w:szCs w:val="21"/>
                <w:highlight w:val="none"/>
                <w:u w:val="none" w:color="auto"/>
              </w:rPr>
              <w:t>路桥相关专业工程师，</w:t>
            </w:r>
            <w:r>
              <w:rPr>
                <w:color w:val="auto"/>
                <w:sz w:val="21"/>
                <w:szCs w:val="21"/>
                <w:highlight w:val="none"/>
                <w:u w:val="none" w:color="auto"/>
              </w:rPr>
              <w:t xml:space="preserve"> </w:t>
            </w:r>
            <w:r>
              <w:rPr>
                <w:color w:val="auto"/>
                <w:spacing w:val="-2"/>
                <w:sz w:val="21"/>
                <w:szCs w:val="21"/>
                <w:highlight w:val="none"/>
                <w:u w:val="none" w:color="auto"/>
              </w:rPr>
              <w:t>具有住房和城乡建设部颁发的注册造价工程师证书</w:t>
            </w:r>
            <w:r>
              <w:rPr>
                <w:color w:val="auto"/>
                <w:spacing w:val="-1"/>
                <w:sz w:val="21"/>
                <w:szCs w:val="21"/>
                <w:highlight w:val="none"/>
                <w:u w:val="none" w:color="auto"/>
              </w:rPr>
              <w:t>或</w:t>
            </w:r>
            <w:r>
              <w:rPr>
                <w:rFonts w:hint="eastAsia"/>
                <w:color w:val="auto"/>
                <w:spacing w:val="-1"/>
                <w:sz w:val="21"/>
                <w:szCs w:val="21"/>
                <w:highlight w:val="none"/>
                <w:u w:val="none" w:color="auto"/>
                <w:lang w:val="en-US" w:eastAsia="zh-CN"/>
              </w:rPr>
              <w:t>壹</w:t>
            </w:r>
            <w:r>
              <w:rPr>
                <w:color w:val="auto"/>
                <w:spacing w:val="-1"/>
                <w:sz w:val="21"/>
                <w:szCs w:val="21"/>
                <w:highlight w:val="none"/>
                <w:u w:val="none" w:color="auto"/>
              </w:rPr>
              <w:t>级造价工程师注册证（土木建筑工程专业</w:t>
            </w:r>
            <w:r>
              <w:rPr>
                <w:color w:val="auto"/>
                <w:spacing w:val="-11"/>
                <w:sz w:val="21"/>
                <w:szCs w:val="21"/>
                <w:highlight w:val="none"/>
                <w:u w:val="none" w:color="auto"/>
              </w:rPr>
              <w:t>），</w:t>
            </w:r>
            <w:r>
              <w:rPr>
                <w:color w:val="auto"/>
                <w:spacing w:val="-2"/>
                <w:sz w:val="21"/>
                <w:szCs w:val="21"/>
                <w:highlight w:val="none"/>
                <w:u w:val="none" w:color="auto"/>
              </w:rPr>
              <w:t>或交通运输部（原交通部）颁发的</w:t>
            </w:r>
            <w:r>
              <w:rPr>
                <w:rFonts w:hint="eastAsia"/>
                <w:color w:val="auto"/>
                <w:spacing w:val="-2"/>
                <w:sz w:val="21"/>
                <w:szCs w:val="21"/>
                <w:highlight w:val="none"/>
                <w:u w:val="none" w:color="auto"/>
                <w:lang w:val="en-US" w:eastAsia="zh-CN"/>
              </w:rPr>
              <w:t>甲</w:t>
            </w:r>
            <w:r>
              <w:rPr>
                <w:color w:val="auto"/>
                <w:spacing w:val="-2"/>
                <w:sz w:val="21"/>
                <w:szCs w:val="21"/>
                <w:highlight w:val="none"/>
                <w:u w:val="none" w:color="auto"/>
              </w:rPr>
              <w:t>级造价人员证</w:t>
            </w:r>
            <w:r>
              <w:rPr>
                <w:color w:val="auto"/>
                <w:spacing w:val="-7"/>
                <w:sz w:val="21"/>
                <w:szCs w:val="21"/>
                <w:highlight w:val="none"/>
                <w:u w:val="none" w:color="auto"/>
              </w:rPr>
              <w:t>书或级造价工程师注册证（交通运输工程专业）。</w:t>
            </w:r>
          </w:p>
        </w:tc>
      </w:tr>
      <w:tr w14:paraId="0892A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705" w:type="dxa"/>
            <w:tcBorders>
              <w:left w:val="single" w:color="000000" w:sz="10" w:space="0"/>
            </w:tcBorders>
            <w:noWrap w:val="0"/>
            <w:vAlign w:val="center"/>
          </w:tcPr>
          <w:p w14:paraId="23B6433C">
            <w:pPr>
              <w:pStyle w:val="11"/>
              <w:spacing w:before="192" w:line="219" w:lineRule="auto"/>
              <w:jc w:val="center"/>
              <w:rPr>
                <w:b/>
                <w:bCs/>
                <w:color w:val="auto"/>
                <w:sz w:val="21"/>
                <w:szCs w:val="21"/>
                <w:highlight w:val="none"/>
              </w:rPr>
            </w:pPr>
            <w:r>
              <w:rPr>
                <w:color w:val="auto"/>
                <w:spacing w:val="-2"/>
                <w:sz w:val="21"/>
                <w:szCs w:val="21"/>
                <w:highlight w:val="none"/>
              </w:rPr>
              <w:t>道路工程师</w:t>
            </w:r>
          </w:p>
        </w:tc>
        <w:tc>
          <w:tcPr>
            <w:tcW w:w="773" w:type="dxa"/>
            <w:noWrap w:val="0"/>
            <w:vAlign w:val="center"/>
          </w:tcPr>
          <w:p w14:paraId="1D683C97">
            <w:pPr>
              <w:jc w:val="center"/>
              <w:rPr>
                <w:rFonts w:hint="default" w:ascii="Arial" w:eastAsia="宋体"/>
                <w:b w:val="0"/>
                <w:bCs w:val="0"/>
                <w:color w:val="auto"/>
                <w:sz w:val="21"/>
                <w:szCs w:val="21"/>
                <w:highlight w:val="none"/>
                <w:lang w:val="en-US" w:eastAsia="zh-CN"/>
              </w:rPr>
            </w:pPr>
            <w:r>
              <w:rPr>
                <w:rFonts w:hint="eastAsia" w:ascii="Arial"/>
                <w:b w:val="0"/>
                <w:bCs w:val="0"/>
                <w:color w:val="auto"/>
                <w:sz w:val="21"/>
                <w:szCs w:val="21"/>
                <w:highlight w:val="none"/>
                <w:lang w:val="en-US" w:eastAsia="zh-CN"/>
              </w:rPr>
              <w:t>1</w:t>
            </w:r>
          </w:p>
        </w:tc>
        <w:tc>
          <w:tcPr>
            <w:tcW w:w="6180" w:type="dxa"/>
            <w:tcBorders>
              <w:right w:val="single" w:color="000000" w:sz="10" w:space="0"/>
            </w:tcBorders>
            <w:noWrap w:val="0"/>
            <w:vAlign w:val="center"/>
          </w:tcPr>
          <w:p w14:paraId="50410398">
            <w:pPr>
              <w:pStyle w:val="11"/>
              <w:spacing w:before="192" w:line="219" w:lineRule="auto"/>
              <w:ind w:right="13" w:rightChars="0"/>
              <w:jc w:val="center"/>
              <w:rPr>
                <w:b/>
                <w:bCs/>
                <w:color w:val="auto"/>
                <w:sz w:val="21"/>
                <w:szCs w:val="21"/>
                <w:highlight w:val="none"/>
              </w:rPr>
            </w:pPr>
            <w:r>
              <w:rPr>
                <w:color w:val="auto"/>
                <w:spacing w:val="-1"/>
                <w:sz w:val="21"/>
                <w:szCs w:val="21"/>
                <w:highlight w:val="none"/>
              </w:rPr>
              <w:t>路桥相关专业工程师</w:t>
            </w:r>
            <w:r>
              <w:rPr>
                <w:color w:val="auto"/>
                <w:spacing w:val="-2"/>
                <w:sz w:val="21"/>
                <w:szCs w:val="21"/>
                <w:highlight w:val="none"/>
              </w:rPr>
              <w:t>。</w:t>
            </w:r>
          </w:p>
        </w:tc>
      </w:tr>
      <w:tr w14:paraId="5609E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2705" w:type="dxa"/>
            <w:tcBorders>
              <w:left w:val="single" w:color="000000" w:sz="10" w:space="0"/>
              <w:bottom w:val="single" w:color="000000" w:sz="10" w:space="0"/>
            </w:tcBorders>
            <w:noWrap w:val="0"/>
            <w:vAlign w:val="center"/>
          </w:tcPr>
          <w:p w14:paraId="10A769AD">
            <w:pPr>
              <w:pStyle w:val="11"/>
              <w:spacing w:before="310" w:line="219" w:lineRule="auto"/>
              <w:jc w:val="center"/>
              <w:rPr>
                <w:b/>
                <w:bCs/>
                <w:color w:val="auto"/>
                <w:sz w:val="21"/>
                <w:szCs w:val="21"/>
                <w:highlight w:val="none"/>
              </w:rPr>
            </w:pPr>
            <w:bookmarkStart w:id="8" w:name="bookmark67"/>
            <w:bookmarkEnd w:id="8"/>
            <w:r>
              <w:rPr>
                <w:color w:val="auto"/>
                <w:spacing w:val="-3"/>
                <w:sz w:val="21"/>
                <w:szCs w:val="21"/>
                <w:highlight w:val="none"/>
              </w:rPr>
              <w:t>测量工程师</w:t>
            </w:r>
          </w:p>
        </w:tc>
        <w:tc>
          <w:tcPr>
            <w:tcW w:w="773" w:type="dxa"/>
            <w:tcBorders>
              <w:bottom w:val="single" w:color="000000" w:sz="10" w:space="0"/>
            </w:tcBorders>
            <w:noWrap w:val="0"/>
            <w:vAlign w:val="center"/>
          </w:tcPr>
          <w:p w14:paraId="52D9DF50">
            <w:pPr>
              <w:jc w:val="center"/>
              <w:rPr>
                <w:rFonts w:hint="default" w:ascii="Arial" w:eastAsia="宋体"/>
                <w:b w:val="0"/>
                <w:bCs w:val="0"/>
                <w:color w:val="auto"/>
                <w:sz w:val="21"/>
                <w:szCs w:val="21"/>
                <w:highlight w:val="none"/>
                <w:lang w:val="en-US" w:eastAsia="zh-CN"/>
              </w:rPr>
            </w:pPr>
            <w:r>
              <w:rPr>
                <w:rFonts w:hint="eastAsia" w:ascii="Arial"/>
                <w:b w:val="0"/>
                <w:bCs w:val="0"/>
                <w:color w:val="auto"/>
                <w:sz w:val="21"/>
                <w:szCs w:val="21"/>
                <w:highlight w:val="none"/>
                <w:lang w:val="en-US" w:eastAsia="zh-CN"/>
              </w:rPr>
              <w:t>1</w:t>
            </w:r>
          </w:p>
        </w:tc>
        <w:tc>
          <w:tcPr>
            <w:tcW w:w="6180" w:type="dxa"/>
            <w:tcBorders>
              <w:bottom w:val="single" w:color="000000" w:sz="10" w:space="0"/>
              <w:right w:val="single" w:color="000000" w:sz="10" w:space="0"/>
            </w:tcBorders>
            <w:noWrap w:val="0"/>
            <w:vAlign w:val="center"/>
          </w:tcPr>
          <w:p w14:paraId="143FF55B">
            <w:pPr>
              <w:pStyle w:val="11"/>
              <w:spacing w:before="310" w:line="219" w:lineRule="auto"/>
              <w:jc w:val="center"/>
              <w:rPr>
                <w:b/>
                <w:bCs/>
                <w:color w:val="auto"/>
                <w:sz w:val="21"/>
                <w:szCs w:val="21"/>
                <w:highlight w:val="none"/>
              </w:rPr>
            </w:pPr>
            <w:r>
              <w:rPr>
                <w:rFonts w:hint="eastAsia"/>
                <w:color w:val="auto"/>
                <w:spacing w:val="-3"/>
                <w:sz w:val="21"/>
                <w:szCs w:val="21"/>
                <w:highlight w:val="none"/>
                <w:lang w:val="en-US" w:eastAsia="zh-CN"/>
              </w:rPr>
              <w:t>路桥</w:t>
            </w:r>
            <w:r>
              <w:rPr>
                <w:color w:val="auto"/>
                <w:spacing w:val="-3"/>
                <w:sz w:val="21"/>
                <w:szCs w:val="21"/>
                <w:highlight w:val="none"/>
              </w:rPr>
              <w:t>工程师。</w:t>
            </w:r>
          </w:p>
        </w:tc>
      </w:tr>
      <w:tr w14:paraId="02405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2705" w:type="dxa"/>
            <w:tcBorders>
              <w:top w:val="single" w:color="000000" w:sz="10" w:space="0"/>
              <w:left w:val="single" w:color="000000" w:sz="10" w:space="0"/>
            </w:tcBorders>
            <w:noWrap w:val="0"/>
            <w:vAlign w:val="center"/>
          </w:tcPr>
          <w:p w14:paraId="7BCA11AA">
            <w:pPr>
              <w:pStyle w:val="11"/>
              <w:spacing w:before="78" w:line="219" w:lineRule="auto"/>
              <w:jc w:val="center"/>
              <w:rPr>
                <w:b/>
                <w:bCs/>
                <w:color w:val="auto"/>
                <w:sz w:val="21"/>
                <w:szCs w:val="21"/>
                <w:highlight w:val="none"/>
              </w:rPr>
            </w:pPr>
            <w:r>
              <w:rPr>
                <w:color w:val="auto"/>
                <w:spacing w:val="-2"/>
                <w:sz w:val="21"/>
                <w:szCs w:val="21"/>
                <w:highlight w:val="none"/>
              </w:rPr>
              <w:t>试验工程师</w:t>
            </w:r>
          </w:p>
        </w:tc>
        <w:tc>
          <w:tcPr>
            <w:tcW w:w="773" w:type="dxa"/>
            <w:tcBorders>
              <w:top w:val="single" w:color="000000" w:sz="10" w:space="0"/>
            </w:tcBorders>
            <w:noWrap w:val="0"/>
            <w:vAlign w:val="center"/>
          </w:tcPr>
          <w:p w14:paraId="7F48E9CF">
            <w:pPr>
              <w:jc w:val="center"/>
              <w:rPr>
                <w:rFonts w:hint="default" w:ascii="Arial" w:eastAsia="宋体"/>
                <w:b w:val="0"/>
                <w:bCs w:val="0"/>
                <w:color w:val="auto"/>
                <w:sz w:val="21"/>
                <w:szCs w:val="21"/>
                <w:highlight w:val="none"/>
                <w:lang w:val="en-US" w:eastAsia="zh-CN"/>
              </w:rPr>
            </w:pPr>
            <w:r>
              <w:rPr>
                <w:rFonts w:hint="eastAsia" w:ascii="Arial"/>
                <w:b w:val="0"/>
                <w:bCs w:val="0"/>
                <w:color w:val="auto"/>
                <w:sz w:val="21"/>
                <w:szCs w:val="21"/>
                <w:highlight w:val="none"/>
                <w:lang w:val="en-US" w:eastAsia="zh-CN"/>
              </w:rPr>
              <w:t>1</w:t>
            </w:r>
          </w:p>
        </w:tc>
        <w:tc>
          <w:tcPr>
            <w:tcW w:w="6180" w:type="dxa"/>
            <w:tcBorders>
              <w:top w:val="single" w:color="000000" w:sz="10" w:space="0"/>
              <w:right w:val="single" w:color="000000" w:sz="10" w:space="0"/>
            </w:tcBorders>
            <w:noWrap w:val="0"/>
            <w:vAlign w:val="center"/>
          </w:tcPr>
          <w:p w14:paraId="4E916814">
            <w:pPr>
              <w:pStyle w:val="11"/>
              <w:spacing w:before="78" w:line="219" w:lineRule="auto"/>
              <w:jc w:val="center"/>
              <w:rPr>
                <w:b/>
                <w:bCs/>
                <w:color w:val="auto"/>
                <w:sz w:val="21"/>
                <w:szCs w:val="21"/>
                <w:highlight w:val="none"/>
              </w:rPr>
            </w:pPr>
            <w:r>
              <w:rPr>
                <w:color w:val="auto"/>
                <w:spacing w:val="-1"/>
                <w:sz w:val="21"/>
                <w:szCs w:val="21"/>
                <w:highlight w:val="none"/>
              </w:rPr>
              <w:t>持有行政主管部门核发的公路工程试验检测师资格</w:t>
            </w:r>
            <w:r>
              <w:rPr>
                <w:color w:val="auto"/>
                <w:spacing w:val="-3"/>
                <w:sz w:val="21"/>
                <w:szCs w:val="21"/>
                <w:highlight w:val="none"/>
              </w:rPr>
              <w:t>证书或试验检测工程师资格证书。</w:t>
            </w:r>
          </w:p>
        </w:tc>
      </w:tr>
      <w:tr w14:paraId="0504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2705" w:type="dxa"/>
            <w:tcBorders>
              <w:top w:val="single" w:color="000000" w:sz="10" w:space="0"/>
              <w:left w:val="single" w:color="000000" w:sz="10" w:space="0"/>
              <w:bottom w:val="single" w:color="000000" w:sz="10" w:space="0"/>
            </w:tcBorders>
            <w:noWrap w:val="0"/>
            <w:vAlign w:val="center"/>
          </w:tcPr>
          <w:p w14:paraId="4684BE90">
            <w:pPr>
              <w:pStyle w:val="11"/>
              <w:spacing w:before="78"/>
              <w:jc w:val="center"/>
              <w:rPr>
                <w:b/>
                <w:bCs/>
                <w:color w:val="auto"/>
                <w:sz w:val="21"/>
                <w:szCs w:val="21"/>
                <w:highlight w:val="none"/>
              </w:rPr>
            </w:pPr>
            <w:r>
              <w:rPr>
                <w:color w:val="auto"/>
                <w:spacing w:val="-2"/>
                <w:sz w:val="21"/>
                <w:szCs w:val="21"/>
                <w:highlight w:val="none"/>
              </w:rPr>
              <w:t>专职安全生产</w:t>
            </w:r>
            <w:r>
              <w:rPr>
                <w:color w:val="auto"/>
                <w:spacing w:val="-4"/>
                <w:sz w:val="21"/>
                <w:szCs w:val="21"/>
                <w:highlight w:val="none"/>
              </w:rPr>
              <w:t>管理人员</w:t>
            </w:r>
          </w:p>
        </w:tc>
        <w:tc>
          <w:tcPr>
            <w:tcW w:w="773" w:type="dxa"/>
            <w:tcBorders>
              <w:top w:val="single" w:color="000000" w:sz="10" w:space="0"/>
              <w:bottom w:val="single" w:color="000000" w:sz="10" w:space="0"/>
            </w:tcBorders>
            <w:noWrap w:val="0"/>
            <w:vAlign w:val="center"/>
          </w:tcPr>
          <w:p w14:paraId="7EF56CAC">
            <w:pPr>
              <w:jc w:val="center"/>
              <w:rPr>
                <w:rFonts w:hint="default" w:ascii="Arial" w:eastAsia="宋体"/>
                <w:b w:val="0"/>
                <w:bCs w:val="0"/>
                <w:color w:val="auto"/>
                <w:sz w:val="21"/>
                <w:szCs w:val="21"/>
                <w:highlight w:val="none"/>
                <w:lang w:val="en-US" w:eastAsia="zh-CN"/>
              </w:rPr>
            </w:pPr>
            <w:r>
              <w:rPr>
                <w:rFonts w:hint="eastAsia" w:ascii="Arial"/>
                <w:b w:val="0"/>
                <w:bCs w:val="0"/>
                <w:color w:val="auto"/>
                <w:sz w:val="21"/>
                <w:szCs w:val="21"/>
                <w:highlight w:val="none"/>
                <w:lang w:val="en-US" w:eastAsia="zh-CN"/>
              </w:rPr>
              <w:t>1</w:t>
            </w:r>
          </w:p>
        </w:tc>
        <w:tc>
          <w:tcPr>
            <w:tcW w:w="6180" w:type="dxa"/>
            <w:tcBorders>
              <w:top w:val="single" w:color="000000" w:sz="10" w:space="0"/>
              <w:bottom w:val="single" w:color="000000" w:sz="10" w:space="0"/>
              <w:right w:val="single" w:color="000000" w:sz="10" w:space="0"/>
            </w:tcBorders>
            <w:noWrap w:val="0"/>
            <w:vAlign w:val="center"/>
          </w:tcPr>
          <w:p w14:paraId="5E73A2D0">
            <w:pPr>
              <w:pStyle w:val="11"/>
              <w:spacing w:before="78" w:line="229" w:lineRule="auto"/>
              <w:jc w:val="center"/>
              <w:rPr>
                <w:b/>
                <w:bCs/>
                <w:color w:val="auto"/>
                <w:sz w:val="21"/>
                <w:szCs w:val="21"/>
                <w:highlight w:val="none"/>
              </w:rPr>
            </w:pPr>
            <w:r>
              <w:rPr>
                <w:color w:val="auto"/>
                <w:spacing w:val="1"/>
                <w:sz w:val="21"/>
                <w:szCs w:val="21"/>
                <w:highlight w:val="none"/>
              </w:rPr>
              <w:t>具有交通主管部门颁发的有效安全生产“三类人员</w:t>
            </w:r>
            <w:r>
              <w:rPr>
                <w:color w:val="auto"/>
                <w:spacing w:val="-85"/>
                <w:sz w:val="21"/>
                <w:szCs w:val="21"/>
                <w:highlight w:val="none"/>
              </w:rPr>
              <w:t xml:space="preserve"> </w:t>
            </w:r>
            <w:r>
              <w:rPr>
                <w:color w:val="auto"/>
                <w:spacing w:val="1"/>
                <w:sz w:val="21"/>
                <w:szCs w:val="21"/>
                <w:highlight w:val="none"/>
              </w:rPr>
              <w:t>”</w:t>
            </w:r>
            <w:r>
              <w:rPr>
                <w:color w:val="auto"/>
                <w:sz w:val="21"/>
                <w:szCs w:val="21"/>
                <w:highlight w:val="none"/>
              </w:rPr>
              <w:t xml:space="preserve"> </w:t>
            </w:r>
            <w:r>
              <w:rPr>
                <w:color w:val="auto"/>
                <w:spacing w:val="-4"/>
                <w:sz w:val="21"/>
                <w:szCs w:val="21"/>
                <w:highlight w:val="none"/>
              </w:rPr>
              <w:t>C</w:t>
            </w:r>
            <w:r>
              <w:rPr>
                <w:color w:val="auto"/>
                <w:spacing w:val="-50"/>
                <w:sz w:val="21"/>
                <w:szCs w:val="21"/>
                <w:highlight w:val="none"/>
              </w:rPr>
              <w:t xml:space="preserve"> </w:t>
            </w:r>
            <w:r>
              <w:rPr>
                <w:color w:val="auto"/>
                <w:spacing w:val="-4"/>
                <w:sz w:val="21"/>
                <w:szCs w:val="21"/>
                <w:highlight w:val="none"/>
              </w:rPr>
              <w:t>类证书。</w:t>
            </w:r>
          </w:p>
        </w:tc>
      </w:tr>
    </w:tbl>
    <w:p w14:paraId="32B7DED2">
      <w:pPr>
        <w:spacing w:before="228"/>
        <w:rPr>
          <w:rFonts w:ascii="宋体" w:hAnsi="宋体" w:eastAsia="宋体" w:cs="宋体"/>
          <w:color w:val="auto"/>
          <w:sz w:val="12"/>
          <w:szCs w:val="12"/>
          <w:highlight w:val="none"/>
        </w:rPr>
      </w:pPr>
      <w:r>
        <w:rPr>
          <w:rFonts w:ascii="宋体" w:hAnsi="宋体" w:eastAsia="宋体" w:cs="宋体"/>
          <w:color w:val="auto"/>
          <w:spacing w:val="8"/>
          <w:sz w:val="20"/>
          <w:szCs w:val="20"/>
          <w:highlight w:val="none"/>
        </w:rPr>
        <w:t>注：1、附录</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6</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所要求人员须按投标文件投标</w:t>
      </w:r>
      <w:r>
        <w:rPr>
          <w:rFonts w:ascii="宋体" w:hAnsi="宋体" w:eastAsia="宋体" w:cs="宋体"/>
          <w:color w:val="auto"/>
          <w:spacing w:val="7"/>
          <w:sz w:val="20"/>
          <w:szCs w:val="20"/>
          <w:highlight w:val="none"/>
        </w:rPr>
        <w:t>函的</w:t>
      </w:r>
      <w:r>
        <w:rPr>
          <w:rFonts w:hint="eastAsia" w:ascii="宋体" w:hAnsi="宋体" w:eastAsia="宋体" w:cs="宋体"/>
          <w:color w:val="auto"/>
          <w:spacing w:val="7"/>
          <w:sz w:val="20"/>
          <w:szCs w:val="20"/>
          <w:highlight w:val="none"/>
          <w:lang w:val="en-US" w:eastAsia="zh-CN"/>
        </w:rPr>
        <w:t>格式</w:t>
      </w:r>
      <w:r>
        <w:rPr>
          <w:rFonts w:ascii="宋体" w:hAnsi="宋体" w:eastAsia="宋体" w:cs="宋体"/>
          <w:color w:val="auto"/>
          <w:spacing w:val="7"/>
          <w:sz w:val="20"/>
          <w:szCs w:val="20"/>
          <w:highlight w:val="none"/>
        </w:rPr>
        <w:t>承诺，中标人在进场前向招标人提交实际投入</w:t>
      </w:r>
      <w:r>
        <w:rPr>
          <w:rFonts w:ascii="宋体" w:hAnsi="宋体" w:eastAsia="宋体" w:cs="宋体"/>
          <w:color w:val="auto"/>
          <w:spacing w:val="3"/>
          <w:position w:val="-1"/>
          <w:sz w:val="20"/>
          <w:szCs w:val="20"/>
          <w:highlight w:val="none"/>
        </w:rPr>
        <w:t>的人员。</w:t>
      </w:r>
    </w:p>
    <w:p w14:paraId="2BC11720">
      <w:pPr>
        <w:spacing w:before="3" w:line="243" w:lineRule="auto"/>
        <w:ind w:left="7" w:right="2" w:firstLine="42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2、投标人中标后专职安全生产管理人员的配备应按照交通部《公路水运工程安全生产监</w:t>
      </w:r>
      <w:r>
        <w:rPr>
          <w:rFonts w:ascii="宋体" w:hAnsi="宋体" w:eastAsia="宋体" w:cs="宋体"/>
          <w:color w:val="auto"/>
          <w:spacing w:val="7"/>
          <w:sz w:val="20"/>
          <w:szCs w:val="20"/>
          <w:highlight w:val="none"/>
        </w:rPr>
        <w:t>督管理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办法》的要求执行。招标人可根据项目的工期和进度，按规定设置最低的</w:t>
      </w:r>
      <w:r>
        <w:rPr>
          <w:rFonts w:ascii="宋体" w:hAnsi="宋体" w:eastAsia="宋体" w:cs="宋体"/>
          <w:color w:val="auto"/>
          <w:spacing w:val="9"/>
          <w:sz w:val="20"/>
          <w:szCs w:val="20"/>
          <w:highlight w:val="none"/>
        </w:rPr>
        <w:t>专职安全生产管理人员数</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量要求。</w:t>
      </w:r>
    </w:p>
    <w:p w14:paraId="1C05D1BD">
      <w:pPr>
        <w:spacing w:before="23"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3、计划工程师的造价人员证书的等级结合项目属性按规定合理设定。</w:t>
      </w:r>
    </w:p>
    <w:p w14:paraId="10F48271">
      <w:pPr>
        <w:spacing w:before="28" w:line="228" w:lineRule="auto"/>
        <w:ind w:left="426"/>
        <w:rPr>
          <w:rFonts w:ascii="宋体" w:hAnsi="宋体" w:eastAsia="宋体" w:cs="宋体"/>
          <w:color w:val="auto"/>
          <w:sz w:val="20"/>
          <w:szCs w:val="20"/>
          <w:highlight w:val="none"/>
        </w:rPr>
      </w:pPr>
      <w:bookmarkStart w:id="9" w:name="bookmark68"/>
      <w:bookmarkEnd w:id="9"/>
      <w:r>
        <w:rPr>
          <w:rFonts w:ascii="宋体" w:hAnsi="宋体" w:eastAsia="宋体" w:cs="宋体"/>
          <w:color w:val="auto"/>
          <w:spacing w:val="9"/>
          <w:sz w:val="20"/>
          <w:szCs w:val="20"/>
          <w:highlight w:val="none"/>
        </w:rPr>
        <w:t>4、试验相关人员的配备应符合《广东省公路工程施工标准化指南》的要求。</w:t>
      </w:r>
    </w:p>
    <w:p w14:paraId="098A00DF">
      <w:pPr>
        <w:tabs>
          <w:tab w:val="left" w:pos="3071"/>
        </w:tabs>
        <w:spacing w:before="120" w:beforeLines="50" w:after="120" w:afterLines="50"/>
        <w:jc w:val="center"/>
        <w:rPr>
          <w:color w:val="auto"/>
          <w:highlight w:val="none"/>
        </w:rPr>
      </w:pPr>
      <w:r>
        <w:rPr>
          <w:color w:val="auto"/>
          <w:highlight w:val="none"/>
        </w:rPr>
        <w:br w:type="page"/>
      </w:r>
    </w:p>
    <w:p w14:paraId="790BDF2D">
      <w:pPr>
        <w:tabs>
          <w:tab w:val="left" w:pos="3071"/>
        </w:tabs>
        <w:spacing w:before="120" w:beforeLines="50" w:after="120" w:afterLines="50"/>
        <w:jc w:val="center"/>
        <w:rPr>
          <w:rFonts w:ascii="宋体" w:hAnsi="宋体" w:cs="宋体"/>
          <w:b/>
          <w:bCs/>
          <w:color w:val="auto"/>
          <w:sz w:val="28"/>
          <w:szCs w:val="28"/>
          <w:highlight w:val="none"/>
        </w:rPr>
      </w:pPr>
      <w:r>
        <w:rPr>
          <w:rFonts w:ascii="宋体" w:hAnsi="宋体" w:cs="宋体"/>
          <w:b/>
          <w:bCs/>
          <w:color w:val="auto"/>
          <w:sz w:val="28"/>
          <w:szCs w:val="28"/>
          <w:highlight w:val="none"/>
        </w:rPr>
        <w:t>附录7 资格审查条件(主要设备最低要求)</w:t>
      </w:r>
    </w:p>
    <w:p w14:paraId="7D7A4CF2">
      <w:pPr>
        <w:rPr>
          <w:rFonts w:hint="eastAsia"/>
          <w:color w:val="auto"/>
          <w:highlight w:val="none"/>
        </w:rPr>
      </w:pPr>
    </w:p>
    <w:p w14:paraId="74C2E130">
      <w:pPr>
        <w:rPr>
          <w:rFonts w:hint="eastAsia"/>
          <w:color w:val="auto"/>
          <w:highlight w:val="none"/>
        </w:rPr>
      </w:pPr>
    </w:p>
    <w:tbl>
      <w:tblPr>
        <w:tblStyle w:val="9"/>
        <w:tblW w:w="0" w:type="auto"/>
        <w:jc w:val="center"/>
        <w:tblLayout w:type="fixed"/>
        <w:tblCellMar>
          <w:top w:w="0" w:type="dxa"/>
          <w:left w:w="0" w:type="dxa"/>
          <w:bottom w:w="0" w:type="dxa"/>
          <w:right w:w="0" w:type="dxa"/>
        </w:tblCellMar>
      </w:tblPr>
      <w:tblGrid>
        <w:gridCol w:w="850"/>
        <w:gridCol w:w="2513"/>
        <w:gridCol w:w="3218"/>
        <w:gridCol w:w="867"/>
        <w:gridCol w:w="1722"/>
      </w:tblGrid>
      <w:tr w14:paraId="41EEA4CA">
        <w:tblPrEx>
          <w:tblCellMar>
            <w:top w:w="0" w:type="dxa"/>
            <w:left w:w="0" w:type="dxa"/>
            <w:bottom w:w="0" w:type="dxa"/>
            <w:right w:w="0" w:type="dxa"/>
          </w:tblCellMar>
        </w:tblPrEx>
        <w:trPr>
          <w:trHeight w:val="495" w:hRule="exac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CB894E7">
            <w:pPr>
              <w:jc w:val="center"/>
              <w:rPr>
                <w:rFonts w:ascii="宋体" w:hAnsi="宋体"/>
                <w:color w:val="auto"/>
                <w:highlight w:val="none"/>
              </w:rPr>
            </w:pPr>
            <w:r>
              <w:rPr>
                <w:rFonts w:hint="eastAsia" w:ascii="宋体" w:hAnsi="宋体"/>
                <w:color w:val="auto"/>
                <w:highlight w:val="none"/>
              </w:rPr>
              <w:t>序号</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566FC249">
            <w:pPr>
              <w:spacing w:before="4"/>
              <w:jc w:val="center"/>
              <w:rPr>
                <w:rFonts w:ascii="宋体" w:hAnsi="宋体"/>
                <w:color w:val="auto"/>
                <w:highlight w:val="none"/>
              </w:rPr>
            </w:pPr>
            <w:r>
              <w:rPr>
                <w:rFonts w:hint="eastAsia" w:ascii="宋体" w:hAnsi="宋体"/>
                <w:color w:val="auto"/>
                <w:highlight w:val="none"/>
              </w:rPr>
              <w:t>设备名称</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11412142">
            <w:pPr>
              <w:spacing w:before="4"/>
              <w:jc w:val="center"/>
              <w:rPr>
                <w:rFonts w:ascii="宋体" w:hAnsi="宋体"/>
                <w:color w:val="auto"/>
                <w:highlight w:val="none"/>
              </w:rPr>
            </w:pPr>
            <w:r>
              <w:rPr>
                <w:rFonts w:hint="eastAsia" w:ascii="宋体" w:hAnsi="宋体"/>
                <w:color w:val="auto"/>
                <w:highlight w:val="none"/>
              </w:rPr>
              <w:t>规格、功率、及容量</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206E86ED">
            <w:pPr>
              <w:spacing w:before="4"/>
              <w:jc w:val="center"/>
              <w:rPr>
                <w:rFonts w:ascii="宋体" w:hAnsi="宋体"/>
                <w:color w:val="auto"/>
                <w:highlight w:val="none"/>
              </w:rPr>
            </w:pPr>
            <w:r>
              <w:rPr>
                <w:rFonts w:hint="eastAsia" w:ascii="宋体" w:hAnsi="宋体"/>
                <w:color w:val="auto"/>
                <w:highlight w:val="none"/>
              </w:rPr>
              <w:t>单位</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50D73470">
            <w:pPr>
              <w:jc w:val="center"/>
              <w:rPr>
                <w:rFonts w:ascii="宋体" w:hAnsi="宋体"/>
                <w:color w:val="auto"/>
                <w:highlight w:val="none"/>
              </w:rPr>
            </w:pPr>
            <w:r>
              <w:rPr>
                <w:rFonts w:hint="eastAsia" w:ascii="宋体" w:hAnsi="宋体"/>
                <w:color w:val="auto"/>
                <w:highlight w:val="none"/>
              </w:rPr>
              <w:t>最低数量要求</w:t>
            </w:r>
          </w:p>
        </w:tc>
      </w:tr>
      <w:tr w14:paraId="1FAE17A6">
        <w:tblPrEx>
          <w:tblCellMar>
            <w:top w:w="0" w:type="dxa"/>
            <w:left w:w="0" w:type="dxa"/>
            <w:bottom w:w="0" w:type="dxa"/>
            <w:right w:w="0" w:type="dxa"/>
          </w:tblCellMar>
        </w:tblPrEx>
        <w:trPr>
          <w:trHeight w:val="422"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39CA15B">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1</w:t>
            </w:r>
          </w:p>
        </w:tc>
        <w:tc>
          <w:tcPr>
            <w:tcW w:w="2513" w:type="dxa"/>
            <w:tcBorders>
              <w:top w:val="single" w:color="000000" w:sz="6" w:space="0"/>
              <w:left w:val="single" w:color="000000" w:sz="6" w:space="0"/>
              <w:bottom w:val="single" w:color="000000" w:sz="6" w:space="0"/>
              <w:right w:val="single" w:color="000000" w:sz="6" w:space="0"/>
            </w:tcBorders>
            <w:noWrap w:val="0"/>
            <w:vAlign w:val="top"/>
          </w:tcPr>
          <w:p w14:paraId="50E41D17">
            <w:pPr>
              <w:jc w:val="center"/>
              <w:rPr>
                <w:rFonts w:hint="eastAsia" w:ascii="宋体" w:hAnsi="宋体" w:eastAsia="宋体" w:cs="Times New Roman"/>
                <w:color w:val="auto"/>
                <w:highlight w:val="none"/>
              </w:rPr>
            </w:pPr>
            <w:r>
              <w:rPr>
                <w:rFonts w:hint="eastAsia" w:ascii="宋体" w:hAnsi="宋体" w:eastAsia="宋体" w:cs="Times New Roman"/>
                <w:color w:val="auto"/>
                <w:spacing w:val="0"/>
                <w:highlight w:val="none"/>
              </w:rPr>
              <w:t>平地机</w:t>
            </w:r>
          </w:p>
        </w:tc>
        <w:tc>
          <w:tcPr>
            <w:tcW w:w="3218" w:type="dxa"/>
            <w:tcBorders>
              <w:top w:val="single" w:color="000000" w:sz="6" w:space="0"/>
              <w:left w:val="single" w:color="000000" w:sz="6" w:space="0"/>
              <w:bottom w:val="single" w:color="000000" w:sz="6" w:space="0"/>
              <w:right w:val="single" w:color="000000" w:sz="6" w:space="0"/>
            </w:tcBorders>
            <w:noWrap w:val="0"/>
            <w:vAlign w:val="top"/>
          </w:tcPr>
          <w:p w14:paraId="0A83BE1E">
            <w:pPr>
              <w:jc w:val="center"/>
              <w:rPr>
                <w:rFonts w:hint="eastAsia" w:ascii="宋体" w:hAnsi="宋体" w:eastAsia="宋体" w:cs="Times New Roman"/>
                <w:color w:val="auto"/>
                <w:highlight w:val="none"/>
              </w:rPr>
            </w:pPr>
            <w:r>
              <w:rPr>
                <w:rFonts w:hint="eastAsia" w:ascii="宋体" w:hAnsi="宋体" w:eastAsia="宋体" w:cs="Times New Roman"/>
                <w:color w:val="auto"/>
                <w:spacing w:val="0"/>
                <w:highlight w:val="none"/>
              </w:rPr>
              <w:t>≥180KW</w:t>
            </w:r>
          </w:p>
        </w:tc>
        <w:tc>
          <w:tcPr>
            <w:tcW w:w="867" w:type="dxa"/>
            <w:tcBorders>
              <w:top w:val="single" w:color="000000" w:sz="6" w:space="0"/>
              <w:left w:val="single" w:color="000000" w:sz="6" w:space="0"/>
              <w:bottom w:val="single" w:color="000000" w:sz="6" w:space="0"/>
              <w:right w:val="single" w:color="000000" w:sz="6" w:space="0"/>
            </w:tcBorders>
            <w:noWrap w:val="0"/>
            <w:vAlign w:val="top"/>
          </w:tcPr>
          <w:p w14:paraId="4F508E23">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4BE8F4EA">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1</w:t>
            </w:r>
          </w:p>
        </w:tc>
      </w:tr>
      <w:tr w14:paraId="3FDA6B1C">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7C1ECF">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2</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3D44674F">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振动压路机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4CC4DA8F">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≥18T</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6FC4C1FD">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790EB6CB">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2</w:t>
            </w:r>
          </w:p>
        </w:tc>
      </w:tr>
      <w:tr w14:paraId="3648B9B1">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E35BF46">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3</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6C488867">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装载机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64EEF91A">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≥2m</w:t>
            </w:r>
            <w:r>
              <w:rPr>
                <w:rFonts w:hint="eastAsia" w:ascii="宋体" w:hAnsi="宋体" w:eastAsia="宋体" w:cs="Times New Roman"/>
                <w:color w:val="auto"/>
                <w:highlight w:val="none"/>
                <w:vertAlign w:val="baseline"/>
              </w:rPr>
              <w:t>3</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2F62CA5C">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254A5BAE">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w:t>
            </w:r>
          </w:p>
        </w:tc>
      </w:tr>
      <w:tr w14:paraId="55721912">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3E361BA">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4</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40E98E0A">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双钢轮压路机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3F30C610">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≥10T</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1A9EDE01">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62497446">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2</w:t>
            </w:r>
          </w:p>
        </w:tc>
      </w:tr>
      <w:tr w14:paraId="0B764E95">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49E162">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5</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49248AB9">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胶轮压路机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1759E647">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≥26T</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42C3316D">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147E0B21">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w:t>
            </w:r>
          </w:p>
        </w:tc>
      </w:tr>
      <w:tr w14:paraId="655E3F85">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7EAAF06">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6</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49FB6E55">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挖掘机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0B47C149">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≥1.0m</w:t>
            </w:r>
            <w:r>
              <w:rPr>
                <w:rFonts w:hint="eastAsia" w:ascii="宋体" w:hAnsi="宋体" w:eastAsia="宋体" w:cs="Times New Roman"/>
                <w:color w:val="auto"/>
                <w:highlight w:val="none"/>
                <w:vertAlign w:val="baseline"/>
              </w:rPr>
              <w:t>3</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6DC19788">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3317AB09">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4</w:t>
            </w:r>
          </w:p>
        </w:tc>
      </w:tr>
      <w:tr w14:paraId="63900AE9">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F6BF0DE">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7</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6DC04BA4">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载重汽车</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4447AB2B">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15t以上</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059FF770">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辆</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60AA36B7">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6</w:t>
            </w:r>
          </w:p>
        </w:tc>
      </w:tr>
      <w:tr w14:paraId="070B6788">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7DFFA6">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8</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60CFEDD2">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全站仪</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58D91C18">
            <w:pPr>
              <w:jc w:val="center"/>
              <w:rPr>
                <w:rFonts w:hint="eastAsia" w:ascii="宋体" w:hAnsi="宋体" w:eastAsia="宋体" w:cs="Times New Roman"/>
                <w:color w:val="auto"/>
                <w:kern w:val="2"/>
                <w:sz w:val="21"/>
                <w:szCs w:val="24"/>
                <w:highlight w:val="none"/>
                <w:lang w:val="en-US" w:eastAsia="zh-CN" w:bidi="ar-SA"/>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44EE8647">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6BE99BE4">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w:t>
            </w:r>
          </w:p>
        </w:tc>
      </w:tr>
      <w:tr w14:paraId="3F80D196">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E6541F">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9</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652DE4B0">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200t压力机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2BD5B4BE">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YE-2000</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682994E5">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34AAAB21">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w:t>
            </w:r>
          </w:p>
        </w:tc>
      </w:tr>
      <w:tr w14:paraId="69BA98D5">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BC1D6CE">
            <w:pPr>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10</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556ECE38">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万能材料试验机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5F879565">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WE-1000B</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5C154CDA">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46F64DCD">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w:t>
            </w:r>
          </w:p>
        </w:tc>
      </w:tr>
      <w:tr w14:paraId="15265505">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9C47574">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1</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2B9087C4">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脱模机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1F3A8DCC">
            <w:pPr>
              <w:jc w:val="center"/>
              <w:rPr>
                <w:rFonts w:hint="eastAsia" w:ascii="宋体" w:hAnsi="宋体" w:eastAsia="宋体" w:cs="Times New Roman"/>
                <w:color w:val="auto"/>
                <w:kern w:val="2"/>
                <w:sz w:val="21"/>
                <w:szCs w:val="24"/>
                <w:highlight w:val="none"/>
                <w:lang w:val="en-US" w:eastAsia="zh-CN" w:bidi="ar-SA"/>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61C47233">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4F382417">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w:t>
            </w:r>
          </w:p>
        </w:tc>
      </w:tr>
      <w:tr w14:paraId="30077442">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09D748F">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2</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686C74D2">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弯沉仪</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56105267">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5.4m</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7C0A3F79">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5B4D5D7E">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w:t>
            </w:r>
          </w:p>
        </w:tc>
      </w:tr>
      <w:tr w14:paraId="7DA6F087">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CF027D">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3</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41AC15E6">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路面钻芯机</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646525CD">
            <w:pPr>
              <w:jc w:val="center"/>
              <w:rPr>
                <w:rFonts w:hint="eastAsia" w:ascii="宋体" w:hAnsi="宋体" w:eastAsia="宋体" w:cs="Times New Roman"/>
                <w:color w:val="auto"/>
                <w:kern w:val="2"/>
                <w:sz w:val="21"/>
                <w:szCs w:val="24"/>
                <w:highlight w:val="none"/>
                <w:lang w:val="en-US" w:eastAsia="zh-CN" w:bidi="ar-SA"/>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6913A1D1">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1A5EA356">
            <w:pPr>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1</w:t>
            </w:r>
          </w:p>
        </w:tc>
      </w:tr>
      <w:tr w14:paraId="2B2C7CB6">
        <w:tblPrEx>
          <w:tblCellMar>
            <w:top w:w="0" w:type="dxa"/>
            <w:left w:w="0" w:type="dxa"/>
            <w:bottom w:w="0" w:type="dxa"/>
            <w:right w:w="0" w:type="dxa"/>
          </w:tblCellMar>
        </w:tblPrEx>
        <w:trPr>
          <w:trHeight w:val="39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24B862F">
            <w:pPr>
              <w:jc w:val="center"/>
              <w:rPr>
                <w:rFonts w:hint="default" w:ascii="宋体" w:hAnsi="宋体" w:eastAsia="宋体" w:cs="Times New Roman"/>
                <w:color w:val="auto"/>
                <w:highlight w:val="none"/>
              </w:rPr>
            </w:pPr>
            <w:r>
              <w:rPr>
                <w:rFonts w:hint="eastAsia" w:ascii="宋体" w:hAnsi="宋体" w:eastAsia="宋体" w:cs="Times New Roman"/>
                <w:color w:val="auto"/>
                <w:highlight w:val="none"/>
                <w:lang w:val="en-US" w:eastAsia="zh-CN"/>
              </w:rPr>
              <w:t>14</w:t>
            </w:r>
          </w:p>
        </w:tc>
        <w:tc>
          <w:tcPr>
            <w:tcW w:w="2513" w:type="dxa"/>
            <w:tcBorders>
              <w:top w:val="single" w:color="000000" w:sz="6" w:space="0"/>
              <w:left w:val="single" w:color="000000" w:sz="6" w:space="0"/>
              <w:bottom w:val="single" w:color="000000" w:sz="6" w:space="0"/>
              <w:right w:val="single" w:color="000000" w:sz="6" w:space="0"/>
            </w:tcBorders>
            <w:noWrap w:val="0"/>
            <w:vAlign w:val="center"/>
          </w:tcPr>
          <w:p w14:paraId="6B5F570C">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连续平整度仪</w:t>
            </w:r>
          </w:p>
        </w:tc>
        <w:tc>
          <w:tcPr>
            <w:tcW w:w="3218" w:type="dxa"/>
            <w:tcBorders>
              <w:top w:val="single" w:color="000000" w:sz="6" w:space="0"/>
              <w:left w:val="single" w:color="000000" w:sz="6" w:space="0"/>
              <w:bottom w:val="single" w:color="000000" w:sz="6" w:space="0"/>
              <w:right w:val="single" w:color="000000" w:sz="6" w:space="0"/>
            </w:tcBorders>
            <w:noWrap w:val="0"/>
            <w:vAlign w:val="center"/>
          </w:tcPr>
          <w:p w14:paraId="1E5DCBC7">
            <w:pPr>
              <w:jc w:val="center"/>
              <w:rPr>
                <w:rFonts w:hint="eastAsia" w:ascii="宋体" w:hAnsi="宋体" w:eastAsia="宋体" w:cs="Times New Roman"/>
                <w:color w:val="auto"/>
                <w:kern w:val="2"/>
                <w:sz w:val="21"/>
                <w:szCs w:val="24"/>
                <w:highlight w:val="none"/>
                <w:lang w:val="en-US" w:eastAsia="zh-CN" w:bidi="ar-SA"/>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14:paraId="25DC3FC8">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台</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14:paraId="5E35FC46">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w:t>
            </w:r>
          </w:p>
        </w:tc>
      </w:tr>
    </w:tbl>
    <w:p w14:paraId="1345B2FD">
      <w:pPr>
        <w:rPr>
          <w:rFonts w:hint="eastAsia"/>
          <w:color w:val="auto"/>
          <w:highlight w:val="none"/>
        </w:rPr>
      </w:pPr>
    </w:p>
    <w:p w14:paraId="5F48306B">
      <w:pPr>
        <w:adjustRightInd w:val="0"/>
        <w:snapToGrid w:val="0"/>
        <w:spacing w:line="360" w:lineRule="auto"/>
        <w:ind w:left="420" w:leftChars="200" w:right="420" w:rightChars="200"/>
        <w:rPr>
          <w:rFonts w:ascii="宋体" w:hAnsi="宋体" w:cs="宋体"/>
          <w:bCs/>
          <w:color w:val="auto"/>
          <w:szCs w:val="21"/>
          <w:highlight w:val="none"/>
        </w:rPr>
      </w:pPr>
      <w:r>
        <w:rPr>
          <w:rFonts w:hint="eastAsia" w:ascii="宋体" w:hAnsi="宋体" w:cs="宋体"/>
          <w:bCs/>
          <w:color w:val="auto"/>
          <w:szCs w:val="21"/>
          <w:highlight w:val="none"/>
        </w:rPr>
        <w:t xml:space="preserve">注: </w:t>
      </w:r>
      <w:r>
        <w:rPr>
          <w:rFonts w:ascii="宋体" w:hAnsi="宋体" w:cs="宋体"/>
          <w:bCs/>
          <w:color w:val="auto"/>
          <w:szCs w:val="21"/>
          <w:highlight w:val="none"/>
        </w:rPr>
        <w:t>1</w:t>
      </w:r>
      <w:r>
        <w:rPr>
          <w:rFonts w:hint="eastAsia" w:ascii="宋体" w:hAnsi="宋体" w:cs="宋体"/>
          <w:bCs/>
          <w:color w:val="auto"/>
          <w:szCs w:val="21"/>
          <w:highlight w:val="none"/>
        </w:rPr>
        <w:t>、</w:t>
      </w:r>
      <w:r>
        <w:rPr>
          <w:rFonts w:hint="eastAsia" w:ascii="宋体" w:hAnsi="宋体" w:cs="宋体"/>
          <w:b/>
          <w:color w:val="auto"/>
          <w:szCs w:val="21"/>
          <w:highlight w:val="none"/>
        </w:rPr>
        <w:t>投标人须按投标文件投标函的</w:t>
      </w:r>
      <w:r>
        <w:rPr>
          <w:rFonts w:hint="eastAsia" w:ascii="宋体" w:hAnsi="宋体" w:eastAsia="宋体" w:cs="宋体"/>
          <w:b/>
          <w:bCs/>
          <w:color w:val="auto"/>
          <w:spacing w:val="7"/>
          <w:sz w:val="20"/>
          <w:szCs w:val="20"/>
          <w:highlight w:val="none"/>
          <w:lang w:val="en-US" w:eastAsia="zh-CN"/>
        </w:rPr>
        <w:t>格式</w:t>
      </w:r>
      <w:r>
        <w:rPr>
          <w:rFonts w:hint="eastAsia" w:ascii="宋体" w:hAnsi="宋体" w:cs="宋体"/>
          <w:b/>
          <w:color w:val="auto"/>
          <w:szCs w:val="21"/>
          <w:highlight w:val="none"/>
        </w:rPr>
        <w:t>承诺。</w:t>
      </w:r>
    </w:p>
    <w:p w14:paraId="54045BA2">
      <w:pPr>
        <w:adjustRightInd w:val="0"/>
        <w:snapToGrid w:val="0"/>
        <w:spacing w:line="360" w:lineRule="auto"/>
        <w:ind w:left="420" w:leftChars="200" w:right="420" w:rightChars="200" w:firstLine="420" w:firstLineChars="200"/>
        <w:rPr>
          <w:rFonts w:ascii="宋体" w:hAnsi="宋体" w:cs="宋体"/>
          <w:bCs/>
          <w:color w:val="auto"/>
          <w:szCs w:val="21"/>
          <w:highlight w:val="none"/>
        </w:rPr>
      </w:pPr>
      <w:r>
        <w:rPr>
          <w:rFonts w:hint="eastAsia" w:ascii="宋体" w:hAnsi="宋体" w:cs="宋体"/>
          <w:bCs/>
          <w:color w:val="auto"/>
          <w:szCs w:val="21"/>
          <w:highlight w:val="none"/>
        </w:rPr>
        <w:t>2、招标人有权根据标段的工程特点、工程量及工程进度情况要求增加或调整相应的施工设备，由此不存在索赔问题。</w:t>
      </w:r>
    </w:p>
    <w:p w14:paraId="37949E29">
      <w:pPr>
        <w:adjustRightInd w:val="0"/>
        <w:snapToGrid w:val="0"/>
        <w:spacing w:line="360" w:lineRule="auto"/>
        <w:ind w:right="420" w:rightChars="200"/>
        <w:rPr>
          <w:rFonts w:ascii="宋体" w:hAnsi="宋体" w:eastAsia="宋体" w:cs="宋体"/>
          <w:b/>
          <w:color w:val="auto"/>
          <w:kern w:val="0"/>
          <w:sz w:val="28"/>
          <w:szCs w:val="30"/>
          <w:highlight w:val="none"/>
        </w:rPr>
      </w:pPr>
      <w:bookmarkStart w:id="10" w:name="_GoBack"/>
      <w:bookmarkEnd w:id="10"/>
    </w:p>
    <w:p w14:paraId="381584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mYwNjI4MWVjNmM1MjY3OWZhM2ZkMzEzNDM2OWQifQ=="/>
  </w:docVars>
  <w:rsids>
    <w:rsidRoot w:val="363C2026"/>
    <w:rsid w:val="028B18FB"/>
    <w:rsid w:val="27E76A78"/>
    <w:rsid w:val="363C2026"/>
    <w:rsid w:val="3FF57D7F"/>
    <w:rsid w:val="48FF3FE4"/>
    <w:rsid w:val="51E734F3"/>
    <w:rsid w:val="675C219F"/>
    <w:rsid w:val="75F5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w:basedOn w:val="2"/>
    <w:qFormat/>
    <w:uiPriority w:val="0"/>
    <w:pPr>
      <w:spacing w:after="120"/>
      <w:ind w:left="420" w:leftChars="200"/>
    </w:pPr>
    <w:rPr>
      <w:kern w:val="0"/>
      <w:sz w:val="20"/>
    </w:rPr>
  </w:style>
  <w:style w:type="paragraph" w:styleId="4">
    <w:name w:val="Plain Text"/>
    <w:basedOn w:val="1"/>
    <w:next w:val="5"/>
    <w:qFormat/>
    <w:uiPriority w:val="0"/>
    <w:rPr>
      <w:rFonts w:ascii="宋体" w:hAnsi="Courier New"/>
      <w:kern w:val="0"/>
      <w:sz w:val="20"/>
      <w:szCs w:val="20"/>
    </w:rPr>
  </w:style>
  <w:style w:type="paragraph" w:customStyle="1" w:styleId="5">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styleId="6">
    <w:name w:val="toc 6"/>
    <w:basedOn w:val="1"/>
    <w:next w:val="1"/>
    <w:qFormat/>
    <w:uiPriority w:val="0"/>
    <w:pPr>
      <w:ind w:left="1050"/>
      <w:jc w:val="left"/>
    </w:pPr>
    <w:rPr>
      <w:sz w:val="18"/>
      <w:szCs w:val="18"/>
    </w:rPr>
  </w:style>
  <w:style w:type="paragraph" w:styleId="7">
    <w:name w:val="Body Text First Indent"/>
    <w:basedOn w:val="2"/>
    <w:next w:val="6"/>
    <w:qFormat/>
    <w:uiPriority w:val="0"/>
    <w:pPr>
      <w:spacing w:line="312" w:lineRule="auto"/>
      <w:ind w:firstLine="420"/>
    </w:pPr>
    <w:rPr>
      <w:kern w:val="0"/>
      <w:sz w:val="20"/>
    </w:rPr>
  </w:style>
  <w:style w:type="paragraph" w:styleId="8">
    <w:name w:val="Body Text First Indent 2"/>
    <w:basedOn w:val="1"/>
    <w:qFormat/>
    <w:uiPriority w:val="0"/>
    <w:pPr>
      <w:spacing w:after="120"/>
      <w:ind w:left="420" w:leftChars="200" w:firstLine="420" w:firstLineChars="200"/>
    </w:pPr>
    <w:rPr>
      <w:rFonts w:ascii="宋体" w:hAnsi="宋体" w:eastAsia="宋体" w:cs="Times New Roman"/>
      <w:color w:val="FF0000"/>
      <w:szCs w:val="24"/>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2255</Words>
  <Characters>2345</Characters>
  <Lines>0</Lines>
  <Paragraphs>0</Paragraphs>
  <TotalTime>0</TotalTime>
  <ScaleCrop>false</ScaleCrop>
  <LinksUpToDate>false</LinksUpToDate>
  <CharactersWithSpaces>2425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2024-08-23T01:48:00Z</dcterms:created>
  <dc:creator>飛飛</dc:creator>
  <cp:lastModifiedBy>飛飛</cp:lastModifiedBy>
  <dcterms:modified xsi:type="dcterms:W3CDTF">2024-09-02T07:25:20Z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1C5B1456F0CA4388A79783287663DEB1_11</vt:lpwstr>
  </property>
</Properties>
</file>