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59857">
      <w:pPr>
        <w:ind w:firstLine="720"/>
        <w:jc w:val="center"/>
        <w:rPr>
          <w:rFonts w:ascii="宋体" w:hAnsi="宋体"/>
          <w:sz w:val="36"/>
          <w:szCs w:val="36"/>
          <w:highlight w:val="none"/>
        </w:rPr>
      </w:pPr>
    </w:p>
    <w:p w14:paraId="063167A1">
      <w:pPr>
        <w:ind w:firstLine="720"/>
        <w:jc w:val="right"/>
        <w:rPr>
          <w:rFonts w:hint="eastAsia" w:ascii="宋体" w:hAnsi="宋体"/>
          <w:sz w:val="36"/>
          <w:szCs w:val="36"/>
          <w:highlight w:val="none"/>
        </w:rPr>
      </w:pPr>
      <w:r>
        <w:rPr>
          <w:rFonts w:hint="eastAsia" w:ascii="宋体" w:hAnsi="宋体"/>
          <w:sz w:val="36"/>
          <w:szCs w:val="36"/>
          <w:highlight w:val="none"/>
        </w:rPr>
        <w:t xml:space="preserve"> </w:t>
      </w:r>
    </w:p>
    <w:p w14:paraId="0A5348C9">
      <w:pPr>
        <w:ind w:firstLine="720"/>
        <w:jc w:val="center"/>
        <w:rPr>
          <w:rFonts w:hint="eastAsia" w:ascii="宋体" w:hAnsi="宋体"/>
          <w:sz w:val="36"/>
          <w:szCs w:val="36"/>
          <w:highlight w:val="none"/>
        </w:rPr>
      </w:pPr>
      <w:r>
        <w:rPr>
          <w:rFonts w:hint="eastAsia" w:ascii="宋体" w:hAnsi="宋体"/>
          <w:sz w:val="36"/>
          <w:szCs w:val="36"/>
          <w:highlight w:val="none"/>
        </w:rPr>
        <w:t xml:space="preserve"> </w:t>
      </w:r>
    </w:p>
    <w:p w14:paraId="24AF22C4">
      <w:pPr>
        <w:ind w:firstLine="640"/>
        <w:jc w:val="center"/>
        <w:rPr>
          <w:rFonts w:hint="eastAsia" w:ascii="宋体" w:hAnsi="宋体"/>
          <w:sz w:val="32"/>
          <w:szCs w:val="32"/>
          <w:highlight w:val="none"/>
        </w:rPr>
      </w:pPr>
      <w:r>
        <w:rPr>
          <w:rFonts w:hint="eastAsia" w:ascii="宋体" w:hAnsi="宋体"/>
          <w:b/>
          <w:sz w:val="52"/>
          <w:szCs w:val="52"/>
          <w:highlight w:val="none"/>
          <w:lang w:eastAsia="zh-CN"/>
        </w:rPr>
        <w:t>花都区农村供水“三同五化”改造提升项目-元岗村供水改造工程市政部分施工监理</w:t>
      </w:r>
      <w:r>
        <w:rPr>
          <w:rFonts w:hint="eastAsia" w:ascii="宋体" w:hAnsi="宋体"/>
          <w:sz w:val="32"/>
          <w:szCs w:val="32"/>
          <w:highlight w:val="none"/>
        </w:rPr>
        <w:t xml:space="preserve"> </w:t>
      </w:r>
    </w:p>
    <w:p w14:paraId="1878EBD0">
      <w:pPr>
        <w:ind w:firstLine="1687"/>
        <w:rPr>
          <w:rStyle w:val="73"/>
          <w:rFonts w:hint="eastAsia" w:ascii="宋体" w:hAnsi="宋体"/>
          <w:b/>
          <w:bCs/>
          <w:i w:val="0"/>
          <w:iCs w:val="0"/>
          <w:sz w:val="84"/>
          <w:szCs w:val="84"/>
          <w:highlight w:val="none"/>
        </w:rPr>
      </w:pPr>
    </w:p>
    <w:p w14:paraId="4252053F">
      <w:pPr>
        <w:ind w:firstLine="1687"/>
        <w:rPr>
          <w:rStyle w:val="73"/>
          <w:rFonts w:ascii="宋体" w:hAnsi="宋体"/>
          <w:b/>
          <w:bCs/>
          <w:i w:val="0"/>
          <w:iCs w:val="0"/>
          <w:sz w:val="84"/>
          <w:szCs w:val="84"/>
          <w:highlight w:val="none"/>
        </w:rPr>
      </w:pPr>
      <w:r>
        <w:rPr>
          <w:rStyle w:val="73"/>
          <w:rFonts w:hint="eastAsia" w:ascii="宋体" w:hAnsi="宋体"/>
          <w:b/>
          <w:bCs/>
          <w:i w:val="0"/>
          <w:iCs w:val="0"/>
          <w:sz w:val="84"/>
          <w:szCs w:val="84"/>
          <w:highlight w:val="none"/>
        </w:rPr>
        <w:t xml:space="preserve">  </w:t>
      </w:r>
    </w:p>
    <w:p w14:paraId="7FB85F64">
      <w:pPr>
        <w:ind w:firstLine="1687"/>
        <w:rPr>
          <w:rStyle w:val="73"/>
          <w:rFonts w:hint="eastAsia" w:ascii="宋体" w:hAnsi="宋体"/>
          <w:b/>
          <w:bCs/>
          <w:i w:val="0"/>
          <w:iCs w:val="0"/>
          <w:sz w:val="84"/>
          <w:szCs w:val="84"/>
          <w:highlight w:val="none"/>
        </w:rPr>
      </w:pPr>
    </w:p>
    <w:p w14:paraId="7B365BA5">
      <w:pPr>
        <w:jc w:val="center"/>
        <w:rPr>
          <w:rFonts w:hint="eastAsia" w:ascii="宋体" w:hAnsi="宋体" w:cs="等线"/>
          <w:b/>
          <w:sz w:val="100"/>
          <w:szCs w:val="100"/>
          <w:highlight w:val="none"/>
        </w:rPr>
      </w:pPr>
      <w:r>
        <w:rPr>
          <w:rFonts w:hint="eastAsia" w:ascii="宋体" w:hAnsi="宋体" w:cs="等线"/>
          <w:b/>
          <w:sz w:val="100"/>
          <w:szCs w:val="100"/>
          <w:highlight w:val="none"/>
        </w:rPr>
        <w:t>招 标 文 件</w:t>
      </w:r>
    </w:p>
    <w:p w14:paraId="6CB067D2">
      <w:pPr>
        <w:ind w:firstLine="1687"/>
        <w:jc w:val="center"/>
        <w:rPr>
          <w:rStyle w:val="73"/>
          <w:rFonts w:hint="eastAsia" w:ascii="宋体" w:hAnsi="宋体"/>
          <w:b/>
          <w:bCs/>
          <w:i w:val="0"/>
          <w:iCs w:val="0"/>
          <w:sz w:val="84"/>
          <w:szCs w:val="84"/>
          <w:highlight w:val="none"/>
        </w:rPr>
      </w:pPr>
    </w:p>
    <w:p w14:paraId="05D3E353">
      <w:pPr>
        <w:ind w:firstLine="720"/>
        <w:rPr>
          <w:rFonts w:hint="eastAsia" w:ascii="宋体" w:hAnsi="宋体"/>
          <w:sz w:val="36"/>
          <w:szCs w:val="36"/>
          <w:highlight w:val="none"/>
        </w:rPr>
      </w:pPr>
    </w:p>
    <w:p w14:paraId="324AB031">
      <w:pPr>
        <w:ind w:firstLine="480"/>
        <w:jc w:val="center"/>
        <w:rPr>
          <w:rFonts w:hint="eastAsia" w:ascii="宋体" w:hAnsi="宋体"/>
          <w:highlight w:val="none"/>
        </w:rPr>
      </w:pPr>
    </w:p>
    <w:p w14:paraId="454A6CEC">
      <w:pPr>
        <w:ind w:firstLine="643"/>
        <w:rPr>
          <w:rFonts w:hint="eastAsia" w:ascii="宋体" w:hAnsi="宋体"/>
          <w:b/>
          <w:bCs/>
          <w:sz w:val="32"/>
          <w:szCs w:val="32"/>
          <w:highlight w:val="none"/>
        </w:rPr>
      </w:pPr>
      <w:r>
        <w:rPr>
          <w:rFonts w:hint="eastAsia" w:ascii="宋体" w:hAnsi="宋体"/>
          <w:b/>
          <w:bCs/>
          <w:sz w:val="32"/>
          <w:szCs w:val="32"/>
          <w:highlight w:val="none"/>
        </w:rPr>
        <w:t xml:space="preserve"> </w:t>
      </w:r>
    </w:p>
    <w:p w14:paraId="0E52404F">
      <w:pPr>
        <w:ind w:firstLine="643"/>
        <w:rPr>
          <w:rFonts w:hint="eastAsia" w:ascii="宋体" w:hAnsi="宋体"/>
          <w:b/>
          <w:bCs/>
          <w:sz w:val="32"/>
          <w:szCs w:val="32"/>
          <w:highlight w:val="none"/>
        </w:rPr>
      </w:pPr>
      <w:r>
        <w:rPr>
          <w:rFonts w:hint="eastAsia" w:ascii="宋体" w:hAnsi="宋体"/>
          <w:b/>
          <w:bCs/>
          <w:sz w:val="32"/>
          <w:szCs w:val="32"/>
          <w:highlight w:val="none"/>
        </w:rPr>
        <w:t xml:space="preserve"> </w:t>
      </w:r>
    </w:p>
    <w:p w14:paraId="14F49E57">
      <w:pPr>
        <w:ind w:firstLine="643"/>
        <w:jc w:val="center"/>
        <w:rPr>
          <w:rFonts w:hint="eastAsia" w:ascii="宋体" w:hAnsi="宋体"/>
          <w:b/>
          <w:bCs/>
          <w:sz w:val="32"/>
          <w:szCs w:val="32"/>
          <w:highlight w:val="none"/>
        </w:rPr>
      </w:pPr>
      <w:r>
        <w:rPr>
          <w:rFonts w:hint="eastAsia" w:ascii="宋体" w:hAnsi="宋体"/>
          <w:b/>
          <w:bCs/>
          <w:sz w:val="32"/>
          <w:szCs w:val="32"/>
          <w:highlight w:val="none"/>
        </w:rPr>
        <w:t xml:space="preserve"> </w:t>
      </w:r>
    </w:p>
    <w:p w14:paraId="39C1F5A2">
      <w:pPr>
        <w:ind w:firstLine="3213" w:firstLineChars="1000"/>
        <w:rPr>
          <w:rFonts w:hint="eastAsia" w:ascii="宋体" w:hAnsi="宋体"/>
          <w:b/>
          <w:bCs/>
          <w:sz w:val="32"/>
          <w:szCs w:val="32"/>
          <w:highlight w:val="none"/>
        </w:rPr>
      </w:pPr>
      <w:r>
        <w:rPr>
          <w:rFonts w:hint="eastAsia" w:ascii="宋体" w:hAnsi="宋体"/>
          <w:b/>
          <w:bCs/>
          <w:sz w:val="32"/>
          <w:szCs w:val="32"/>
          <w:highlight w:val="none"/>
        </w:rPr>
        <w:t xml:space="preserve"> </w:t>
      </w:r>
    </w:p>
    <w:p w14:paraId="6C0C34A3">
      <w:pPr>
        <w:ind w:firstLine="3036" w:firstLineChars="945"/>
        <w:rPr>
          <w:rFonts w:hint="eastAsia" w:ascii="宋体" w:hAnsi="宋体"/>
          <w:b/>
          <w:bCs/>
          <w:sz w:val="32"/>
          <w:szCs w:val="32"/>
          <w:highlight w:val="none"/>
        </w:rPr>
      </w:pPr>
      <w:r>
        <w:rPr>
          <w:rFonts w:hint="eastAsia" w:ascii="宋体" w:hAnsi="宋体"/>
          <w:b/>
          <w:bCs/>
          <w:sz w:val="32"/>
          <w:szCs w:val="32"/>
          <w:highlight w:val="none"/>
        </w:rPr>
        <w:t xml:space="preserve">  </w:t>
      </w:r>
    </w:p>
    <w:p w14:paraId="62EA1064">
      <w:pPr>
        <w:ind w:firstLine="643"/>
        <w:jc w:val="center"/>
        <w:rPr>
          <w:rFonts w:hint="eastAsia" w:ascii="宋体" w:hAnsi="宋体"/>
          <w:b/>
          <w:bCs/>
          <w:sz w:val="32"/>
          <w:szCs w:val="32"/>
          <w:highlight w:val="none"/>
        </w:rPr>
      </w:pPr>
      <w:r>
        <w:rPr>
          <w:rFonts w:hint="eastAsia" w:ascii="宋体" w:hAnsi="宋体"/>
          <w:b/>
          <w:bCs/>
          <w:sz w:val="32"/>
          <w:szCs w:val="32"/>
          <w:highlight w:val="none"/>
        </w:rPr>
        <w:t xml:space="preserve"> </w:t>
      </w:r>
    </w:p>
    <w:p w14:paraId="20B073BC">
      <w:pPr>
        <w:spacing w:line="360" w:lineRule="auto"/>
        <w:ind w:firstLine="899" w:firstLineChars="281"/>
        <w:rPr>
          <w:rFonts w:hint="eastAsia" w:ascii="宋体" w:hAnsi="宋体"/>
          <w:sz w:val="32"/>
          <w:szCs w:val="32"/>
          <w:highlight w:val="none"/>
        </w:rPr>
      </w:pPr>
      <w:r>
        <w:rPr>
          <w:rFonts w:hint="eastAsia" w:ascii="宋体" w:hAnsi="宋体"/>
          <w:sz w:val="32"/>
          <w:szCs w:val="32"/>
          <w:highlight w:val="none"/>
        </w:rPr>
        <w:t>招 标 人：广州市花都区水务建设管理中心</w:t>
      </w:r>
    </w:p>
    <w:p w14:paraId="6298C36A">
      <w:pPr>
        <w:spacing w:line="360" w:lineRule="auto"/>
        <w:ind w:firstLine="899" w:firstLineChars="281"/>
        <w:rPr>
          <w:rFonts w:hint="eastAsia" w:ascii="宋体" w:hAnsi="宋体" w:eastAsia="宋体"/>
          <w:sz w:val="32"/>
          <w:szCs w:val="32"/>
          <w:highlight w:val="none"/>
          <w:lang w:eastAsia="zh-CN"/>
        </w:rPr>
      </w:pPr>
      <w:r>
        <w:rPr>
          <w:rFonts w:hint="eastAsia" w:ascii="宋体" w:hAnsi="宋体"/>
          <w:sz w:val="32"/>
          <w:szCs w:val="32"/>
          <w:highlight w:val="none"/>
        </w:rPr>
        <w:t>招标代理机构：</w:t>
      </w:r>
      <w:r>
        <w:rPr>
          <w:rFonts w:hint="eastAsia" w:ascii="宋体" w:hAnsi="宋体"/>
          <w:sz w:val="32"/>
          <w:szCs w:val="32"/>
          <w:highlight w:val="none"/>
          <w:lang w:eastAsia="zh-CN"/>
        </w:rPr>
        <w:t>广州市兴邦国际项目管理有限公司</w:t>
      </w:r>
    </w:p>
    <w:p w14:paraId="0F2BAB13">
      <w:pPr>
        <w:spacing w:line="360" w:lineRule="auto"/>
        <w:ind w:firstLine="899" w:firstLineChars="281"/>
        <w:rPr>
          <w:rFonts w:ascii="宋体" w:hAnsi="宋体"/>
          <w:sz w:val="32"/>
          <w:szCs w:val="32"/>
          <w:highlight w:val="none"/>
        </w:rPr>
      </w:pPr>
      <w:r>
        <w:rPr>
          <w:rFonts w:hint="eastAsia" w:ascii="宋体" w:hAnsi="宋体"/>
          <w:sz w:val="32"/>
          <w:szCs w:val="32"/>
          <w:highlight w:val="none"/>
        </w:rPr>
        <w:t>招标时间：二〇二四年</w:t>
      </w:r>
      <w:r>
        <w:rPr>
          <w:rFonts w:hint="eastAsia" w:ascii="宋体" w:hAnsi="宋体"/>
          <w:sz w:val="32"/>
          <w:szCs w:val="32"/>
          <w:highlight w:val="none"/>
          <w:lang w:val="en-US" w:eastAsia="zh-CN"/>
        </w:rPr>
        <w:t>八</w:t>
      </w:r>
      <w:r>
        <w:rPr>
          <w:rFonts w:hint="eastAsia" w:ascii="宋体" w:hAnsi="宋体"/>
          <w:sz w:val="32"/>
          <w:szCs w:val="32"/>
          <w:highlight w:val="none"/>
        </w:rPr>
        <w:t>月</w:t>
      </w:r>
    </w:p>
    <w:p w14:paraId="624A3A76">
      <w:pPr>
        <w:ind w:firstLine="602"/>
        <w:rPr>
          <w:rFonts w:ascii="宋体" w:hAnsi="宋体" w:cs="宋体"/>
          <w:b/>
          <w:bCs/>
          <w:sz w:val="30"/>
          <w:szCs w:val="30"/>
          <w:highlight w:val="none"/>
        </w:rPr>
        <w:sectPr>
          <w:footerReference r:id="rId3" w:type="default"/>
          <w:pgSz w:w="11907" w:h="16840"/>
          <w:pgMar w:top="1134" w:right="1134" w:bottom="1134" w:left="1134" w:header="720" w:footer="720" w:gutter="0"/>
          <w:cols w:space="720" w:num="1"/>
          <w:titlePg/>
          <w:docGrid w:linePitch="286" w:charSpace="0"/>
        </w:sectPr>
      </w:pPr>
    </w:p>
    <w:p w14:paraId="195CC37F">
      <w:pPr>
        <w:keepNext/>
        <w:keepLines/>
        <w:widowControl/>
        <w:spacing w:before="480" w:line="276" w:lineRule="auto"/>
        <w:ind w:firstLine="964"/>
        <w:jc w:val="center"/>
        <w:rPr>
          <w:rFonts w:ascii="宋体" w:hAnsi="宋体"/>
          <w:b/>
          <w:bCs/>
          <w:kern w:val="0"/>
          <w:sz w:val="48"/>
          <w:szCs w:val="48"/>
          <w:highlight w:val="none"/>
          <w:lang w:val="zh-CN"/>
        </w:rPr>
      </w:pPr>
      <w:r>
        <w:rPr>
          <w:rFonts w:ascii="宋体" w:hAnsi="宋体"/>
          <w:b/>
          <w:bCs/>
          <w:kern w:val="0"/>
          <w:sz w:val="48"/>
          <w:szCs w:val="48"/>
          <w:highlight w:val="none"/>
          <w:lang w:val="zh-CN"/>
        </w:rPr>
        <w:t>目</w:t>
      </w:r>
      <w:r>
        <w:rPr>
          <w:rFonts w:hint="eastAsia" w:ascii="宋体" w:hAnsi="宋体"/>
          <w:b/>
          <w:bCs/>
          <w:kern w:val="0"/>
          <w:sz w:val="48"/>
          <w:szCs w:val="48"/>
          <w:highlight w:val="none"/>
          <w:lang w:val="zh-CN"/>
        </w:rPr>
        <w:t xml:space="preserve">   </w:t>
      </w:r>
      <w:r>
        <w:rPr>
          <w:rFonts w:ascii="宋体" w:hAnsi="宋体"/>
          <w:b/>
          <w:bCs/>
          <w:kern w:val="0"/>
          <w:sz w:val="48"/>
          <w:szCs w:val="48"/>
          <w:highlight w:val="none"/>
          <w:lang w:val="zh-CN"/>
        </w:rPr>
        <w:t>录</w:t>
      </w:r>
    </w:p>
    <w:p w14:paraId="5A8D0DBA">
      <w:pPr>
        <w:pStyle w:val="26"/>
        <w:tabs>
          <w:tab w:val="right" w:leader="dot" w:pos="9581"/>
        </w:tabs>
      </w:pPr>
      <w:r>
        <w:rPr>
          <w:rFonts w:ascii="宋体" w:hAnsi="宋体"/>
          <w:smallCaps/>
          <w:sz w:val="24"/>
          <w:szCs w:val="24"/>
          <w:highlight w:val="none"/>
        </w:rPr>
        <w:fldChar w:fldCharType="begin"/>
      </w:r>
      <w:r>
        <w:rPr>
          <w:rFonts w:ascii="宋体" w:hAnsi="宋体"/>
          <w:smallCaps/>
          <w:sz w:val="24"/>
          <w:szCs w:val="24"/>
          <w:highlight w:val="none"/>
        </w:rPr>
        <w:instrText xml:space="preserve">TOC \o "1-2" \h \u </w:instrText>
      </w:r>
      <w:r>
        <w:rPr>
          <w:rFonts w:ascii="宋体" w:hAnsi="宋体"/>
          <w:smallCaps/>
          <w:sz w:val="24"/>
          <w:szCs w:val="24"/>
          <w:highlight w:val="none"/>
        </w:rPr>
        <w:fldChar w:fldCharType="separate"/>
      </w:r>
      <w:r>
        <w:rPr>
          <w:rFonts w:ascii="宋体" w:hAnsi="宋体"/>
          <w:smallCaps/>
          <w:szCs w:val="24"/>
          <w:highlight w:val="none"/>
        </w:rPr>
        <w:fldChar w:fldCharType="begin"/>
      </w:r>
      <w:r>
        <w:rPr>
          <w:rFonts w:ascii="宋体" w:hAnsi="宋体"/>
          <w:smallCaps/>
          <w:szCs w:val="24"/>
          <w:highlight w:val="none"/>
        </w:rPr>
        <w:instrText xml:space="preserve"> HYPERLINK \l _Toc17305 </w:instrText>
      </w:r>
      <w:r>
        <w:rPr>
          <w:rFonts w:ascii="宋体" w:hAnsi="宋体"/>
          <w:smallCaps/>
          <w:szCs w:val="24"/>
          <w:highlight w:val="none"/>
        </w:rPr>
        <w:fldChar w:fldCharType="separate"/>
      </w:r>
      <w:r>
        <w:rPr>
          <w:rFonts w:hint="eastAsia"/>
          <w:highlight w:val="none"/>
        </w:rPr>
        <w:t>第一卷</w:t>
      </w:r>
      <w:r>
        <w:tab/>
      </w:r>
      <w:r>
        <w:fldChar w:fldCharType="begin"/>
      </w:r>
      <w:r>
        <w:instrText xml:space="preserve"> PAGEREF _Toc17305 \h </w:instrText>
      </w:r>
      <w:r>
        <w:fldChar w:fldCharType="separate"/>
      </w:r>
      <w:r>
        <w:t>3</w:t>
      </w:r>
      <w:r>
        <w:fldChar w:fldCharType="end"/>
      </w:r>
      <w:r>
        <w:rPr>
          <w:rFonts w:ascii="宋体" w:hAnsi="宋体"/>
          <w:smallCaps/>
          <w:szCs w:val="24"/>
          <w:highlight w:val="none"/>
        </w:rPr>
        <w:fldChar w:fldCharType="end"/>
      </w:r>
    </w:p>
    <w:p w14:paraId="7C416F4E">
      <w:pPr>
        <w:pStyle w:val="30"/>
        <w:tabs>
          <w:tab w:val="right" w:leader="dot" w:pos="9581"/>
        </w:tabs>
      </w:pPr>
      <w:r>
        <w:rPr>
          <w:rFonts w:ascii="宋体" w:hAnsi="宋体"/>
          <w:smallCaps/>
          <w:szCs w:val="24"/>
          <w:highlight w:val="none"/>
        </w:rPr>
        <w:fldChar w:fldCharType="begin"/>
      </w:r>
      <w:r>
        <w:rPr>
          <w:rFonts w:ascii="宋体" w:hAnsi="宋体"/>
          <w:smallCaps/>
          <w:szCs w:val="24"/>
          <w:highlight w:val="none"/>
        </w:rPr>
        <w:instrText xml:space="preserve"> HYPERLINK \l _Toc1880 </w:instrText>
      </w:r>
      <w:r>
        <w:rPr>
          <w:rFonts w:ascii="宋体" w:hAnsi="宋体"/>
          <w:smallCaps/>
          <w:szCs w:val="24"/>
          <w:highlight w:val="none"/>
        </w:rPr>
        <w:fldChar w:fldCharType="separate"/>
      </w:r>
      <w:r>
        <w:rPr>
          <w:rFonts w:ascii="宋体" w:hAnsi="宋体"/>
          <w:szCs w:val="36"/>
          <w:highlight w:val="none"/>
        </w:rPr>
        <w:t>第一章</w:t>
      </w:r>
      <w:r>
        <w:rPr>
          <w:rFonts w:hint="eastAsia" w:ascii="宋体" w:hAnsi="宋体"/>
          <w:szCs w:val="36"/>
          <w:highlight w:val="none"/>
        </w:rPr>
        <w:t xml:space="preserve"> 招标公告</w:t>
      </w:r>
      <w:r>
        <w:tab/>
      </w:r>
      <w:r>
        <w:fldChar w:fldCharType="begin"/>
      </w:r>
      <w:r>
        <w:instrText xml:space="preserve"> PAGEREF _Toc1880 \h </w:instrText>
      </w:r>
      <w:r>
        <w:fldChar w:fldCharType="separate"/>
      </w:r>
      <w:r>
        <w:t>3</w:t>
      </w:r>
      <w:r>
        <w:fldChar w:fldCharType="end"/>
      </w:r>
      <w:r>
        <w:rPr>
          <w:rFonts w:ascii="宋体" w:hAnsi="宋体"/>
          <w:smallCaps/>
          <w:szCs w:val="24"/>
          <w:highlight w:val="none"/>
        </w:rPr>
        <w:fldChar w:fldCharType="end"/>
      </w:r>
    </w:p>
    <w:p w14:paraId="18C5FDDD">
      <w:pPr>
        <w:pStyle w:val="30"/>
        <w:tabs>
          <w:tab w:val="right" w:leader="dot" w:pos="9581"/>
        </w:tabs>
      </w:pPr>
      <w:r>
        <w:rPr>
          <w:rFonts w:ascii="宋体" w:hAnsi="宋体"/>
          <w:smallCaps/>
          <w:szCs w:val="24"/>
          <w:highlight w:val="none"/>
        </w:rPr>
        <w:fldChar w:fldCharType="begin"/>
      </w:r>
      <w:r>
        <w:rPr>
          <w:rFonts w:ascii="宋体" w:hAnsi="宋体"/>
          <w:smallCaps/>
          <w:szCs w:val="24"/>
          <w:highlight w:val="none"/>
        </w:rPr>
        <w:instrText xml:space="preserve"> HYPERLINK \l _Toc32162 </w:instrText>
      </w:r>
      <w:r>
        <w:rPr>
          <w:rFonts w:ascii="宋体" w:hAnsi="宋体"/>
          <w:smallCaps/>
          <w:szCs w:val="24"/>
          <w:highlight w:val="none"/>
        </w:rPr>
        <w:fldChar w:fldCharType="separate"/>
      </w:r>
      <w:r>
        <w:rPr>
          <w:rFonts w:hint="eastAsia" w:ascii="宋体" w:hAnsi="宋体" w:eastAsia="宋体"/>
          <w:bCs w:val="0"/>
          <w:kern w:val="44"/>
          <w:highlight w:val="none"/>
        </w:rPr>
        <w:t>第二章  投标人须知</w:t>
      </w:r>
      <w:r>
        <w:tab/>
      </w:r>
      <w:r>
        <w:fldChar w:fldCharType="begin"/>
      </w:r>
      <w:r>
        <w:instrText xml:space="preserve"> PAGEREF _Toc32162 \h </w:instrText>
      </w:r>
      <w:r>
        <w:fldChar w:fldCharType="separate"/>
      </w:r>
      <w:r>
        <w:t>4</w:t>
      </w:r>
      <w:r>
        <w:fldChar w:fldCharType="end"/>
      </w:r>
      <w:r>
        <w:rPr>
          <w:rFonts w:ascii="宋体" w:hAnsi="宋体"/>
          <w:smallCaps/>
          <w:szCs w:val="24"/>
          <w:highlight w:val="none"/>
        </w:rPr>
        <w:fldChar w:fldCharType="end"/>
      </w:r>
    </w:p>
    <w:p w14:paraId="22FDDC4D">
      <w:pPr>
        <w:pStyle w:val="30"/>
        <w:tabs>
          <w:tab w:val="right" w:leader="dot" w:pos="9581"/>
        </w:tabs>
      </w:pPr>
      <w:r>
        <w:rPr>
          <w:rFonts w:ascii="宋体" w:hAnsi="宋体"/>
          <w:smallCaps/>
          <w:szCs w:val="24"/>
          <w:highlight w:val="none"/>
        </w:rPr>
        <w:fldChar w:fldCharType="begin"/>
      </w:r>
      <w:r>
        <w:rPr>
          <w:rFonts w:ascii="宋体" w:hAnsi="宋体"/>
          <w:smallCaps/>
          <w:szCs w:val="24"/>
          <w:highlight w:val="none"/>
        </w:rPr>
        <w:instrText xml:space="preserve"> HYPERLINK \l _Toc21536 </w:instrText>
      </w:r>
      <w:r>
        <w:rPr>
          <w:rFonts w:ascii="宋体" w:hAnsi="宋体"/>
          <w:smallCaps/>
          <w:szCs w:val="24"/>
          <w:highlight w:val="none"/>
        </w:rPr>
        <w:fldChar w:fldCharType="separate"/>
      </w:r>
      <w:r>
        <w:rPr>
          <w:rFonts w:ascii="宋体" w:hAnsi="宋体" w:eastAsia="宋体"/>
          <w:highlight w:val="none"/>
        </w:rPr>
        <w:t>第三章</w:t>
      </w:r>
      <w:r>
        <w:rPr>
          <w:rFonts w:hint="eastAsia" w:ascii="宋体" w:hAnsi="宋体" w:eastAsia="宋体"/>
          <w:highlight w:val="none"/>
        </w:rPr>
        <w:t xml:space="preserve">  </w:t>
      </w:r>
      <w:r>
        <w:rPr>
          <w:rFonts w:ascii="宋体" w:hAnsi="宋体" w:eastAsia="宋体"/>
          <w:highlight w:val="none"/>
        </w:rPr>
        <w:t>评标办法（综合评估法）</w:t>
      </w:r>
      <w:r>
        <w:tab/>
      </w:r>
      <w:r>
        <w:fldChar w:fldCharType="begin"/>
      </w:r>
      <w:r>
        <w:instrText xml:space="preserve"> PAGEREF _Toc21536 \h </w:instrText>
      </w:r>
      <w:r>
        <w:fldChar w:fldCharType="separate"/>
      </w:r>
      <w:r>
        <w:t>20</w:t>
      </w:r>
      <w:r>
        <w:fldChar w:fldCharType="end"/>
      </w:r>
      <w:r>
        <w:rPr>
          <w:rFonts w:ascii="宋体" w:hAnsi="宋体"/>
          <w:smallCaps/>
          <w:szCs w:val="24"/>
          <w:highlight w:val="none"/>
        </w:rPr>
        <w:fldChar w:fldCharType="end"/>
      </w:r>
    </w:p>
    <w:p w14:paraId="07076540">
      <w:pPr>
        <w:pStyle w:val="30"/>
        <w:tabs>
          <w:tab w:val="right" w:leader="dot" w:pos="9581"/>
        </w:tabs>
      </w:pPr>
      <w:r>
        <w:rPr>
          <w:rFonts w:ascii="宋体" w:hAnsi="宋体"/>
          <w:smallCaps/>
          <w:szCs w:val="24"/>
          <w:highlight w:val="none"/>
        </w:rPr>
        <w:fldChar w:fldCharType="begin"/>
      </w:r>
      <w:r>
        <w:rPr>
          <w:rFonts w:ascii="宋体" w:hAnsi="宋体"/>
          <w:smallCaps/>
          <w:szCs w:val="24"/>
          <w:highlight w:val="none"/>
        </w:rPr>
        <w:instrText xml:space="preserve"> HYPERLINK \l _Toc27332 </w:instrText>
      </w:r>
      <w:r>
        <w:rPr>
          <w:rFonts w:ascii="宋体" w:hAnsi="宋体"/>
          <w:smallCaps/>
          <w:szCs w:val="24"/>
          <w:highlight w:val="none"/>
        </w:rPr>
        <w:fldChar w:fldCharType="separate"/>
      </w:r>
      <w:r>
        <w:rPr>
          <w:rFonts w:ascii="宋体" w:hAnsi="宋体" w:eastAsia="宋体"/>
          <w:highlight w:val="none"/>
        </w:rPr>
        <w:t>第四章</w:t>
      </w:r>
      <w:r>
        <w:rPr>
          <w:rFonts w:hint="eastAsia" w:ascii="宋体" w:hAnsi="宋体" w:eastAsia="宋体"/>
          <w:highlight w:val="none"/>
        </w:rPr>
        <w:t xml:space="preserve">  </w:t>
      </w:r>
      <w:r>
        <w:rPr>
          <w:rFonts w:ascii="宋体" w:hAnsi="宋体" w:eastAsia="宋体"/>
          <w:highlight w:val="none"/>
        </w:rPr>
        <w:t>合同条款及格式</w:t>
      </w:r>
      <w:r>
        <w:tab/>
      </w:r>
      <w:r>
        <w:fldChar w:fldCharType="begin"/>
      </w:r>
      <w:r>
        <w:instrText xml:space="preserve"> PAGEREF _Toc27332 \h </w:instrText>
      </w:r>
      <w:r>
        <w:fldChar w:fldCharType="separate"/>
      </w:r>
      <w:r>
        <w:t>27</w:t>
      </w:r>
      <w:r>
        <w:fldChar w:fldCharType="end"/>
      </w:r>
      <w:r>
        <w:rPr>
          <w:rFonts w:ascii="宋体" w:hAnsi="宋体"/>
          <w:smallCaps/>
          <w:szCs w:val="24"/>
          <w:highlight w:val="none"/>
        </w:rPr>
        <w:fldChar w:fldCharType="end"/>
      </w:r>
    </w:p>
    <w:p w14:paraId="03C96272">
      <w:pPr>
        <w:pStyle w:val="26"/>
        <w:tabs>
          <w:tab w:val="right" w:leader="dot" w:pos="9581"/>
        </w:tabs>
      </w:pPr>
      <w:r>
        <w:rPr>
          <w:rFonts w:ascii="宋体" w:hAnsi="宋体"/>
          <w:smallCaps/>
          <w:szCs w:val="24"/>
          <w:highlight w:val="none"/>
        </w:rPr>
        <w:fldChar w:fldCharType="begin"/>
      </w:r>
      <w:r>
        <w:rPr>
          <w:rFonts w:ascii="宋体" w:hAnsi="宋体"/>
          <w:smallCaps/>
          <w:szCs w:val="24"/>
          <w:highlight w:val="none"/>
        </w:rPr>
        <w:instrText xml:space="preserve"> HYPERLINK \l _Toc17904 </w:instrText>
      </w:r>
      <w:r>
        <w:rPr>
          <w:rFonts w:ascii="宋体" w:hAnsi="宋体"/>
          <w:smallCaps/>
          <w:szCs w:val="24"/>
          <w:highlight w:val="none"/>
        </w:rPr>
        <w:fldChar w:fldCharType="separate"/>
      </w:r>
      <w:r>
        <w:rPr>
          <w:rFonts w:ascii="宋体" w:hAnsi="宋体"/>
          <w:highlight w:val="none"/>
        </w:rPr>
        <w:t>第二卷</w:t>
      </w:r>
      <w:r>
        <w:tab/>
      </w:r>
      <w:r>
        <w:fldChar w:fldCharType="begin"/>
      </w:r>
      <w:r>
        <w:instrText xml:space="preserve"> PAGEREF _Toc17904 \h </w:instrText>
      </w:r>
      <w:r>
        <w:fldChar w:fldCharType="separate"/>
      </w:r>
      <w:r>
        <w:t>28</w:t>
      </w:r>
      <w:r>
        <w:fldChar w:fldCharType="end"/>
      </w:r>
      <w:r>
        <w:rPr>
          <w:rFonts w:ascii="宋体" w:hAnsi="宋体"/>
          <w:smallCaps/>
          <w:szCs w:val="24"/>
          <w:highlight w:val="none"/>
        </w:rPr>
        <w:fldChar w:fldCharType="end"/>
      </w:r>
    </w:p>
    <w:p w14:paraId="65341480">
      <w:pPr>
        <w:pStyle w:val="30"/>
        <w:tabs>
          <w:tab w:val="right" w:leader="dot" w:pos="9581"/>
        </w:tabs>
      </w:pPr>
      <w:r>
        <w:rPr>
          <w:rFonts w:ascii="宋体" w:hAnsi="宋体"/>
          <w:smallCaps/>
          <w:szCs w:val="24"/>
          <w:highlight w:val="none"/>
        </w:rPr>
        <w:fldChar w:fldCharType="begin"/>
      </w:r>
      <w:r>
        <w:rPr>
          <w:rFonts w:ascii="宋体" w:hAnsi="宋体"/>
          <w:smallCaps/>
          <w:szCs w:val="24"/>
          <w:highlight w:val="none"/>
        </w:rPr>
        <w:instrText xml:space="preserve"> HYPERLINK \l _Toc20174 </w:instrText>
      </w:r>
      <w:r>
        <w:rPr>
          <w:rFonts w:ascii="宋体" w:hAnsi="宋体"/>
          <w:smallCaps/>
          <w:szCs w:val="24"/>
          <w:highlight w:val="none"/>
        </w:rPr>
        <w:fldChar w:fldCharType="separate"/>
      </w:r>
      <w:r>
        <w:rPr>
          <w:rFonts w:ascii="宋体" w:hAnsi="宋体" w:eastAsia="宋体"/>
          <w:highlight w:val="none"/>
        </w:rPr>
        <w:t>第五章</w:t>
      </w:r>
      <w:r>
        <w:rPr>
          <w:rFonts w:hint="eastAsia" w:ascii="宋体" w:hAnsi="宋体" w:eastAsia="宋体"/>
          <w:highlight w:val="none"/>
        </w:rPr>
        <w:t xml:space="preserve">  </w:t>
      </w:r>
      <w:r>
        <w:rPr>
          <w:rFonts w:ascii="宋体" w:hAnsi="宋体" w:eastAsia="宋体"/>
          <w:highlight w:val="none"/>
        </w:rPr>
        <w:t>委托人要求</w:t>
      </w:r>
      <w:r>
        <w:tab/>
      </w:r>
      <w:r>
        <w:fldChar w:fldCharType="begin"/>
      </w:r>
      <w:r>
        <w:instrText xml:space="preserve"> PAGEREF _Toc20174 \h </w:instrText>
      </w:r>
      <w:r>
        <w:fldChar w:fldCharType="separate"/>
      </w:r>
      <w:r>
        <w:t>29</w:t>
      </w:r>
      <w:r>
        <w:fldChar w:fldCharType="end"/>
      </w:r>
      <w:r>
        <w:rPr>
          <w:rFonts w:ascii="宋体" w:hAnsi="宋体"/>
          <w:smallCaps/>
          <w:szCs w:val="24"/>
          <w:highlight w:val="none"/>
        </w:rPr>
        <w:fldChar w:fldCharType="end"/>
      </w:r>
    </w:p>
    <w:p w14:paraId="671B7419">
      <w:pPr>
        <w:pStyle w:val="26"/>
        <w:tabs>
          <w:tab w:val="right" w:leader="dot" w:pos="9581"/>
        </w:tabs>
      </w:pPr>
      <w:r>
        <w:rPr>
          <w:rFonts w:ascii="宋体" w:hAnsi="宋体"/>
          <w:smallCaps/>
          <w:szCs w:val="24"/>
          <w:highlight w:val="none"/>
        </w:rPr>
        <w:fldChar w:fldCharType="begin"/>
      </w:r>
      <w:r>
        <w:rPr>
          <w:rFonts w:ascii="宋体" w:hAnsi="宋体"/>
          <w:smallCaps/>
          <w:szCs w:val="24"/>
          <w:highlight w:val="none"/>
        </w:rPr>
        <w:instrText xml:space="preserve"> HYPERLINK \l _Toc15872 </w:instrText>
      </w:r>
      <w:r>
        <w:rPr>
          <w:rFonts w:ascii="宋体" w:hAnsi="宋体"/>
          <w:smallCaps/>
          <w:szCs w:val="24"/>
          <w:highlight w:val="none"/>
        </w:rPr>
        <w:fldChar w:fldCharType="separate"/>
      </w:r>
      <w:r>
        <w:rPr>
          <w:rFonts w:ascii="宋体" w:hAnsi="宋体"/>
          <w:highlight w:val="none"/>
        </w:rPr>
        <w:t>第三卷</w:t>
      </w:r>
      <w:r>
        <w:tab/>
      </w:r>
      <w:r>
        <w:fldChar w:fldCharType="begin"/>
      </w:r>
      <w:r>
        <w:instrText xml:space="preserve"> PAGEREF _Toc15872 \h </w:instrText>
      </w:r>
      <w:r>
        <w:fldChar w:fldCharType="separate"/>
      </w:r>
      <w:r>
        <w:t>32</w:t>
      </w:r>
      <w:r>
        <w:fldChar w:fldCharType="end"/>
      </w:r>
      <w:r>
        <w:rPr>
          <w:rFonts w:ascii="宋体" w:hAnsi="宋体"/>
          <w:smallCaps/>
          <w:szCs w:val="24"/>
          <w:highlight w:val="none"/>
        </w:rPr>
        <w:fldChar w:fldCharType="end"/>
      </w:r>
    </w:p>
    <w:p w14:paraId="1021EC5F">
      <w:pPr>
        <w:pStyle w:val="30"/>
        <w:tabs>
          <w:tab w:val="right" w:leader="dot" w:pos="9581"/>
        </w:tabs>
      </w:pPr>
      <w:r>
        <w:rPr>
          <w:rFonts w:ascii="宋体" w:hAnsi="宋体"/>
          <w:smallCaps/>
          <w:szCs w:val="24"/>
          <w:highlight w:val="none"/>
        </w:rPr>
        <w:fldChar w:fldCharType="begin"/>
      </w:r>
      <w:r>
        <w:rPr>
          <w:rFonts w:ascii="宋体" w:hAnsi="宋体"/>
          <w:smallCaps/>
          <w:szCs w:val="24"/>
          <w:highlight w:val="none"/>
        </w:rPr>
        <w:instrText xml:space="preserve"> HYPERLINK \l _Toc2105 </w:instrText>
      </w:r>
      <w:r>
        <w:rPr>
          <w:rFonts w:ascii="宋体" w:hAnsi="宋体"/>
          <w:smallCaps/>
          <w:szCs w:val="24"/>
          <w:highlight w:val="none"/>
        </w:rPr>
        <w:fldChar w:fldCharType="separate"/>
      </w:r>
      <w:r>
        <w:rPr>
          <w:rFonts w:ascii="宋体" w:hAnsi="宋体" w:eastAsia="宋体"/>
          <w:highlight w:val="none"/>
        </w:rPr>
        <w:t>第六章</w:t>
      </w:r>
      <w:r>
        <w:rPr>
          <w:rFonts w:hint="eastAsia" w:ascii="宋体" w:hAnsi="宋体" w:eastAsia="宋体"/>
          <w:highlight w:val="none"/>
        </w:rPr>
        <w:t xml:space="preserve">  </w:t>
      </w:r>
      <w:r>
        <w:rPr>
          <w:rFonts w:ascii="宋体" w:hAnsi="宋体" w:eastAsia="宋体"/>
          <w:highlight w:val="none"/>
        </w:rPr>
        <w:t>投标文件格式</w:t>
      </w:r>
      <w:r>
        <w:tab/>
      </w:r>
      <w:r>
        <w:fldChar w:fldCharType="begin"/>
      </w:r>
      <w:r>
        <w:instrText xml:space="preserve"> PAGEREF _Toc2105 \h </w:instrText>
      </w:r>
      <w:r>
        <w:fldChar w:fldCharType="separate"/>
      </w:r>
      <w:r>
        <w:t>32</w:t>
      </w:r>
      <w:r>
        <w:fldChar w:fldCharType="end"/>
      </w:r>
      <w:r>
        <w:rPr>
          <w:rFonts w:ascii="宋体" w:hAnsi="宋体"/>
          <w:smallCaps/>
          <w:szCs w:val="24"/>
          <w:highlight w:val="none"/>
        </w:rPr>
        <w:fldChar w:fldCharType="end"/>
      </w:r>
    </w:p>
    <w:p w14:paraId="527C712B">
      <w:pPr>
        <w:pStyle w:val="30"/>
        <w:tabs>
          <w:tab w:val="right" w:leader="dot" w:pos="9581"/>
        </w:tabs>
      </w:pPr>
      <w:r>
        <w:rPr>
          <w:rFonts w:ascii="宋体" w:hAnsi="宋体"/>
          <w:smallCaps/>
          <w:szCs w:val="24"/>
          <w:highlight w:val="none"/>
        </w:rPr>
        <w:fldChar w:fldCharType="begin"/>
      </w:r>
      <w:r>
        <w:rPr>
          <w:rFonts w:ascii="宋体" w:hAnsi="宋体"/>
          <w:smallCaps/>
          <w:szCs w:val="24"/>
          <w:highlight w:val="none"/>
        </w:rPr>
        <w:instrText xml:space="preserve"> HYPERLINK \l _Toc662 </w:instrText>
      </w:r>
      <w:r>
        <w:rPr>
          <w:rFonts w:ascii="宋体" w:hAnsi="宋体"/>
          <w:smallCaps/>
          <w:szCs w:val="24"/>
          <w:highlight w:val="none"/>
        </w:rPr>
        <w:fldChar w:fldCharType="separate"/>
      </w:r>
      <w:r>
        <w:rPr>
          <w:rFonts w:hint="eastAsia" w:ascii="宋体" w:hAnsi="宋体"/>
          <w:highlight w:val="none"/>
        </w:rPr>
        <w:t>一、投标函及投标函附录</w:t>
      </w:r>
      <w:r>
        <w:tab/>
      </w:r>
      <w:r>
        <w:fldChar w:fldCharType="begin"/>
      </w:r>
      <w:r>
        <w:instrText xml:space="preserve"> PAGEREF _Toc662 \h </w:instrText>
      </w:r>
      <w:r>
        <w:fldChar w:fldCharType="separate"/>
      </w:r>
      <w:r>
        <w:t>35</w:t>
      </w:r>
      <w:r>
        <w:fldChar w:fldCharType="end"/>
      </w:r>
      <w:r>
        <w:rPr>
          <w:rFonts w:ascii="宋体" w:hAnsi="宋体"/>
          <w:smallCaps/>
          <w:szCs w:val="24"/>
          <w:highlight w:val="none"/>
        </w:rPr>
        <w:fldChar w:fldCharType="end"/>
      </w:r>
    </w:p>
    <w:p w14:paraId="28F79654">
      <w:pPr>
        <w:pStyle w:val="30"/>
        <w:tabs>
          <w:tab w:val="right" w:leader="dot" w:pos="9581"/>
        </w:tabs>
      </w:pPr>
      <w:r>
        <w:rPr>
          <w:rFonts w:ascii="宋体" w:hAnsi="宋体"/>
          <w:smallCaps/>
          <w:szCs w:val="24"/>
          <w:highlight w:val="none"/>
        </w:rPr>
        <w:fldChar w:fldCharType="begin"/>
      </w:r>
      <w:r>
        <w:rPr>
          <w:rFonts w:ascii="宋体" w:hAnsi="宋体"/>
          <w:smallCaps/>
          <w:szCs w:val="24"/>
          <w:highlight w:val="none"/>
        </w:rPr>
        <w:instrText xml:space="preserve"> HYPERLINK \l _Toc26390 </w:instrText>
      </w:r>
      <w:r>
        <w:rPr>
          <w:rFonts w:ascii="宋体" w:hAnsi="宋体"/>
          <w:smallCaps/>
          <w:szCs w:val="24"/>
          <w:highlight w:val="none"/>
        </w:rPr>
        <w:fldChar w:fldCharType="separate"/>
      </w:r>
      <w:r>
        <w:rPr>
          <w:rFonts w:hint="eastAsia" w:ascii="宋体" w:hAnsi="宋体" w:eastAsia="宋体"/>
          <w:highlight w:val="none"/>
        </w:rPr>
        <w:t>二、法定代表人身份证明</w:t>
      </w:r>
      <w:r>
        <w:tab/>
      </w:r>
      <w:r>
        <w:fldChar w:fldCharType="begin"/>
      </w:r>
      <w:r>
        <w:instrText xml:space="preserve"> PAGEREF _Toc26390 \h </w:instrText>
      </w:r>
      <w:r>
        <w:fldChar w:fldCharType="separate"/>
      </w:r>
      <w:r>
        <w:t>37</w:t>
      </w:r>
      <w:r>
        <w:fldChar w:fldCharType="end"/>
      </w:r>
      <w:r>
        <w:rPr>
          <w:rFonts w:ascii="宋体" w:hAnsi="宋体"/>
          <w:smallCaps/>
          <w:szCs w:val="24"/>
          <w:highlight w:val="none"/>
        </w:rPr>
        <w:fldChar w:fldCharType="end"/>
      </w:r>
    </w:p>
    <w:p w14:paraId="2E7BD4E1">
      <w:pPr>
        <w:pStyle w:val="30"/>
        <w:tabs>
          <w:tab w:val="right" w:leader="dot" w:pos="9581"/>
        </w:tabs>
      </w:pPr>
      <w:r>
        <w:rPr>
          <w:rFonts w:ascii="宋体" w:hAnsi="宋体"/>
          <w:smallCaps/>
          <w:szCs w:val="24"/>
          <w:highlight w:val="none"/>
        </w:rPr>
        <w:fldChar w:fldCharType="begin"/>
      </w:r>
      <w:r>
        <w:rPr>
          <w:rFonts w:ascii="宋体" w:hAnsi="宋体"/>
          <w:smallCaps/>
          <w:szCs w:val="24"/>
          <w:highlight w:val="none"/>
        </w:rPr>
        <w:instrText xml:space="preserve"> HYPERLINK \l _Toc25276 </w:instrText>
      </w:r>
      <w:r>
        <w:rPr>
          <w:rFonts w:ascii="宋体" w:hAnsi="宋体"/>
          <w:smallCaps/>
          <w:szCs w:val="24"/>
          <w:highlight w:val="none"/>
        </w:rPr>
        <w:fldChar w:fldCharType="separate"/>
      </w:r>
      <w:r>
        <w:rPr>
          <w:rFonts w:hint="eastAsia" w:ascii="宋体" w:hAnsi="宋体" w:cs="宋体"/>
          <w:bCs w:val="0"/>
          <w:highlight w:val="none"/>
        </w:rPr>
        <w:t>三、</w:t>
      </w:r>
      <w:r>
        <w:rPr>
          <w:rFonts w:ascii="宋体" w:hAnsi="宋体"/>
          <w:highlight w:val="none"/>
        </w:rPr>
        <w:t>授权委托</w:t>
      </w:r>
      <w:r>
        <w:rPr>
          <w:rFonts w:hint="eastAsia" w:ascii="宋体" w:hAnsi="宋体"/>
          <w:highlight w:val="none"/>
        </w:rPr>
        <w:t>证明</w:t>
      </w:r>
      <w:r>
        <w:rPr>
          <w:rFonts w:ascii="宋体" w:hAnsi="宋体"/>
          <w:highlight w:val="none"/>
        </w:rPr>
        <w:t>书</w:t>
      </w:r>
      <w:r>
        <w:tab/>
      </w:r>
      <w:r>
        <w:fldChar w:fldCharType="begin"/>
      </w:r>
      <w:r>
        <w:instrText xml:space="preserve"> PAGEREF _Toc25276 \h </w:instrText>
      </w:r>
      <w:r>
        <w:fldChar w:fldCharType="separate"/>
      </w:r>
      <w:r>
        <w:t>38</w:t>
      </w:r>
      <w:r>
        <w:fldChar w:fldCharType="end"/>
      </w:r>
      <w:r>
        <w:rPr>
          <w:rFonts w:ascii="宋体" w:hAnsi="宋体"/>
          <w:smallCaps/>
          <w:szCs w:val="24"/>
          <w:highlight w:val="none"/>
        </w:rPr>
        <w:fldChar w:fldCharType="end"/>
      </w:r>
    </w:p>
    <w:p w14:paraId="2CF12DD1">
      <w:pPr>
        <w:pStyle w:val="30"/>
        <w:tabs>
          <w:tab w:val="right" w:leader="dot" w:pos="9581"/>
        </w:tabs>
      </w:pPr>
      <w:r>
        <w:rPr>
          <w:rFonts w:ascii="宋体" w:hAnsi="宋体"/>
          <w:smallCaps/>
          <w:szCs w:val="24"/>
          <w:highlight w:val="none"/>
        </w:rPr>
        <w:fldChar w:fldCharType="begin"/>
      </w:r>
      <w:r>
        <w:rPr>
          <w:rFonts w:ascii="宋体" w:hAnsi="宋体"/>
          <w:smallCaps/>
          <w:szCs w:val="24"/>
          <w:highlight w:val="none"/>
        </w:rPr>
        <w:instrText xml:space="preserve"> HYPERLINK \l _Toc18566 </w:instrText>
      </w:r>
      <w:r>
        <w:rPr>
          <w:rFonts w:ascii="宋体" w:hAnsi="宋体"/>
          <w:smallCaps/>
          <w:szCs w:val="24"/>
          <w:highlight w:val="none"/>
        </w:rPr>
        <w:fldChar w:fldCharType="separate"/>
      </w:r>
      <w:r>
        <w:rPr>
          <w:rFonts w:hint="eastAsia" w:ascii="宋体" w:hAnsi="宋体" w:eastAsia="黑体"/>
          <w:bCs/>
          <w:kern w:val="0"/>
          <w:szCs w:val="32"/>
          <w:highlight w:val="none"/>
        </w:rPr>
        <w:t>四、资格审查资料</w:t>
      </w:r>
      <w:r>
        <w:tab/>
      </w:r>
      <w:r>
        <w:fldChar w:fldCharType="begin"/>
      </w:r>
      <w:r>
        <w:instrText xml:space="preserve"> PAGEREF _Toc18566 \h </w:instrText>
      </w:r>
      <w:r>
        <w:fldChar w:fldCharType="separate"/>
      </w:r>
      <w:r>
        <w:t>39</w:t>
      </w:r>
      <w:r>
        <w:fldChar w:fldCharType="end"/>
      </w:r>
      <w:r>
        <w:rPr>
          <w:rFonts w:ascii="宋体" w:hAnsi="宋体"/>
          <w:smallCaps/>
          <w:szCs w:val="24"/>
          <w:highlight w:val="none"/>
        </w:rPr>
        <w:fldChar w:fldCharType="end"/>
      </w:r>
    </w:p>
    <w:p w14:paraId="78EE71E5">
      <w:pPr>
        <w:pStyle w:val="30"/>
        <w:tabs>
          <w:tab w:val="right" w:leader="dot" w:pos="9581"/>
        </w:tabs>
      </w:pPr>
      <w:r>
        <w:rPr>
          <w:rFonts w:ascii="宋体" w:hAnsi="宋体"/>
          <w:smallCaps/>
          <w:szCs w:val="24"/>
          <w:highlight w:val="none"/>
        </w:rPr>
        <w:fldChar w:fldCharType="begin"/>
      </w:r>
      <w:r>
        <w:rPr>
          <w:rFonts w:ascii="宋体" w:hAnsi="宋体"/>
          <w:smallCaps/>
          <w:szCs w:val="24"/>
          <w:highlight w:val="none"/>
        </w:rPr>
        <w:instrText xml:space="preserve"> HYPERLINK \l _Toc20585 </w:instrText>
      </w:r>
      <w:r>
        <w:rPr>
          <w:rFonts w:ascii="宋体" w:hAnsi="宋体"/>
          <w:smallCaps/>
          <w:szCs w:val="24"/>
          <w:highlight w:val="none"/>
        </w:rPr>
        <w:fldChar w:fldCharType="separate"/>
      </w:r>
      <w:r>
        <w:rPr>
          <w:rFonts w:hint="eastAsia" w:ascii="宋体" w:hAnsi="宋体"/>
          <w:highlight w:val="none"/>
          <w:lang w:eastAsia="zh-CN"/>
        </w:rPr>
        <w:t>五</w:t>
      </w:r>
      <w:r>
        <w:rPr>
          <w:rFonts w:hint="eastAsia" w:ascii="宋体" w:hAnsi="宋体"/>
          <w:highlight w:val="none"/>
        </w:rPr>
        <w:t>、</w:t>
      </w:r>
      <w:r>
        <w:rPr>
          <w:rFonts w:ascii="宋体" w:hAnsi="宋体"/>
          <w:highlight w:val="none"/>
        </w:rPr>
        <w:t>资信业绩</w:t>
      </w:r>
      <w:r>
        <w:rPr>
          <w:rFonts w:hint="eastAsia" w:ascii="宋体" w:hAnsi="宋体"/>
          <w:highlight w:val="none"/>
        </w:rPr>
        <w:t>资料</w:t>
      </w:r>
      <w:r>
        <w:tab/>
      </w:r>
      <w:r>
        <w:fldChar w:fldCharType="begin"/>
      </w:r>
      <w:r>
        <w:instrText xml:space="preserve"> PAGEREF _Toc20585 \h </w:instrText>
      </w:r>
      <w:r>
        <w:fldChar w:fldCharType="separate"/>
      </w:r>
      <w:r>
        <w:t>41</w:t>
      </w:r>
      <w:r>
        <w:fldChar w:fldCharType="end"/>
      </w:r>
      <w:r>
        <w:rPr>
          <w:rFonts w:ascii="宋体" w:hAnsi="宋体"/>
          <w:smallCaps/>
          <w:szCs w:val="24"/>
          <w:highlight w:val="none"/>
        </w:rPr>
        <w:fldChar w:fldCharType="end"/>
      </w:r>
    </w:p>
    <w:p w14:paraId="75B97D9E">
      <w:pPr>
        <w:pStyle w:val="30"/>
        <w:tabs>
          <w:tab w:val="right" w:leader="dot" w:pos="9581"/>
        </w:tabs>
      </w:pPr>
      <w:r>
        <w:rPr>
          <w:rFonts w:ascii="宋体" w:hAnsi="宋体"/>
          <w:smallCaps/>
          <w:szCs w:val="24"/>
          <w:highlight w:val="none"/>
        </w:rPr>
        <w:fldChar w:fldCharType="begin"/>
      </w:r>
      <w:r>
        <w:rPr>
          <w:rFonts w:ascii="宋体" w:hAnsi="宋体"/>
          <w:smallCaps/>
          <w:szCs w:val="24"/>
          <w:highlight w:val="none"/>
        </w:rPr>
        <w:instrText xml:space="preserve"> HYPERLINK \l _Toc683 </w:instrText>
      </w:r>
      <w:r>
        <w:rPr>
          <w:rFonts w:ascii="宋体" w:hAnsi="宋体"/>
          <w:smallCaps/>
          <w:szCs w:val="24"/>
          <w:highlight w:val="none"/>
        </w:rPr>
        <w:fldChar w:fldCharType="separate"/>
      </w:r>
      <w:r>
        <w:rPr>
          <w:rFonts w:hint="eastAsia" w:ascii="宋体" w:hAnsi="宋体"/>
          <w:highlight w:val="none"/>
          <w:lang w:eastAsia="zh-CN"/>
        </w:rPr>
        <w:t>六</w:t>
      </w:r>
      <w:r>
        <w:rPr>
          <w:rFonts w:hint="eastAsia" w:ascii="宋体" w:hAnsi="宋体"/>
          <w:highlight w:val="none"/>
        </w:rPr>
        <w:t>、监理大纲</w:t>
      </w:r>
      <w:r>
        <w:tab/>
      </w:r>
      <w:r>
        <w:fldChar w:fldCharType="begin"/>
      </w:r>
      <w:r>
        <w:instrText xml:space="preserve"> PAGEREF _Toc683 \h </w:instrText>
      </w:r>
      <w:r>
        <w:fldChar w:fldCharType="separate"/>
      </w:r>
      <w:r>
        <w:t>43</w:t>
      </w:r>
      <w:r>
        <w:fldChar w:fldCharType="end"/>
      </w:r>
      <w:r>
        <w:rPr>
          <w:rFonts w:ascii="宋体" w:hAnsi="宋体"/>
          <w:smallCaps/>
          <w:szCs w:val="24"/>
          <w:highlight w:val="none"/>
        </w:rPr>
        <w:fldChar w:fldCharType="end"/>
      </w:r>
    </w:p>
    <w:p w14:paraId="4D7F15B1">
      <w:pPr>
        <w:pStyle w:val="30"/>
        <w:tabs>
          <w:tab w:val="right" w:leader="dot" w:pos="9581"/>
        </w:tabs>
      </w:pPr>
      <w:r>
        <w:rPr>
          <w:rFonts w:ascii="宋体" w:hAnsi="宋体"/>
          <w:smallCaps/>
          <w:szCs w:val="24"/>
          <w:highlight w:val="none"/>
        </w:rPr>
        <w:fldChar w:fldCharType="begin"/>
      </w:r>
      <w:r>
        <w:rPr>
          <w:rFonts w:ascii="宋体" w:hAnsi="宋体"/>
          <w:smallCaps/>
          <w:szCs w:val="24"/>
          <w:highlight w:val="none"/>
        </w:rPr>
        <w:instrText xml:space="preserve"> HYPERLINK \l _Toc27925 </w:instrText>
      </w:r>
      <w:r>
        <w:rPr>
          <w:rFonts w:ascii="宋体" w:hAnsi="宋体"/>
          <w:smallCaps/>
          <w:szCs w:val="24"/>
          <w:highlight w:val="none"/>
        </w:rPr>
        <w:fldChar w:fldCharType="separate"/>
      </w:r>
      <w:r>
        <w:rPr>
          <w:rFonts w:hint="eastAsia" w:ascii="宋体" w:hAnsi="宋体"/>
          <w:highlight w:val="none"/>
          <w:lang w:eastAsia="zh-CN"/>
        </w:rPr>
        <w:t>七</w:t>
      </w:r>
      <w:r>
        <w:rPr>
          <w:rFonts w:hint="eastAsia" w:ascii="宋体" w:hAnsi="宋体"/>
          <w:highlight w:val="none"/>
        </w:rPr>
        <w:t>、其他资料</w:t>
      </w:r>
      <w:r>
        <w:tab/>
      </w:r>
      <w:r>
        <w:fldChar w:fldCharType="begin"/>
      </w:r>
      <w:r>
        <w:instrText xml:space="preserve"> PAGEREF _Toc27925 \h </w:instrText>
      </w:r>
      <w:r>
        <w:fldChar w:fldCharType="separate"/>
      </w:r>
      <w:r>
        <w:t>44</w:t>
      </w:r>
      <w:r>
        <w:fldChar w:fldCharType="end"/>
      </w:r>
      <w:r>
        <w:rPr>
          <w:rFonts w:ascii="宋体" w:hAnsi="宋体"/>
          <w:smallCaps/>
          <w:szCs w:val="24"/>
          <w:highlight w:val="none"/>
        </w:rPr>
        <w:fldChar w:fldCharType="end"/>
      </w:r>
    </w:p>
    <w:p w14:paraId="6ECAF2D4">
      <w:pPr>
        <w:pStyle w:val="30"/>
        <w:tabs>
          <w:tab w:val="right" w:leader="dot" w:pos="9581"/>
        </w:tabs>
      </w:pPr>
      <w:r>
        <w:rPr>
          <w:rFonts w:ascii="宋体" w:hAnsi="宋体"/>
          <w:smallCaps/>
          <w:szCs w:val="24"/>
          <w:highlight w:val="none"/>
        </w:rPr>
        <w:fldChar w:fldCharType="begin"/>
      </w:r>
      <w:r>
        <w:rPr>
          <w:rFonts w:ascii="宋体" w:hAnsi="宋体"/>
          <w:smallCaps/>
          <w:szCs w:val="24"/>
          <w:highlight w:val="none"/>
        </w:rPr>
        <w:instrText xml:space="preserve"> HYPERLINK \l _Toc19833 </w:instrText>
      </w:r>
      <w:r>
        <w:rPr>
          <w:rFonts w:ascii="宋体" w:hAnsi="宋体"/>
          <w:smallCaps/>
          <w:szCs w:val="24"/>
          <w:highlight w:val="none"/>
        </w:rPr>
        <w:fldChar w:fldCharType="separate"/>
      </w:r>
      <w:r>
        <w:rPr>
          <w:highlight w:val="none"/>
        </w:rPr>
        <w:t>第七章</w:t>
      </w:r>
      <w:r>
        <w:rPr>
          <w:rFonts w:hint="eastAsia"/>
          <w:highlight w:val="none"/>
        </w:rPr>
        <w:t xml:space="preserve">  否决性条款汇总</w:t>
      </w:r>
      <w:r>
        <w:tab/>
      </w:r>
      <w:r>
        <w:fldChar w:fldCharType="begin"/>
      </w:r>
      <w:r>
        <w:instrText xml:space="preserve"> PAGEREF _Toc19833 \h </w:instrText>
      </w:r>
      <w:r>
        <w:fldChar w:fldCharType="separate"/>
      </w:r>
      <w:r>
        <w:t>45</w:t>
      </w:r>
      <w:r>
        <w:fldChar w:fldCharType="end"/>
      </w:r>
      <w:r>
        <w:rPr>
          <w:rFonts w:ascii="宋体" w:hAnsi="宋体"/>
          <w:smallCaps/>
          <w:szCs w:val="24"/>
          <w:highlight w:val="none"/>
        </w:rPr>
        <w:fldChar w:fldCharType="end"/>
      </w:r>
    </w:p>
    <w:p w14:paraId="2DE58569">
      <w:pPr>
        <w:spacing w:line="480" w:lineRule="auto"/>
        <w:ind w:firstLine="480"/>
        <w:jc w:val="left"/>
        <w:rPr>
          <w:rFonts w:hint="eastAsia" w:ascii="宋体" w:hAnsi="宋体"/>
          <w:bCs/>
          <w:sz w:val="24"/>
          <w:szCs w:val="24"/>
          <w:highlight w:val="none"/>
        </w:rPr>
      </w:pPr>
      <w:r>
        <w:rPr>
          <w:rFonts w:ascii="宋体" w:hAnsi="宋体"/>
          <w:smallCaps/>
          <w:szCs w:val="24"/>
          <w:highlight w:val="none"/>
        </w:rPr>
        <w:fldChar w:fldCharType="end"/>
      </w:r>
    </w:p>
    <w:p w14:paraId="70C929F0">
      <w:pPr>
        <w:ind w:firstLine="482"/>
        <w:jc w:val="center"/>
        <w:rPr>
          <w:rFonts w:hint="eastAsia" w:ascii="宋体" w:hAnsi="宋体"/>
          <w:b/>
          <w:bCs/>
          <w:sz w:val="24"/>
          <w:szCs w:val="24"/>
          <w:highlight w:val="none"/>
        </w:rPr>
      </w:pPr>
    </w:p>
    <w:p w14:paraId="5A1570D7">
      <w:pPr>
        <w:ind w:firstLine="860"/>
        <w:rPr>
          <w:rFonts w:hint="eastAsia" w:ascii="宋体" w:hAnsi="宋体"/>
          <w:sz w:val="43"/>
          <w:highlight w:val="none"/>
        </w:rPr>
      </w:pPr>
      <w:bookmarkStart w:id="388" w:name="_GoBack"/>
      <w:bookmarkEnd w:id="388"/>
    </w:p>
    <w:p w14:paraId="75DD5619">
      <w:pPr>
        <w:ind w:firstLine="860"/>
        <w:rPr>
          <w:rFonts w:hint="eastAsia" w:ascii="宋体" w:hAnsi="宋体"/>
          <w:sz w:val="43"/>
          <w:highlight w:val="none"/>
        </w:rPr>
      </w:pPr>
    </w:p>
    <w:p w14:paraId="38FE8A3D">
      <w:pPr>
        <w:ind w:firstLine="860"/>
        <w:rPr>
          <w:rFonts w:hint="eastAsia" w:ascii="宋体" w:hAnsi="宋体"/>
          <w:sz w:val="43"/>
          <w:highlight w:val="none"/>
        </w:rPr>
      </w:pPr>
    </w:p>
    <w:p w14:paraId="2D2B1B7A">
      <w:pPr>
        <w:ind w:firstLine="860"/>
        <w:rPr>
          <w:rFonts w:hint="eastAsia" w:ascii="宋体" w:hAnsi="宋体"/>
          <w:sz w:val="43"/>
          <w:highlight w:val="none"/>
        </w:rPr>
      </w:pPr>
    </w:p>
    <w:p w14:paraId="00F4BA36">
      <w:pPr>
        <w:ind w:firstLine="860"/>
        <w:rPr>
          <w:rFonts w:ascii="宋体" w:hAnsi="宋体"/>
          <w:sz w:val="43"/>
          <w:highlight w:val="none"/>
        </w:rPr>
        <w:sectPr>
          <w:pgSz w:w="11849" w:h="16781"/>
          <w:pgMar w:top="1134" w:right="1134" w:bottom="1134" w:left="1134" w:header="0" w:footer="559" w:gutter="0"/>
          <w:cols w:space="720" w:num="1"/>
          <w:docGrid w:linePitch="360" w:charSpace="0"/>
        </w:sectPr>
      </w:pPr>
    </w:p>
    <w:p w14:paraId="146B45C7">
      <w:pPr>
        <w:ind w:firstLine="860"/>
        <w:rPr>
          <w:rFonts w:hint="eastAsia" w:ascii="宋体" w:hAnsi="宋体"/>
          <w:sz w:val="43"/>
          <w:highlight w:val="none"/>
        </w:rPr>
      </w:pPr>
    </w:p>
    <w:p w14:paraId="705AC6D2">
      <w:pPr>
        <w:ind w:firstLine="860"/>
        <w:rPr>
          <w:rFonts w:hint="eastAsia" w:ascii="宋体" w:hAnsi="宋体"/>
          <w:sz w:val="43"/>
          <w:highlight w:val="none"/>
        </w:rPr>
      </w:pPr>
    </w:p>
    <w:p w14:paraId="643636E0">
      <w:pPr>
        <w:ind w:firstLine="860"/>
        <w:rPr>
          <w:rFonts w:hint="eastAsia" w:ascii="宋体" w:hAnsi="宋体"/>
          <w:sz w:val="43"/>
          <w:highlight w:val="none"/>
        </w:rPr>
      </w:pPr>
    </w:p>
    <w:p w14:paraId="11C6D7A1">
      <w:pPr>
        <w:ind w:firstLine="860"/>
        <w:rPr>
          <w:rFonts w:hint="eastAsia" w:ascii="宋体" w:hAnsi="宋体"/>
          <w:sz w:val="43"/>
          <w:highlight w:val="none"/>
        </w:rPr>
      </w:pPr>
    </w:p>
    <w:p w14:paraId="744BB0AB">
      <w:pPr>
        <w:ind w:firstLine="860"/>
        <w:rPr>
          <w:rFonts w:hint="eastAsia" w:ascii="宋体" w:hAnsi="宋体"/>
          <w:sz w:val="43"/>
          <w:highlight w:val="none"/>
        </w:rPr>
      </w:pPr>
    </w:p>
    <w:p w14:paraId="3222F264">
      <w:pPr>
        <w:ind w:firstLine="860"/>
        <w:rPr>
          <w:rFonts w:hint="eastAsia" w:ascii="宋体" w:hAnsi="宋体"/>
          <w:sz w:val="43"/>
          <w:highlight w:val="none"/>
        </w:rPr>
      </w:pPr>
    </w:p>
    <w:p w14:paraId="0AF5C75E">
      <w:pPr>
        <w:rPr>
          <w:rFonts w:hint="eastAsia" w:ascii="宋体" w:hAnsi="宋体"/>
          <w:sz w:val="43"/>
          <w:highlight w:val="none"/>
        </w:rPr>
      </w:pPr>
    </w:p>
    <w:p w14:paraId="2CD454D8">
      <w:pPr>
        <w:pStyle w:val="4"/>
        <w:rPr>
          <w:rFonts w:hint="eastAsia"/>
          <w:highlight w:val="none"/>
        </w:rPr>
      </w:pPr>
      <w:bookmarkStart w:id="0" w:name="_Toc21306"/>
      <w:bookmarkStart w:id="1" w:name="_Toc8634"/>
      <w:bookmarkStart w:id="2" w:name="_Toc30430"/>
      <w:bookmarkStart w:id="3" w:name="_Toc17305"/>
      <w:r>
        <w:rPr>
          <w:rFonts w:hint="eastAsia"/>
          <w:highlight w:val="none"/>
        </w:rPr>
        <w:t>第一卷</w:t>
      </w:r>
      <w:bookmarkEnd w:id="0"/>
      <w:bookmarkEnd w:id="1"/>
      <w:bookmarkEnd w:id="2"/>
      <w:bookmarkEnd w:id="3"/>
    </w:p>
    <w:p w14:paraId="7EB1B3F0">
      <w:pPr>
        <w:pStyle w:val="8"/>
        <w:jc w:val="center"/>
        <w:rPr>
          <w:rFonts w:hint="eastAsia" w:ascii="宋体" w:hAnsi="宋体"/>
          <w:highlight w:val="none"/>
        </w:rPr>
      </w:pPr>
      <w:bookmarkStart w:id="4" w:name="_Toc1036"/>
      <w:bookmarkEnd w:id="4"/>
      <w:bookmarkStart w:id="5" w:name="_Toc393961862"/>
      <w:bookmarkEnd w:id="5"/>
      <w:bookmarkStart w:id="6" w:name="_Toc514170118"/>
      <w:bookmarkEnd w:id="6"/>
      <w:bookmarkStart w:id="7" w:name="_Toc610"/>
      <w:bookmarkEnd w:id="7"/>
      <w:bookmarkStart w:id="8" w:name="_Toc9309"/>
      <w:bookmarkEnd w:id="8"/>
      <w:bookmarkStart w:id="9" w:name="_Toc6636"/>
      <w:bookmarkEnd w:id="9"/>
      <w:bookmarkStart w:id="10" w:name="_Toc16720"/>
      <w:bookmarkEnd w:id="10"/>
      <w:bookmarkStart w:id="11" w:name="_Toc2170"/>
      <w:bookmarkEnd w:id="11"/>
      <w:bookmarkStart w:id="12" w:name="_Toc536824379"/>
      <w:bookmarkStart w:id="13" w:name="_Toc7524"/>
      <w:bookmarkStart w:id="14" w:name="_Toc13590"/>
      <w:bookmarkStart w:id="15" w:name="_Toc30008"/>
      <w:bookmarkStart w:id="16" w:name="_Toc1880"/>
      <w:r>
        <w:rPr>
          <w:rFonts w:ascii="宋体" w:hAnsi="宋体"/>
          <w:sz w:val="36"/>
          <w:szCs w:val="36"/>
          <w:highlight w:val="none"/>
        </w:rPr>
        <w:t>第一章</w:t>
      </w:r>
      <w:r>
        <w:rPr>
          <w:rFonts w:hint="eastAsia" w:ascii="宋体" w:hAnsi="宋体"/>
          <w:sz w:val="36"/>
          <w:szCs w:val="36"/>
          <w:highlight w:val="none"/>
        </w:rPr>
        <w:t xml:space="preserve"> 招标公告</w:t>
      </w:r>
      <w:bookmarkEnd w:id="12"/>
      <w:bookmarkEnd w:id="13"/>
      <w:bookmarkEnd w:id="14"/>
      <w:bookmarkEnd w:id="15"/>
      <w:bookmarkEnd w:id="16"/>
    </w:p>
    <w:p w14:paraId="0F6A88AE">
      <w:pPr>
        <w:pStyle w:val="111"/>
        <w:ind w:firstLine="0" w:firstLineChars="0"/>
        <w:jc w:val="center"/>
        <w:rPr>
          <w:rFonts w:hint="eastAsia" w:eastAsia="黑体"/>
          <w:b/>
          <w:bCs/>
          <w:sz w:val="36"/>
          <w:szCs w:val="36"/>
          <w:highlight w:val="none"/>
        </w:rPr>
      </w:pPr>
      <w:bookmarkStart w:id="17" w:name="_Toc393961863"/>
      <w:bookmarkEnd w:id="17"/>
      <w:r>
        <w:rPr>
          <w:rFonts w:hint="eastAsia" w:eastAsia="黑体"/>
          <w:b/>
          <w:bCs/>
          <w:sz w:val="36"/>
          <w:szCs w:val="36"/>
          <w:highlight w:val="none"/>
        </w:rPr>
        <w:t>（另册）</w:t>
      </w:r>
    </w:p>
    <w:p w14:paraId="37B905CA">
      <w:pPr>
        <w:ind w:firstLine="480"/>
        <w:rPr>
          <w:rFonts w:ascii="宋体" w:hAnsi="宋体" w:cs="宋体"/>
          <w:highlight w:val="none"/>
        </w:rPr>
      </w:pPr>
      <w:r>
        <w:rPr>
          <w:rFonts w:ascii="宋体" w:hAnsi="宋体" w:cs="宋体"/>
          <w:highlight w:val="none"/>
        </w:rPr>
        <w:br w:type="page"/>
      </w:r>
    </w:p>
    <w:p w14:paraId="246C0C1E">
      <w:pPr>
        <w:pStyle w:val="8"/>
        <w:tabs>
          <w:tab w:val="center" w:pos="4790"/>
        </w:tabs>
        <w:rPr>
          <w:rFonts w:hint="eastAsia" w:ascii="宋体" w:hAnsi="宋体" w:eastAsia="宋体"/>
          <w:bCs w:val="0"/>
          <w:kern w:val="44"/>
          <w:highlight w:val="none"/>
        </w:rPr>
      </w:pPr>
      <w:bookmarkStart w:id="18" w:name="_Toc15805"/>
      <w:bookmarkEnd w:id="18"/>
      <w:bookmarkStart w:id="19" w:name="_Toc19352"/>
      <w:bookmarkEnd w:id="19"/>
      <w:bookmarkStart w:id="20" w:name="_Toc5915"/>
      <w:bookmarkEnd w:id="20"/>
      <w:bookmarkStart w:id="21" w:name="_Toc9935"/>
      <w:bookmarkEnd w:id="21"/>
      <w:bookmarkStart w:id="22" w:name="_Toc514170119"/>
      <w:bookmarkEnd w:id="22"/>
      <w:bookmarkStart w:id="23" w:name="_Toc27380"/>
      <w:bookmarkEnd w:id="23"/>
      <w:bookmarkStart w:id="24" w:name="_Toc22940"/>
      <w:bookmarkEnd w:id="24"/>
      <w:bookmarkStart w:id="25" w:name="_Toc174"/>
      <w:bookmarkStart w:id="26" w:name="_Toc536824380"/>
      <w:r>
        <w:rPr>
          <w:rFonts w:ascii="宋体" w:hAnsi="宋体" w:eastAsia="宋体"/>
          <w:bCs w:val="0"/>
          <w:kern w:val="44"/>
          <w:highlight w:val="none"/>
        </w:rPr>
        <w:tab/>
      </w:r>
      <w:bookmarkStart w:id="27" w:name="_Toc27461"/>
      <w:bookmarkStart w:id="28" w:name="_Toc24567"/>
      <w:bookmarkStart w:id="29" w:name="_Toc27110"/>
      <w:bookmarkStart w:id="30" w:name="_Toc32162"/>
      <w:r>
        <w:rPr>
          <w:rFonts w:hint="eastAsia" w:ascii="宋体" w:hAnsi="宋体" w:eastAsia="宋体"/>
          <w:bCs w:val="0"/>
          <w:kern w:val="44"/>
          <w:highlight w:val="none"/>
        </w:rPr>
        <w:t>第二章  投标人须知</w:t>
      </w:r>
      <w:bookmarkEnd w:id="25"/>
      <w:bookmarkEnd w:id="26"/>
      <w:bookmarkEnd w:id="27"/>
      <w:bookmarkEnd w:id="28"/>
      <w:bookmarkEnd w:id="29"/>
      <w:bookmarkEnd w:id="30"/>
    </w:p>
    <w:p w14:paraId="61447319">
      <w:pPr>
        <w:pStyle w:val="9"/>
        <w:jc w:val="center"/>
        <w:rPr>
          <w:rFonts w:hint="eastAsia" w:ascii="宋体" w:hAnsi="宋体"/>
          <w:highlight w:val="none"/>
        </w:rPr>
      </w:pPr>
      <w:bookmarkStart w:id="31" w:name="_Toc514170120"/>
      <w:bookmarkEnd w:id="31"/>
      <w:bookmarkStart w:id="32" w:name="_Toc24793"/>
      <w:bookmarkEnd w:id="32"/>
      <w:bookmarkStart w:id="33" w:name="_Toc32677"/>
      <w:bookmarkEnd w:id="33"/>
      <w:bookmarkStart w:id="34" w:name="_Toc14233"/>
      <w:bookmarkEnd w:id="34"/>
      <w:bookmarkStart w:id="35" w:name="_Toc393961864"/>
      <w:bookmarkEnd w:id="35"/>
      <w:bookmarkStart w:id="36" w:name="_Toc2375"/>
      <w:bookmarkEnd w:id="36"/>
      <w:bookmarkStart w:id="37" w:name="_Toc7336"/>
      <w:bookmarkEnd w:id="37"/>
      <w:bookmarkStart w:id="38" w:name="_Toc12460"/>
      <w:r>
        <w:rPr>
          <w:rFonts w:hint="eastAsia" w:ascii="宋体" w:hAnsi="宋体"/>
          <w:highlight w:val="none"/>
        </w:rPr>
        <w:t>投标人须知前附表</w:t>
      </w:r>
      <w:bookmarkEnd w:id="38"/>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94"/>
        <w:gridCol w:w="6111"/>
      </w:tblGrid>
      <w:tr w14:paraId="6A8A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467A1200">
            <w:pPr>
              <w:spacing w:line="300" w:lineRule="auto"/>
              <w:jc w:val="center"/>
              <w:rPr>
                <w:rFonts w:ascii="宋体" w:hAnsi="宋体"/>
                <w:highlight w:val="none"/>
              </w:rPr>
            </w:pPr>
            <w:r>
              <w:rPr>
                <w:rFonts w:hint="eastAsia" w:ascii="宋体" w:hAnsi="宋体"/>
                <w:highlight w:val="none"/>
              </w:rPr>
              <w:t>条款号</w:t>
            </w:r>
          </w:p>
        </w:tc>
        <w:tc>
          <w:tcPr>
            <w:tcW w:w="2694" w:type="dxa"/>
            <w:tcBorders>
              <w:top w:val="single" w:color="auto" w:sz="4" w:space="0"/>
              <w:left w:val="nil"/>
              <w:bottom w:val="single" w:color="auto" w:sz="4" w:space="0"/>
              <w:right w:val="single" w:color="auto" w:sz="4" w:space="0"/>
            </w:tcBorders>
            <w:noWrap w:val="0"/>
            <w:vAlign w:val="center"/>
          </w:tcPr>
          <w:p w14:paraId="0C3A1D0A">
            <w:pPr>
              <w:jc w:val="center"/>
              <w:rPr>
                <w:rFonts w:ascii="宋体" w:hAnsi="宋体"/>
                <w:highlight w:val="none"/>
              </w:rPr>
            </w:pPr>
            <w:r>
              <w:rPr>
                <w:rFonts w:hint="eastAsia" w:ascii="宋体" w:hAnsi="宋体"/>
                <w:highlight w:val="none"/>
              </w:rPr>
              <w:t>条  款  名  称</w:t>
            </w:r>
          </w:p>
        </w:tc>
        <w:tc>
          <w:tcPr>
            <w:tcW w:w="6111" w:type="dxa"/>
            <w:tcBorders>
              <w:top w:val="single" w:color="auto" w:sz="4" w:space="0"/>
              <w:left w:val="nil"/>
              <w:bottom w:val="single" w:color="auto" w:sz="4" w:space="0"/>
              <w:right w:val="single" w:color="auto" w:sz="4" w:space="0"/>
            </w:tcBorders>
            <w:noWrap w:val="0"/>
            <w:vAlign w:val="center"/>
          </w:tcPr>
          <w:p w14:paraId="26B8DD1F">
            <w:pPr>
              <w:jc w:val="center"/>
              <w:rPr>
                <w:rFonts w:ascii="宋体" w:hAnsi="宋体"/>
                <w:highlight w:val="none"/>
              </w:rPr>
            </w:pPr>
            <w:r>
              <w:rPr>
                <w:rFonts w:hint="eastAsia" w:ascii="宋体" w:hAnsi="宋体"/>
                <w:highlight w:val="none"/>
              </w:rPr>
              <w:t>编  列  内  容</w:t>
            </w:r>
          </w:p>
        </w:tc>
      </w:tr>
      <w:tr w14:paraId="7368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tcBorders>
              <w:top w:val="single" w:color="auto" w:sz="4" w:space="0"/>
              <w:left w:val="single" w:color="auto" w:sz="4" w:space="0"/>
              <w:right w:val="single" w:color="auto" w:sz="4" w:space="0"/>
            </w:tcBorders>
            <w:noWrap w:val="0"/>
            <w:vAlign w:val="center"/>
          </w:tcPr>
          <w:p w14:paraId="66982544">
            <w:pPr>
              <w:spacing w:line="300" w:lineRule="auto"/>
              <w:jc w:val="center"/>
              <w:rPr>
                <w:rFonts w:ascii="宋体" w:hAnsi="宋体"/>
                <w:highlight w:val="none"/>
              </w:rPr>
            </w:pPr>
            <w:r>
              <w:rPr>
                <w:rFonts w:hint="eastAsia" w:ascii="宋体" w:hAnsi="宋体"/>
                <w:highlight w:val="none"/>
              </w:rPr>
              <w:t>1.1.2</w:t>
            </w:r>
          </w:p>
        </w:tc>
        <w:tc>
          <w:tcPr>
            <w:tcW w:w="2694" w:type="dxa"/>
            <w:tcBorders>
              <w:top w:val="single" w:color="auto" w:sz="4" w:space="0"/>
              <w:left w:val="nil"/>
              <w:right w:val="single" w:color="auto" w:sz="4" w:space="0"/>
            </w:tcBorders>
            <w:noWrap w:val="0"/>
            <w:vAlign w:val="center"/>
          </w:tcPr>
          <w:p w14:paraId="293F3BC2">
            <w:pPr>
              <w:jc w:val="center"/>
              <w:rPr>
                <w:rFonts w:ascii="宋体" w:hAnsi="宋体"/>
                <w:highlight w:val="none"/>
              </w:rPr>
            </w:pPr>
            <w:r>
              <w:rPr>
                <w:rFonts w:hint="eastAsia" w:ascii="宋体" w:hAnsi="宋体"/>
                <w:highlight w:val="none"/>
              </w:rPr>
              <w:t>招标人</w:t>
            </w:r>
          </w:p>
        </w:tc>
        <w:tc>
          <w:tcPr>
            <w:tcW w:w="6111" w:type="dxa"/>
            <w:tcBorders>
              <w:top w:val="single" w:color="auto" w:sz="4" w:space="0"/>
              <w:left w:val="nil"/>
              <w:bottom w:val="single" w:color="auto" w:sz="4" w:space="0"/>
              <w:right w:val="single" w:color="auto" w:sz="4" w:space="0"/>
            </w:tcBorders>
            <w:noWrap w:val="0"/>
            <w:vAlign w:val="center"/>
          </w:tcPr>
          <w:p w14:paraId="45F66B31">
            <w:pPr>
              <w:rPr>
                <w:rFonts w:hint="eastAsia" w:ascii="宋体" w:hAnsi="宋体"/>
                <w:highlight w:val="none"/>
              </w:rPr>
            </w:pPr>
            <w:r>
              <w:rPr>
                <w:rFonts w:ascii="宋体" w:hAnsi="宋体"/>
                <w:highlight w:val="none"/>
              </w:rPr>
              <w:t>名</w:t>
            </w:r>
            <w:r>
              <w:rPr>
                <w:rFonts w:hint="eastAsia" w:ascii="宋体" w:hAnsi="宋体"/>
                <w:highlight w:val="none"/>
              </w:rPr>
              <w:t xml:space="preserve">  </w:t>
            </w:r>
            <w:r>
              <w:rPr>
                <w:rFonts w:ascii="宋体" w:hAnsi="宋体"/>
                <w:highlight w:val="none"/>
              </w:rPr>
              <w:t>称：</w:t>
            </w:r>
            <w:r>
              <w:rPr>
                <w:rFonts w:hint="eastAsia" w:ascii="宋体" w:hAnsi="宋体"/>
                <w:highlight w:val="none"/>
              </w:rPr>
              <w:t>广州市花都区水务建设管理中心</w:t>
            </w:r>
          </w:p>
          <w:p w14:paraId="702F5C61">
            <w:pPr>
              <w:rPr>
                <w:rFonts w:hint="eastAsia" w:ascii="宋体" w:hAnsi="宋体"/>
                <w:highlight w:val="none"/>
              </w:rPr>
            </w:pPr>
            <w:r>
              <w:rPr>
                <w:rFonts w:ascii="宋体" w:hAnsi="宋体"/>
                <w:highlight w:val="none"/>
              </w:rPr>
              <w:t>地</w:t>
            </w:r>
            <w:r>
              <w:rPr>
                <w:rFonts w:hint="eastAsia" w:ascii="宋体" w:hAnsi="宋体"/>
                <w:highlight w:val="none"/>
              </w:rPr>
              <w:t xml:space="preserve">  </w:t>
            </w:r>
            <w:r>
              <w:rPr>
                <w:rFonts w:ascii="宋体" w:hAnsi="宋体"/>
                <w:highlight w:val="none"/>
              </w:rPr>
              <w:t>址：广州市花都区宝华路34号</w:t>
            </w:r>
          </w:p>
          <w:p w14:paraId="0DD31BC3">
            <w:pPr>
              <w:rPr>
                <w:rFonts w:hint="eastAsia" w:ascii="宋体" w:hAnsi="宋体"/>
                <w:highlight w:val="none"/>
              </w:rPr>
            </w:pPr>
            <w:r>
              <w:rPr>
                <w:rFonts w:ascii="宋体" w:hAnsi="宋体"/>
                <w:highlight w:val="none"/>
              </w:rPr>
              <w:t>联系人：</w:t>
            </w:r>
            <w:r>
              <w:rPr>
                <w:rFonts w:hint="eastAsia"/>
                <w:highlight w:val="none"/>
              </w:rPr>
              <w:t>张工</w:t>
            </w:r>
          </w:p>
          <w:p w14:paraId="2C5404DB">
            <w:pPr>
              <w:rPr>
                <w:rFonts w:ascii="宋体" w:hAnsi="宋体"/>
                <w:highlight w:val="none"/>
              </w:rPr>
            </w:pPr>
            <w:r>
              <w:rPr>
                <w:rFonts w:ascii="宋体" w:hAnsi="宋体"/>
                <w:highlight w:val="none"/>
              </w:rPr>
              <w:t>电</w:t>
            </w:r>
            <w:r>
              <w:rPr>
                <w:rFonts w:hint="eastAsia" w:ascii="宋体" w:hAnsi="宋体"/>
                <w:highlight w:val="none"/>
              </w:rPr>
              <w:t xml:space="preserve">  </w:t>
            </w:r>
            <w:r>
              <w:rPr>
                <w:rFonts w:ascii="宋体" w:hAnsi="宋体"/>
                <w:highlight w:val="none"/>
              </w:rPr>
              <w:t>话：</w:t>
            </w:r>
            <w:r>
              <w:rPr>
                <w:rFonts w:hint="eastAsia"/>
                <w:highlight w:val="none"/>
              </w:rPr>
              <w:t>020-36810682</w:t>
            </w:r>
          </w:p>
        </w:tc>
      </w:tr>
      <w:tr w14:paraId="5DED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tcBorders>
              <w:top w:val="single" w:color="auto" w:sz="4" w:space="0"/>
              <w:left w:val="single" w:color="auto" w:sz="4" w:space="0"/>
              <w:right w:val="single" w:color="auto" w:sz="4" w:space="0"/>
            </w:tcBorders>
            <w:noWrap w:val="0"/>
            <w:vAlign w:val="center"/>
          </w:tcPr>
          <w:p w14:paraId="7159A04A">
            <w:pPr>
              <w:spacing w:line="300" w:lineRule="auto"/>
              <w:jc w:val="center"/>
              <w:rPr>
                <w:rFonts w:ascii="宋体" w:hAnsi="宋体"/>
                <w:highlight w:val="none"/>
              </w:rPr>
            </w:pPr>
            <w:r>
              <w:rPr>
                <w:rFonts w:hint="eastAsia" w:ascii="宋体" w:hAnsi="宋体"/>
                <w:highlight w:val="none"/>
              </w:rPr>
              <w:t>1.1.3</w:t>
            </w:r>
          </w:p>
        </w:tc>
        <w:tc>
          <w:tcPr>
            <w:tcW w:w="2694" w:type="dxa"/>
            <w:tcBorders>
              <w:top w:val="single" w:color="auto" w:sz="4" w:space="0"/>
              <w:left w:val="nil"/>
              <w:right w:val="single" w:color="auto" w:sz="4" w:space="0"/>
            </w:tcBorders>
            <w:noWrap w:val="0"/>
            <w:vAlign w:val="center"/>
          </w:tcPr>
          <w:p w14:paraId="5BBC63C1">
            <w:pPr>
              <w:jc w:val="center"/>
              <w:rPr>
                <w:rFonts w:ascii="宋体" w:hAnsi="宋体"/>
                <w:highlight w:val="none"/>
              </w:rPr>
            </w:pPr>
            <w:r>
              <w:rPr>
                <w:rFonts w:hint="eastAsia" w:ascii="宋体" w:hAnsi="宋体"/>
                <w:highlight w:val="none"/>
              </w:rPr>
              <w:t>招标代理机构</w:t>
            </w:r>
          </w:p>
        </w:tc>
        <w:tc>
          <w:tcPr>
            <w:tcW w:w="6111" w:type="dxa"/>
            <w:tcBorders>
              <w:top w:val="single" w:color="auto" w:sz="4" w:space="0"/>
              <w:left w:val="nil"/>
              <w:bottom w:val="single" w:color="auto" w:sz="4" w:space="0"/>
              <w:right w:val="single" w:color="auto" w:sz="4" w:space="0"/>
            </w:tcBorders>
            <w:noWrap w:val="0"/>
            <w:vAlign w:val="center"/>
          </w:tcPr>
          <w:p w14:paraId="59C00371">
            <w:pPr>
              <w:rPr>
                <w:rFonts w:hint="eastAsia" w:ascii="宋体" w:hAnsi="宋体" w:eastAsia="宋体"/>
                <w:highlight w:val="none"/>
                <w:lang w:eastAsia="zh-CN"/>
              </w:rPr>
            </w:pPr>
            <w:r>
              <w:rPr>
                <w:rFonts w:ascii="宋体" w:hAnsi="宋体"/>
                <w:highlight w:val="none"/>
              </w:rPr>
              <w:t>名</w:t>
            </w:r>
            <w:r>
              <w:rPr>
                <w:rFonts w:hint="eastAsia" w:ascii="宋体" w:hAnsi="宋体"/>
                <w:highlight w:val="none"/>
              </w:rPr>
              <w:t xml:space="preserve">  </w:t>
            </w:r>
            <w:r>
              <w:rPr>
                <w:rFonts w:ascii="宋体" w:hAnsi="宋体"/>
                <w:highlight w:val="none"/>
              </w:rPr>
              <w:t>称：</w:t>
            </w:r>
            <w:r>
              <w:rPr>
                <w:rFonts w:hint="eastAsia" w:ascii="宋体" w:hAnsi="宋体"/>
                <w:highlight w:val="none"/>
                <w:lang w:eastAsia="zh-CN"/>
              </w:rPr>
              <w:t>广州市兴邦国际项目管理有限公司</w:t>
            </w:r>
          </w:p>
          <w:p w14:paraId="6E377524">
            <w:pPr>
              <w:rPr>
                <w:rFonts w:hint="eastAsia" w:ascii="宋体" w:hAnsi="宋体" w:eastAsia="宋体"/>
                <w:highlight w:val="none"/>
                <w:lang w:eastAsia="zh-CN"/>
              </w:rPr>
            </w:pPr>
            <w:r>
              <w:rPr>
                <w:rFonts w:ascii="宋体" w:hAnsi="宋体"/>
                <w:highlight w:val="none"/>
              </w:rPr>
              <w:t>地</w:t>
            </w:r>
            <w:r>
              <w:rPr>
                <w:rFonts w:hint="eastAsia" w:ascii="宋体" w:hAnsi="宋体"/>
                <w:highlight w:val="none"/>
              </w:rPr>
              <w:t xml:space="preserve">  </w:t>
            </w:r>
            <w:r>
              <w:rPr>
                <w:rFonts w:ascii="宋体" w:hAnsi="宋体"/>
                <w:highlight w:val="none"/>
              </w:rPr>
              <w:t>址：</w:t>
            </w:r>
            <w:r>
              <w:rPr>
                <w:rFonts w:hint="eastAsia"/>
                <w:highlight w:val="none"/>
                <w:lang w:eastAsia="zh-CN"/>
              </w:rPr>
              <w:t>广州市南沙区黄阁镇金茂西二街2号103房之二</w:t>
            </w:r>
          </w:p>
          <w:p w14:paraId="3D708E1F">
            <w:pPr>
              <w:rPr>
                <w:rFonts w:hint="eastAsia" w:ascii="宋体" w:hAnsi="宋体"/>
                <w:highlight w:val="none"/>
              </w:rPr>
            </w:pPr>
            <w:r>
              <w:rPr>
                <w:rFonts w:ascii="宋体" w:hAnsi="宋体"/>
                <w:highlight w:val="none"/>
              </w:rPr>
              <w:t>联系人：</w:t>
            </w:r>
            <w:r>
              <w:rPr>
                <w:rFonts w:hint="eastAsia" w:ascii="宋体" w:hAnsi="宋体"/>
                <w:highlight w:val="none"/>
                <w:lang w:eastAsia="zh-CN"/>
              </w:rPr>
              <w:t>曹</w:t>
            </w:r>
            <w:r>
              <w:rPr>
                <w:rFonts w:hint="eastAsia" w:ascii="宋体" w:hAnsi="宋体"/>
                <w:highlight w:val="none"/>
              </w:rPr>
              <w:t>工</w:t>
            </w:r>
          </w:p>
          <w:p w14:paraId="1FC95906">
            <w:pPr>
              <w:rPr>
                <w:rFonts w:hint="eastAsia" w:ascii="宋体" w:hAnsi="宋体"/>
                <w:highlight w:val="none"/>
              </w:rPr>
            </w:pPr>
            <w:r>
              <w:rPr>
                <w:rFonts w:ascii="宋体" w:hAnsi="宋体"/>
                <w:highlight w:val="none"/>
              </w:rPr>
              <w:t>电</w:t>
            </w:r>
            <w:r>
              <w:rPr>
                <w:rFonts w:hint="eastAsia" w:ascii="宋体" w:hAnsi="宋体"/>
                <w:highlight w:val="none"/>
              </w:rPr>
              <w:t xml:space="preserve">  </w:t>
            </w:r>
            <w:r>
              <w:rPr>
                <w:rFonts w:ascii="宋体" w:hAnsi="宋体"/>
                <w:highlight w:val="none"/>
              </w:rPr>
              <w:t>话：</w:t>
            </w:r>
            <w:r>
              <w:rPr>
                <w:rFonts w:hint="eastAsia"/>
                <w:highlight w:val="none"/>
              </w:rPr>
              <w:t>020-31178064</w:t>
            </w:r>
            <w:r>
              <w:rPr>
                <w:rFonts w:hint="eastAsia"/>
                <w:highlight w:val="none"/>
                <w:lang w:eastAsia="zh-CN"/>
              </w:rPr>
              <w:t>、</w:t>
            </w:r>
            <w:r>
              <w:rPr>
                <w:rFonts w:hint="eastAsia"/>
                <w:szCs w:val="24"/>
                <w:highlight w:val="none"/>
                <w:lang w:val="en-US" w:eastAsia="zh-CN"/>
              </w:rPr>
              <w:t>13022019677</w:t>
            </w:r>
            <w:r>
              <w:rPr>
                <w:rFonts w:hint="eastAsia" w:ascii="宋体" w:hAnsi="宋体"/>
                <w:highlight w:val="none"/>
              </w:rPr>
              <w:t xml:space="preserve"> </w:t>
            </w:r>
          </w:p>
        </w:tc>
      </w:tr>
      <w:tr w14:paraId="7EF0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2FEC5085">
            <w:pPr>
              <w:spacing w:line="300" w:lineRule="auto"/>
              <w:jc w:val="center"/>
              <w:rPr>
                <w:rFonts w:ascii="宋体" w:hAnsi="宋体"/>
                <w:highlight w:val="none"/>
              </w:rPr>
            </w:pPr>
            <w:r>
              <w:rPr>
                <w:rFonts w:hint="eastAsia" w:ascii="宋体" w:hAnsi="宋体"/>
                <w:highlight w:val="none"/>
              </w:rPr>
              <w:t>1.1.4</w:t>
            </w:r>
          </w:p>
        </w:tc>
        <w:tc>
          <w:tcPr>
            <w:tcW w:w="2694" w:type="dxa"/>
            <w:tcBorders>
              <w:top w:val="single" w:color="auto" w:sz="4" w:space="0"/>
              <w:left w:val="nil"/>
              <w:bottom w:val="single" w:color="auto" w:sz="4" w:space="0"/>
              <w:right w:val="single" w:color="auto" w:sz="4" w:space="0"/>
            </w:tcBorders>
            <w:noWrap w:val="0"/>
            <w:vAlign w:val="center"/>
          </w:tcPr>
          <w:p w14:paraId="671ADF73">
            <w:pPr>
              <w:jc w:val="center"/>
              <w:rPr>
                <w:rFonts w:ascii="宋体" w:hAnsi="宋体"/>
                <w:highlight w:val="none"/>
              </w:rPr>
            </w:pPr>
            <w:r>
              <w:rPr>
                <w:rFonts w:hint="eastAsia" w:ascii="宋体" w:hAnsi="宋体"/>
                <w:highlight w:val="none"/>
              </w:rPr>
              <w:t>招标项目名称</w:t>
            </w:r>
          </w:p>
        </w:tc>
        <w:tc>
          <w:tcPr>
            <w:tcW w:w="6111" w:type="dxa"/>
            <w:tcBorders>
              <w:top w:val="single" w:color="auto" w:sz="4" w:space="0"/>
              <w:left w:val="nil"/>
              <w:bottom w:val="single" w:color="auto" w:sz="4" w:space="0"/>
              <w:right w:val="single" w:color="auto" w:sz="4" w:space="0"/>
            </w:tcBorders>
            <w:noWrap w:val="0"/>
            <w:vAlign w:val="center"/>
          </w:tcPr>
          <w:p w14:paraId="2A30E297">
            <w:pPr>
              <w:rPr>
                <w:rFonts w:hint="eastAsia" w:ascii="宋体" w:hAnsi="宋体" w:eastAsia="宋体"/>
                <w:highlight w:val="none"/>
                <w:lang w:eastAsia="zh-CN"/>
              </w:rPr>
            </w:pPr>
            <w:r>
              <w:rPr>
                <w:rFonts w:hint="eastAsia"/>
                <w:highlight w:val="none"/>
                <w:u w:val="none"/>
                <w:lang w:eastAsia="zh-CN"/>
              </w:rPr>
              <w:t>花都区农村供水“三同五化”改造提升项目-元岗村供水改造工程市政部分施工监理</w:t>
            </w:r>
          </w:p>
        </w:tc>
      </w:tr>
      <w:tr w14:paraId="5883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7117E28A">
            <w:pPr>
              <w:spacing w:line="300" w:lineRule="auto"/>
              <w:jc w:val="center"/>
              <w:rPr>
                <w:rFonts w:ascii="宋体" w:hAnsi="宋体"/>
                <w:highlight w:val="none"/>
              </w:rPr>
            </w:pPr>
            <w:r>
              <w:rPr>
                <w:rFonts w:hint="eastAsia" w:ascii="宋体" w:hAnsi="宋体"/>
                <w:highlight w:val="none"/>
              </w:rPr>
              <w:t>1.1.5</w:t>
            </w:r>
          </w:p>
        </w:tc>
        <w:tc>
          <w:tcPr>
            <w:tcW w:w="2694" w:type="dxa"/>
            <w:tcBorders>
              <w:top w:val="single" w:color="auto" w:sz="4" w:space="0"/>
              <w:left w:val="nil"/>
              <w:bottom w:val="single" w:color="auto" w:sz="4" w:space="0"/>
              <w:right w:val="single" w:color="auto" w:sz="4" w:space="0"/>
            </w:tcBorders>
            <w:noWrap w:val="0"/>
            <w:vAlign w:val="center"/>
          </w:tcPr>
          <w:p w14:paraId="6654E778">
            <w:pPr>
              <w:jc w:val="center"/>
              <w:rPr>
                <w:rFonts w:ascii="宋体" w:hAnsi="宋体"/>
                <w:highlight w:val="none"/>
              </w:rPr>
            </w:pPr>
            <w:r>
              <w:rPr>
                <w:rFonts w:hint="eastAsia" w:ascii="宋体" w:hAnsi="宋体"/>
                <w:highlight w:val="none"/>
              </w:rPr>
              <w:t>项目建设地点</w:t>
            </w:r>
          </w:p>
        </w:tc>
        <w:tc>
          <w:tcPr>
            <w:tcW w:w="6111" w:type="dxa"/>
            <w:tcBorders>
              <w:top w:val="single" w:color="auto" w:sz="4" w:space="0"/>
              <w:left w:val="nil"/>
              <w:bottom w:val="single" w:color="auto" w:sz="4" w:space="0"/>
              <w:right w:val="single" w:color="auto" w:sz="4" w:space="0"/>
            </w:tcBorders>
            <w:noWrap w:val="0"/>
            <w:vAlign w:val="center"/>
          </w:tcPr>
          <w:p w14:paraId="6162C49A">
            <w:pPr>
              <w:rPr>
                <w:rFonts w:hint="eastAsia" w:ascii="宋体" w:hAnsi="宋体" w:eastAsia="宋体"/>
                <w:highlight w:val="none"/>
                <w:lang w:eastAsia="zh-CN"/>
              </w:rPr>
            </w:pPr>
            <w:r>
              <w:rPr>
                <w:rFonts w:hint="eastAsia" w:ascii="宋体" w:hAnsi="宋体"/>
                <w:highlight w:val="none"/>
                <w:lang w:eastAsia="zh-CN"/>
              </w:rPr>
              <w:t>广州市花都区花东镇</w:t>
            </w:r>
          </w:p>
        </w:tc>
      </w:tr>
      <w:tr w14:paraId="711D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059C8B1F">
            <w:pPr>
              <w:spacing w:line="300" w:lineRule="auto"/>
              <w:jc w:val="center"/>
              <w:rPr>
                <w:rFonts w:ascii="宋体" w:hAnsi="宋体"/>
                <w:highlight w:val="none"/>
              </w:rPr>
            </w:pPr>
            <w:r>
              <w:rPr>
                <w:rFonts w:hint="eastAsia" w:ascii="宋体" w:hAnsi="宋体"/>
                <w:highlight w:val="none"/>
              </w:rPr>
              <w:t>1.1.6</w:t>
            </w:r>
          </w:p>
        </w:tc>
        <w:tc>
          <w:tcPr>
            <w:tcW w:w="2694" w:type="dxa"/>
            <w:tcBorders>
              <w:top w:val="single" w:color="auto" w:sz="4" w:space="0"/>
              <w:left w:val="nil"/>
              <w:bottom w:val="single" w:color="auto" w:sz="4" w:space="0"/>
              <w:right w:val="single" w:color="auto" w:sz="4" w:space="0"/>
            </w:tcBorders>
            <w:noWrap w:val="0"/>
            <w:vAlign w:val="center"/>
          </w:tcPr>
          <w:p w14:paraId="4FD653CE">
            <w:pPr>
              <w:tabs>
                <w:tab w:val="left" w:pos="7513"/>
              </w:tabs>
              <w:jc w:val="center"/>
              <w:rPr>
                <w:rFonts w:ascii="宋体" w:hAnsi="宋体"/>
                <w:highlight w:val="none"/>
              </w:rPr>
            </w:pPr>
            <w:r>
              <w:rPr>
                <w:rFonts w:hint="eastAsia" w:ascii="宋体" w:hAnsi="宋体"/>
                <w:highlight w:val="none"/>
              </w:rPr>
              <w:t>项目建设规模</w:t>
            </w:r>
          </w:p>
        </w:tc>
        <w:tc>
          <w:tcPr>
            <w:tcW w:w="6111" w:type="dxa"/>
            <w:tcBorders>
              <w:top w:val="single" w:color="auto" w:sz="4" w:space="0"/>
              <w:left w:val="nil"/>
              <w:bottom w:val="single" w:color="auto" w:sz="4" w:space="0"/>
              <w:right w:val="single" w:color="auto" w:sz="4" w:space="0"/>
            </w:tcBorders>
            <w:noWrap w:val="0"/>
            <w:vAlign w:val="center"/>
          </w:tcPr>
          <w:p w14:paraId="174FEAA2">
            <w:pPr>
              <w:pStyle w:val="7"/>
              <w:tabs>
                <w:tab w:val="left" w:pos="3566"/>
                <w:tab w:val="left" w:pos="7513"/>
              </w:tabs>
              <w:kinsoku w:val="0"/>
              <w:overflowPunct w:val="0"/>
              <w:spacing w:before="120" w:beforeLines="50" w:beforeAutospacing="0"/>
              <w:rPr>
                <w:rFonts w:ascii="宋体" w:hAnsi="宋体"/>
                <w:kern w:val="2"/>
                <w:sz w:val="21"/>
                <w:highlight w:val="none"/>
              </w:rPr>
            </w:pPr>
            <w:r>
              <w:rPr>
                <w:rFonts w:hint="eastAsia" w:ascii="宋体" w:hAnsi="宋体"/>
                <w:kern w:val="2"/>
                <w:sz w:val="21"/>
                <w:highlight w:val="none"/>
              </w:rPr>
              <w:t>详见本工程招标公告</w:t>
            </w:r>
          </w:p>
        </w:tc>
      </w:tr>
      <w:tr w14:paraId="0423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5FFD27E5">
            <w:pPr>
              <w:spacing w:line="300" w:lineRule="auto"/>
              <w:jc w:val="center"/>
              <w:rPr>
                <w:rFonts w:ascii="宋体" w:hAnsi="宋体"/>
                <w:highlight w:val="none"/>
              </w:rPr>
            </w:pPr>
            <w:r>
              <w:rPr>
                <w:rFonts w:hint="eastAsia" w:ascii="宋体" w:hAnsi="宋体"/>
                <w:highlight w:val="none"/>
              </w:rPr>
              <w:t>1.1.7</w:t>
            </w:r>
          </w:p>
        </w:tc>
        <w:tc>
          <w:tcPr>
            <w:tcW w:w="2694" w:type="dxa"/>
            <w:tcBorders>
              <w:top w:val="single" w:color="auto" w:sz="4" w:space="0"/>
              <w:left w:val="nil"/>
              <w:bottom w:val="single" w:color="auto" w:sz="4" w:space="0"/>
              <w:right w:val="single" w:color="auto" w:sz="4" w:space="0"/>
            </w:tcBorders>
            <w:noWrap w:val="0"/>
            <w:vAlign w:val="center"/>
          </w:tcPr>
          <w:p w14:paraId="143CFD71">
            <w:pPr>
              <w:jc w:val="center"/>
              <w:rPr>
                <w:rFonts w:ascii="宋体" w:hAnsi="宋体"/>
                <w:highlight w:val="none"/>
              </w:rPr>
            </w:pPr>
            <w:r>
              <w:rPr>
                <w:rFonts w:hint="eastAsia" w:ascii="宋体" w:hAnsi="宋体"/>
                <w:highlight w:val="none"/>
              </w:rPr>
              <w:t>工程项目施工预计</w:t>
            </w:r>
          </w:p>
          <w:p w14:paraId="3BB60E73">
            <w:pPr>
              <w:jc w:val="center"/>
              <w:rPr>
                <w:rFonts w:ascii="宋体" w:hAnsi="宋体"/>
                <w:highlight w:val="none"/>
              </w:rPr>
            </w:pPr>
            <w:r>
              <w:rPr>
                <w:rFonts w:hint="eastAsia" w:ascii="宋体" w:hAnsi="宋体"/>
                <w:highlight w:val="none"/>
              </w:rPr>
              <w:t>开工日期和建设周期</w:t>
            </w:r>
          </w:p>
        </w:tc>
        <w:tc>
          <w:tcPr>
            <w:tcW w:w="6111" w:type="dxa"/>
            <w:tcBorders>
              <w:top w:val="single" w:color="auto" w:sz="4" w:space="0"/>
              <w:left w:val="nil"/>
              <w:bottom w:val="single" w:color="auto" w:sz="4" w:space="0"/>
              <w:right w:val="single" w:color="auto" w:sz="4" w:space="0"/>
            </w:tcBorders>
            <w:noWrap w:val="0"/>
            <w:vAlign w:val="center"/>
          </w:tcPr>
          <w:p w14:paraId="57DDD086">
            <w:pPr>
              <w:jc w:val="left"/>
              <w:rPr>
                <w:rFonts w:hint="eastAsia" w:ascii="宋体" w:hAnsi="宋体"/>
                <w:highlight w:val="none"/>
              </w:rPr>
            </w:pPr>
            <w:r>
              <w:rPr>
                <w:rFonts w:hint="eastAsia" w:ascii="宋体" w:hAnsi="宋体"/>
                <w:highlight w:val="none"/>
              </w:rPr>
              <w:t xml:space="preserve">预计开工日期：开工时间以甲方通知为准。       </w:t>
            </w:r>
          </w:p>
          <w:p w14:paraId="361994E6">
            <w:pPr>
              <w:jc w:val="left"/>
              <w:rPr>
                <w:rFonts w:ascii="宋体" w:hAnsi="宋体"/>
                <w:highlight w:val="none"/>
              </w:rPr>
            </w:pPr>
            <w:r>
              <w:rPr>
                <w:rFonts w:hint="eastAsia" w:ascii="宋体" w:hAnsi="宋体"/>
                <w:highlight w:val="none"/>
              </w:rPr>
              <w:t>建设周期：</w:t>
            </w:r>
            <w:r>
              <w:rPr>
                <w:rFonts w:hint="eastAsia" w:ascii="宋体" w:hAnsi="宋体"/>
                <w:highlight w:val="none"/>
                <w:u w:val="single"/>
                <w:lang w:val="en-US" w:eastAsia="zh-CN"/>
              </w:rPr>
              <w:t>330</w:t>
            </w:r>
            <w:r>
              <w:rPr>
                <w:rFonts w:hint="eastAsia" w:ascii="宋体" w:hAnsi="宋体"/>
                <w:highlight w:val="none"/>
              </w:rPr>
              <w:t>日历天。</w:t>
            </w:r>
          </w:p>
        </w:tc>
      </w:tr>
      <w:tr w14:paraId="7CD0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2EE69835">
            <w:pPr>
              <w:spacing w:line="300" w:lineRule="auto"/>
              <w:jc w:val="center"/>
              <w:rPr>
                <w:rFonts w:ascii="宋体" w:hAnsi="宋体"/>
                <w:highlight w:val="none"/>
              </w:rPr>
            </w:pPr>
            <w:r>
              <w:rPr>
                <w:rFonts w:hint="eastAsia" w:ascii="宋体" w:hAnsi="宋体"/>
                <w:highlight w:val="none"/>
              </w:rPr>
              <w:t>1.1.8</w:t>
            </w:r>
          </w:p>
        </w:tc>
        <w:tc>
          <w:tcPr>
            <w:tcW w:w="2694" w:type="dxa"/>
            <w:tcBorders>
              <w:top w:val="single" w:color="auto" w:sz="4" w:space="0"/>
              <w:left w:val="nil"/>
              <w:bottom w:val="single" w:color="auto" w:sz="4" w:space="0"/>
              <w:right w:val="single" w:color="auto" w:sz="4" w:space="0"/>
            </w:tcBorders>
            <w:noWrap w:val="0"/>
            <w:vAlign w:val="center"/>
          </w:tcPr>
          <w:p w14:paraId="27324DF3">
            <w:pPr>
              <w:jc w:val="center"/>
              <w:rPr>
                <w:rFonts w:hint="eastAsia" w:ascii="宋体" w:hAnsi="宋体" w:eastAsia="宋体" w:cs="宋体"/>
                <w:highlight w:val="none"/>
                <w:lang w:eastAsia="zh-CN"/>
              </w:rPr>
            </w:pPr>
            <w:r>
              <w:rPr>
                <w:rFonts w:hint="eastAsia" w:ascii="宋体" w:hAnsi="宋体"/>
                <w:highlight w:val="none"/>
              </w:rPr>
              <w:t>工程</w:t>
            </w:r>
            <w:r>
              <w:rPr>
                <w:rFonts w:hint="eastAsia" w:ascii="宋体" w:hAnsi="宋体"/>
                <w:highlight w:val="none"/>
                <w:lang w:eastAsia="zh-CN"/>
              </w:rPr>
              <w:t>总</w:t>
            </w:r>
            <w:r>
              <w:rPr>
                <w:rFonts w:hint="eastAsia" w:ascii="宋体" w:hAnsi="宋体"/>
                <w:highlight w:val="none"/>
              </w:rPr>
              <w:t>概算/</w:t>
            </w:r>
            <w:r>
              <w:rPr>
                <w:rFonts w:hint="eastAsia" w:ascii="宋体" w:hAnsi="宋体"/>
                <w:highlight w:val="none"/>
                <w:lang w:eastAsia="zh-CN"/>
              </w:rPr>
              <w:t>工程费用</w:t>
            </w:r>
          </w:p>
        </w:tc>
        <w:tc>
          <w:tcPr>
            <w:tcW w:w="6111" w:type="dxa"/>
            <w:tcBorders>
              <w:top w:val="single" w:color="auto" w:sz="4" w:space="0"/>
              <w:left w:val="nil"/>
              <w:bottom w:val="single" w:color="auto" w:sz="4" w:space="0"/>
              <w:right w:val="single" w:color="auto" w:sz="4" w:space="0"/>
            </w:tcBorders>
            <w:noWrap w:val="0"/>
            <w:vAlign w:val="center"/>
          </w:tcPr>
          <w:p w14:paraId="38EFEA2C">
            <w:pPr>
              <w:tabs>
                <w:tab w:val="left" w:pos="7513"/>
              </w:tabs>
              <w:rPr>
                <w:rFonts w:hint="eastAsia" w:ascii="宋体" w:hAnsi="宋体" w:cs="宋体"/>
                <w:highlight w:val="none"/>
              </w:rPr>
            </w:pPr>
            <w:r>
              <w:rPr>
                <w:rFonts w:hint="eastAsia" w:ascii="宋体" w:hAnsi="宋体"/>
                <w:highlight w:val="none"/>
              </w:rPr>
              <w:t>详见招标公告</w:t>
            </w:r>
          </w:p>
        </w:tc>
      </w:tr>
      <w:tr w14:paraId="2E2D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3A2D025F">
            <w:pPr>
              <w:spacing w:line="300" w:lineRule="auto"/>
              <w:jc w:val="center"/>
              <w:rPr>
                <w:rFonts w:ascii="宋体" w:hAnsi="宋体"/>
                <w:highlight w:val="none"/>
              </w:rPr>
            </w:pPr>
            <w:r>
              <w:rPr>
                <w:rFonts w:hint="eastAsia" w:ascii="宋体" w:hAnsi="宋体"/>
                <w:highlight w:val="none"/>
              </w:rPr>
              <w:t>1.2.1</w:t>
            </w:r>
          </w:p>
        </w:tc>
        <w:tc>
          <w:tcPr>
            <w:tcW w:w="2694" w:type="dxa"/>
            <w:tcBorders>
              <w:top w:val="single" w:color="auto" w:sz="4" w:space="0"/>
              <w:left w:val="nil"/>
              <w:bottom w:val="single" w:color="auto" w:sz="4" w:space="0"/>
              <w:right w:val="single" w:color="auto" w:sz="4" w:space="0"/>
            </w:tcBorders>
            <w:noWrap w:val="0"/>
            <w:vAlign w:val="center"/>
          </w:tcPr>
          <w:p w14:paraId="59837D97">
            <w:pPr>
              <w:jc w:val="center"/>
              <w:rPr>
                <w:rFonts w:ascii="宋体" w:hAnsi="宋体"/>
                <w:highlight w:val="none"/>
              </w:rPr>
            </w:pPr>
            <w:r>
              <w:rPr>
                <w:rFonts w:hint="eastAsia" w:ascii="宋体" w:hAnsi="宋体"/>
                <w:highlight w:val="none"/>
              </w:rPr>
              <w:t>资金来源及比例</w:t>
            </w:r>
          </w:p>
        </w:tc>
        <w:tc>
          <w:tcPr>
            <w:tcW w:w="6111" w:type="dxa"/>
            <w:tcBorders>
              <w:top w:val="single" w:color="auto" w:sz="4" w:space="0"/>
              <w:left w:val="nil"/>
              <w:bottom w:val="single" w:color="auto" w:sz="4" w:space="0"/>
              <w:right w:val="single" w:color="auto" w:sz="4" w:space="0"/>
            </w:tcBorders>
            <w:noWrap w:val="0"/>
            <w:vAlign w:val="center"/>
          </w:tcPr>
          <w:p w14:paraId="0A1947C1">
            <w:pPr>
              <w:rPr>
                <w:rFonts w:ascii="宋体" w:hAnsi="宋体"/>
                <w:highlight w:val="none"/>
              </w:rPr>
            </w:pPr>
            <w:r>
              <w:rPr>
                <w:rFonts w:hint="eastAsia" w:ascii="宋体" w:hAnsi="宋体"/>
                <w:highlight w:val="none"/>
              </w:rPr>
              <w:t>详见招标公告</w:t>
            </w:r>
          </w:p>
        </w:tc>
      </w:tr>
      <w:tr w14:paraId="04CE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5B900440">
            <w:pPr>
              <w:spacing w:line="300" w:lineRule="auto"/>
              <w:jc w:val="center"/>
              <w:rPr>
                <w:rFonts w:ascii="宋体" w:hAnsi="宋体"/>
                <w:highlight w:val="none"/>
              </w:rPr>
            </w:pPr>
            <w:r>
              <w:rPr>
                <w:rFonts w:hint="eastAsia" w:ascii="宋体" w:hAnsi="宋体"/>
                <w:highlight w:val="none"/>
              </w:rPr>
              <w:t>1.2.2</w:t>
            </w:r>
          </w:p>
        </w:tc>
        <w:tc>
          <w:tcPr>
            <w:tcW w:w="2694" w:type="dxa"/>
            <w:tcBorders>
              <w:top w:val="single" w:color="auto" w:sz="4" w:space="0"/>
              <w:left w:val="nil"/>
              <w:bottom w:val="single" w:color="auto" w:sz="4" w:space="0"/>
              <w:right w:val="single" w:color="auto" w:sz="4" w:space="0"/>
            </w:tcBorders>
            <w:noWrap w:val="0"/>
            <w:vAlign w:val="center"/>
          </w:tcPr>
          <w:p w14:paraId="7E6DE7B7">
            <w:pPr>
              <w:jc w:val="center"/>
              <w:rPr>
                <w:rFonts w:ascii="宋体" w:hAnsi="宋体"/>
                <w:highlight w:val="none"/>
              </w:rPr>
            </w:pPr>
            <w:r>
              <w:rPr>
                <w:rFonts w:hint="eastAsia" w:ascii="宋体" w:hAnsi="宋体"/>
                <w:highlight w:val="none"/>
              </w:rPr>
              <w:t>资金落实情况</w:t>
            </w:r>
          </w:p>
        </w:tc>
        <w:tc>
          <w:tcPr>
            <w:tcW w:w="6111" w:type="dxa"/>
            <w:tcBorders>
              <w:top w:val="single" w:color="auto" w:sz="4" w:space="0"/>
              <w:left w:val="nil"/>
              <w:bottom w:val="single" w:color="auto" w:sz="4" w:space="0"/>
              <w:right w:val="single" w:color="auto" w:sz="4" w:space="0"/>
            </w:tcBorders>
            <w:noWrap w:val="0"/>
            <w:vAlign w:val="center"/>
          </w:tcPr>
          <w:p w14:paraId="6E1131FD">
            <w:pPr>
              <w:rPr>
                <w:rFonts w:ascii="宋体" w:hAnsi="宋体"/>
                <w:highlight w:val="none"/>
              </w:rPr>
            </w:pPr>
            <w:r>
              <w:rPr>
                <w:rFonts w:hint="eastAsia" w:ascii="宋体" w:hAnsi="宋体"/>
                <w:highlight w:val="none"/>
              </w:rPr>
              <w:t>已落实。</w:t>
            </w:r>
          </w:p>
        </w:tc>
      </w:tr>
      <w:tr w14:paraId="23B0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3B6F431A">
            <w:pPr>
              <w:spacing w:line="300" w:lineRule="auto"/>
              <w:jc w:val="center"/>
              <w:rPr>
                <w:rFonts w:ascii="宋体" w:hAnsi="宋体"/>
                <w:highlight w:val="none"/>
              </w:rPr>
            </w:pPr>
            <w:r>
              <w:rPr>
                <w:rFonts w:hint="eastAsia" w:ascii="宋体" w:hAnsi="宋体"/>
                <w:highlight w:val="none"/>
              </w:rPr>
              <w:t>1.3.1</w:t>
            </w:r>
          </w:p>
        </w:tc>
        <w:tc>
          <w:tcPr>
            <w:tcW w:w="2694" w:type="dxa"/>
            <w:tcBorders>
              <w:top w:val="single" w:color="auto" w:sz="4" w:space="0"/>
              <w:left w:val="nil"/>
              <w:bottom w:val="single" w:color="auto" w:sz="4" w:space="0"/>
              <w:right w:val="single" w:color="auto" w:sz="4" w:space="0"/>
            </w:tcBorders>
            <w:noWrap w:val="0"/>
            <w:vAlign w:val="center"/>
          </w:tcPr>
          <w:p w14:paraId="1CC690FD">
            <w:pPr>
              <w:jc w:val="center"/>
              <w:rPr>
                <w:rFonts w:ascii="宋体" w:hAnsi="宋体"/>
                <w:highlight w:val="none"/>
              </w:rPr>
            </w:pPr>
            <w:r>
              <w:rPr>
                <w:rFonts w:hint="eastAsia" w:ascii="宋体" w:hAnsi="宋体"/>
                <w:highlight w:val="none"/>
              </w:rPr>
              <w:t>招标范围</w:t>
            </w:r>
          </w:p>
        </w:tc>
        <w:tc>
          <w:tcPr>
            <w:tcW w:w="6111" w:type="dxa"/>
            <w:tcBorders>
              <w:top w:val="single" w:color="auto" w:sz="4" w:space="0"/>
              <w:left w:val="nil"/>
              <w:bottom w:val="single" w:color="auto" w:sz="4" w:space="0"/>
              <w:right w:val="single" w:color="auto" w:sz="4" w:space="0"/>
            </w:tcBorders>
            <w:noWrap w:val="0"/>
            <w:vAlign w:val="center"/>
          </w:tcPr>
          <w:p w14:paraId="1C968C7D">
            <w:pPr>
              <w:rPr>
                <w:rFonts w:ascii="宋体" w:hAnsi="宋体"/>
                <w:highlight w:val="none"/>
              </w:rPr>
            </w:pPr>
            <w:r>
              <w:rPr>
                <w:rFonts w:hint="eastAsia" w:ascii="宋体" w:hAnsi="宋体" w:cs="宋体"/>
                <w:highlight w:val="none"/>
              </w:rPr>
              <w:t>详见招标公告</w:t>
            </w:r>
          </w:p>
        </w:tc>
      </w:tr>
      <w:tr w14:paraId="7479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5AC89224">
            <w:pPr>
              <w:spacing w:line="300" w:lineRule="auto"/>
              <w:jc w:val="center"/>
              <w:rPr>
                <w:rFonts w:ascii="宋体" w:hAnsi="宋体"/>
                <w:highlight w:val="none"/>
              </w:rPr>
            </w:pPr>
            <w:r>
              <w:rPr>
                <w:rFonts w:hint="eastAsia" w:ascii="宋体" w:hAnsi="宋体"/>
                <w:highlight w:val="none"/>
              </w:rPr>
              <w:t>1.3.2</w:t>
            </w:r>
          </w:p>
        </w:tc>
        <w:tc>
          <w:tcPr>
            <w:tcW w:w="2694" w:type="dxa"/>
            <w:tcBorders>
              <w:top w:val="single" w:color="auto" w:sz="4" w:space="0"/>
              <w:left w:val="nil"/>
              <w:bottom w:val="single" w:color="auto" w:sz="4" w:space="0"/>
              <w:right w:val="single" w:color="auto" w:sz="4" w:space="0"/>
            </w:tcBorders>
            <w:noWrap w:val="0"/>
            <w:vAlign w:val="center"/>
          </w:tcPr>
          <w:p w14:paraId="199A93EC">
            <w:pPr>
              <w:jc w:val="center"/>
              <w:rPr>
                <w:rFonts w:ascii="宋体" w:hAnsi="宋体"/>
                <w:highlight w:val="none"/>
              </w:rPr>
            </w:pPr>
            <w:r>
              <w:rPr>
                <w:rFonts w:hint="eastAsia" w:ascii="宋体" w:hAnsi="宋体"/>
                <w:highlight w:val="none"/>
              </w:rPr>
              <w:t>监理服务期限</w:t>
            </w:r>
          </w:p>
        </w:tc>
        <w:tc>
          <w:tcPr>
            <w:tcW w:w="6111" w:type="dxa"/>
            <w:tcBorders>
              <w:top w:val="single" w:color="auto" w:sz="4" w:space="0"/>
              <w:left w:val="nil"/>
              <w:bottom w:val="single" w:color="auto" w:sz="4" w:space="0"/>
              <w:right w:val="single" w:color="auto" w:sz="4" w:space="0"/>
            </w:tcBorders>
            <w:noWrap w:val="0"/>
            <w:vAlign w:val="center"/>
          </w:tcPr>
          <w:p w14:paraId="01D58399">
            <w:pPr>
              <w:pStyle w:val="14"/>
              <w:rPr>
                <w:rFonts w:hint="eastAsia" w:ascii="宋体" w:hAnsi="宋体"/>
                <w:kern w:val="2"/>
                <w:sz w:val="21"/>
                <w:szCs w:val="21"/>
                <w:highlight w:val="none"/>
              </w:rPr>
            </w:pPr>
            <w:r>
              <w:rPr>
                <w:rFonts w:hint="eastAsia" w:ascii="宋体" w:hAnsi="宋体" w:cs="宋体"/>
                <w:highlight w:val="none"/>
              </w:rPr>
              <w:t>详见招标公告</w:t>
            </w:r>
          </w:p>
        </w:tc>
      </w:tr>
      <w:tr w14:paraId="132E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0265285E">
            <w:pPr>
              <w:spacing w:line="300" w:lineRule="auto"/>
              <w:jc w:val="center"/>
              <w:rPr>
                <w:rFonts w:ascii="宋体" w:hAnsi="宋体"/>
                <w:highlight w:val="none"/>
              </w:rPr>
            </w:pPr>
            <w:r>
              <w:rPr>
                <w:rFonts w:hint="eastAsia" w:ascii="宋体" w:hAnsi="宋体"/>
                <w:highlight w:val="none"/>
              </w:rPr>
              <w:t>1.3.3</w:t>
            </w:r>
          </w:p>
        </w:tc>
        <w:tc>
          <w:tcPr>
            <w:tcW w:w="2694" w:type="dxa"/>
            <w:tcBorders>
              <w:top w:val="single" w:color="auto" w:sz="4" w:space="0"/>
              <w:left w:val="nil"/>
              <w:bottom w:val="single" w:color="auto" w:sz="4" w:space="0"/>
              <w:right w:val="single" w:color="auto" w:sz="4" w:space="0"/>
            </w:tcBorders>
            <w:noWrap w:val="0"/>
            <w:vAlign w:val="center"/>
          </w:tcPr>
          <w:p w14:paraId="48BD92EB">
            <w:pPr>
              <w:jc w:val="center"/>
              <w:rPr>
                <w:rFonts w:ascii="宋体" w:hAnsi="宋体"/>
                <w:highlight w:val="none"/>
              </w:rPr>
            </w:pPr>
            <w:r>
              <w:rPr>
                <w:rFonts w:hint="eastAsia" w:ascii="宋体" w:hAnsi="宋体"/>
                <w:highlight w:val="none"/>
              </w:rPr>
              <w:t>质量标准</w:t>
            </w:r>
          </w:p>
        </w:tc>
        <w:tc>
          <w:tcPr>
            <w:tcW w:w="6111" w:type="dxa"/>
            <w:tcBorders>
              <w:top w:val="single" w:color="auto" w:sz="4" w:space="0"/>
              <w:left w:val="nil"/>
              <w:bottom w:val="single" w:color="auto" w:sz="4" w:space="0"/>
              <w:right w:val="single" w:color="auto" w:sz="4" w:space="0"/>
            </w:tcBorders>
            <w:noWrap w:val="0"/>
            <w:vAlign w:val="center"/>
          </w:tcPr>
          <w:p w14:paraId="7E77D692">
            <w:pPr>
              <w:rPr>
                <w:rFonts w:ascii="宋体" w:hAnsi="宋体"/>
                <w:highlight w:val="none"/>
              </w:rPr>
            </w:pPr>
            <w:r>
              <w:rPr>
                <w:rFonts w:hint="eastAsia" w:ascii="宋体" w:hAnsi="宋体" w:cs="宋体"/>
                <w:highlight w:val="none"/>
              </w:rPr>
              <w:t>合格。</w:t>
            </w:r>
          </w:p>
        </w:tc>
      </w:tr>
      <w:tr w14:paraId="0914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346D624C">
            <w:pPr>
              <w:spacing w:line="300" w:lineRule="auto"/>
              <w:jc w:val="center"/>
              <w:rPr>
                <w:rFonts w:ascii="宋体" w:hAnsi="宋体"/>
                <w:highlight w:val="none"/>
              </w:rPr>
            </w:pPr>
            <w:r>
              <w:rPr>
                <w:rFonts w:hint="eastAsia" w:ascii="宋体" w:hAnsi="宋体"/>
                <w:highlight w:val="none"/>
              </w:rPr>
              <w:t>1.4.1</w:t>
            </w:r>
          </w:p>
        </w:tc>
        <w:tc>
          <w:tcPr>
            <w:tcW w:w="2694" w:type="dxa"/>
            <w:tcBorders>
              <w:top w:val="single" w:color="auto" w:sz="4" w:space="0"/>
              <w:left w:val="nil"/>
              <w:bottom w:val="single" w:color="auto" w:sz="4" w:space="0"/>
              <w:right w:val="single" w:color="auto" w:sz="4" w:space="0"/>
            </w:tcBorders>
            <w:noWrap w:val="0"/>
            <w:vAlign w:val="center"/>
          </w:tcPr>
          <w:p w14:paraId="13A161E4">
            <w:pPr>
              <w:jc w:val="center"/>
              <w:rPr>
                <w:rFonts w:ascii="宋体" w:hAnsi="宋体"/>
                <w:highlight w:val="none"/>
              </w:rPr>
            </w:pPr>
            <w:r>
              <w:rPr>
                <w:rFonts w:hint="eastAsia" w:ascii="宋体" w:hAnsi="宋体"/>
                <w:highlight w:val="none"/>
              </w:rPr>
              <w:t>投标人资质条件、能力、信誉</w:t>
            </w:r>
          </w:p>
        </w:tc>
        <w:tc>
          <w:tcPr>
            <w:tcW w:w="6111" w:type="dxa"/>
            <w:tcBorders>
              <w:top w:val="single" w:color="auto" w:sz="4" w:space="0"/>
              <w:left w:val="nil"/>
              <w:bottom w:val="single" w:color="auto" w:sz="4" w:space="0"/>
              <w:right w:val="single" w:color="auto" w:sz="4" w:space="0"/>
            </w:tcBorders>
            <w:noWrap w:val="0"/>
            <w:vAlign w:val="center"/>
          </w:tcPr>
          <w:p w14:paraId="5DC8DA22">
            <w:pPr>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）资质要求：</w:t>
            </w:r>
            <w:r>
              <w:rPr>
                <w:rFonts w:hint="eastAsia" w:ascii="宋体" w:hAnsi="宋体" w:cs="宋体"/>
                <w:highlight w:val="none"/>
              </w:rPr>
              <w:t>符合招标公告投标人资格要求第3.1项规定。</w:t>
            </w:r>
          </w:p>
          <w:p w14:paraId="73FDCFE6">
            <w:pPr>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）财务要求：/</w:t>
            </w:r>
          </w:p>
          <w:p w14:paraId="38168EA9">
            <w:pPr>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）业绩要求：/</w:t>
            </w:r>
          </w:p>
          <w:p w14:paraId="60259600">
            <w:pPr>
              <w:rPr>
                <w:rFonts w:ascii="宋体" w:hAns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）信誉要求：/</w:t>
            </w:r>
          </w:p>
          <w:p w14:paraId="415983F7">
            <w:pPr>
              <w:rPr>
                <w:rFonts w:ascii="宋体" w:hAns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）总监理工程师的资格要求：</w:t>
            </w:r>
            <w:r>
              <w:rPr>
                <w:rFonts w:hint="eastAsia" w:ascii="宋体" w:hAnsi="宋体" w:cs="宋体"/>
                <w:highlight w:val="none"/>
              </w:rPr>
              <w:t>符合招标公告投标人资格要求第3.3项规定。</w:t>
            </w:r>
          </w:p>
          <w:p w14:paraId="4CE74673">
            <w:pPr>
              <w:rPr>
                <w:rFonts w:ascii="宋体" w:hAns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）其他主要人员要求：/</w:t>
            </w:r>
          </w:p>
          <w:p w14:paraId="486F2DE1">
            <w:pPr>
              <w:rPr>
                <w:rFonts w:ascii="宋体" w:hAns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）试验检测仪器设备要求：/</w:t>
            </w:r>
          </w:p>
          <w:p w14:paraId="7DED7F96">
            <w:pPr>
              <w:rPr>
                <w:rFonts w:ascii="宋体" w:hAnsi="宋体" w:cs="宋体"/>
                <w:kern w:val="0"/>
                <w:highlight w:val="none"/>
              </w:rPr>
            </w:pPr>
            <w:r>
              <w:rPr>
                <w:rFonts w:hint="eastAsia" w:ascii="宋体" w:hAnsi="宋体"/>
                <w:highlight w:val="none"/>
              </w:rPr>
              <w:t>（</w:t>
            </w:r>
            <w:r>
              <w:rPr>
                <w:rFonts w:ascii="宋体" w:hAnsi="宋体"/>
                <w:highlight w:val="none"/>
              </w:rPr>
              <w:t>8</w:t>
            </w:r>
            <w:r>
              <w:rPr>
                <w:rFonts w:hint="eastAsia" w:ascii="宋体" w:hAnsi="宋体"/>
                <w:highlight w:val="none"/>
              </w:rPr>
              <w:t>）其他要求：</w:t>
            </w:r>
            <w:r>
              <w:rPr>
                <w:rFonts w:hint="eastAsia" w:ascii="宋体" w:hAnsi="宋体" w:cs="宋体"/>
                <w:highlight w:val="none"/>
              </w:rPr>
              <w:t>符合招标公告投标人资格要求第3.4项规定。</w:t>
            </w:r>
          </w:p>
        </w:tc>
      </w:tr>
      <w:tr w14:paraId="7156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586B083E">
            <w:pPr>
              <w:spacing w:line="300" w:lineRule="auto"/>
              <w:jc w:val="center"/>
              <w:rPr>
                <w:rFonts w:ascii="宋体" w:hAnsi="宋体"/>
                <w:highlight w:val="none"/>
              </w:rPr>
            </w:pPr>
            <w:r>
              <w:rPr>
                <w:rFonts w:hint="eastAsia" w:ascii="宋体" w:hAnsi="宋体"/>
                <w:highlight w:val="none"/>
              </w:rPr>
              <w:t>1.4.2</w:t>
            </w:r>
          </w:p>
        </w:tc>
        <w:tc>
          <w:tcPr>
            <w:tcW w:w="2694" w:type="dxa"/>
            <w:tcBorders>
              <w:top w:val="single" w:color="auto" w:sz="4" w:space="0"/>
              <w:left w:val="nil"/>
              <w:bottom w:val="single" w:color="auto" w:sz="4" w:space="0"/>
              <w:right w:val="single" w:color="auto" w:sz="4" w:space="0"/>
            </w:tcBorders>
            <w:noWrap w:val="0"/>
            <w:vAlign w:val="center"/>
          </w:tcPr>
          <w:p w14:paraId="0D64DF19">
            <w:pPr>
              <w:jc w:val="center"/>
              <w:rPr>
                <w:rFonts w:ascii="宋体" w:hAnsi="宋体"/>
                <w:highlight w:val="none"/>
              </w:rPr>
            </w:pPr>
            <w:r>
              <w:rPr>
                <w:rFonts w:hint="eastAsia" w:ascii="宋体" w:hAnsi="宋体"/>
                <w:highlight w:val="none"/>
              </w:rPr>
              <w:t>是否接受联合体投标</w:t>
            </w:r>
          </w:p>
        </w:tc>
        <w:tc>
          <w:tcPr>
            <w:tcW w:w="6111" w:type="dxa"/>
            <w:tcBorders>
              <w:top w:val="single" w:color="auto" w:sz="4" w:space="0"/>
              <w:left w:val="nil"/>
              <w:bottom w:val="single" w:color="auto" w:sz="4" w:space="0"/>
              <w:right w:val="single" w:color="auto" w:sz="4" w:space="0"/>
            </w:tcBorders>
            <w:noWrap w:val="0"/>
            <w:vAlign w:val="center"/>
          </w:tcPr>
          <w:p w14:paraId="5B75C569">
            <w:pPr>
              <w:rPr>
                <w:rFonts w:hint="eastAsia" w:ascii="宋体" w:hAnsi="宋体" w:cs="宋体"/>
                <w:highlight w:val="none"/>
              </w:rPr>
            </w:pPr>
            <w:r>
              <w:rPr>
                <w:rFonts w:hint="eastAsia" w:ascii="宋体" w:hAnsi="宋体"/>
                <w:highlight w:val="none"/>
              </w:rPr>
              <w:t>■</w:t>
            </w:r>
            <w:r>
              <w:rPr>
                <w:rFonts w:hint="eastAsia" w:ascii="宋体" w:hAnsi="宋体" w:cs="宋体"/>
                <w:position w:val="3"/>
                <w:highlight w:val="none"/>
              </w:rPr>
              <w:t>不接受</w:t>
            </w:r>
          </w:p>
          <w:p w14:paraId="159E11A8">
            <w:pPr>
              <w:rPr>
                <w:rFonts w:ascii="宋体" w:hAnsi="宋体"/>
                <w:highlight w:val="none"/>
              </w:rPr>
            </w:pPr>
            <w:r>
              <w:rPr>
                <w:rFonts w:hint="eastAsia" w:ascii="宋体" w:hAnsi="宋体" w:cs="宋体"/>
                <w:highlight w:val="none"/>
              </w:rPr>
              <w:t xml:space="preserve"> </w:t>
            </w:r>
            <w:r>
              <w:rPr>
                <w:rFonts w:ascii="宋体" w:hAnsi="宋体"/>
                <w:highlight w:val="none"/>
              </w:rPr>
              <w:t>□</w:t>
            </w:r>
            <w:r>
              <w:rPr>
                <w:rFonts w:hint="eastAsia" w:ascii="宋体" w:hAnsi="宋体" w:cs="宋体"/>
                <w:highlight w:val="none"/>
              </w:rPr>
              <w:t>接受，应满足下列要求：</w:t>
            </w:r>
          </w:p>
        </w:tc>
      </w:tr>
      <w:tr w14:paraId="0F81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274848D7">
            <w:pPr>
              <w:spacing w:line="300" w:lineRule="auto"/>
              <w:jc w:val="center"/>
              <w:rPr>
                <w:rFonts w:ascii="宋体" w:hAnsi="宋体"/>
                <w:highlight w:val="none"/>
              </w:rPr>
            </w:pPr>
            <w:r>
              <w:rPr>
                <w:rFonts w:hint="eastAsia" w:ascii="宋体" w:hAnsi="宋体"/>
                <w:highlight w:val="none"/>
              </w:rPr>
              <w:t>1.4.3</w:t>
            </w:r>
          </w:p>
        </w:tc>
        <w:tc>
          <w:tcPr>
            <w:tcW w:w="2694" w:type="dxa"/>
            <w:tcBorders>
              <w:top w:val="single" w:color="auto" w:sz="4" w:space="0"/>
              <w:left w:val="nil"/>
              <w:bottom w:val="single" w:color="auto" w:sz="4" w:space="0"/>
              <w:right w:val="single" w:color="auto" w:sz="4" w:space="0"/>
            </w:tcBorders>
            <w:noWrap w:val="0"/>
            <w:vAlign w:val="center"/>
          </w:tcPr>
          <w:p w14:paraId="6898DE49">
            <w:pPr>
              <w:jc w:val="center"/>
              <w:rPr>
                <w:rFonts w:ascii="宋体" w:hAnsi="宋体"/>
                <w:highlight w:val="none"/>
              </w:rPr>
            </w:pPr>
            <w:r>
              <w:rPr>
                <w:rFonts w:hint="eastAsia" w:ascii="宋体" w:hAnsi="宋体"/>
                <w:highlight w:val="none"/>
              </w:rPr>
              <w:t>投标人不得存在的其他情形</w:t>
            </w:r>
          </w:p>
        </w:tc>
        <w:tc>
          <w:tcPr>
            <w:tcW w:w="6111" w:type="dxa"/>
            <w:tcBorders>
              <w:top w:val="single" w:color="auto" w:sz="4" w:space="0"/>
              <w:left w:val="nil"/>
              <w:bottom w:val="single" w:color="auto" w:sz="4" w:space="0"/>
              <w:right w:val="single" w:color="auto" w:sz="4" w:space="0"/>
            </w:tcBorders>
            <w:noWrap w:val="0"/>
            <w:vAlign w:val="center"/>
          </w:tcPr>
          <w:p w14:paraId="1894B457">
            <w:pPr>
              <w:pStyle w:val="7"/>
              <w:tabs>
                <w:tab w:val="left" w:pos="2812"/>
                <w:tab w:val="left" w:pos="3986"/>
              </w:tabs>
              <w:kinsoku w:val="0"/>
              <w:overflowPunct w:val="0"/>
              <w:spacing w:before="0" w:beforeAutospacing="0"/>
              <w:rPr>
                <w:rFonts w:ascii="宋体" w:hAnsi="宋体"/>
                <w:highlight w:val="none"/>
              </w:rPr>
            </w:pPr>
            <w:r>
              <w:rPr>
                <w:rFonts w:hint="eastAsia" w:ascii="宋体" w:hAnsi="宋体"/>
                <w:kern w:val="2"/>
                <w:sz w:val="21"/>
                <w:highlight w:val="none"/>
                <w:u w:val="single"/>
              </w:rPr>
              <w:t>（</w:t>
            </w:r>
            <w:r>
              <w:rPr>
                <w:rFonts w:ascii="宋体" w:hAnsi="宋体"/>
                <w:kern w:val="2"/>
                <w:sz w:val="21"/>
                <w:highlight w:val="none"/>
                <w:u w:val="single"/>
              </w:rPr>
              <w:t>16</w:t>
            </w:r>
            <w:r>
              <w:rPr>
                <w:rFonts w:hint="eastAsia" w:ascii="宋体" w:hAnsi="宋体"/>
                <w:kern w:val="2"/>
                <w:sz w:val="21"/>
                <w:highlight w:val="none"/>
                <w:u w:val="single"/>
              </w:rPr>
              <w:t>）</w:t>
            </w:r>
            <w:r>
              <w:rPr>
                <w:rFonts w:ascii="宋体" w:hAnsi="宋体"/>
                <w:kern w:val="2"/>
                <w:sz w:val="21"/>
                <w:highlight w:val="none"/>
                <w:u w:val="single"/>
              </w:rPr>
              <w:t>在近三年内投标人或其法定代表人、拟委任的</w:t>
            </w:r>
            <w:r>
              <w:rPr>
                <w:rFonts w:hint="eastAsia" w:ascii="宋体" w:hAnsi="宋体"/>
                <w:kern w:val="2"/>
                <w:sz w:val="21"/>
                <w:highlight w:val="none"/>
                <w:u w:val="single"/>
              </w:rPr>
              <w:t>总监理工程师</w:t>
            </w:r>
            <w:r>
              <w:rPr>
                <w:rFonts w:ascii="宋体" w:hAnsi="宋体"/>
                <w:kern w:val="2"/>
                <w:sz w:val="21"/>
                <w:highlight w:val="none"/>
                <w:u w:val="single"/>
              </w:rPr>
              <w:t>有行贿犯罪行为的</w:t>
            </w:r>
            <w:r>
              <w:rPr>
                <w:rFonts w:hint="eastAsia" w:ascii="宋体" w:hAnsi="宋体"/>
                <w:kern w:val="2"/>
                <w:sz w:val="21"/>
                <w:highlight w:val="none"/>
                <w:u w:val="single"/>
              </w:rPr>
              <w:t>；</w:t>
            </w:r>
          </w:p>
        </w:tc>
      </w:tr>
      <w:tr w14:paraId="752D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62B0B34E">
            <w:pPr>
              <w:spacing w:line="300" w:lineRule="auto"/>
              <w:jc w:val="center"/>
              <w:rPr>
                <w:rFonts w:ascii="宋体" w:hAnsi="宋体"/>
                <w:highlight w:val="none"/>
              </w:rPr>
            </w:pPr>
            <w:r>
              <w:rPr>
                <w:rFonts w:hint="eastAsia" w:ascii="宋体" w:hAnsi="宋体"/>
                <w:highlight w:val="none"/>
              </w:rPr>
              <w:t>1.9.1</w:t>
            </w:r>
          </w:p>
        </w:tc>
        <w:tc>
          <w:tcPr>
            <w:tcW w:w="2694" w:type="dxa"/>
            <w:tcBorders>
              <w:top w:val="single" w:color="auto" w:sz="4" w:space="0"/>
              <w:left w:val="nil"/>
              <w:bottom w:val="single" w:color="auto" w:sz="4" w:space="0"/>
              <w:right w:val="single" w:color="auto" w:sz="4" w:space="0"/>
            </w:tcBorders>
            <w:noWrap w:val="0"/>
            <w:vAlign w:val="center"/>
          </w:tcPr>
          <w:p w14:paraId="1DB15D0A">
            <w:pPr>
              <w:jc w:val="center"/>
              <w:rPr>
                <w:rFonts w:ascii="宋体" w:hAnsi="宋体"/>
                <w:highlight w:val="none"/>
              </w:rPr>
            </w:pPr>
            <w:r>
              <w:rPr>
                <w:rFonts w:hint="eastAsia" w:ascii="宋体" w:hAnsi="宋体"/>
                <w:highlight w:val="none"/>
              </w:rPr>
              <w:t>踏勘现场</w:t>
            </w:r>
          </w:p>
        </w:tc>
        <w:tc>
          <w:tcPr>
            <w:tcW w:w="6111" w:type="dxa"/>
            <w:tcBorders>
              <w:top w:val="single" w:color="auto" w:sz="4" w:space="0"/>
              <w:left w:val="nil"/>
              <w:bottom w:val="single" w:color="auto" w:sz="4" w:space="0"/>
              <w:right w:val="single" w:color="auto" w:sz="4" w:space="0"/>
            </w:tcBorders>
            <w:noWrap w:val="0"/>
            <w:vAlign w:val="center"/>
          </w:tcPr>
          <w:p w14:paraId="301E2085">
            <w:pPr>
              <w:topLinePunct/>
              <w:rPr>
                <w:rFonts w:ascii="宋体" w:hAnsi="宋体"/>
                <w:highlight w:val="none"/>
              </w:rPr>
            </w:pPr>
            <w:r>
              <w:rPr>
                <w:rFonts w:hint="eastAsia" w:ascii="宋体" w:hAnsi="宋体" w:cs="宋体"/>
                <w:highlight w:val="none"/>
              </w:rPr>
              <w:t>■</w:t>
            </w:r>
            <w:r>
              <w:rPr>
                <w:rFonts w:ascii="宋体" w:hAnsi="宋体"/>
                <w:highlight w:val="none"/>
              </w:rPr>
              <w:t>不组织</w:t>
            </w:r>
            <w:r>
              <w:rPr>
                <w:rFonts w:hint="eastAsia" w:ascii="宋体" w:hAnsi="宋体"/>
                <w:highlight w:val="none"/>
              </w:rPr>
              <w:t>，</w:t>
            </w:r>
            <w:r>
              <w:rPr>
                <w:rFonts w:hint="eastAsia" w:ascii="宋体" w:hAnsi="宋体" w:cs="宋体"/>
                <w:highlight w:val="none"/>
              </w:rPr>
              <w:t>（在本工程开标时间前，由投标人自行考察）</w:t>
            </w:r>
          </w:p>
          <w:p w14:paraId="0A669F95">
            <w:pPr>
              <w:topLinePunct/>
              <w:rPr>
                <w:rFonts w:ascii="宋体" w:hAnsi="宋体"/>
                <w:highlight w:val="none"/>
              </w:rPr>
            </w:pPr>
            <w:r>
              <w:rPr>
                <w:rFonts w:ascii="宋体" w:hAnsi="宋体"/>
                <w:highlight w:val="none"/>
              </w:rPr>
              <w:t>□组织，踏勘时间：</w:t>
            </w:r>
            <w:r>
              <w:rPr>
                <w:rFonts w:hint="eastAsia" w:ascii="宋体" w:hAnsi="宋体"/>
                <w:highlight w:val="none"/>
              </w:rPr>
              <w:t xml:space="preserve">          </w:t>
            </w:r>
            <w:r>
              <w:rPr>
                <w:rFonts w:ascii="宋体" w:hAnsi="宋体"/>
                <w:highlight w:val="none"/>
              </w:rPr>
              <w:t>踏勘集中地点：</w:t>
            </w:r>
          </w:p>
        </w:tc>
      </w:tr>
      <w:tr w14:paraId="0643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2A1C4E2B">
            <w:pPr>
              <w:spacing w:line="300" w:lineRule="auto"/>
              <w:jc w:val="center"/>
              <w:rPr>
                <w:rFonts w:ascii="宋体" w:hAnsi="宋体"/>
                <w:highlight w:val="none"/>
              </w:rPr>
            </w:pPr>
            <w:r>
              <w:rPr>
                <w:rFonts w:hint="eastAsia" w:ascii="宋体" w:hAnsi="宋体"/>
                <w:highlight w:val="none"/>
              </w:rPr>
              <w:t>1.10.1</w:t>
            </w:r>
          </w:p>
        </w:tc>
        <w:tc>
          <w:tcPr>
            <w:tcW w:w="2694" w:type="dxa"/>
            <w:tcBorders>
              <w:top w:val="single" w:color="auto" w:sz="4" w:space="0"/>
              <w:left w:val="nil"/>
              <w:bottom w:val="single" w:color="auto" w:sz="4" w:space="0"/>
              <w:right w:val="single" w:color="auto" w:sz="4" w:space="0"/>
            </w:tcBorders>
            <w:noWrap w:val="0"/>
            <w:vAlign w:val="center"/>
          </w:tcPr>
          <w:p w14:paraId="29F8F911">
            <w:pPr>
              <w:jc w:val="center"/>
              <w:rPr>
                <w:rFonts w:ascii="宋体" w:hAnsi="宋体"/>
                <w:highlight w:val="none"/>
              </w:rPr>
            </w:pPr>
            <w:r>
              <w:rPr>
                <w:rFonts w:hint="eastAsia" w:ascii="宋体" w:hAnsi="宋体"/>
                <w:highlight w:val="none"/>
              </w:rPr>
              <w:t>投标预备会</w:t>
            </w:r>
          </w:p>
        </w:tc>
        <w:tc>
          <w:tcPr>
            <w:tcW w:w="6111" w:type="dxa"/>
            <w:tcBorders>
              <w:top w:val="single" w:color="auto" w:sz="4" w:space="0"/>
              <w:left w:val="nil"/>
              <w:bottom w:val="single" w:color="auto" w:sz="4" w:space="0"/>
              <w:right w:val="single" w:color="auto" w:sz="4" w:space="0"/>
            </w:tcBorders>
            <w:noWrap w:val="0"/>
            <w:vAlign w:val="center"/>
          </w:tcPr>
          <w:p w14:paraId="247D1476">
            <w:pPr>
              <w:topLinePunct/>
              <w:rPr>
                <w:rFonts w:ascii="宋体" w:hAnsi="宋体"/>
                <w:highlight w:val="none"/>
              </w:rPr>
            </w:pPr>
            <w:r>
              <w:rPr>
                <w:rFonts w:hint="eastAsia" w:ascii="宋体" w:hAnsi="宋体" w:cs="宋体"/>
                <w:highlight w:val="none"/>
              </w:rPr>
              <w:t>■</w:t>
            </w:r>
            <w:r>
              <w:rPr>
                <w:rFonts w:ascii="宋体" w:hAnsi="宋体"/>
                <w:highlight w:val="none"/>
              </w:rPr>
              <w:t>不召开</w:t>
            </w:r>
          </w:p>
          <w:p w14:paraId="1D54A0B0">
            <w:pPr>
              <w:rPr>
                <w:rFonts w:ascii="宋体" w:hAnsi="宋体"/>
                <w:highlight w:val="none"/>
              </w:rPr>
            </w:pPr>
            <w:r>
              <w:rPr>
                <w:rFonts w:ascii="宋体" w:hAnsi="宋体"/>
                <w:highlight w:val="none"/>
              </w:rPr>
              <w:t>□召开，召开时间：</w:t>
            </w:r>
            <w:r>
              <w:rPr>
                <w:rFonts w:hint="eastAsia" w:ascii="宋体" w:hAnsi="宋体"/>
                <w:highlight w:val="none"/>
              </w:rPr>
              <w:t xml:space="preserve">          </w:t>
            </w:r>
            <w:r>
              <w:rPr>
                <w:rFonts w:ascii="宋体" w:hAnsi="宋体"/>
                <w:highlight w:val="none"/>
              </w:rPr>
              <w:t>召开地点：</w:t>
            </w:r>
          </w:p>
        </w:tc>
      </w:tr>
      <w:tr w14:paraId="4AC2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vMerge w:val="restart"/>
            <w:tcBorders>
              <w:top w:val="single" w:color="auto" w:sz="4" w:space="0"/>
              <w:left w:val="single" w:color="auto" w:sz="4" w:space="0"/>
              <w:right w:val="single" w:color="auto" w:sz="4" w:space="0"/>
            </w:tcBorders>
            <w:noWrap w:val="0"/>
            <w:vAlign w:val="center"/>
          </w:tcPr>
          <w:p w14:paraId="4F30FC6E">
            <w:pPr>
              <w:spacing w:line="300" w:lineRule="auto"/>
              <w:jc w:val="center"/>
              <w:rPr>
                <w:rFonts w:ascii="宋体" w:hAnsi="宋体"/>
                <w:highlight w:val="none"/>
              </w:rPr>
            </w:pPr>
            <w:r>
              <w:rPr>
                <w:rFonts w:hint="eastAsia" w:ascii="宋体" w:hAnsi="宋体"/>
                <w:highlight w:val="none"/>
              </w:rPr>
              <w:t>1.10.2</w:t>
            </w:r>
          </w:p>
        </w:tc>
        <w:tc>
          <w:tcPr>
            <w:tcW w:w="2694" w:type="dxa"/>
            <w:vMerge w:val="restart"/>
            <w:tcBorders>
              <w:top w:val="single" w:color="auto" w:sz="4" w:space="0"/>
              <w:left w:val="nil"/>
              <w:right w:val="single" w:color="auto" w:sz="4" w:space="0"/>
            </w:tcBorders>
            <w:noWrap w:val="0"/>
            <w:vAlign w:val="center"/>
          </w:tcPr>
          <w:p w14:paraId="3F1D6353">
            <w:pPr>
              <w:jc w:val="center"/>
              <w:rPr>
                <w:rFonts w:ascii="宋体" w:hAnsi="宋体"/>
                <w:highlight w:val="none"/>
              </w:rPr>
            </w:pPr>
            <w:r>
              <w:rPr>
                <w:rFonts w:hint="eastAsia" w:ascii="宋体" w:hAnsi="宋体"/>
                <w:highlight w:val="none"/>
              </w:rPr>
              <w:t>投标人在投标预备会前提出问题</w:t>
            </w:r>
          </w:p>
        </w:tc>
        <w:tc>
          <w:tcPr>
            <w:tcW w:w="6111" w:type="dxa"/>
            <w:tcBorders>
              <w:top w:val="single" w:color="auto" w:sz="4" w:space="0"/>
              <w:left w:val="nil"/>
              <w:bottom w:val="single" w:color="auto" w:sz="4" w:space="0"/>
              <w:right w:val="single" w:color="auto" w:sz="4" w:space="0"/>
            </w:tcBorders>
            <w:noWrap w:val="0"/>
            <w:vAlign w:val="center"/>
          </w:tcPr>
          <w:p w14:paraId="68E40B82">
            <w:pPr>
              <w:rPr>
                <w:rFonts w:ascii="宋体" w:hAnsi="宋体"/>
                <w:highlight w:val="none"/>
              </w:rPr>
            </w:pPr>
            <w:r>
              <w:rPr>
                <w:rFonts w:hint="eastAsia" w:ascii="宋体" w:hAnsi="宋体" w:cs="宋体"/>
                <w:highlight w:val="none"/>
              </w:rPr>
              <w:t>时间：</w:t>
            </w:r>
            <w:r>
              <w:rPr>
                <w:rFonts w:hint="eastAsia" w:ascii="宋体" w:hAnsi="宋体" w:cs="宋体"/>
                <w:highlight w:val="none"/>
                <w:u w:val="single"/>
              </w:rPr>
              <w:t xml:space="preserve"> /</w:t>
            </w:r>
          </w:p>
        </w:tc>
      </w:tr>
      <w:tr w14:paraId="7589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vMerge w:val="continue"/>
            <w:tcBorders>
              <w:left w:val="single" w:color="auto" w:sz="4" w:space="0"/>
              <w:bottom w:val="single" w:color="auto" w:sz="4" w:space="0"/>
              <w:right w:val="single" w:color="auto" w:sz="4" w:space="0"/>
            </w:tcBorders>
            <w:noWrap w:val="0"/>
            <w:vAlign w:val="center"/>
          </w:tcPr>
          <w:p w14:paraId="71D4726D">
            <w:pPr>
              <w:spacing w:line="300" w:lineRule="auto"/>
              <w:jc w:val="center"/>
              <w:rPr>
                <w:rFonts w:hint="eastAsia" w:ascii="宋体" w:hAnsi="宋体"/>
                <w:highlight w:val="none"/>
              </w:rPr>
            </w:pPr>
          </w:p>
        </w:tc>
        <w:tc>
          <w:tcPr>
            <w:tcW w:w="2694" w:type="dxa"/>
            <w:vMerge w:val="continue"/>
            <w:tcBorders>
              <w:left w:val="nil"/>
              <w:bottom w:val="single" w:color="auto" w:sz="4" w:space="0"/>
              <w:right w:val="single" w:color="auto" w:sz="4" w:space="0"/>
            </w:tcBorders>
            <w:noWrap w:val="0"/>
            <w:vAlign w:val="center"/>
          </w:tcPr>
          <w:p w14:paraId="54942429">
            <w:pPr>
              <w:jc w:val="center"/>
              <w:rPr>
                <w:rFonts w:hint="eastAsia" w:ascii="宋体" w:hAnsi="宋体"/>
                <w:highlight w:val="none"/>
              </w:rPr>
            </w:pPr>
          </w:p>
        </w:tc>
        <w:tc>
          <w:tcPr>
            <w:tcW w:w="6111" w:type="dxa"/>
            <w:tcBorders>
              <w:top w:val="single" w:color="auto" w:sz="4" w:space="0"/>
              <w:left w:val="nil"/>
              <w:bottom w:val="single" w:color="auto" w:sz="4" w:space="0"/>
              <w:right w:val="single" w:color="auto" w:sz="4" w:space="0"/>
            </w:tcBorders>
            <w:noWrap w:val="0"/>
            <w:vAlign w:val="center"/>
          </w:tcPr>
          <w:p w14:paraId="0CF4D155">
            <w:pPr>
              <w:jc w:val="left"/>
              <w:rPr>
                <w:rFonts w:ascii="宋体" w:hAnsi="宋体" w:cs="宋体"/>
                <w:highlight w:val="none"/>
              </w:rPr>
            </w:pPr>
            <w:r>
              <w:rPr>
                <w:rFonts w:hint="eastAsia" w:ascii="宋体" w:hAnsi="宋体" w:cs="宋体"/>
                <w:highlight w:val="none"/>
              </w:rPr>
              <w:t>形式：</w:t>
            </w:r>
            <w:r>
              <w:rPr>
                <w:rFonts w:hint="eastAsia" w:ascii="宋体" w:hAnsi="宋体" w:cs="宋体"/>
                <w:highlight w:val="none"/>
                <w:u w:val="single"/>
              </w:rPr>
              <w:t xml:space="preserve"> /</w:t>
            </w:r>
          </w:p>
        </w:tc>
      </w:tr>
      <w:tr w14:paraId="4E71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7C3B7A1D">
            <w:pPr>
              <w:spacing w:line="300" w:lineRule="auto"/>
              <w:jc w:val="center"/>
              <w:rPr>
                <w:rFonts w:ascii="宋体" w:hAnsi="宋体"/>
                <w:highlight w:val="none"/>
              </w:rPr>
            </w:pPr>
            <w:r>
              <w:rPr>
                <w:rFonts w:hint="eastAsia" w:ascii="宋体" w:hAnsi="宋体"/>
                <w:highlight w:val="none"/>
              </w:rPr>
              <w:t>1.10.3</w:t>
            </w:r>
          </w:p>
        </w:tc>
        <w:tc>
          <w:tcPr>
            <w:tcW w:w="2694" w:type="dxa"/>
            <w:tcBorders>
              <w:top w:val="single" w:color="auto" w:sz="4" w:space="0"/>
              <w:left w:val="nil"/>
              <w:bottom w:val="single" w:color="auto" w:sz="4" w:space="0"/>
              <w:right w:val="single" w:color="auto" w:sz="4" w:space="0"/>
            </w:tcBorders>
            <w:noWrap w:val="0"/>
            <w:vAlign w:val="center"/>
          </w:tcPr>
          <w:p w14:paraId="74A979BC">
            <w:pPr>
              <w:jc w:val="center"/>
              <w:rPr>
                <w:rFonts w:ascii="宋体" w:hAnsi="宋体"/>
                <w:highlight w:val="none"/>
              </w:rPr>
            </w:pPr>
            <w:r>
              <w:rPr>
                <w:rFonts w:hint="eastAsia" w:ascii="宋体" w:hAnsi="宋体"/>
                <w:highlight w:val="none"/>
              </w:rPr>
              <w:t>招标文件澄清发出的形式</w:t>
            </w:r>
          </w:p>
        </w:tc>
        <w:tc>
          <w:tcPr>
            <w:tcW w:w="6111" w:type="dxa"/>
            <w:tcBorders>
              <w:top w:val="single" w:color="auto" w:sz="4" w:space="0"/>
              <w:left w:val="nil"/>
              <w:bottom w:val="single" w:color="auto" w:sz="4" w:space="0"/>
              <w:right w:val="single" w:color="auto" w:sz="4" w:space="0"/>
            </w:tcBorders>
            <w:noWrap w:val="0"/>
            <w:vAlign w:val="center"/>
          </w:tcPr>
          <w:p w14:paraId="04BA7E97">
            <w:pPr>
              <w:rPr>
                <w:rFonts w:ascii="宋体" w:hAnsi="宋体"/>
                <w:highlight w:val="none"/>
                <w:u w:val="single"/>
              </w:rPr>
            </w:pPr>
            <w:r>
              <w:rPr>
                <w:rFonts w:hint="eastAsia" w:ascii="宋体" w:hAnsi="宋体" w:cs="宋体"/>
                <w:highlight w:val="none"/>
              </w:rPr>
              <w:t>在广州公共资源交易中心网站“招标答疑”专区发布。</w:t>
            </w:r>
          </w:p>
        </w:tc>
      </w:tr>
      <w:tr w14:paraId="3182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79F7C445">
            <w:pPr>
              <w:spacing w:line="300" w:lineRule="auto"/>
              <w:jc w:val="center"/>
              <w:rPr>
                <w:rFonts w:ascii="宋体" w:hAnsi="宋体"/>
                <w:highlight w:val="none"/>
              </w:rPr>
            </w:pPr>
            <w:r>
              <w:rPr>
                <w:rFonts w:hint="eastAsia" w:ascii="宋体" w:hAnsi="宋体"/>
                <w:highlight w:val="none"/>
              </w:rPr>
              <w:t>1.12.1</w:t>
            </w:r>
          </w:p>
        </w:tc>
        <w:tc>
          <w:tcPr>
            <w:tcW w:w="2694" w:type="dxa"/>
            <w:tcBorders>
              <w:top w:val="single" w:color="auto" w:sz="4" w:space="0"/>
              <w:left w:val="nil"/>
              <w:bottom w:val="single" w:color="auto" w:sz="4" w:space="0"/>
              <w:right w:val="single" w:color="auto" w:sz="4" w:space="0"/>
            </w:tcBorders>
            <w:noWrap w:val="0"/>
            <w:vAlign w:val="center"/>
          </w:tcPr>
          <w:p w14:paraId="51B20D00">
            <w:pPr>
              <w:jc w:val="center"/>
              <w:rPr>
                <w:rFonts w:ascii="宋体" w:hAnsi="宋体"/>
                <w:highlight w:val="none"/>
              </w:rPr>
            </w:pPr>
            <w:r>
              <w:rPr>
                <w:rFonts w:hint="eastAsia" w:ascii="宋体" w:hAnsi="宋体"/>
                <w:highlight w:val="none"/>
              </w:rPr>
              <w:t>实质性要求和条件</w:t>
            </w:r>
          </w:p>
        </w:tc>
        <w:tc>
          <w:tcPr>
            <w:tcW w:w="6111" w:type="dxa"/>
            <w:tcBorders>
              <w:top w:val="single" w:color="auto" w:sz="4" w:space="0"/>
              <w:left w:val="nil"/>
              <w:bottom w:val="single" w:color="auto" w:sz="4" w:space="0"/>
              <w:right w:val="single" w:color="auto" w:sz="4" w:space="0"/>
            </w:tcBorders>
            <w:noWrap w:val="0"/>
            <w:vAlign w:val="center"/>
          </w:tcPr>
          <w:p w14:paraId="2D3853C3">
            <w:pPr>
              <w:rPr>
                <w:rFonts w:ascii="宋体" w:hAnsi="宋体"/>
                <w:highlight w:val="none"/>
                <w:u w:val="single"/>
              </w:rPr>
            </w:pPr>
            <w:r>
              <w:rPr>
                <w:rFonts w:hint="eastAsia" w:ascii="宋体" w:hAnsi="宋体"/>
                <w:highlight w:val="none"/>
                <w:u w:val="single"/>
              </w:rPr>
              <w:t>/</w:t>
            </w:r>
          </w:p>
        </w:tc>
      </w:tr>
      <w:tr w14:paraId="44EA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7B48639E">
            <w:pPr>
              <w:spacing w:line="300" w:lineRule="auto"/>
              <w:jc w:val="center"/>
              <w:rPr>
                <w:rFonts w:ascii="宋体" w:hAnsi="宋体"/>
                <w:highlight w:val="none"/>
              </w:rPr>
            </w:pPr>
            <w:r>
              <w:rPr>
                <w:rFonts w:hint="eastAsia" w:ascii="宋体" w:hAnsi="宋体"/>
                <w:highlight w:val="none"/>
              </w:rPr>
              <w:t>1.12.3</w:t>
            </w:r>
          </w:p>
        </w:tc>
        <w:tc>
          <w:tcPr>
            <w:tcW w:w="2694" w:type="dxa"/>
            <w:tcBorders>
              <w:top w:val="single" w:color="auto" w:sz="4" w:space="0"/>
              <w:left w:val="nil"/>
              <w:bottom w:val="single" w:color="auto" w:sz="4" w:space="0"/>
              <w:right w:val="single" w:color="auto" w:sz="4" w:space="0"/>
            </w:tcBorders>
            <w:noWrap w:val="0"/>
            <w:vAlign w:val="center"/>
          </w:tcPr>
          <w:p w14:paraId="653BCA35">
            <w:pPr>
              <w:jc w:val="center"/>
              <w:rPr>
                <w:rFonts w:ascii="宋体" w:hAnsi="宋体"/>
                <w:highlight w:val="none"/>
              </w:rPr>
            </w:pPr>
            <w:r>
              <w:rPr>
                <w:rFonts w:hint="eastAsia" w:ascii="宋体" w:hAnsi="宋体"/>
                <w:highlight w:val="none"/>
              </w:rPr>
              <w:t>偏差</w:t>
            </w:r>
          </w:p>
        </w:tc>
        <w:tc>
          <w:tcPr>
            <w:tcW w:w="6111" w:type="dxa"/>
            <w:tcBorders>
              <w:top w:val="single" w:color="auto" w:sz="4" w:space="0"/>
              <w:left w:val="nil"/>
              <w:bottom w:val="single" w:color="auto" w:sz="4" w:space="0"/>
              <w:right w:val="single" w:color="auto" w:sz="4" w:space="0"/>
            </w:tcBorders>
            <w:noWrap w:val="0"/>
            <w:vAlign w:val="center"/>
          </w:tcPr>
          <w:p w14:paraId="157420F4">
            <w:pPr>
              <w:rPr>
                <w:rFonts w:hint="eastAsia" w:ascii="宋体" w:hAnsi="宋体" w:cs="宋体"/>
                <w:highlight w:val="none"/>
              </w:rPr>
            </w:pPr>
            <w:r>
              <w:rPr>
                <w:rFonts w:hint="eastAsia" w:ascii="宋体" w:hAnsi="宋体" w:cs="宋体"/>
                <w:highlight w:val="none"/>
              </w:rPr>
              <w:t>■不允许</w:t>
            </w:r>
          </w:p>
          <w:p w14:paraId="0A821EA3">
            <w:pPr>
              <w:rPr>
                <w:rFonts w:ascii="宋体" w:hAnsi="宋体" w:cs="宋体"/>
                <w:highlight w:val="none"/>
              </w:rPr>
            </w:pPr>
            <w:r>
              <w:rPr>
                <w:rFonts w:hint="eastAsia" w:ascii="宋体" w:hAnsi="宋体" w:cs="宋体"/>
                <w:highlight w:val="none"/>
              </w:rPr>
              <w:t xml:space="preserve">□允许，偏差范围：           偏差幅度： </w:t>
            </w:r>
          </w:p>
        </w:tc>
      </w:tr>
      <w:tr w14:paraId="669D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14376254">
            <w:pPr>
              <w:spacing w:line="300" w:lineRule="auto"/>
              <w:jc w:val="center"/>
              <w:rPr>
                <w:rFonts w:ascii="宋体" w:hAnsi="宋体"/>
                <w:highlight w:val="none"/>
              </w:rPr>
            </w:pPr>
            <w:r>
              <w:rPr>
                <w:rFonts w:hint="eastAsia" w:ascii="宋体" w:hAnsi="宋体"/>
                <w:highlight w:val="none"/>
              </w:rPr>
              <w:t>2.1</w:t>
            </w:r>
          </w:p>
        </w:tc>
        <w:tc>
          <w:tcPr>
            <w:tcW w:w="2694" w:type="dxa"/>
            <w:tcBorders>
              <w:top w:val="single" w:color="auto" w:sz="4" w:space="0"/>
              <w:left w:val="nil"/>
              <w:bottom w:val="single" w:color="auto" w:sz="4" w:space="0"/>
              <w:right w:val="single" w:color="auto" w:sz="4" w:space="0"/>
            </w:tcBorders>
            <w:noWrap w:val="0"/>
            <w:vAlign w:val="center"/>
          </w:tcPr>
          <w:p w14:paraId="3314A9EC">
            <w:pPr>
              <w:jc w:val="center"/>
              <w:rPr>
                <w:rFonts w:ascii="宋体" w:hAnsi="宋体"/>
                <w:highlight w:val="none"/>
              </w:rPr>
            </w:pPr>
            <w:r>
              <w:rPr>
                <w:rFonts w:hint="eastAsia" w:ascii="宋体" w:hAnsi="宋体"/>
                <w:highlight w:val="none"/>
              </w:rPr>
              <w:t>构成招标文件的其他资料</w:t>
            </w:r>
          </w:p>
        </w:tc>
        <w:tc>
          <w:tcPr>
            <w:tcW w:w="6111" w:type="dxa"/>
            <w:tcBorders>
              <w:top w:val="single" w:color="auto" w:sz="4" w:space="0"/>
              <w:left w:val="nil"/>
              <w:bottom w:val="single" w:color="auto" w:sz="4" w:space="0"/>
              <w:right w:val="single" w:color="auto" w:sz="4" w:space="0"/>
            </w:tcBorders>
            <w:noWrap w:val="0"/>
            <w:vAlign w:val="center"/>
          </w:tcPr>
          <w:p w14:paraId="2A3AADA3">
            <w:pPr>
              <w:rPr>
                <w:rFonts w:ascii="宋体" w:hAnsi="宋体"/>
                <w:highlight w:val="none"/>
                <w:u w:val="single"/>
              </w:rPr>
            </w:pPr>
            <w:r>
              <w:rPr>
                <w:rFonts w:hint="eastAsia" w:ascii="宋体" w:hAnsi="宋体"/>
                <w:highlight w:val="none"/>
                <w:u w:val="single"/>
              </w:rPr>
              <w:t>/</w:t>
            </w:r>
          </w:p>
        </w:tc>
      </w:tr>
      <w:tr w14:paraId="76AF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vMerge w:val="restart"/>
            <w:tcBorders>
              <w:top w:val="single" w:color="auto" w:sz="4" w:space="0"/>
              <w:left w:val="single" w:color="auto" w:sz="4" w:space="0"/>
              <w:right w:val="single" w:color="auto" w:sz="4" w:space="0"/>
            </w:tcBorders>
            <w:noWrap w:val="0"/>
            <w:vAlign w:val="center"/>
          </w:tcPr>
          <w:p w14:paraId="558EA8F2">
            <w:pPr>
              <w:spacing w:line="300" w:lineRule="auto"/>
              <w:jc w:val="center"/>
              <w:rPr>
                <w:rFonts w:ascii="宋体" w:hAnsi="宋体"/>
                <w:highlight w:val="none"/>
              </w:rPr>
            </w:pPr>
            <w:r>
              <w:rPr>
                <w:rFonts w:hint="eastAsia" w:ascii="宋体" w:hAnsi="宋体"/>
                <w:highlight w:val="none"/>
              </w:rPr>
              <w:t>2.2.1</w:t>
            </w:r>
          </w:p>
        </w:tc>
        <w:tc>
          <w:tcPr>
            <w:tcW w:w="2694" w:type="dxa"/>
            <w:vMerge w:val="restart"/>
            <w:tcBorders>
              <w:top w:val="single" w:color="auto" w:sz="4" w:space="0"/>
              <w:left w:val="nil"/>
              <w:right w:val="single" w:color="auto" w:sz="4" w:space="0"/>
            </w:tcBorders>
            <w:noWrap w:val="0"/>
            <w:vAlign w:val="center"/>
          </w:tcPr>
          <w:p w14:paraId="2146883A">
            <w:pPr>
              <w:jc w:val="center"/>
              <w:rPr>
                <w:rFonts w:ascii="宋体" w:hAnsi="宋体"/>
                <w:highlight w:val="none"/>
              </w:rPr>
            </w:pPr>
            <w:r>
              <w:rPr>
                <w:rFonts w:hint="eastAsia" w:ascii="宋体" w:hAnsi="宋体"/>
                <w:highlight w:val="none"/>
              </w:rPr>
              <w:t>投标人要求澄清招标文件</w:t>
            </w:r>
          </w:p>
        </w:tc>
        <w:tc>
          <w:tcPr>
            <w:tcW w:w="6111" w:type="dxa"/>
            <w:tcBorders>
              <w:top w:val="single" w:color="auto" w:sz="4" w:space="0"/>
              <w:left w:val="nil"/>
              <w:bottom w:val="single" w:color="auto" w:sz="4" w:space="0"/>
              <w:right w:val="single" w:color="auto" w:sz="4" w:space="0"/>
            </w:tcBorders>
            <w:noWrap w:val="0"/>
            <w:vAlign w:val="center"/>
          </w:tcPr>
          <w:p w14:paraId="1E223E50">
            <w:pPr>
              <w:rPr>
                <w:rFonts w:ascii="宋体" w:hAnsi="宋体"/>
                <w:highlight w:val="none"/>
              </w:rPr>
            </w:pPr>
            <w:r>
              <w:rPr>
                <w:rFonts w:ascii="宋体" w:hAnsi="宋体"/>
                <w:highlight w:val="none"/>
              </w:rPr>
              <w:t>时间：</w:t>
            </w:r>
            <w:r>
              <w:rPr>
                <w:rFonts w:hint="eastAsia" w:ascii="宋体" w:hAnsi="宋体"/>
                <w:highlight w:val="none"/>
              </w:rPr>
              <w:t>在提交投标文件截止时间18天前提出</w:t>
            </w:r>
          </w:p>
        </w:tc>
      </w:tr>
      <w:tr w14:paraId="66A2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6" w:type="dxa"/>
            <w:vMerge w:val="continue"/>
            <w:tcBorders>
              <w:left w:val="single" w:color="auto" w:sz="4" w:space="0"/>
              <w:bottom w:val="single" w:color="auto" w:sz="4" w:space="0"/>
              <w:right w:val="single" w:color="auto" w:sz="4" w:space="0"/>
            </w:tcBorders>
            <w:noWrap w:val="0"/>
            <w:vAlign w:val="center"/>
          </w:tcPr>
          <w:p w14:paraId="7D865E7B">
            <w:pPr>
              <w:spacing w:line="300" w:lineRule="auto"/>
              <w:jc w:val="center"/>
              <w:rPr>
                <w:rFonts w:hint="eastAsia" w:ascii="宋体" w:hAnsi="宋体"/>
                <w:highlight w:val="none"/>
              </w:rPr>
            </w:pPr>
          </w:p>
        </w:tc>
        <w:tc>
          <w:tcPr>
            <w:tcW w:w="2694" w:type="dxa"/>
            <w:vMerge w:val="continue"/>
            <w:tcBorders>
              <w:left w:val="nil"/>
              <w:bottom w:val="single" w:color="auto" w:sz="4" w:space="0"/>
              <w:right w:val="single" w:color="auto" w:sz="4" w:space="0"/>
            </w:tcBorders>
            <w:noWrap w:val="0"/>
            <w:vAlign w:val="center"/>
          </w:tcPr>
          <w:p w14:paraId="399FFFD7">
            <w:pPr>
              <w:jc w:val="center"/>
              <w:rPr>
                <w:rFonts w:hint="eastAsia" w:ascii="宋体" w:hAnsi="宋体"/>
                <w:highlight w:val="none"/>
              </w:rPr>
            </w:pPr>
          </w:p>
        </w:tc>
        <w:tc>
          <w:tcPr>
            <w:tcW w:w="6111" w:type="dxa"/>
            <w:tcBorders>
              <w:top w:val="single" w:color="auto" w:sz="4" w:space="0"/>
              <w:left w:val="nil"/>
              <w:bottom w:val="single" w:color="auto" w:sz="4" w:space="0"/>
              <w:right w:val="single" w:color="auto" w:sz="4" w:space="0"/>
            </w:tcBorders>
            <w:noWrap w:val="0"/>
            <w:vAlign w:val="center"/>
          </w:tcPr>
          <w:p w14:paraId="63AC70A1">
            <w:pPr>
              <w:rPr>
                <w:rFonts w:hint="eastAsia" w:ascii="宋体" w:hAnsi="宋体" w:cs="宋体"/>
                <w:highlight w:val="none"/>
              </w:rPr>
            </w:pPr>
            <w:r>
              <w:rPr>
                <w:rFonts w:hint="eastAsia" w:ascii="宋体" w:hAnsi="宋体" w:cs="宋体"/>
                <w:highlight w:val="none"/>
              </w:rPr>
              <w:t>形式：投标人的疑问通过广州交易集团有限公司（广州公共资源交易中心）数字交易平台提交。按照广州交易集团有限公司（广州公共资源交易中心）数字交易平台关于全流程电子化项目的相关指南进行操作，详见：《房屋建筑和市政基础设施工程全流程电子化项目专章》</w:t>
            </w:r>
          </w:p>
          <w:p w14:paraId="638BC36B">
            <w:pPr>
              <w:rPr>
                <w:rFonts w:ascii="宋体" w:hAnsi="宋体" w:cs="宋体"/>
                <w:highlight w:val="none"/>
              </w:rPr>
            </w:pPr>
            <w:r>
              <w:rPr>
                <w:rFonts w:hint="eastAsia" w:ascii="宋体" w:hAnsi="宋体" w:cs="宋体"/>
                <w:highlight w:val="none"/>
              </w:rPr>
              <w:t>(http://www.gzggzy.cn/fwznbszyjsgc/808820.jhtml)。提问一律不得署名。</w:t>
            </w:r>
          </w:p>
        </w:tc>
      </w:tr>
      <w:tr w14:paraId="4A4C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1FEF7F1F">
            <w:pPr>
              <w:spacing w:line="300" w:lineRule="auto"/>
              <w:jc w:val="center"/>
              <w:rPr>
                <w:rFonts w:ascii="宋体" w:hAnsi="宋体"/>
                <w:highlight w:val="none"/>
              </w:rPr>
            </w:pPr>
            <w:r>
              <w:rPr>
                <w:rFonts w:hint="eastAsia" w:ascii="宋体" w:hAnsi="宋体"/>
                <w:highlight w:val="none"/>
              </w:rPr>
              <w:t>2.2.2</w:t>
            </w:r>
          </w:p>
        </w:tc>
        <w:tc>
          <w:tcPr>
            <w:tcW w:w="2694" w:type="dxa"/>
            <w:tcBorders>
              <w:top w:val="single" w:color="auto" w:sz="4" w:space="0"/>
              <w:left w:val="nil"/>
              <w:bottom w:val="single" w:color="auto" w:sz="4" w:space="0"/>
              <w:right w:val="single" w:color="auto" w:sz="4" w:space="0"/>
            </w:tcBorders>
            <w:noWrap w:val="0"/>
            <w:vAlign w:val="center"/>
          </w:tcPr>
          <w:p w14:paraId="75633BFB">
            <w:pPr>
              <w:jc w:val="center"/>
              <w:rPr>
                <w:rFonts w:ascii="宋体" w:hAnsi="宋体"/>
                <w:highlight w:val="none"/>
              </w:rPr>
            </w:pPr>
            <w:r>
              <w:rPr>
                <w:rFonts w:hint="eastAsia" w:ascii="宋体" w:hAnsi="宋体"/>
                <w:highlight w:val="none"/>
              </w:rPr>
              <w:t>招标文件澄清发出的形式</w:t>
            </w:r>
          </w:p>
        </w:tc>
        <w:tc>
          <w:tcPr>
            <w:tcW w:w="6111" w:type="dxa"/>
            <w:tcBorders>
              <w:top w:val="single" w:color="auto" w:sz="4" w:space="0"/>
              <w:left w:val="nil"/>
              <w:bottom w:val="single" w:color="auto" w:sz="4" w:space="0"/>
              <w:right w:val="single" w:color="auto" w:sz="4" w:space="0"/>
            </w:tcBorders>
            <w:noWrap w:val="0"/>
            <w:vAlign w:val="center"/>
          </w:tcPr>
          <w:p w14:paraId="53C0074B">
            <w:pPr>
              <w:rPr>
                <w:rFonts w:hint="eastAsia" w:ascii="宋体" w:hAnsi="宋体"/>
                <w:highlight w:val="none"/>
              </w:rPr>
            </w:pPr>
            <w:r>
              <w:rPr>
                <w:rFonts w:ascii="宋体" w:hAnsi="宋体"/>
                <w:highlight w:val="none"/>
              </w:rPr>
              <w:t>招标文件的澄清</w:t>
            </w:r>
            <w:r>
              <w:rPr>
                <w:rFonts w:hint="eastAsia" w:ascii="宋体" w:hAnsi="宋体"/>
                <w:highlight w:val="none"/>
              </w:rPr>
              <w:t>在</w:t>
            </w:r>
            <w:r>
              <w:rPr>
                <w:rFonts w:hint="eastAsia" w:ascii="宋体" w:hAnsi="宋体" w:cs="宋体"/>
                <w:highlight w:val="none"/>
              </w:rPr>
              <w:t>广州公共资源交易中心网站</w:t>
            </w:r>
            <w:r>
              <w:rPr>
                <w:rFonts w:ascii="宋体" w:hAnsi="宋体"/>
                <w:highlight w:val="none"/>
              </w:rPr>
              <w:t>“</w:t>
            </w:r>
            <w:r>
              <w:rPr>
                <w:rFonts w:hint="eastAsia" w:ascii="宋体" w:hAnsi="宋体" w:cs="宋体"/>
                <w:highlight w:val="none"/>
              </w:rPr>
              <w:t>项目答疑纪要</w:t>
            </w:r>
            <w:r>
              <w:rPr>
                <w:rFonts w:ascii="宋体" w:hAnsi="宋体"/>
                <w:highlight w:val="none"/>
              </w:rPr>
              <w:t>”</w:t>
            </w:r>
            <w:r>
              <w:rPr>
                <w:rFonts w:hint="eastAsia" w:ascii="宋体" w:hAnsi="宋体" w:cs="宋体"/>
                <w:highlight w:val="none"/>
              </w:rPr>
              <w:t>专区发布</w:t>
            </w:r>
            <w:r>
              <w:rPr>
                <w:rFonts w:hint="eastAsia" w:ascii="宋体" w:hAnsi="宋体"/>
                <w:highlight w:val="none"/>
              </w:rPr>
              <w:t>。</w:t>
            </w:r>
          </w:p>
        </w:tc>
      </w:tr>
      <w:tr w14:paraId="0AFC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26" w:type="dxa"/>
            <w:tcBorders>
              <w:top w:val="single" w:color="auto" w:sz="4" w:space="0"/>
              <w:left w:val="single" w:color="auto" w:sz="4" w:space="0"/>
              <w:right w:val="single" w:color="auto" w:sz="4" w:space="0"/>
            </w:tcBorders>
            <w:noWrap w:val="0"/>
            <w:vAlign w:val="center"/>
          </w:tcPr>
          <w:p w14:paraId="63D2FC9F">
            <w:pPr>
              <w:spacing w:line="300" w:lineRule="auto"/>
              <w:jc w:val="center"/>
              <w:rPr>
                <w:rFonts w:ascii="宋体" w:hAnsi="宋体"/>
                <w:highlight w:val="none"/>
              </w:rPr>
            </w:pPr>
            <w:r>
              <w:rPr>
                <w:rFonts w:hint="eastAsia" w:ascii="宋体" w:hAnsi="宋体"/>
                <w:highlight w:val="none"/>
              </w:rPr>
              <w:t>2.2.3</w:t>
            </w:r>
          </w:p>
        </w:tc>
        <w:tc>
          <w:tcPr>
            <w:tcW w:w="2694" w:type="dxa"/>
            <w:tcBorders>
              <w:top w:val="single" w:color="auto" w:sz="4" w:space="0"/>
              <w:left w:val="nil"/>
              <w:right w:val="single" w:color="auto" w:sz="4" w:space="0"/>
            </w:tcBorders>
            <w:noWrap w:val="0"/>
            <w:vAlign w:val="center"/>
          </w:tcPr>
          <w:p w14:paraId="2C9CE70E">
            <w:pPr>
              <w:jc w:val="center"/>
              <w:rPr>
                <w:rFonts w:ascii="宋体" w:hAnsi="宋体"/>
                <w:highlight w:val="none"/>
              </w:rPr>
            </w:pPr>
            <w:r>
              <w:rPr>
                <w:rFonts w:hint="eastAsia" w:ascii="宋体" w:hAnsi="宋体"/>
                <w:highlight w:val="none"/>
              </w:rPr>
              <w:t>投标人确认收到招标文件澄清</w:t>
            </w:r>
          </w:p>
        </w:tc>
        <w:tc>
          <w:tcPr>
            <w:tcW w:w="6111" w:type="dxa"/>
            <w:tcBorders>
              <w:top w:val="single" w:color="auto" w:sz="4" w:space="0"/>
              <w:left w:val="nil"/>
              <w:right w:val="single" w:color="auto" w:sz="4" w:space="0"/>
            </w:tcBorders>
            <w:noWrap w:val="0"/>
            <w:vAlign w:val="center"/>
          </w:tcPr>
          <w:p w14:paraId="733F4140">
            <w:pPr>
              <w:rPr>
                <w:rFonts w:hint="eastAsia" w:ascii="宋体" w:hAnsi="宋体"/>
                <w:highlight w:val="none"/>
              </w:rPr>
            </w:pPr>
            <w:r>
              <w:rPr>
                <w:rFonts w:hint="eastAsia" w:ascii="宋体" w:hAnsi="宋体"/>
                <w:highlight w:val="none"/>
              </w:rPr>
              <w:t>招标文件的澄清一经在广州公共资源交易中心网站发布，视作已发放给所有投标人，招标文件的澄清内容作为招标文件的组成部分，具有约束作用。</w:t>
            </w:r>
          </w:p>
        </w:tc>
      </w:tr>
      <w:tr w14:paraId="01E3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0156ECF0">
            <w:pPr>
              <w:spacing w:line="300" w:lineRule="auto"/>
              <w:jc w:val="center"/>
              <w:rPr>
                <w:rFonts w:ascii="宋体" w:hAnsi="宋体"/>
                <w:highlight w:val="none"/>
              </w:rPr>
            </w:pPr>
            <w:r>
              <w:rPr>
                <w:rFonts w:hint="eastAsia" w:ascii="宋体" w:hAnsi="宋体"/>
                <w:highlight w:val="none"/>
              </w:rPr>
              <w:t>2.3.1</w:t>
            </w:r>
          </w:p>
        </w:tc>
        <w:tc>
          <w:tcPr>
            <w:tcW w:w="2694" w:type="dxa"/>
            <w:tcBorders>
              <w:top w:val="single" w:color="auto" w:sz="4" w:space="0"/>
              <w:left w:val="nil"/>
              <w:bottom w:val="single" w:color="auto" w:sz="4" w:space="0"/>
              <w:right w:val="single" w:color="auto" w:sz="4" w:space="0"/>
            </w:tcBorders>
            <w:noWrap w:val="0"/>
            <w:vAlign w:val="center"/>
          </w:tcPr>
          <w:p w14:paraId="3C597DBE">
            <w:pPr>
              <w:jc w:val="center"/>
              <w:rPr>
                <w:rFonts w:ascii="宋体" w:hAnsi="宋体"/>
                <w:highlight w:val="none"/>
              </w:rPr>
            </w:pPr>
            <w:r>
              <w:rPr>
                <w:rFonts w:hint="eastAsia" w:ascii="宋体" w:hAnsi="宋体"/>
                <w:highlight w:val="none"/>
              </w:rPr>
              <w:t>招标文件修改发出的形式</w:t>
            </w:r>
          </w:p>
        </w:tc>
        <w:tc>
          <w:tcPr>
            <w:tcW w:w="6111" w:type="dxa"/>
            <w:tcBorders>
              <w:top w:val="single" w:color="auto" w:sz="4" w:space="0"/>
              <w:left w:val="nil"/>
              <w:bottom w:val="single" w:color="auto" w:sz="4" w:space="0"/>
              <w:right w:val="single" w:color="auto" w:sz="4" w:space="0"/>
            </w:tcBorders>
            <w:noWrap w:val="0"/>
            <w:vAlign w:val="center"/>
          </w:tcPr>
          <w:p w14:paraId="0789D32F">
            <w:pPr>
              <w:rPr>
                <w:rFonts w:hint="eastAsia" w:ascii="宋体" w:hAnsi="宋体"/>
                <w:highlight w:val="none"/>
              </w:rPr>
            </w:pPr>
            <w:r>
              <w:rPr>
                <w:rFonts w:hint="eastAsia" w:ascii="宋体" w:hAnsi="宋体" w:cs="宋体"/>
                <w:highlight w:val="none"/>
              </w:rPr>
              <w:t>以补充公告或项目答疑澄清的方式在广州公共资源交易中心网站发布。</w:t>
            </w:r>
          </w:p>
        </w:tc>
      </w:tr>
      <w:tr w14:paraId="1F8F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57A52A5A">
            <w:pPr>
              <w:spacing w:line="300" w:lineRule="auto"/>
              <w:jc w:val="center"/>
              <w:rPr>
                <w:rFonts w:ascii="宋体" w:hAnsi="宋体"/>
                <w:highlight w:val="none"/>
              </w:rPr>
            </w:pPr>
            <w:r>
              <w:rPr>
                <w:rFonts w:hint="eastAsia" w:ascii="宋体" w:hAnsi="宋体"/>
                <w:highlight w:val="none"/>
              </w:rPr>
              <w:t>2.3.2</w:t>
            </w:r>
          </w:p>
        </w:tc>
        <w:tc>
          <w:tcPr>
            <w:tcW w:w="2694" w:type="dxa"/>
            <w:tcBorders>
              <w:top w:val="single" w:color="auto" w:sz="4" w:space="0"/>
              <w:left w:val="nil"/>
              <w:bottom w:val="single" w:color="auto" w:sz="4" w:space="0"/>
              <w:right w:val="single" w:color="auto" w:sz="4" w:space="0"/>
            </w:tcBorders>
            <w:noWrap w:val="0"/>
            <w:vAlign w:val="center"/>
          </w:tcPr>
          <w:p w14:paraId="4CC1A1A0">
            <w:pPr>
              <w:jc w:val="center"/>
              <w:rPr>
                <w:rFonts w:ascii="宋体" w:hAnsi="宋体"/>
                <w:highlight w:val="none"/>
              </w:rPr>
            </w:pPr>
            <w:r>
              <w:rPr>
                <w:rFonts w:hint="eastAsia" w:ascii="宋体" w:hAnsi="宋体"/>
                <w:highlight w:val="none"/>
              </w:rPr>
              <w:t>投标人确认收到招标文件修改</w:t>
            </w:r>
          </w:p>
        </w:tc>
        <w:tc>
          <w:tcPr>
            <w:tcW w:w="6111" w:type="dxa"/>
            <w:tcBorders>
              <w:top w:val="single" w:color="auto" w:sz="4" w:space="0"/>
              <w:left w:val="nil"/>
              <w:bottom w:val="single" w:color="auto" w:sz="4" w:space="0"/>
              <w:right w:val="single" w:color="auto" w:sz="4" w:space="0"/>
            </w:tcBorders>
            <w:noWrap w:val="0"/>
            <w:vAlign w:val="center"/>
          </w:tcPr>
          <w:p w14:paraId="016AC219">
            <w:pPr>
              <w:rPr>
                <w:rFonts w:ascii="宋体" w:hAnsi="宋体"/>
                <w:highlight w:val="none"/>
              </w:rPr>
            </w:pPr>
            <w:r>
              <w:rPr>
                <w:rFonts w:hint="eastAsia" w:ascii="宋体" w:hAnsi="宋体" w:cs="宋体"/>
                <w:highlight w:val="none"/>
              </w:rPr>
              <w:t>招标文件的修改一经在广州公共资源交易中心网站发布，视作已发放给所有投标人，招标文件的修改内容作为招标文件的组成部分，具有约束作用</w:t>
            </w:r>
            <w:r>
              <w:rPr>
                <w:rFonts w:hint="eastAsia" w:ascii="宋体" w:hAnsi="宋体"/>
                <w:highlight w:val="none"/>
              </w:rPr>
              <w:t>。</w:t>
            </w:r>
          </w:p>
        </w:tc>
      </w:tr>
      <w:tr w14:paraId="3322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6C97541B">
            <w:pPr>
              <w:spacing w:line="300" w:lineRule="auto"/>
              <w:jc w:val="center"/>
              <w:rPr>
                <w:rFonts w:ascii="宋体" w:hAnsi="宋体"/>
                <w:highlight w:val="none"/>
              </w:rPr>
            </w:pPr>
            <w:r>
              <w:rPr>
                <w:rFonts w:hint="eastAsia" w:ascii="宋体" w:hAnsi="宋体"/>
                <w:highlight w:val="none"/>
              </w:rPr>
              <w:t>3.1.1</w:t>
            </w:r>
          </w:p>
        </w:tc>
        <w:tc>
          <w:tcPr>
            <w:tcW w:w="2694" w:type="dxa"/>
            <w:tcBorders>
              <w:top w:val="single" w:color="auto" w:sz="4" w:space="0"/>
              <w:left w:val="nil"/>
              <w:bottom w:val="single" w:color="auto" w:sz="4" w:space="0"/>
              <w:right w:val="single" w:color="auto" w:sz="4" w:space="0"/>
            </w:tcBorders>
            <w:noWrap w:val="0"/>
            <w:vAlign w:val="center"/>
          </w:tcPr>
          <w:p w14:paraId="2BB8B198">
            <w:pPr>
              <w:jc w:val="center"/>
              <w:rPr>
                <w:rFonts w:ascii="宋体" w:hAnsi="宋体"/>
                <w:highlight w:val="none"/>
              </w:rPr>
            </w:pPr>
            <w:r>
              <w:rPr>
                <w:rFonts w:hint="eastAsia" w:ascii="宋体" w:hAnsi="宋体"/>
                <w:highlight w:val="none"/>
              </w:rPr>
              <w:t>构成投标文件的其他资料</w:t>
            </w:r>
          </w:p>
        </w:tc>
        <w:tc>
          <w:tcPr>
            <w:tcW w:w="6111" w:type="dxa"/>
            <w:tcBorders>
              <w:top w:val="single" w:color="auto" w:sz="4" w:space="0"/>
              <w:left w:val="nil"/>
              <w:bottom w:val="single" w:color="auto" w:sz="4" w:space="0"/>
              <w:right w:val="single" w:color="auto" w:sz="4" w:space="0"/>
            </w:tcBorders>
            <w:noWrap w:val="0"/>
            <w:vAlign w:val="center"/>
          </w:tcPr>
          <w:p w14:paraId="694F425D">
            <w:pPr>
              <w:rPr>
                <w:rFonts w:ascii="宋体" w:hAnsi="宋体"/>
                <w:highlight w:val="none"/>
              </w:rPr>
            </w:pPr>
            <w:r>
              <w:rPr>
                <w:rFonts w:ascii="宋体" w:hAnsi="宋体"/>
                <w:highlight w:val="none"/>
              </w:rPr>
              <w:t>投标文件应包括下列内容：</w:t>
            </w:r>
          </w:p>
          <w:p w14:paraId="7A073919">
            <w:pPr>
              <w:rPr>
                <w:rFonts w:ascii="宋体" w:hAnsi="宋体"/>
                <w:highlight w:val="none"/>
              </w:rPr>
            </w:pPr>
            <w:r>
              <w:rPr>
                <w:rFonts w:ascii="宋体" w:hAnsi="宋体"/>
                <w:highlight w:val="none"/>
              </w:rPr>
              <w:t>（1）投标函及投标函附录；</w:t>
            </w:r>
          </w:p>
          <w:p w14:paraId="25548E51">
            <w:pPr>
              <w:rPr>
                <w:rFonts w:hint="eastAsia" w:ascii="宋体" w:hAnsi="宋体"/>
                <w:highlight w:val="none"/>
              </w:rPr>
            </w:pPr>
            <w:r>
              <w:rPr>
                <w:rFonts w:ascii="宋体" w:hAnsi="宋体"/>
                <w:highlight w:val="none"/>
              </w:rPr>
              <w:t>（2）法定代表人证明</w:t>
            </w:r>
            <w:r>
              <w:rPr>
                <w:rFonts w:hint="eastAsia" w:ascii="宋体" w:hAnsi="宋体"/>
                <w:highlight w:val="none"/>
              </w:rPr>
              <w:t>书</w:t>
            </w:r>
            <w:r>
              <w:rPr>
                <w:rFonts w:ascii="宋体" w:hAnsi="宋体"/>
                <w:highlight w:val="none"/>
              </w:rPr>
              <w:t>；</w:t>
            </w:r>
            <w:r>
              <w:rPr>
                <w:rFonts w:hint="eastAsia" w:ascii="宋体" w:hAnsi="宋体"/>
                <w:highlight w:val="none"/>
              </w:rPr>
              <w:t xml:space="preserve"> </w:t>
            </w:r>
          </w:p>
          <w:p w14:paraId="1A3C8F46">
            <w:pPr>
              <w:rPr>
                <w:rFonts w:hint="eastAsia" w:ascii="宋体" w:hAnsi="宋体"/>
                <w:highlight w:val="none"/>
              </w:rPr>
            </w:pPr>
            <w:r>
              <w:rPr>
                <w:rFonts w:ascii="宋体" w:hAnsi="宋体"/>
                <w:highlight w:val="none"/>
              </w:rPr>
              <w:t>（3）授权委托</w:t>
            </w:r>
            <w:r>
              <w:rPr>
                <w:rFonts w:hint="eastAsia" w:ascii="宋体" w:hAnsi="宋体"/>
                <w:highlight w:val="none"/>
              </w:rPr>
              <w:t>证明</w:t>
            </w:r>
            <w:r>
              <w:rPr>
                <w:rFonts w:ascii="宋体" w:hAnsi="宋体"/>
                <w:highlight w:val="none"/>
              </w:rPr>
              <w:t>书</w:t>
            </w:r>
            <w:r>
              <w:rPr>
                <w:rFonts w:hint="eastAsia" w:ascii="宋体" w:hAnsi="宋体"/>
                <w:highlight w:val="none"/>
              </w:rPr>
              <w:t>；</w:t>
            </w:r>
          </w:p>
          <w:p w14:paraId="4FAF6C9E">
            <w:pPr>
              <w:rPr>
                <w:rFonts w:ascii="宋体" w:hAnsi="宋体"/>
                <w:highlight w:val="none"/>
              </w:rPr>
            </w:pPr>
            <w:r>
              <w:rPr>
                <w:rFonts w:ascii="宋体" w:hAnsi="宋体"/>
                <w:highlight w:val="none"/>
              </w:rPr>
              <w:t>（</w:t>
            </w:r>
            <w:r>
              <w:rPr>
                <w:rFonts w:hint="eastAsia" w:ascii="宋体" w:hAnsi="宋体"/>
                <w:highlight w:val="none"/>
              </w:rPr>
              <w:t>4</w:t>
            </w:r>
            <w:r>
              <w:rPr>
                <w:rFonts w:ascii="宋体" w:hAnsi="宋体"/>
                <w:highlight w:val="none"/>
              </w:rPr>
              <w:t>）资格审查资料；</w:t>
            </w:r>
          </w:p>
          <w:p w14:paraId="5BFBB19F">
            <w:pPr>
              <w:rPr>
                <w:rFonts w:ascii="宋体" w:hAnsi="宋体"/>
                <w:highlight w:val="none"/>
              </w:rPr>
            </w:pPr>
            <w:r>
              <w:rPr>
                <w:rFonts w:hint="eastAsia" w:ascii="宋体" w:hAnsi="宋体"/>
                <w:highlight w:val="none"/>
              </w:rPr>
              <w:t>（5）资信业绩资料</w:t>
            </w:r>
          </w:p>
          <w:p w14:paraId="25C0D50B">
            <w:pPr>
              <w:rPr>
                <w:rFonts w:ascii="宋体" w:hAnsi="宋体"/>
                <w:highlight w:val="none"/>
              </w:rPr>
            </w:pPr>
            <w:r>
              <w:rPr>
                <w:rFonts w:hint="eastAsia" w:ascii="宋体" w:hAnsi="宋体"/>
                <w:highlight w:val="none"/>
              </w:rPr>
              <w:t>（6）</w:t>
            </w:r>
            <w:r>
              <w:rPr>
                <w:rFonts w:ascii="宋体" w:hAnsi="宋体"/>
                <w:highlight w:val="none"/>
              </w:rPr>
              <w:t>监理大纲；</w:t>
            </w:r>
          </w:p>
          <w:p w14:paraId="2F30BD61">
            <w:pPr>
              <w:rPr>
                <w:rFonts w:ascii="宋体" w:hAnsi="宋体"/>
                <w:highlight w:val="none"/>
              </w:rPr>
            </w:pPr>
            <w:r>
              <w:rPr>
                <w:rFonts w:hint="eastAsia" w:ascii="宋体" w:hAnsi="宋体"/>
                <w:highlight w:val="none"/>
              </w:rPr>
              <w:t>（7）</w:t>
            </w:r>
            <w:r>
              <w:rPr>
                <w:rFonts w:ascii="宋体" w:hAnsi="宋体"/>
                <w:highlight w:val="none"/>
              </w:rPr>
              <w:t>投标人须知前附表规定的其他资料。</w:t>
            </w:r>
          </w:p>
          <w:p w14:paraId="0CCB2AC4">
            <w:pPr>
              <w:rPr>
                <w:rFonts w:ascii="宋体" w:hAnsi="宋体"/>
                <w:highlight w:val="none"/>
              </w:rPr>
            </w:pPr>
            <w:r>
              <w:rPr>
                <w:rFonts w:hint="eastAsia" w:ascii="宋体" w:hAnsi="宋体"/>
                <w:highlight w:val="none"/>
              </w:rPr>
              <w:t xml:space="preserve"> </w:t>
            </w:r>
            <w:r>
              <w:rPr>
                <w:rFonts w:ascii="宋体" w:hAnsi="宋体"/>
                <w:highlight w:val="none"/>
              </w:rPr>
              <w:t>投标人在评标过程中作出的符合法律法规和招标文件规定的澄清确认，构成投标文件的组成部分。</w:t>
            </w:r>
            <w:r>
              <w:rPr>
                <w:rFonts w:hint="eastAsia" w:ascii="宋体" w:hAnsi="宋体"/>
                <w:highlight w:val="none"/>
              </w:rPr>
              <w:t>投标人根据招标文件要求认为需要提交的其他资料，招标文件未提供格式由投标人自行定义格式（表格可以按同样格式扩展）。</w:t>
            </w:r>
          </w:p>
        </w:tc>
      </w:tr>
      <w:tr w14:paraId="680B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65266DDA">
            <w:pPr>
              <w:spacing w:line="300" w:lineRule="auto"/>
              <w:jc w:val="center"/>
              <w:rPr>
                <w:rFonts w:ascii="宋体" w:hAnsi="宋体"/>
                <w:highlight w:val="none"/>
              </w:rPr>
            </w:pPr>
            <w:r>
              <w:rPr>
                <w:rFonts w:hint="eastAsia" w:ascii="宋体" w:hAnsi="宋体"/>
                <w:highlight w:val="none"/>
              </w:rPr>
              <w:t>3.2.1</w:t>
            </w:r>
          </w:p>
        </w:tc>
        <w:tc>
          <w:tcPr>
            <w:tcW w:w="2694" w:type="dxa"/>
            <w:tcBorders>
              <w:top w:val="single" w:color="auto" w:sz="4" w:space="0"/>
              <w:left w:val="nil"/>
              <w:bottom w:val="single" w:color="auto" w:sz="4" w:space="0"/>
              <w:right w:val="single" w:color="auto" w:sz="4" w:space="0"/>
            </w:tcBorders>
            <w:noWrap w:val="0"/>
            <w:vAlign w:val="center"/>
          </w:tcPr>
          <w:p w14:paraId="2155A1B4">
            <w:pPr>
              <w:jc w:val="center"/>
              <w:rPr>
                <w:rFonts w:ascii="宋体" w:hAnsi="宋体"/>
                <w:highlight w:val="none"/>
              </w:rPr>
            </w:pPr>
            <w:r>
              <w:rPr>
                <w:rFonts w:hint="eastAsia" w:ascii="宋体" w:hAnsi="宋体"/>
                <w:highlight w:val="none"/>
              </w:rPr>
              <w:t>增值税税金的计算方法</w:t>
            </w:r>
          </w:p>
        </w:tc>
        <w:tc>
          <w:tcPr>
            <w:tcW w:w="6111" w:type="dxa"/>
            <w:tcBorders>
              <w:top w:val="single" w:color="auto" w:sz="4" w:space="0"/>
              <w:left w:val="nil"/>
              <w:bottom w:val="single" w:color="auto" w:sz="4" w:space="0"/>
              <w:right w:val="single" w:color="auto" w:sz="4" w:space="0"/>
            </w:tcBorders>
            <w:noWrap w:val="0"/>
            <w:vAlign w:val="center"/>
          </w:tcPr>
          <w:p w14:paraId="1B247C37">
            <w:pPr>
              <w:rPr>
                <w:rFonts w:ascii="宋体" w:hAnsi="宋体"/>
                <w:highlight w:val="none"/>
              </w:rPr>
            </w:pPr>
            <w:r>
              <w:rPr>
                <w:rFonts w:hint="eastAsia" w:ascii="宋体" w:hAnsi="宋体" w:cs="宋体"/>
                <w:highlight w:val="none"/>
              </w:rPr>
              <w:t>按国家税务机关的规定执行。</w:t>
            </w:r>
          </w:p>
        </w:tc>
      </w:tr>
      <w:tr w14:paraId="776A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38CFB94B">
            <w:pPr>
              <w:spacing w:line="300" w:lineRule="auto"/>
              <w:jc w:val="center"/>
              <w:rPr>
                <w:rFonts w:ascii="宋体" w:hAnsi="宋体"/>
                <w:highlight w:val="none"/>
              </w:rPr>
            </w:pPr>
            <w:r>
              <w:rPr>
                <w:rFonts w:hint="eastAsia" w:ascii="宋体" w:hAnsi="宋体"/>
                <w:highlight w:val="none"/>
              </w:rPr>
              <w:t>3.2.3</w:t>
            </w:r>
          </w:p>
        </w:tc>
        <w:tc>
          <w:tcPr>
            <w:tcW w:w="2694" w:type="dxa"/>
            <w:tcBorders>
              <w:top w:val="single" w:color="auto" w:sz="4" w:space="0"/>
              <w:left w:val="nil"/>
              <w:bottom w:val="single" w:color="auto" w:sz="4" w:space="0"/>
              <w:right w:val="single" w:color="auto" w:sz="4" w:space="0"/>
            </w:tcBorders>
            <w:noWrap w:val="0"/>
            <w:vAlign w:val="center"/>
          </w:tcPr>
          <w:p w14:paraId="7D63EACD">
            <w:pPr>
              <w:jc w:val="center"/>
              <w:rPr>
                <w:rFonts w:ascii="宋体" w:hAnsi="宋体"/>
                <w:highlight w:val="none"/>
              </w:rPr>
            </w:pPr>
            <w:r>
              <w:rPr>
                <w:rFonts w:hint="eastAsia" w:ascii="宋体" w:hAnsi="宋体"/>
                <w:highlight w:val="none"/>
              </w:rPr>
              <w:t>报价方式</w:t>
            </w:r>
          </w:p>
        </w:tc>
        <w:tc>
          <w:tcPr>
            <w:tcW w:w="6111" w:type="dxa"/>
            <w:tcBorders>
              <w:top w:val="single" w:color="auto" w:sz="4" w:space="0"/>
              <w:left w:val="nil"/>
              <w:bottom w:val="single" w:color="auto" w:sz="4" w:space="0"/>
              <w:right w:val="single" w:color="auto" w:sz="4" w:space="0"/>
            </w:tcBorders>
            <w:noWrap w:val="0"/>
            <w:vAlign w:val="center"/>
          </w:tcPr>
          <w:p w14:paraId="0DF771E8">
            <w:pPr>
              <w:rPr>
                <w:rFonts w:ascii="宋体" w:hAnsi="宋体"/>
                <w:highlight w:val="none"/>
              </w:rPr>
            </w:pPr>
            <w:r>
              <w:rPr>
                <w:rFonts w:hint="eastAsia" w:ascii="宋体" w:hAnsi="宋体" w:cs="宋体"/>
                <w:highlight w:val="none"/>
              </w:rPr>
              <w:t>根据《建设工程监理与相关服务收费管理规定》（发改价格【2007】670号）及《国家发展改革委关于进一步放开建设项目专业服务价格的通知》（发改价格【2015】299号）规定，由投标单位自行报价，采用下浮率形式，以百分比为单位，精确到小数点后2位，如X.XX%,投标报价不得超过最高投标限价。</w:t>
            </w:r>
          </w:p>
        </w:tc>
      </w:tr>
      <w:tr w14:paraId="39F1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7396C2FD">
            <w:pPr>
              <w:spacing w:line="300" w:lineRule="auto"/>
              <w:jc w:val="center"/>
              <w:rPr>
                <w:rFonts w:ascii="宋体" w:hAnsi="宋体"/>
                <w:highlight w:val="none"/>
              </w:rPr>
            </w:pPr>
            <w:r>
              <w:rPr>
                <w:rFonts w:hint="eastAsia" w:ascii="宋体" w:hAnsi="宋体"/>
                <w:highlight w:val="none"/>
              </w:rPr>
              <w:t>3.2.4</w:t>
            </w:r>
          </w:p>
        </w:tc>
        <w:tc>
          <w:tcPr>
            <w:tcW w:w="2694" w:type="dxa"/>
            <w:tcBorders>
              <w:top w:val="single" w:color="auto" w:sz="4" w:space="0"/>
              <w:left w:val="nil"/>
              <w:bottom w:val="single" w:color="auto" w:sz="4" w:space="0"/>
              <w:right w:val="single" w:color="auto" w:sz="4" w:space="0"/>
            </w:tcBorders>
            <w:noWrap w:val="0"/>
            <w:vAlign w:val="center"/>
          </w:tcPr>
          <w:p w14:paraId="0C91959F">
            <w:pPr>
              <w:jc w:val="center"/>
              <w:rPr>
                <w:rFonts w:ascii="宋体" w:hAnsi="宋体"/>
                <w:highlight w:val="none"/>
              </w:rPr>
            </w:pPr>
            <w:r>
              <w:rPr>
                <w:rFonts w:hint="eastAsia" w:ascii="宋体" w:hAnsi="宋体"/>
                <w:highlight w:val="none"/>
              </w:rPr>
              <w:t>最高投标限价</w:t>
            </w:r>
          </w:p>
        </w:tc>
        <w:tc>
          <w:tcPr>
            <w:tcW w:w="6111" w:type="dxa"/>
            <w:tcBorders>
              <w:top w:val="single" w:color="auto" w:sz="4" w:space="0"/>
              <w:left w:val="nil"/>
              <w:bottom w:val="single" w:color="auto" w:sz="4" w:space="0"/>
              <w:right w:val="single" w:color="auto" w:sz="4" w:space="0"/>
            </w:tcBorders>
            <w:noWrap w:val="0"/>
            <w:vAlign w:val="center"/>
          </w:tcPr>
          <w:p w14:paraId="159FC415">
            <w:pPr>
              <w:rPr>
                <w:rFonts w:ascii="宋体" w:hAnsi="宋体"/>
                <w:highlight w:val="none"/>
              </w:rPr>
            </w:pPr>
            <w:r>
              <w:rPr>
                <w:rFonts w:ascii="宋体" w:hAnsi="宋体"/>
                <w:highlight w:val="none"/>
              </w:rPr>
              <w:t>□无</w:t>
            </w:r>
          </w:p>
          <w:p w14:paraId="46BF2350">
            <w:pPr>
              <w:rPr>
                <w:rFonts w:ascii="宋体" w:hAnsi="宋体"/>
                <w:highlight w:val="none"/>
              </w:rPr>
            </w:pPr>
            <w:r>
              <w:rPr>
                <w:rFonts w:hint="eastAsia" w:ascii="宋体" w:hAnsi="宋体" w:cs="宋体"/>
                <w:highlight w:val="none"/>
              </w:rPr>
              <w:t>■</w:t>
            </w:r>
            <w:r>
              <w:rPr>
                <w:rFonts w:ascii="宋体" w:hAnsi="宋体"/>
                <w:highlight w:val="none"/>
              </w:rPr>
              <w:t>有，最高投标</w:t>
            </w:r>
            <w:r>
              <w:rPr>
                <w:rFonts w:hint="eastAsia" w:ascii="宋体" w:hAnsi="宋体"/>
                <w:highlight w:val="none"/>
              </w:rPr>
              <w:t>总</w:t>
            </w:r>
            <w:r>
              <w:rPr>
                <w:rFonts w:ascii="宋体" w:hAnsi="宋体"/>
                <w:highlight w:val="none"/>
              </w:rPr>
              <w:t>限价：</w:t>
            </w:r>
            <w:r>
              <w:rPr>
                <w:rFonts w:hint="eastAsia"/>
                <w:highlight w:val="none"/>
                <w:u w:val="single"/>
                <w:lang w:val="en-US" w:eastAsia="zh-CN"/>
              </w:rPr>
              <w:t>148.44</w:t>
            </w:r>
            <w:r>
              <w:rPr>
                <w:rFonts w:hint="eastAsia" w:ascii="宋体" w:hAnsi="宋体"/>
                <w:highlight w:val="none"/>
                <w:u w:val="single"/>
              </w:rPr>
              <w:t>万元</w:t>
            </w:r>
            <w:r>
              <w:rPr>
                <w:rFonts w:hint="eastAsia" w:ascii="宋体" w:hAnsi="宋体"/>
                <w:highlight w:val="none"/>
              </w:rPr>
              <w:t>。其中：</w:t>
            </w:r>
          </w:p>
        </w:tc>
      </w:tr>
      <w:tr w14:paraId="1234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27620474">
            <w:pPr>
              <w:spacing w:line="300" w:lineRule="auto"/>
              <w:jc w:val="center"/>
              <w:rPr>
                <w:rFonts w:ascii="宋体" w:hAnsi="宋体"/>
                <w:highlight w:val="none"/>
              </w:rPr>
            </w:pPr>
            <w:r>
              <w:rPr>
                <w:rFonts w:hint="eastAsia" w:ascii="宋体" w:hAnsi="宋体"/>
                <w:highlight w:val="none"/>
              </w:rPr>
              <w:t>3.2.5</w:t>
            </w:r>
          </w:p>
        </w:tc>
        <w:tc>
          <w:tcPr>
            <w:tcW w:w="2694" w:type="dxa"/>
            <w:tcBorders>
              <w:top w:val="single" w:color="auto" w:sz="4" w:space="0"/>
              <w:left w:val="nil"/>
              <w:bottom w:val="single" w:color="auto" w:sz="4" w:space="0"/>
              <w:right w:val="single" w:color="auto" w:sz="4" w:space="0"/>
            </w:tcBorders>
            <w:noWrap w:val="0"/>
            <w:vAlign w:val="center"/>
          </w:tcPr>
          <w:p w14:paraId="05A4F529">
            <w:pPr>
              <w:jc w:val="center"/>
              <w:rPr>
                <w:rFonts w:ascii="宋体" w:hAnsi="宋体"/>
                <w:highlight w:val="none"/>
              </w:rPr>
            </w:pPr>
            <w:r>
              <w:rPr>
                <w:rFonts w:hint="eastAsia" w:ascii="宋体" w:hAnsi="宋体"/>
                <w:highlight w:val="none"/>
              </w:rPr>
              <w:t>投标报价的其他要求</w:t>
            </w:r>
          </w:p>
        </w:tc>
        <w:tc>
          <w:tcPr>
            <w:tcW w:w="6111" w:type="dxa"/>
            <w:tcBorders>
              <w:top w:val="single" w:color="auto" w:sz="4" w:space="0"/>
              <w:left w:val="nil"/>
              <w:bottom w:val="single" w:color="auto" w:sz="4" w:space="0"/>
              <w:right w:val="single" w:color="auto" w:sz="4" w:space="0"/>
            </w:tcBorders>
            <w:noWrap w:val="0"/>
            <w:vAlign w:val="center"/>
          </w:tcPr>
          <w:p w14:paraId="26B37A40">
            <w:pPr>
              <w:rPr>
                <w:rFonts w:hint="eastAsia" w:ascii="宋体" w:hAnsi="宋体"/>
                <w:highlight w:val="none"/>
              </w:rPr>
            </w:pPr>
            <w:r>
              <w:rPr>
                <w:rFonts w:hint="eastAsia" w:ascii="宋体" w:hAnsi="宋体"/>
                <w:highlight w:val="none"/>
              </w:rPr>
              <w:t>监理投标报价以最高投标限价为基础由投标人自行填写投标下浮率的形式报价，监理费最终金额以财政评审金额*（1-中标下浮率）为准。</w:t>
            </w:r>
          </w:p>
        </w:tc>
      </w:tr>
      <w:tr w14:paraId="25BE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71DBF346">
            <w:pPr>
              <w:spacing w:line="300" w:lineRule="auto"/>
              <w:jc w:val="center"/>
              <w:rPr>
                <w:rFonts w:ascii="宋体" w:hAnsi="宋体"/>
                <w:highlight w:val="none"/>
              </w:rPr>
            </w:pPr>
            <w:r>
              <w:rPr>
                <w:rFonts w:hint="eastAsia" w:ascii="宋体" w:hAnsi="宋体"/>
                <w:highlight w:val="none"/>
              </w:rPr>
              <w:t>3.3.1</w:t>
            </w:r>
          </w:p>
        </w:tc>
        <w:tc>
          <w:tcPr>
            <w:tcW w:w="2694" w:type="dxa"/>
            <w:tcBorders>
              <w:top w:val="single" w:color="auto" w:sz="4" w:space="0"/>
              <w:left w:val="nil"/>
              <w:bottom w:val="single" w:color="auto" w:sz="4" w:space="0"/>
              <w:right w:val="single" w:color="auto" w:sz="4" w:space="0"/>
            </w:tcBorders>
            <w:noWrap w:val="0"/>
            <w:vAlign w:val="center"/>
          </w:tcPr>
          <w:p w14:paraId="61F94C4B">
            <w:pPr>
              <w:jc w:val="center"/>
              <w:rPr>
                <w:rFonts w:ascii="宋体" w:hAnsi="宋体"/>
                <w:highlight w:val="none"/>
              </w:rPr>
            </w:pPr>
            <w:r>
              <w:rPr>
                <w:rFonts w:hint="eastAsia" w:ascii="宋体" w:hAnsi="宋体"/>
                <w:highlight w:val="none"/>
              </w:rPr>
              <w:t>投标有效期</w:t>
            </w:r>
          </w:p>
        </w:tc>
        <w:tc>
          <w:tcPr>
            <w:tcW w:w="6111" w:type="dxa"/>
            <w:tcBorders>
              <w:top w:val="single" w:color="auto" w:sz="4" w:space="0"/>
              <w:left w:val="nil"/>
              <w:bottom w:val="single" w:color="auto" w:sz="4" w:space="0"/>
              <w:right w:val="single" w:color="auto" w:sz="4" w:space="0"/>
            </w:tcBorders>
            <w:noWrap w:val="0"/>
            <w:vAlign w:val="center"/>
          </w:tcPr>
          <w:p w14:paraId="769101F8">
            <w:pPr>
              <w:rPr>
                <w:rFonts w:ascii="宋体" w:hAnsi="宋体"/>
                <w:highlight w:val="none"/>
              </w:rPr>
            </w:pPr>
            <w:r>
              <w:rPr>
                <w:rFonts w:hint="eastAsia" w:ascii="宋体" w:hAnsi="宋体"/>
                <w:highlight w:val="none"/>
                <w:u w:val="single"/>
              </w:rPr>
              <w:t>90</w:t>
            </w:r>
            <w:r>
              <w:rPr>
                <w:rFonts w:hint="eastAsia" w:ascii="宋体" w:hAnsi="宋体"/>
                <w:highlight w:val="none"/>
              </w:rPr>
              <w:t>日历天（从投标截止之日算起）。</w:t>
            </w:r>
          </w:p>
        </w:tc>
      </w:tr>
      <w:tr w14:paraId="019A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50412B39">
            <w:pPr>
              <w:spacing w:line="300" w:lineRule="auto"/>
              <w:jc w:val="center"/>
              <w:rPr>
                <w:rFonts w:ascii="宋体" w:hAnsi="宋体"/>
                <w:highlight w:val="none"/>
              </w:rPr>
            </w:pPr>
            <w:r>
              <w:rPr>
                <w:rFonts w:hint="eastAsia" w:ascii="宋体" w:hAnsi="宋体"/>
                <w:highlight w:val="none"/>
              </w:rPr>
              <w:t>3.4.1</w:t>
            </w:r>
          </w:p>
        </w:tc>
        <w:tc>
          <w:tcPr>
            <w:tcW w:w="2694" w:type="dxa"/>
            <w:tcBorders>
              <w:top w:val="single" w:color="auto" w:sz="4" w:space="0"/>
              <w:left w:val="nil"/>
              <w:bottom w:val="single" w:color="auto" w:sz="4" w:space="0"/>
              <w:right w:val="single" w:color="auto" w:sz="4" w:space="0"/>
            </w:tcBorders>
            <w:noWrap w:val="0"/>
            <w:vAlign w:val="center"/>
          </w:tcPr>
          <w:p w14:paraId="3F944377">
            <w:pPr>
              <w:jc w:val="center"/>
              <w:rPr>
                <w:rFonts w:ascii="宋体" w:hAnsi="宋体"/>
                <w:highlight w:val="none"/>
              </w:rPr>
            </w:pPr>
            <w:r>
              <w:rPr>
                <w:rFonts w:hint="eastAsia" w:ascii="宋体" w:hAnsi="宋体"/>
                <w:highlight w:val="none"/>
              </w:rPr>
              <w:t>投标保证金</w:t>
            </w:r>
          </w:p>
        </w:tc>
        <w:tc>
          <w:tcPr>
            <w:tcW w:w="6111" w:type="dxa"/>
            <w:tcBorders>
              <w:top w:val="single" w:color="auto" w:sz="4" w:space="0"/>
              <w:left w:val="nil"/>
              <w:bottom w:val="single" w:color="auto" w:sz="4" w:space="0"/>
              <w:right w:val="single" w:color="auto" w:sz="4" w:space="0"/>
            </w:tcBorders>
            <w:noWrap w:val="0"/>
            <w:vAlign w:val="center"/>
          </w:tcPr>
          <w:p w14:paraId="5786F62F">
            <w:pPr>
              <w:rPr>
                <w:rFonts w:hint="eastAsia" w:ascii="宋体" w:hAnsi="宋体" w:cs="宋体"/>
                <w:highlight w:val="none"/>
              </w:rPr>
            </w:pPr>
            <w:r>
              <w:rPr>
                <w:rFonts w:hint="eastAsia" w:ascii="宋体" w:hAnsi="宋体" w:cs="宋体"/>
                <w:highlight w:val="none"/>
              </w:rPr>
              <w:t>是否要求投标人递交投标保证金：</w:t>
            </w:r>
          </w:p>
          <w:p w14:paraId="6E53D6CB">
            <w:pPr>
              <w:rPr>
                <w:rFonts w:hint="eastAsia" w:ascii="宋体" w:hAnsi="宋体" w:cs="宋体"/>
                <w:highlight w:val="none"/>
              </w:rPr>
            </w:pPr>
            <w:r>
              <w:rPr>
                <w:rFonts w:hint="eastAsia" w:ascii="宋体" w:hAnsi="宋体" w:cs="宋体"/>
                <w:highlight w:val="none"/>
              </w:rPr>
              <w:t>□要求</w:t>
            </w:r>
          </w:p>
          <w:p w14:paraId="61ADB238">
            <w:pPr>
              <w:rPr>
                <w:rFonts w:hint="eastAsia" w:ascii="宋体" w:hAnsi="宋体"/>
                <w:highlight w:val="none"/>
              </w:rPr>
            </w:pPr>
            <w:r>
              <w:rPr>
                <w:rFonts w:hint="eastAsia" w:ascii="宋体" w:hAnsi="宋体" w:cs="宋体"/>
                <w:highlight w:val="none"/>
              </w:rPr>
              <w:t>■不要求</w:t>
            </w:r>
          </w:p>
        </w:tc>
      </w:tr>
      <w:tr w14:paraId="60B5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59CC4305">
            <w:pPr>
              <w:spacing w:line="300" w:lineRule="auto"/>
              <w:jc w:val="center"/>
              <w:rPr>
                <w:rFonts w:ascii="宋体" w:hAnsi="宋体"/>
                <w:highlight w:val="none"/>
              </w:rPr>
            </w:pPr>
            <w:r>
              <w:rPr>
                <w:rFonts w:hint="eastAsia" w:ascii="宋体" w:hAnsi="宋体"/>
                <w:highlight w:val="none"/>
              </w:rPr>
              <w:t>3.4.4</w:t>
            </w:r>
          </w:p>
        </w:tc>
        <w:tc>
          <w:tcPr>
            <w:tcW w:w="2694" w:type="dxa"/>
            <w:tcBorders>
              <w:top w:val="single" w:color="auto" w:sz="4" w:space="0"/>
              <w:left w:val="nil"/>
              <w:bottom w:val="single" w:color="auto" w:sz="4" w:space="0"/>
              <w:right w:val="single" w:color="auto" w:sz="4" w:space="0"/>
            </w:tcBorders>
            <w:noWrap w:val="0"/>
            <w:vAlign w:val="center"/>
          </w:tcPr>
          <w:p w14:paraId="58BBB17B">
            <w:pPr>
              <w:jc w:val="center"/>
              <w:rPr>
                <w:rFonts w:ascii="宋体" w:hAnsi="宋体"/>
                <w:strike/>
                <w:highlight w:val="none"/>
              </w:rPr>
            </w:pPr>
            <w:r>
              <w:rPr>
                <w:rFonts w:hint="eastAsia" w:ascii="宋体" w:hAnsi="宋体"/>
                <w:strike/>
                <w:highlight w:val="none"/>
              </w:rPr>
              <w:t>其他可以不予退还投标保证金的情形</w:t>
            </w:r>
          </w:p>
        </w:tc>
        <w:tc>
          <w:tcPr>
            <w:tcW w:w="6111" w:type="dxa"/>
            <w:tcBorders>
              <w:top w:val="single" w:color="auto" w:sz="4" w:space="0"/>
              <w:left w:val="nil"/>
              <w:bottom w:val="single" w:color="auto" w:sz="4" w:space="0"/>
              <w:right w:val="single" w:color="auto" w:sz="4" w:space="0"/>
            </w:tcBorders>
            <w:noWrap w:val="0"/>
            <w:vAlign w:val="center"/>
          </w:tcPr>
          <w:p w14:paraId="54B3104B">
            <w:pPr>
              <w:rPr>
                <w:rFonts w:ascii="宋体" w:hAnsi="宋体"/>
                <w:strike/>
                <w:highlight w:val="none"/>
              </w:rPr>
            </w:pPr>
            <w:r>
              <w:rPr>
                <w:rFonts w:hint="eastAsia" w:ascii="宋体" w:hAnsi="宋体" w:cs="宋体"/>
                <w:strike/>
                <w:highlight w:val="none"/>
              </w:rPr>
              <w:t>投标人采用不正当的手段骗取中标经查实的，不予退还投标保证金。</w:t>
            </w:r>
          </w:p>
        </w:tc>
      </w:tr>
      <w:tr w14:paraId="57E3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59E18DD0">
            <w:pPr>
              <w:spacing w:line="300" w:lineRule="auto"/>
              <w:jc w:val="center"/>
              <w:rPr>
                <w:rFonts w:ascii="宋体" w:hAnsi="宋体"/>
                <w:highlight w:val="none"/>
              </w:rPr>
            </w:pPr>
            <w:r>
              <w:rPr>
                <w:rFonts w:hint="eastAsia" w:ascii="宋体" w:hAnsi="宋体"/>
                <w:highlight w:val="none"/>
              </w:rPr>
              <w:t>3.5</w:t>
            </w:r>
          </w:p>
        </w:tc>
        <w:tc>
          <w:tcPr>
            <w:tcW w:w="2694" w:type="dxa"/>
            <w:tcBorders>
              <w:top w:val="single" w:color="auto" w:sz="4" w:space="0"/>
              <w:left w:val="nil"/>
              <w:bottom w:val="single" w:color="auto" w:sz="4" w:space="0"/>
              <w:right w:val="single" w:color="auto" w:sz="4" w:space="0"/>
            </w:tcBorders>
            <w:noWrap w:val="0"/>
            <w:vAlign w:val="center"/>
          </w:tcPr>
          <w:p w14:paraId="6FFCD165">
            <w:pPr>
              <w:jc w:val="center"/>
              <w:rPr>
                <w:rFonts w:ascii="宋体" w:hAnsi="宋体"/>
                <w:highlight w:val="none"/>
              </w:rPr>
            </w:pPr>
            <w:r>
              <w:rPr>
                <w:rFonts w:hint="eastAsia" w:ascii="宋体" w:hAnsi="宋体"/>
                <w:highlight w:val="none"/>
              </w:rPr>
              <w:t>资格审查资料的特殊要求</w:t>
            </w:r>
          </w:p>
        </w:tc>
        <w:tc>
          <w:tcPr>
            <w:tcW w:w="6111" w:type="dxa"/>
            <w:tcBorders>
              <w:top w:val="single" w:color="auto" w:sz="4" w:space="0"/>
              <w:left w:val="nil"/>
              <w:bottom w:val="single" w:color="auto" w:sz="4" w:space="0"/>
              <w:right w:val="single" w:color="auto" w:sz="4" w:space="0"/>
            </w:tcBorders>
            <w:noWrap w:val="0"/>
            <w:vAlign w:val="center"/>
          </w:tcPr>
          <w:p w14:paraId="5CA720F0">
            <w:pPr>
              <w:widowControl/>
              <w:jc w:val="left"/>
              <w:rPr>
                <w:rFonts w:ascii="宋体" w:hAnsi="宋体"/>
                <w:highlight w:val="none"/>
              </w:rPr>
            </w:pPr>
            <w:r>
              <w:rPr>
                <w:rFonts w:hint="eastAsia" w:ascii="宋体" w:hAnsi="宋体" w:cs="宋体"/>
                <w:highlight w:val="none"/>
              </w:rPr>
              <w:t>■</w:t>
            </w:r>
            <w:r>
              <w:rPr>
                <w:rFonts w:hint="eastAsia" w:ascii="宋体" w:hAnsi="宋体"/>
                <w:highlight w:val="none"/>
              </w:rPr>
              <w:t>无</w:t>
            </w:r>
          </w:p>
          <w:p w14:paraId="4472C90E">
            <w:pPr>
              <w:rPr>
                <w:rFonts w:ascii="宋体" w:hAnsi="宋体"/>
                <w:highlight w:val="none"/>
              </w:rPr>
            </w:pPr>
            <w:r>
              <w:rPr>
                <w:rFonts w:hint="eastAsia" w:ascii="宋体" w:hAnsi="宋体" w:cs="宋体"/>
                <w:highlight w:val="none"/>
              </w:rPr>
              <w:t>□</w:t>
            </w:r>
            <w:r>
              <w:rPr>
                <w:rFonts w:hint="eastAsia" w:ascii="宋体" w:hAnsi="宋体"/>
                <w:highlight w:val="none"/>
              </w:rPr>
              <w:t>有，具体要求：</w:t>
            </w:r>
          </w:p>
        </w:tc>
      </w:tr>
      <w:tr w14:paraId="2A1D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3E87B369">
            <w:pPr>
              <w:spacing w:line="300" w:lineRule="auto"/>
              <w:jc w:val="center"/>
              <w:rPr>
                <w:rFonts w:ascii="宋体" w:hAnsi="宋体"/>
                <w:highlight w:val="none"/>
              </w:rPr>
            </w:pPr>
            <w:r>
              <w:rPr>
                <w:rFonts w:hint="eastAsia" w:ascii="宋体" w:hAnsi="宋体"/>
                <w:highlight w:val="none"/>
              </w:rPr>
              <w:t>3.5.2</w:t>
            </w:r>
          </w:p>
        </w:tc>
        <w:tc>
          <w:tcPr>
            <w:tcW w:w="2694" w:type="dxa"/>
            <w:tcBorders>
              <w:top w:val="single" w:color="auto" w:sz="4" w:space="0"/>
              <w:left w:val="nil"/>
              <w:bottom w:val="single" w:color="auto" w:sz="4" w:space="0"/>
              <w:right w:val="single" w:color="auto" w:sz="4" w:space="0"/>
            </w:tcBorders>
            <w:noWrap w:val="0"/>
            <w:vAlign w:val="center"/>
          </w:tcPr>
          <w:p w14:paraId="6877A26D">
            <w:pPr>
              <w:jc w:val="center"/>
              <w:rPr>
                <w:rFonts w:ascii="宋体" w:hAnsi="宋体"/>
                <w:highlight w:val="none"/>
              </w:rPr>
            </w:pPr>
            <w:r>
              <w:rPr>
                <w:rFonts w:hint="eastAsia" w:ascii="宋体" w:hAnsi="宋体"/>
                <w:highlight w:val="none"/>
              </w:rPr>
              <w:t>近年财务状况的年份要求</w:t>
            </w:r>
          </w:p>
        </w:tc>
        <w:tc>
          <w:tcPr>
            <w:tcW w:w="6111" w:type="dxa"/>
            <w:tcBorders>
              <w:top w:val="single" w:color="auto" w:sz="4" w:space="0"/>
              <w:left w:val="nil"/>
              <w:bottom w:val="single" w:color="auto" w:sz="4" w:space="0"/>
              <w:right w:val="single" w:color="auto" w:sz="4" w:space="0"/>
            </w:tcBorders>
            <w:noWrap w:val="0"/>
            <w:vAlign w:val="center"/>
          </w:tcPr>
          <w:p w14:paraId="28A51DA5">
            <w:pPr>
              <w:rPr>
                <w:rFonts w:ascii="宋体" w:hAnsi="宋体"/>
                <w:highlight w:val="none"/>
                <w:u w:val="single"/>
              </w:rPr>
            </w:pPr>
            <w:r>
              <w:rPr>
                <w:rFonts w:hint="eastAsia" w:ascii="宋体" w:hAnsi="宋体"/>
                <w:highlight w:val="none"/>
                <w:u w:val="single"/>
              </w:rPr>
              <w:t>/</w:t>
            </w:r>
          </w:p>
        </w:tc>
      </w:tr>
      <w:tr w14:paraId="5EEC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35FF83CE">
            <w:pPr>
              <w:spacing w:line="300" w:lineRule="auto"/>
              <w:jc w:val="center"/>
              <w:rPr>
                <w:rFonts w:ascii="宋体" w:hAnsi="宋体"/>
                <w:highlight w:val="none"/>
              </w:rPr>
            </w:pPr>
            <w:r>
              <w:rPr>
                <w:rFonts w:hint="eastAsia" w:ascii="宋体" w:hAnsi="宋体"/>
                <w:highlight w:val="none"/>
              </w:rPr>
              <w:t>3.5.3</w:t>
            </w:r>
          </w:p>
        </w:tc>
        <w:tc>
          <w:tcPr>
            <w:tcW w:w="2694" w:type="dxa"/>
            <w:tcBorders>
              <w:top w:val="single" w:color="auto" w:sz="4" w:space="0"/>
              <w:left w:val="nil"/>
              <w:bottom w:val="single" w:color="auto" w:sz="4" w:space="0"/>
              <w:right w:val="single" w:color="auto" w:sz="4" w:space="0"/>
            </w:tcBorders>
            <w:noWrap w:val="0"/>
            <w:vAlign w:val="center"/>
          </w:tcPr>
          <w:p w14:paraId="37D1D296">
            <w:pPr>
              <w:jc w:val="center"/>
              <w:rPr>
                <w:rFonts w:ascii="宋体" w:hAnsi="宋体"/>
                <w:highlight w:val="none"/>
              </w:rPr>
            </w:pPr>
            <w:r>
              <w:rPr>
                <w:rFonts w:hint="eastAsia" w:ascii="宋体" w:hAnsi="宋体"/>
                <w:highlight w:val="none"/>
              </w:rPr>
              <w:t>近年完成的类似项目情况的时间要求</w:t>
            </w:r>
          </w:p>
        </w:tc>
        <w:tc>
          <w:tcPr>
            <w:tcW w:w="6111" w:type="dxa"/>
            <w:tcBorders>
              <w:top w:val="single" w:color="auto" w:sz="4" w:space="0"/>
              <w:left w:val="nil"/>
              <w:bottom w:val="single" w:color="auto" w:sz="4" w:space="0"/>
              <w:right w:val="single" w:color="auto" w:sz="4" w:space="0"/>
            </w:tcBorders>
            <w:noWrap w:val="0"/>
            <w:vAlign w:val="center"/>
          </w:tcPr>
          <w:p w14:paraId="4BDA5DEE">
            <w:pPr>
              <w:rPr>
                <w:rFonts w:hint="eastAsia" w:ascii="宋体" w:hAnsi="宋体"/>
                <w:highlight w:val="none"/>
                <w:u w:val="single"/>
              </w:rPr>
            </w:pPr>
            <w:r>
              <w:rPr>
                <w:rFonts w:hint="eastAsia" w:ascii="宋体" w:hAnsi="宋体" w:cs="宋体"/>
                <w:highlight w:val="none"/>
                <w:u w:val="single"/>
              </w:rPr>
              <w:t>/</w:t>
            </w:r>
          </w:p>
        </w:tc>
      </w:tr>
      <w:tr w14:paraId="56E0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574E70CC">
            <w:pPr>
              <w:spacing w:line="300" w:lineRule="auto"/>
              <w:jc w:val="center"/>
              <w:rPr>
                <w:rFonts w:ascii="宋体" w:hAnsi="宋体"/>
                <w:highlight w:val="none"/>
              </w:rPr>
            </w:pPr>
            <w:r>
              <w:rPr>
                <w:rFonts w:hint="eastAsia" w:ascii="宋体" w:hAnsi="宋体"/>
                <w:highlight w:val="none"/>
              </w:rPr>
              <w:t>3.5.5</w:t>
            </w:r>
          </w:p>
        </w:tc>
        <w:tc>
          <w:tcPr>
            <w:tcW w:w="2694" w:type="dxa"/>
            <w:tcBorders>
              <w:top w:val="single" w:color="auto" w:sz="4" w:space="0"/>
              <w:left w:val="nil"/>
              <w:bottom w:val="single" w:color="auto" w:sz="4" w:space="0"/>
              <w:right w:val="single" w:color="auto" w:sz="4" w:space="0"/>
            </w:tcBorders>
            <w:noWrap w:val="0"/>
            <w:vAlign w:val="center"/>
          </w:tcPr>
          <w:p w14:paraId="7FC2FDB8">
            <w:pPr>
              <w:jc w:val="center"/>
              <w:rPr>
                <w:rFonts w:ascii="宋体" w:hAnsi="宋体"/>
                <w:highlight w:val="none"/>
              </w:rPr>
            </w:pPr>
            <w:r>
              <w:rPr>
                <w:rFonts w:hint="eastAsia" w:ascii="宋体" w:hAnsi="宋体"/>
                <w:highlight w:val="none"/>
              </w:rPr>
              <w:t>近年发生的诉讼及仲裁情况的时间要求</w:t>
            </w:r>
          </w:p>
        </w:tc>
        <w:tc>
          <w:tcPr>
            <w:tcW w:w="6111" w:type="dxa"/>
            <w:tcBorders>
              <w:top w:val="single" w:color="auto" w:sz="4" w:space="0"/>
              <w:left w:val="nil"/>
              <w:bottom w:val="single" w:color="auto" w:sz="4" w:space="0"/>
              <w:right w:val="single" w:color="auto" w:sz="4" w:space="0"/>
            </w:tcBorders>
            <w:noWrap w:val="0"/>
            <w:vAlign w:val="center"/>
          </w:tcPr>
          <w:p w14:paraId="54EEFCA5">
            <w:pPr>
              <w:rPr>
                <w:rFonts w:ascii="宋体" w:hAnsi="宋体"/>
                <w:highlight w:val="none"/>
                <w:u w:val="single"/>
              </w:rPr>
            </w:pPr>
            <w:r>
              <w:rPr>
                <w:rFonts w:hint="eastAsia" w:ascii="宋体" w:hAnsi="宋体"/>
                <w:highlight w:val="none"/>
                <w:u w:val="single"/>
              </w:rPr>
              <w:t>/</w:t>
            </w:r>
          </w:p>
        </w:tc>
      </w:tr>
      <w:tr w14:paraId="721C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365C77A4">
            <w:pPr>
              <w:spacing w:line="300" w:lineRule="auto"/>
              <w:jc w:val="center"/>
              <w:rPr>
                <w:rFonts w:hint="eastAsia" w:ascii="宋体" w:hAnsi="宋体"/>
                <w:highlight w:val="none"/>
              </w:rPr>
            </w:pPr>
            <w:r>
              <w:rPr>
                <w:rFonts w:hint="eastAsia" w:ascii="宋体" w:hAnsi="宋体"/>
                <w:highlight w:val="none"/>
              </w:rPr>
              <w:t>3.6.1</w:t>
            </w:r>
          </w:p>
        </w:tc>
        <w:tc>
          <w:tcPr>
            <w:tcW w:w="2694" w:type="dxa"/>
            <w:tcBorders>
              <w:top w:val="single" w:color="auto" w:sz="4" w:space="0"/>
              <w:left w:val="nil"/>
              <w:bottom w:val="single" w:color="auto" w:sz="4" w:space="0"/>
              <w:right w:val="single" w:color="auto" w:sz="4" w:space="0"/>
            </w:tcBorders>
            <w:noWrap w:val="0"/>
            <w:vAlign w:val="center"/>
          </w:tcPr>
          <w:p w14:paraId="73147F2A">
            <w:pPr>
              <w:jc w:val="center"/>
              <w:rPr>
                <w:rFonts w:hint="eastAsia" w:ascii="宋体" w:hAnsi="宋体" w:cs="宋体"/>
                <w:highlight w:val="none"/>
              </w:rPr>
            </w:pPr>
            <w:r>
              <w:rPr>
                <w:rFonts w:hint="eastAsia" w:ascii="宋体" w:hAnsi="宋体" w:cs="宋体"/>
                <w:highlight w:val="none"/>
              </w:rPr>
              <w:t>是否允许递交备选投标方案</w:t>
            </w:r>
          </w:p>
        </w:tc>
        <w:tc>
          <w:tcPr>
            <w:tcW w:w="6111" w:type="dxa"/>
            <w:tcBorders>
              <w:top w:val="single" w:color="auto" w:sz="4" w:space="0"/>
              <w:left w:val="nil"/>
              <w:bottom w:val="single" w:color="auto" w:sz="4" w:space="0"/>
              <w:right w:val="single" w:color="auto" w:sz="4" w:space="0"/>
            </w:tcBorders>
            <w:noWrap w:val="0"/>
            <w:vAlign w:val="center"/>
          </w:tcPr>
          <w:p w14:paraId="4CAF991B">
            <w:pPr>
              <w:rPr>
                <w:rFonts w:hint="eastAsia" w:ascii="宋体" w:hAnsi="宋体" w:cs="宋体"/>
                <w:highlight w:val="none"/>
              </w:rPr>
            </w:pPr>
            <w:r>
              <w:rPr>
                <w:rFonts w:hint="eastAsia" w:ascii="宋体" w:hAnsi="宋体" w:cs="宋体"/>
                <w:highlight w:val="none"/>
              </w:rPr>
              <w:t>■不允许</w:t>
            </w:r>
          </w:p>
          <w:p w14:paraId="0C29D96E">
            <w:pPr>
              <w:rPr>
                <w:rFonts w:hint="eastAsia" w:ascii="宋体" w:hAnsi="宋体" w:cs="宋体"/>
                <w:highlight w:val="none"/>
              </w:rPr>
            </w:pPr>
            <w:r>
              <w:rPr>
                <w:rFonts w:hint="eastAsia" w:ascii="宋体" w:hAnsi="宋体" w:cs="宋体"/>
                <w:highlight w:val="none"/>
              </w:rPr>
              <w:t>□允许</w:t>
            </w:r>
          </w:p>
        </w:tc>
      </w:tr>
      <w:tr w14:paraId="0913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0E0CCD9A">
            <w:pPr>
              <w:spacing w:line="300" w:lineRule="auto"/>
              <w:jc w:val="center"/>
              <w:rPr>
                <w:rFonts w:hint="eastAsia" w:ascii="宋体" w:hAnsi="宋体"/>
                <w:highlight w:val="none"/>
              </w:rPr>
            </w:pPr>
            <w:r>
              <w:rPr>
                <w:rFonts w:hint="eastAsia" w:ascii="宋体" w:hAnsi="宋体"/>
                <w:highlight w:val="none"/>
              </w:rPr>
              <w:t>3.7.1</w:t>
            </w:r>
          </w:p>
        </w:tc>
        <w:tc>
          <w:tcPr>
            <w:tcW w:w="2694" w:type="dxa"/>
            <w:tcBorders>
              <w:top w:val="single" w:color="auto" w:sz="4" w:space="0"/>
              <w:left w:val="nil"/>
              <w:bottom w:val="single" w:color="auto" w:sz="4" w:space="0"/>
              <w:right w:val="single" w:color="auto" w:sz="4" w:space="0"/>
            </w:tcBorders>
            <w:noWrap w:val="0"/>
            <w:vAlign w:val="center"/>
          </w:tcPr>
          <w:p w14:paraId="5FA09D7D">
            <w:pPr>
              <w:jc w:val="center"/>
              <w:rPr>
                <w:rFonts w:hint="eastAsia" w:ascii="宋体" w:hAnsi="宋体" w:cs="宋体"/>
                <w:highlight w:val="none"/>
              </w:rPr>
            </w:pPr>
            <w:r>
              <w:rPr>
                <w:rFonts w:hint="eastAsia" w:ascii="宋体" w:hAnsi="宋体" w:cs="宋体"/>
                <w:highlight w:val="none"/>
              </w:rPr>
              <w:t>投标文件所附证书证件要求</w:t>
            </w:r>
          </w:p>
        </w:tc>
        <w:tc>
          <w:tcPr>
            <w:tcW w:w="6111" w:type="dxa"/>
            <w:tcBorders>
              <w:top w:val="single" w:color="auto" w:sz="4" w:space="0"/>
              <w:left w:val="nil"/>
              <w:bottom w:val="single" w:color="auto" w:sz="4" w:space="0"/>
              <w:right w:val="single" w:color="auto" w:sz="4" w:space="0"/>
            </w:tcBorders>
            <w:noWrap w:val="0"/>
            <w:vAlign w:val="center"/>
          </w:tcPr>
          <w:p w14:paraId="33DF7BDF">
            <w:pPr>
              <w:rPr>
                <w:rFonts w:hint="eastAsia" w:ascii="宋体" w:hAnsi="宋体" w:cs="宋体"/>
                <w:highlight w:val="none"/>
              </w:rPr>
            </w:pPr>
            <w:r>
              <w:rPr>
                <w:rFonts w:hint="eastAsia" w:ascii="宋体" w:hAnsi="宋体"/>
                <w:highlight w:val="none"/>
              </w:rPr>
              <w:t>证书证件需为原件清晰扫描件，并采用单位数字证书，按照招标文件要求在相应位置加盖电子印章。</w:t>
            </w:r>
          </w:p>
        </w:tc>
      </w:tr>
      <w:tr w14:paraId="00B7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39FFC178">
            <w:pPr>
              <w:spacing w:line="300" w:lineRule="auto"/>
              <w:jc w:val="center"/>
              <w:rPr>
                <w:rFonts w:hint="eastAsia" w:ascii="宋体" w:hAnsi="宋体"/>
                <w:highlight w:val="none"/>
              </w:rPr>
            </w:pPr>
            <w:r>
              <w:rPr>
                <w:rFonts w:hint="eastAsia" w:ascii="宋体" w:hAnsi="宋体"/>
                <w:highlight w:val="none"/>
              </w:rPr>
              <w:t>3.7.2</w:t>
            </w:r>
          </w:p>
        </w:tc>
        <w:tc>
          <w:tcPr>
            <w:tcW w:w="2694" w:type="dxa"/>
            <w:tcBorders>
              <w:top w:val="single" w:color="auto" w:sz="4" w:space="0"/>
              <w:left w:val="nil"/>
              <w:bottom w:val="single" w:color="auto" w:sz="4" w:space="0"/>
              <w:right w:val="single" w:color="auto" w:sz="4" w:space="0"/>
            </w:tcBorders>
            <w:noWrap w:val="0"/>
            <w:vAlign w:val="center"/>
          </w:tcPr>
          <w:p w14:paraId="59D3A1EC">
            <w:pPr>
              <w:jc w:val="center"/>
              <w:rPr>
                <w:rFonts w:hint="eastAsia" w:ascii="宋体" w:hAnsi="宋体" w:cs="宋体"/>
                <w:highlight w:val="none"/>
              </w:rPr>
            </w:pPr>
            <w:r>
              <w:rPr>
                <w:rFonts w:hint="eastAsia" w:ascii="宋体" w:hAnsi="宋体" w:cs="宋体"/>
                <w:highlight w:val="none"/>
              </w:rPr>
              <w:t>投标文件签字或盖章要求</w:t>
            </w:r>
          </w:p>
        </w:tc>
        <w:tc>
          <w:tcPr>
            <w:tcW w:w="6111" w:type="dxa"/>
            <w:tcBorders>
              <w:top w:val="single" w:color="auto" w:sz="4" w:space="0"/>
              <w:left w:val="nil"/>
              <w:bottom w:val="single" w:color="auto" w:sz="4" w:space="0"/>
              <w:right w:val="single" w:color="auto" w:sz="4" w:space="0"/>
            </w:tcBorders>
            <w:noWrap w:val="0"/>
            <w:vAlign w:val="center"/>
          </w:tcPr>
          <w:p w14:paraId="516B9978">
            <w:pPr>
              <w:rPr>
                <w:rFonts w:hint="eastAsia" w:ascii="宋体" w:hAnsi="宋体"/>
                <w:highlight w:val="none"/>
              </w:rPr>
            </w:pPr>
            <w:r>
              <w:rPr>
                <w:rFonts w:hint="eastAsia" w:ascii="宋体" w:hAnsi="宋体"/>
                <w:highlight w:val="none"/>
              </w:rPr>
              <w:t>1.投标人应使用依法设立的电子认证服务机构签发的电子签名认证证书对电子投标文件进行电子签名及电子签章。该电子签名及电子签章与手写签名或者盖章具有同等的法律效力。</w:t>
            </w:r>
          </w:p>
          <w:p w14:paraId="3BB7A303">
            <w:pPr>
              <w:rPr>
                <w:rFonts w:hint="eastAsia" w:ascii="宋体" w:hAnsi="宋体"/>
                <w:highlight w:val="none"/>
              </w:rPr>
            </w:pPr>
            <w:r>
              <w:rPr>
                <w:rFonts w:hint="eastAsia" w:ascii="宋体" w:hAnsi="宋体"/>
                <w:highlight w:val="none"/>
              </w:rPr>
              <w:t>2. 投标文件中须完成盖章签名后扫描上传的部分，应按以下要求盖章签字后扫描上传：</w:t>
            </w:r>
          </w:p>
          <w:p w14:paraId="6EDD2C93">
            <w:pPr>
              <w:rPr>
                <w:rFonts w:hint="eastAsia" w:ascii="宋体" w:hAnsi="宋体"/>
                <w:highlight w:val="none"/>
              </w:rPr>
            </w:pPr>
            <w:r>
              <w:rPr>
                <w:rFonts w:hint="eastAsia" w:ascii="宋体" w:hAnsi="宋体"/>
                <w:highlight w:val="none"/>
              </w:rPr>
              <w:t>1）投标文件格式规定盖单位章的地方必须盖单位章或电子签章。</w:t>
            </w:r>
          </w:p>
          <w:p w14:paraId="0F42179B">
            <w:pPr>
              <w:rPr>
                <w:rFonts w:hint="eastAsia" w:ascii="宋体" w:hAnsi="宋体" w:cs="宋体"/>
                <w:highlight w:val="none"/>
              </w:rPr>
            </w:pPr>
            <w:r>
              <w:rPr>
                <w:rFonts w:hint="eastAsia" w:ascii="宋体" w:hAnsi="宋体"/>
                <w:highlight w:val="none"/>
              </w:rPr>
              <w:t>2）投标文件格式规定签章的地方必须手写姓名或盖私章，由法定代表人签字的，应附法定代表人（单位负责人）身份证明，由代理人签字的，应附法定代表人（单位负责人）身份证明和授权委托</w:t>
            </w:r>
            <w:r>
              <w:rPr>
                <w:rFonts w:hint="eastAsia" w:ascii="宋体" w:hAnsi="宋体"/>
                <w:highlight w:val="none"/>
                <w:lang w:eastAsia="zh-CN"/>
              </w:rPr>
              <w:t>证明</w:t>
            </w:r>
            <w:r>
              <w:rPr>
                <w:rFonts w:hint="eastAsia" w:ascii="宋体" w:hAnsi="宋体"/>
                <w:highlight w:val="none"/>
              </w:rPr>
              <w:t>书。法定代表人（单位负责人）身份证明和授权委托</w:t>
            </w:r>
            <w:r>
              <w:rPr>
                <w:rFonts w:hint="eastAsia" w:ascii="宋体" w:hAnsi="宋体"/>
                <w:highlight w:val="none"/>
                <w:lang w:eastAsia="zh-CN"/>
              </w:rPr>
              <w:t>证明</w:t>
            </w:r>
            <w:r>
              <w:rPr>
                <w:rFonts w:hint="eastAsia" w:ascii="宋体" w:hAnsi="宋体"/>
                <w:highlight w:val="none"/>
              </w:rPr>
              <w:t>书应符合“第六章 投标文件格式”的规定。</w:t>
            </w:r>
          </w:p>
        </w:tc>
      </w:tr>
      <w:tr w14:paraId="7FFD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52A0F0FC">
            <w:pPr>
              <w:spacing w:line="300" w:lineRule="auto"/>
              <w:jc w:val="center"/>
              <w:rPr>
                <w:rFonts w:hint="eastAsia" w:ascii="宋体" w:hAnsi="宋体"/>
                <w:highlight w:val="none"/>
              </w:rPr>
            </w:pPr>
            <w:r>
              <w:rPr>
                <w:rFonts w:hint="eastAsia" w:ascii="宋体" w:hAnsi="宋体"/>
                <w:highlight w:val="none"/>
              </w:rPr>
              <w:t>4.1.1</w:t>
            </w:r>
          </w:p>
        </w:tc>
        <w:tc>
          <w:tcPr>
            <w:tcW w:w="2694" w:type="dxa"/>
            <w:tcBorders>
              <w:top w:val="single" w:color="auto" w:sz="4" w:space="0"/>
              <w:left w:val="nil"/>
              <w:bottom w:val="single" w:color="auto" w:sz="4" w:space="0"/>
              <w:right w:val="single" w:color="auto" w:sz="4" w:space="0"/>
            </w:tcBorders>
            <w:noWrap w:val="0"/>
            <w:vAlign w:val="center"/>
          </w:tcPr>
          <w:p w14:paraId="2E852406">
            <w:pPr>
              <w:jc w:val="center"/>
              <w:rPr>
                <w:rFonts w:hint="eastAsia" w:ascii="宋体" w:hAnsi="宋体" w:cs="宋体"/>
                <w:highlight w:val="none"/>
              </w:rPr>
            </w:pPr>
            <w:r>
              <w:rPr>
                <w:rFonts w:hint="eastAsia" w:ascii="宋体" w:hAnsi="宋体" w:cs="宋体"/>
                <w:highlight w:val="none"/>
              </w:rPr>
              <w:t>投标文件加密要求</w:t>
            </w:r>
          </w:p>
        </w:tc>
        <w:tc>
          <w:tcPr>
            <w:tcW w:w="6111" w:type="dxa"/>
            <w:tcBorders>
              <w:top w:val="single" w:color="auto" w:sz="4" w:space="0"/>
              <w:left w:val="nil"/>
              <w:bottom w:val="single" w:color="auto" w:sz="4" w:space="0"/>
              <w:right w:val="single" w:color="auto" w:sz="4" w:space="0"/>
            </w:tcBorders>
            <w:noWrap w:val="0"/>
            <w:vAlign w:val="center"/>
          </w:tcPr>
          <w:p w14:paraId="5E8FF326">
            <w:pPr>
              <w:rPr>
                <w:rFonts w:hint="eastAsia" w:ascii="宋体" w:hAnsi="宋体" w:cs="宋体"/>
                <w:highlight w:val="none"/>
              </w:rPr>
            </w:pPr>
            <w:r>
              <w:rPr>
                <w:rFonts w:hint="eastAsia" w:cs="宋体"/>
                <w:highlight w:val="none"/>
              </w:rPr>
              <w:t>网上递交的电子投标文件须进行加密。具体操作详见广州公共资源交易中心网站发布的《房屋建筑和市政基础设施工程全流程电子化项目专章》</w:t>
            </w:r>
          </w:p>
        </w:tc>
      </w:tr>
      <w:tr w14:paraId="5236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5E8C5E00">
            <w:pPr>
              <w:spacing w:line="300" w:lineRule="auto"/>
              <w:jc w:val="center"/>
              <w:rPr>
                <w:rFonts w:hint="eastAsia" w:ascii="宋体" w:hAnsi="宋体" w:cs="宋体"/>
                <w:highlight w:val="none"/>
              </w:rPr>
            </w:pPr>
            <w:r>
              <w:rPr>
                <w:rFonts w:hint="eastAsia" w:ascii="宋体" w:hAnsi="宋体" w:cs="宋体"/>
                <w:highlight w:val="none"/>
              </w:rPr>
              <w:t>4.1.2</w:t>
            </w:r>
          </w:p>
        </w:tc>
        <w:tc>
          <w:tcPr>
            <w:tcW w:w="2694" w:type="dxa"/>
            <w:tcBorders>
              <w:top w:val="single" w:color="auto" w:sz="4" w:space="0"/>
              <w:left w:val="nil"/>
              <w:bottom w:val="single" w:color="auto" w:sz="4" w:space="0"/>
              <w:right w:val="single" w:color="auto" w:sz="4" w:space="0"/>
            </w:tcBorders>
            <w:noWrap w:val="0"/>
            <w:vAlign w:val="center"/>
          </w:tcPr>
          <w:p w14:paraId="3D644EC5">
            <w:pPr>
              <w:jc w:val="center"/>
              <w:rPr>
                <w:rFonts w:hint="eastAsia" w:ascii="宋体" w:hAnsi="宋体" w:cs="宋体"/>
                <w:highlight w:val="none"/>
              </w:rPr>
            </w:pPr>
            <w:r>
              <w:rPr>
                <w:rFonts w:hint="eastAsia"/>
                <w:highlight w:val="none"/>
              </w:rPr>
              <w:t>封套上应载明的信息</w:t>
            </w:r>
          </w:p>
        </w:tc>
        <w:tc>
          <w:tcPr>
            <w:tcW w:w="6111" w:type="dxa"/>
            <w:tcBorders>
              <w:top w:val="single" w:color="auto" w:sz="4" w:space="0"/>
              <w:left w:val="nil"/>
              <w:bottom w:val="single" w:color="auto" w:sz="4" w:space="0"/>
              <w:right w:val="single" w:color="auto" w:sz="4" w:space="0"/>
            </w:tcBorders>
            <w:noWrap w:val="0"/>
            <w:vAlign w:val="top"/>
          </w:tcPr>
          <w:p w14:paraId="61F18079">
            <w:pPr>
              <w:rPr>
                <w:rFonts w:hint="eastAsia"/>
                <w:highlight w:val="none"/>
              </w:rPr>
            </w:pPr>
            <w:r>
              <w:rPr>
                <w:rFonts w:hint="eastAsia"/>
                <w:highlight w:val="none"/>
              </w:rPr>
              <w:t>对递交的备用投标文件电子光盘进行封装，封套上应注明如下信息：</w:t>
            </w:r>
          </w:p>
          <w:p w14:paraId="1D013E80">
            <w:pPr>
              <w:rPr>
                <w:rFonts w:hint="eastAsia"/>
                <w:highlight w:val="none"/>
              </w:rPr>
            </w:pPr>
            <w:r>
              <w:rPr>
                <w:rFonts w:hint="eastAsia"/>
                <w:highlight w:val="none"/>
              </w:rPr>
              <w:t>招标人名称：广州市花都区水务建设管理中心</w:t>
            </w:r>
          </w:p>
          <w:p w14:paraId="061E2174">
            <w:pPr>
              <w:rPr>
                <w:rFonts w:hint="eastAsia"/>
                <w:highlight w:val="none"/>
              </w:rPr>
            </w:pPr>
            <w:r>
              <w:rPr>
                <w:rFonts w:hint="eastAsia"/>
                <w:highlight w:val="none"/>
              </w:rPr>
              <w:t>招标人地址：广州市花都区宝华路34号</w:t>
            </w:r>
          </w:p>
          <w:p w14:paraId="658FD735">
            <w:pPr>
              <w:rPr>
                <w:rFonts w:hint="eastAsia"/>
                <w:highlight w:val="none"/>
              </w:rPr>
            </w:pPr>
            <w:r>
              <w:rPr>
                <w:rFonts w:hint="eastAsia"/>
                <w:highlight w:val="none"/>
                <w:lang w:eastAsia="zh-CN"/>
              </w:rPr>
              <w:t>花都区农村供水“三同五化”改造提升项目-元岗村供水改造工程市政部分施工监理</w:t>
            </w:r>
            <w:r>
              <w:rPr>
                <w:rFonts w:hint="eastAsia"/>
                <w:highlight w:val="none"/>
              </w:rPr>
              <w:t>招标项目投标文件</w:t>
            </w:r>
          </w:p>
          <w:p w14:paraId="5E4C3498">
            <w:pPr>
              <w:rPr>
                <w:rFonts w:hint="eastAsia" w:ascii="宋体" w:hAnsi="宋体" w:cs="宋体"/>
                <w:highlight w:val="none"/>
              </w:rPr>
            </w:pPr>
            <w:r>
              <w:rPr>
                <w:rFonts w:hint="eastAsia" w:ascii="宋体" w:hAnsi="宋体" w:cs="宋体"/>
                <w:highlight w:val="none"/>
              </w:rPr>
              <w:t>在2024年   月  日  时  分前不得开启</w:t>
            </w:r>
          </w:p>
          <w:p w14:paraId="3C960E80">
            <w:pPr>
              <w:rPr>
                <w:rFonts w:hint="eastAsia" w:ascii="宋体" w:hAnsi="宋体" w:cs="宋体"/>
                <w:highlight w:val="none"/>
              </w:rPr>
            </w:pPr>
            <w:r>
              <w:rPr>
                <w:rFonts w:hint="eastAsia" w:ascii="宋体" w:hAnsi="宋体" w:cs="宋体"/>
                <w:highlight w:val="none"/>
              </w:rPr>
              <w:t xml:space="preserve">投标人名称：                    </w:t>
            </w:r>
          </w:p>
        </w:tc>
      </w:tr>
      <w:tr w14:paraId="2E91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50CF4424">
            <w:pPr>
              <w:spacing w:line="300" w:lineRule="auto"/>
              <w:jc w:val="center"/>
              <w:rPr>
                <w:rFonts w:hint="eastAsia" w:ascii="宋体" w:hAnsi="宋体" w:cs="宋体"/>
                <w:w w:val="99"/>
                <w:highlight w:val="none"/>
              </w:rPr>
            </w:pPr>
            <w:r>
              <w:rPr>
                <w:rFonts w:hint="eastAsia" w:ascii="宋体" w:hAnsi="宋体" w:cs="宋体"/>
                <w:highlight w:val="none"/>
              </w:rPr>
              <w:t>4.2.1</w:t>
            </w:r>
          </w:p>
        </w:tc>
        <w:tc>
          <w:tcPr>
            <w:tcW w:w="2694" w:type="dxa"/>
            <w:tcBorders>
              <w:top w:val="single" w:color="auto" w:sz="4" w:space="0"/>
              <w:left w:val="nil"/>
              <w:bottom w:val="single" w:color="auto" w:sz="4" w:space="0"/>
              <w:right w:val="single" w:color="auto" w:sz="4" w:space="0"/>
            </w:tcBorders>
            <w:noWrap w:val="0"/>
            <w:vAlign w:val="center"/>
          </w:tcPr>
          <w:p w14:paraId="29933C97">
            <w:pPr>
              <w:jc w:val="center"/>
              <w:rPr>
                <w:rFonts w:hint="eastAsia" w:ascii="宋体" w:hAnsi="宋体" w:cs="宋体"/>
                <w:highlight w:val="none"/>
              </w:rPr>
            </w:pPr>
            <w:r>
              <w:rPr>
                <w:rFonts w:hint="eastAsia" w:ascii="宋体" w:hAnsi="宋体" w:cs="宋体"/>
                <w:highlight w:val="none"/>
              </w:rPr>
              <w:t>投标截止时间</w:t>
            </w:r>
          </w:p>
        </w:tc>
        <w:tc>
          <w:tcPr>
            <w:tcW w:w="6111" w:type="dxa"/>
            <w:tcBorders>
              <w:top w:val="single" w:color="auto" w:sz="4" w:space="0"/>
              <w:left w:val="nil"/>
              <w:bottom w:val="single" w:color="auto" w:sz="4" w:space="0"/>
              <w:right w:val="single" w:color="auto" w:sz="4" w:space="0"/>
            </w:tcBorders>
            <w:noWrap w:val="0"/>
            <w:vAlign w:val="center"/>
          </w:tcPr>
          <w:p w14:paraId="6D930968">
            <w:pPr>
              <w:rPr>
                <w:rFonts w:hint="eastAsia" w:ascii="宋体" w:hAnsi="宋体"/>
                <w:spacing w:val="4"/>
                <w:highlight w:val="none"/>
              </w:rPr>
            </w:pPr>
            <w:r>
              <w:rPr>
                <w:rFonts w:hint="eastAsia" w:ascii="宋体" w:hAnsi="宋体"/>
                <w:spacing w:val="4"/>
                <w:highlight w:val="none"/>
              </w:rPr>
              <w:t>电子投标文件递交截止时间：</w:t>
            </w:r>
            <w:r>
              <w:rPr>
                <w:rFonts w:hint="eastAsia" w:ascii="宋体" w:hAnsi="宋体"/>
                <w:spacing w:val="4"/>
                <w:highlight w:val="none"/>
                <w:u w:val="single"/>
              </w:rPr>
              <w:t>2024年</w:t>
            </w:r>
            <w:r>
              <w:rPr>
                <w:rFonts w:hint="eastAsia" w:ascii="宋体" w:hAnsi="宋体"/>
                <w:spacing w:val="4"/>
                <w:highlight w:val="none"/>
                <w:u w:val="single"/>
                <w:lang w:val="en-US" w:eastAsia="zh-CN"/>
              </w:rPr>
              <w:t xml:space="preserve">  </w:t>
            </w:r>
            <w:r>
              <w:rPr>
                <w:rFonts w:hint="eastAsia" w:ascii="宋体" w:hAnsi="宋体"/>
                <w:spacing w:val="4"/>
                <w:highlight w:val="none"/>
                <w:u w:val="single"/>
              </w:rPr>
              <w:t>月</w:t>
            </w:r>
            <w:r>
              <w:rPr>
                <w:rFonts w:hint="eastAsia" w:ascii="宋体" w:hAnsi="宋体"/>
                <w:spacing w:val="4"/>
                <w:highlight w:val="none"/>
                <w:u w:val="single"/>
                <w:lang w:val="en-US" w:eastAsia="zh-CN"/>
              </w:rPr>
              <w:t xml:space="preserve">  </w:t>
            </w:r>
            <w:r>
              <w:rPr>
                <w:rFonts w:hint="eastAsia" w:ascii="宋体" w:hAnsi="宋体"/>
                <w:spacing w:val="4"/>
                <w:highlight w:val="none"/>
                <w:u w:val="single"/>
              </w:rPr>
              <w:t>日</w:t>
            </w:r>
            <w:r>
              <w:rPr>
                <w:rFonts w:hint="eastAsia" w:ascii="宋体" w:hAnsi="宋体"/>
                <w:spacing w:val="4"/>
                <w:highlight w:val="none"/>
                <w:u w:val="single"/>
                <w:lang w:val="en-US" w:eastAsia="zh-CN"/>
              </w:rPr>
              <w:t xml:space="preserve">  </w:t>
            </w:r>
            <w:r>
              <w:rPr>
                <w:rFonts w:hint="eastAsia" w:ascii="宋体" w:hAnsi="宋体"/>
                <w:spacing w:val="4"/>
                <w:highlight w:val="none"/>
                <w:u w:val="single"/>
              </w:rPr>
              <w:t>时</w:t>
            </w:r>
            <w:r>
              <w:rPr>
                <w:rFonts w:hint="eastAsia" w:ascii="宋体" w:hAnsi="宋体"/>
                <w:spacing w:val="4"/>
                <w:highlight w:val="none"/>
                <w:u w:val="single"/>
                <w:lang w:val="en-US" w:eastAsia="zh-CN"/>
              </w:rPr>
              <w:t>0</w:t>
            </w:r>
            <w:r>
              <w:rPr>
                <w:rFonts w:hint="eastAsia" w:ascii="宋体" w:hAnsi="宋体"/>
                <w:spacing w:val="4"/>
                <w:highlight w:val="none"/>
                <w:u w:val="single"/>
              </w:rPr>
              <w:t>分</w:t>
            </w:r>
            <w:r>
              <w:rPr>
                <w:rFonts w:hint="eastAsia" w:ascii="宋体" w:hAnsi="宋体"/>
                <w:spacing w:val="4"/>
                <w:highlight w:val="none"/>
              </w:rPr>
              <w:t>。</w:t>
            </w:r>
          </w:p>
          <w:p w14:paraId="769855D7">
            <w:pPr>
              <w:rPr>
                <w:rFonts w:hint="eastAsia" w:ascii="宋体" w:hAnsi="宋体"/>
                <w:highlight w:val="none"/>
              </w:rPr>
            </w:pPr>
            <w:r>
              <w:rPr>
                <w:rFonts w:hint="eastAsia" w:ascii="宋体" w:hAnsi="宋体"/>
                <w:highlight w:val="none"/>
              </w:rPr>
              <w:t>上述时间及地点是否有改变，请密切留意招标答疑纪要的相关信息。截止时间以广州公共资源交易中心电子评标系统服务器从中国科学院国家授时中心取得的北京时间为准。</w:t>
            </w:r>
          </w:p>
        </w:tc>
      </w:tr>
      <w:tr w14:paraId="3A35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1B4A57CC">
            <w:pPr>
              <w:spacing w:line="300" w:lineRule="auto"/>
              <w:jc w:val="center"/>
              <w:rPr>
                <w:rFonts w:hint="eastAsia" w:ascii="宋体" w:hAnsi="宋体" w:cs="宋体"/>
                <w:w w:val="99"/>
                <w:highlight w:val="none"/>
              </w:rPr>
            </w:pPr>
            <w:r>
              <w:rPr>
                <w:rFonts w:hint="eastAsia" w:ascii="宋体" w:hAnsi="宋体" w:cs="宋体"/>
                <w:highlight w:val="none"/>
              </w:rPr>
              <w:t>4.2.2</w:t>
            </w:r>
          </w:p>
        </w:tc>
        <w:tc>
          <w:tcPr>
            <w:tcW w:w="2694" w:type="dxa"/>
            <w:tcBorders>
              <w:top w:val="single" w:color="auto" w:sz="4" w:space="0"/>
              <w:left w:val="nil"/>
              <w:bottom w:val="single" w:color="auto" w:sz="4" w:space="0"/>
              <w:right w:val="single" w:color="auto" w:sz="4" w:space="0"/>
            </w:tcBorders>
            <w:noWrap w:val="0"/>
            <w:vAlign w:val="center"/>
          </w:tcPr>
          <w:p w14:paraId="541FCD88">
            <w:pPr>
              <w:jc w:val="center"/>
              <w:rPr>
                <w:rFonts w:hint="eastAsia" w:ascii="宋体" w:hAnsi="宋体" w:cs="宋体"/>
                <w:highlight w:val="none"/>
              </w:rPr>
            </w:pPr>
            <w:r>
              <w:rPr>
                <w:rFonts w:hint="eastAsia" w:ascii="宋体" w:hAnsi="宋体" w:cs="宋体"/>
                <w:highlight w:val="none"/>
              </w:rPr>
              <w:t>递交投标文件地点</w:t>
            </w:r>
          </w:p>
        </w:tc>
        <w:tc>
          <w:tcPr>
            <w:tcW w:w="6111" w:type="dxa"/>
            <w:tcBorders>
              <w:top w:val="single" w:color="auto" w:sz="4" w:space="0"/>
              <w:left w:val="nil"/>
              <w:bottom w:val="single" w:color="auto" w:sz="4" w:space="0"/>
              <w:right w:val="single" w:color="auto" w:sz="4" w:space="0"/>
            </w:tcBorders>
            <w:noWrap w:val="0"/>
            <w:vAlign w:val="center"/>
          </w:tcPr>
          <w:p w14:paraId="472EF493">
            <w:pPr>
              <w:rPr>
                <w:rFonts w:hint="eastAsia" w:ascii="宋体" w:hAnsi="宋体"/>
                <w:spacing w:val="4"/>
                <w:highlight w:val="none"/>
              </w:rPr>
            </w:pPr>
            <w:r>
              <w:rPr>
                <w:rFonts w:hint="eastAsia" w:ascii="宋体" w:hAnsi="宋体"/>
                <w:spacing w:val="4"/>
                <w:highlight w:val="none"/>
              </w:rPr>
              <w:t>电子投标文件递交要求：</w:t>
            </w:r>
          </w:p>
          <w:p w14:paraId="43410F4C">
            <w:pPr>
              <w:rPr>
                <w:rFonts w:hint="eastAsia" w:ascii="宋体" w:hAnsi="宋体"/>
                <w:spacing w:val="4"/>
                <w:highlight w:val="none"/>
              </w:rPr>
            </w:pPr>
            <w:r>
              <w:rPr>
                <w:rFonts w:hint="eastAsia" w:ascii="宋体" w:hAnsi="宋体"/>
                <w:spacing w:val="4"/>
                <w:highlight w:val="none"/>
              </w:rPr>
              <w:t>1.递交方式：网上递交投标文件</w:t>
            </w:r>
          </w:p>
          <w:p w14:paraId="04D23B62">
            <w:pPr>
              <w:rPr>
                <w:rFonts w:hint="eastAsia" w:ascii="宋体" w:hAnsi="宋体" w:cs="宋体"/>
                <w:highlight w:val="none"/>
              </w:rPr>
            </w:pPr>
            <w:r>
              <w:rPr>
                <w:rFonts w:hint="eastAsia" w:ascii="宋体" w:hAnsi="宋体"/>
                <w:spacing w:val="4"/>
                <w:highlight w:val="none"/>
              </w:rPr>
              <w:t>2.地点：广州公共资源交易中心网站</w:t>
            </w:r>
          </w:p>
        </w:tc>
      </w:tr>
      <w:tr w14:paraId="5AAE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011A8AFD">
            <w:pPr>
              <w:spacing w:line="300" w:lineRule="auto"/>
              <w:jc w:val="center"/>
              <w:rPr>
                <w:rFonts w:hint="eastAsia" w:ascii="宋体" w:hAnsi="宋体"/>
                <w:highlight w:val="none"/>
              </w:rPr>
            </w:pPr>
            <w:r>
              <w:rPr>
                <w:rFonts w:hint="eastAsia" w:ascii="宋体" w:hAnsi="宋体"/>
                <w:highlight w:val="none"/>
              </w:rPr>
              <w:t>4.2.3</w:t>
            </w:r>
          </w:p>
        </w:tc>
        <w:tc>
          <w:tcPr>
            <w:tcW w:w="2694" w:type="dxa"/>
            <w:tcBorders>
              <w:top w:val="single" w:color="auto" w:sz="4" w:space="0"/>
              <w:left w:val="nil"/>
              <w:bottom w:val="single" w:color="auto" w:sz="4" w:space="0"/>
              <w:right w:val="single" w:color="auto" w:sz="4" w:space="0"/>
            </w:tcBorders>
            <w:noWrap w:val="0"/>
            <w:vAlign w:val="center"/>
          </w:tcPr>
          <w:p w14:paraId="4724F64C">
            <w:pPr>
              <w:jc w:val="center"/>
              <w:rPr>
                <w:rFonts w:hint="eastAsia" w:ascii="宋体" w:hAnsi="宋体"/>
                <w:highlight w:val="none"/>
              </w:rPr>
            </w:pPr>
            <w:r>
              <w:rPr>
                <w:rFonts w:hint="eastAsia" w:ascii="宋体" w:hAnsi="宋体"/>
                <w:highlight w:val="none"/>
              </w:rPr>
              <w:t>投标文件是否退还</w:t>
            </w:r>
          </w:p>
        </w:tc>
        <w:tc>
          <w:tcPr>
            <w:tcW w:w="6111" w:type="dxa"/>
            <w:tcBorders>
              <w:top w:val="single" w:color="auto" w:sz="4" w:space="0"/>
              <w:left w:val="nil"/>
              <w:bottom w:val="single" w:color="auto" w:sz="4" w:space="0"/>
              <w:right w:val="single" w:color="auto" w:sz="4" w:space="0"/>
            </w:tcBorders>
            <w:noWrap w:val="0"/>
            <w:vAlign w:val="center"/>
          </w:tcPr>
          <w:p w14:paraId="28C76509">
            <w:pPr>
              <w:rPr>
                <w:rFonts w:hint="eastAsia" w:ascii="宋体" w:hAnsi="宋体" w:cs="宋体"/>
                <w:highlight w:val="none"/>
              </w:rPr>
            </w:pPr>
            <w:r>
              <w:rPr>
                <w:rFonts w:hint="eastAsia" w:ascii="宋体" w:hAnsi="宋体" w:cs="宋体"/>
                <w:highlight w:val="none"/>
              </w:rPr>
              <w:t>■否</w:t>
            </w:r>
          </w:p>
          <w:p w14:paraId="3CCED0B7">
            <w:pPr>
              <w:rPr>
                <w:rFonts w:hint="eastAsia" w:ascii="宋体" w:hAnsi="宋体" w:cs="宋体"/>
                <w:highlight w:val="none"/>
              </w:rPr>
            </w:pPr>
            <w:r>
              <w:rPr>
                <w:rFonts w:hint="eastAsia" w:ascii="宋体" w:hAnsi="宋体" w:cs="宋体"/>
                <w:highlight w:val="none"/>
              </w:rPr>
              <w:t>□是，退还时间：</w:t>
            </w:r>
          </w:p>
        </w:tc>
      </w:tr>
      <w:tr w14:paraId="415B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052BDFDE">
            <w:pPr>
              <w:spacing w:line="300" w:lineRule="auto"/>
              <w:jc w:val="center"/>
              <w:rPr>
                <w:rFonts w:hint="eastAsia" w:ascii="宋体" w:hAnsi="宋体" w:cs="宋体"/>
                <w:highlight w:val="none"/>
              </w:rPr>
            </w:pPr>
            <w:r>
              <w:rPr>
                <w:rFonts w:hint="eastAsia" w:ascii="宋体" w:hAnsi="宋体" w:cs="宋体"/>
                <w:highlight w:val="none"/>
              </w:rPr>
              <w:t>5.1</w:t>
            </w:r>
          </w:p>
        </w:tc>
        <w:tc>
          <w:tcPr>
            <w:tcW w:w="2694" w:type="dxa"/>
            <w:tcBorders>
              <w:top w:val="single" w:color="auto" w:sz="4" w:space="0"/>
              <w:left w:val="nil"/>
              <w:bottom w:val="single" w:color="auto" w:sz="4" w:space="0"/>
              <w:right w:val="single" w:color="auto" w:sz="4" w:space="0"/>
            </w:tcBorders>
            <w:noWrap w:val="0"/>
            <w:vAlign w:val="center"/>
          </w:tcPr>
          <w:p w14:paraId="0C2DDDF2">
            <w:pPr>
              <w:jc w:val="center"/>
              <w:rPr>
                <w:rFonts w:hint="eastAsia" w:ascii="宋体" w:hAnsi="宋体" w:cs="宋体"/>
                <w:highlight w:val="none"/>
              </w:rPr>
            </w:pPr>
            <w:r>
              <w:rPr>
                <w:rFonts w:hint="eastAsia" w:ascii="宋体" w:hAnsi="宋体" w:cs="宋体"/>
                <w:highlight w:val="none"/>
              </w:rPr>
              <w:t>开标时间和地点</w:t>
            </w:r>
          </w:p>
        </w:tc>
        <w:tc>
          <w:tcPr>
            <w:tcW w:w="6111" w:type="dxa"/>
            <w:tcBorders>
              <w:top w:val="single" w:color="auto" w:sz="4" w:space="0"/>
              <w:left w:val="nil"/>
              <w:bottom w:val="single" w:color="auto" w:sz="4" w:space="0"/>
              <w:right w:val="single" w:color="auto" w:sz="4" w:space="0"/>
            </w:tcBorders>
            <w:noWrap w:val="0"/>
            <w:vAlign w:val="center"/>
          </w:tcPr>
          <w:p w14:paraId="453EADDB">
            <w:pPr>
              <w:widowControl/>
              <w:rPr>
                <w:rFonts w:hint="eastAsia" w:ascii="宋体" w:hAnsi="宋体" w:cs="宋体"/>
                <w:highlight w:val="none"/>
              </w:rPr>
            </w:pPr>
            <w:r>
              <w:rPr>
                <w:rFonts w:hint="eastAsia" w:ascii="宋体" w:hAnsi="宋体" w:cs="宋体"/>
                <w:highlight w:val="none"/>
              </w:rPr>
              <w:t>1.开标时间：</w:t>
            </w:r>
            <w:r>
              <w:rPr>
                <w:rFonts w:hint="eastAsia" w:ascii="宋体" w:hAnsi="宋体"/>
                <w:spacing w:val="4"/>
                <w:highlight w:val="none"/>
                <w:u w:val="single"/>
              </w:rPr>
              <w:t>2024年</w:t>
            </w:r>
            <w:r>
              <w:rPr>
                <w:rFonts w:hint="eastAsia" w:ascii="宋体" w:hAnsi="宋体"/>
                <w:spacing w:val="4"/>
                <w:highlight w:val="none"/>
                <w:u w:val="single"/>
                <w:lang w:val="en-US" w:eastAsia="zh-CN"/>
              </w:rPr>
              <w:t xml:space="preserve">  </w:t>
            </w:r>
            <w:r>
              <w:rPr>
                <w:rFonts w:hint="eastAsia" w:ascii="宋体" w:hAnsi="宋体"/>
                <w:spacing w:val="4"/>
                <w:highlight w:val="none"/>
                <w:u w:val="single"/>
              </w:rPr>
              <w:t>月</w:t>
            </w:r>
            <w:r>
              <w:rPr>
                <w:rFonts w:hint="eastAsia" w:ascii="宋体" w:hAnsi="宋体"/>
                <w:spacing w:val="4"/>
                <w:highlight w:val="none"/>
                <w:u w:val="single"/>
                <w:lang w:val="en-US" w:eastAsia="zh-CN"/>
              </w:rPr>
              <w:t xml:space="preserve">  </w:t>
            </w:r>
            <w:r>
              <w:rPr>
                <w:rFonts w:hint="eastAsia" w:ascii="宋体" w:hAnsi="宋体"/>
                <w:spacing w:val="4"/>
                <w:highlight w:val="none"/>
                <w:u w:val="single"/>
              </w:rPr>
              <w:t>日</w:t>
            </w:r>
            <w:r>
              <w:rPr>
                <w:rFonts w:hint="eastAsia" w:ascii="宋体" w:hAnsi="宋体"/>
                <w:spacing w:val="4"/>
                <w:highlight w:val="none"/>
                <w:u w:val="single"/>
                <w:lang w:val="en-US" w:eastAsia="zh-CN"/>
              </w:rPr>
              <w:t xml:space="preserve">  </w:t>
            </w:r>
            <w:r>
              <w:rPr>
                <w:rFonts w:hint="eastAsia" w:ascii="宋体" w:hAnsi="宋体"/>
                <w:spacing w:val="4"/>
                <w:highlight w:val="none"/>
                <w:u w:val="single"/>
              </w:rPr>
              <w:t>时</w:t>
            </w:r>
            <w:r>
              <w:rPr>
                <w:rFonts w:hint="eastAsia" w:ascii="宋体" w:hAnsi="宋体"/>
                <w:spacing w:val="4"/>
                <w:highlight w:val="none"/>
                <w:u w:val="single"/>
                <w:lang w:val="en-US" w:eastAsia="zh-CN"/>
              </w:rPr>
              <w:t>0</w:t>
            </w:r>
            <w:r>
              <w:rPr>
                <w:rFonts w:hint="eastAsia" w:ascii="宋体" w:hAnsi="宋体"/>
                <w:spacing w:val="4"/>
                <w:highlight w:val="none"/>
                <w:u w:val="single"/>
              </w:rPr>
              <w:t>分</w:t>
            </w:r>
          </w:p>
          <w:p w14:paraId="7B0792CD">
            <w:pPr>
              <w:rPr>
                <w:rFonts w:hint="eastAsia" w:ascii="宋体" w:hAnsi="宋体" w:cs="宋体"/>
                <w:highlight w:val="none"/>
              </w:rPr>
            </w:pPr>
            <w:r>
              <w:rPr>
                <w:rFonts w:hint="eastAsia" w:ascii="宋体" w:hAnsi="宋体" w:cs="宋体"/>
                <w:highlight w:val="none"/>
              </w:rPr>
              <w:t>2.地点：广州公共资源交易中心花都交易部第</w:t>
            </w:r>
            <w:r>
              <w:rPr>
                <w:rFonts w:hint="eastAsia" w:ascii="宋体" w:hAnsi="宋体" w:cs="宋体"/>
                <w:highlight w:val="none"/>
                <w:u w:val="single"/>
              </w:rPr>
              <w:t xml:space="preserve">    </w:t>
            </w:r>
            <w:r>
              <w:rPr>
                <w:rFonts w:hint="eastAsia" w:ascii="宋体" w:hAnsi="宋体" w:cs="宋体"/>
                <w:highlight w:val="none"/>
              </w:rPr>
              <w:t>开标室。</w:t>
            </w:r>
          </w:p>
          <w:p w14:paraId="297B60B0">
            <w:pPr>
              <w:rPr>
                <w:rFonts w:hint="eastAsia" w:ascii="宋体" w:hAnsi="宋体" w:cs="宋体"/>
                <w:highlight w:val="none"/>
              </w:rPr>
            </w:pPr>
            <w:r>
              <w:rPr>
                <w:rFonts w:hint="eastAsia" w:ascii="宋体" w:hAnsi="宋体" w:cs="宋体"/>
                <w:highlight w:val="none"/>
              </w:rPr>
              <w:t>3.上述时间及地点是否有改变，请密切留意招标答疑纪要的相关信息。</w:t>
            </w:r>
          </w:p>
        </w:tc>
      </w:tr>
      <w:tr w14:paraId="474C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538D284A">
            <w:pPr>
              <w:spacing w:line="300" w:lineRule="auto"/>
              <w:jc w:val="center"/>
              <w:rPr>
                <w:rFonts w:hint="eastAsia" w:ascii="宋体" w:hAnsi="宋体" w:cs="宋体"/>
                <w:highlight w:val="none"/>
              </w:rPr>
            </w:pPr>
            <w:r>
              <w:rPr>
                <w:rFonts w:hint="eastAsia" w:ascii="宋体" w:hAnsi="宋体" w:cs="宋体"/>
                <w:highlight w:val="none"/>
              </w:rPr>
              <w:t>5.2</w:t>
            </w:r>
          </w:p>
        </w:tc>
        <w:tc>
          <w:tcPr>
            <w:tcW w:w="2694" w:type="dxa"/>
            <w:tcBorders>
              <w:top w:val="single" w:color="auto" w:sz="4" w:space="0"/>
              <w:left w:val="nil"/>
              <w:right w:val="single" w:color="auto" w:sz="4" w:space="0"/>
            </w:tcBorders>
            <w:noWrap w:val="0"/>
            <w:vAlign w:val="center"/>
          </w:tcPr>
          <w:p w14:paraId="37E7B979">
            <w:pPr>
              <w:jc w:val="center"/>
              <w:rPr>
                <w:rFonts w:hint="eastAsia" w:ascii="宋体" w:hAnsi="宋体" w:cs="宋体"/>
                <w:highlight w:val="none"/>
              </w:rPr>
            </w:pPr>
            <w:r>
              <w:rPr>
                <w:rFonts w:hint="eastAsia" w:ascii="宋体" w:hAnsi="宋体" w:cs="宋体"/>
                <w:highlight w:val="none"/>
              </w:rPr>
              <w:t>开标程序</w:t>
            </w:r>
          </w:p>
        </w:tc>
        <w:tc>
          <w:tcPr>
            <w:tcW w:w="6111" w:type="dxa"/>
            <w:tcBorders>
              <w:top w:val="single" w:color="auto" w:sz="4" w:space="0"/>
              <w:left w:val="nil"/>
              <w:bottom w:val="single" w:color="auto" w:sz="4" w:space="0"/>
              <w:right w:val="single" w:color="auto" w:sz="4" w:space="0"/>
            </w:tcBorders>
            <w:noWrap w:val="0"/>
            <w:vAlign w:val="center"/>
          </w:tcPr>
          <w:p w14:paraId="698D1026">
            <w:pPr>
              <w:rPr>
                <w:rFonts w:hint="eastAsia" w:ascii="宋体" w:hAnsi="宋体"/>
                <w:spacing w:val="4"/>
                <w:highlight w:val="none"/>
              </w:rPr>
            </w:pPr>
            <w:r>
              <w:rPr>
                <w:rFonts w:hint="eastAsia" w:ascii="宋体" w:hAnsi="宋体"/>
                <w:spacing w:val="4"/>
                <w:highlight w:val="none"/>
              </w:rPr>
              <w:t>电子招投标项目开标按下列程序进行：</w:t>
            </w:r>
          </w:p>
          <w:p w14:paraId="19E1992A">
            <w:pPr>
              <w:rPr>
                <w:rFonts w:hint="eastAsia" w:ascii="宋体" w:hAnsi="宋体"/>
                <w:spacing w:val="4"/>
                <w:highlight w:val="none"/>
              </w:rPr>
            </w:pPr>
            <w:r>
              <w:rPr>
                <w:rFonts w:hint="eastAsia" w:ascii="宋体" w:hAnsi="宋体"/>
                <w:spacing w:val="4"/>
                <w:highlight w:val="none"/>
              </w:rPr>
              <w:t>5.2.1主持人按下列程序进行开标：</w:t>
            </w:r>
          </w:p>
          <w:p w14:paraId="63A296D5">
            <w:pPr>
              <w:rPr>
                <w:rFonts w:hint="eastAsia" w:ascii="宋体" w:hAnsi="宋体"/>
                <w:spacing w:val="4"/>
                <w:highlight w:val="none"/>
              </w:rPr>
            </w:pPr>
            <w:r>
              <w:rPr>
                <w:rFonts w:hint="eastAsia" w:ascii="宋体" w:hAnsi="宋体"/>
                <w:spacing w:val="4"/>
                <w:highlight w:val="none"/>
              </w:rPr>
              <w:t>（1）宣布开标纪律；</w:t>
            </w:r>
          </w:p>
          <w:p w14:paraId="5C9CEB21">
            <w:pPr>
              <w:rPr>
                <w:rFonts w:hint="eastAsia" w:ascii="宋体" w:hAnsi="宋体"/>
                <w:spacing w:val="4"/>
                <w:highlight w:val="none"/>
              </w:rPr>
            </w:pPr>
            <w:r>
              <w:rPr>
                <w:rFonts w:hint="eastAsia" w:ascii="宋体" w:hAnsi="宋体"/>
                <w:spacing w:val="4"/>
                <w:highlight w:val="none"/>
              </w:rPr>
              <w:t>（2）公布在投标截止时间前递交投标文件的投标人名称；</w:t>
            </w:r>
          </w:p>
          <w:p w14:paraId="7231FDCF">
            <w:pPr>
              <w:rPr>
                <w:rFonts w:hint="eastAsia" w:ascii="宋体" w:hAnsi="宋体"/>
                <w:spacing w:val="4"/>
                <w:highlight w:val="none"/>
              </w:rPr>
            </w:pPr>
            <w:r>
              <w:rPr>
                <w:rFonts w:hint="eastAsia" w:ascii="宋体" w:hAnsi="宋体"/>
                <w:spacing w:val="4"/>
                <w:highlight w:val="none"/>
              </w:rPr>
              <w:t>（3）宣布开标人、唱标人、记录人、监标人等有关人员姓名；</w:t>
            </w:r>
          </w:p>
          <w:p w14:paraId="2D9947CC">
            <w:pPr>
              <w:rPr>
                <w:rFonts w:hint="eastAsia" w:ascii="宋体" w:hAnsi="宋体"/>
                <w:spacing w:val="4"/>
                <w:highlight w:val="none"/>
              </w:rPr>
            </w:pPr>
            <w:r>
              <w:rPr>
                <w:rFonts w:hint="eastAsia" w:ascii="宋体" w:hAnsi="宋体"/>
                <w:spacing w:val="4"/>
                <w:highlight w:val="none"/>
              </w:rPr>
              <w:t>（4）投标人通过交易中心数字交易平台对已递交的电子投标文件进行解密，公布招标项目名称，投标人名称、投标报价、监理服务期限及其他内容，并记录在案；</w:t>
            </w:r>
          </w:p>
          <w:p w14:paraId="3DB7A1E8">
            <w:pPr>
              <w:rPr>
                <w:rFonts w:hint="eastAsia" w:ascii="宋体" w:hAnsi="宋体" w:cs="宋体"/>
                <w:highlight w:val="none"/>
              </w:rPr>
            </w:pPr>
            <w:r>
              <w:rPr>
                <w:rFonts w:hint="eastAsia" w:ascii="宋体" w:hAnsi="宋体"/>
                <w:spacing w:val="4"/>
                <w:highlight w:val="none"/>
              </w:rPr>
              <w:t>（5）投标人代表、招标人代表、监标人、记录人等有关人员在开标记录上签字确认；若有关人员不签字的，不影响开标程序；</w:t>
            </w:r>
          </w:p>
          <w:p w14:paraId="7DA73C30">
            <w:pPr>
              <w:rPr>
                <w:rFonts w:hint="eastAsia" w:ascii="宋体" w:hAnsi="宋体"/>
                <w:spacing w:val="4"/>
                <w:highlight w:val="none"/>
              </w:rPr>
            </w:pPr>
            <w:r>
              <w:rPr>
                <w:rFonts w:hint="eastAsia" w:ascii="宋体" w:hAnsi="宋体"/>
                <w:spacing w:val="4"/>
                <w:highlight w:val="none"/>
              </w:rPr>
              <w:t>（6）开标结束。</w:t>
            </w:r>
          </w:p>
          <w:p w14:paraId="7375A92F">
            <w:pPr>
              <w:rPr>
                <w:rFonts w:hint="eastAsia" w:ascii="宋体" w:hAnsi="宋体"/>
                <w:spacing w:val="4"/>
                <w:highlight w:val="none"/>
              </w:rPr>
            </w:pPr>
            <w:r>
              <w:rPr>
                <w:rFonts w:hint="eastAsia" w:ascii="宋体" w:hAnsi="宋体" w:cs="宋体"/>
                <w:highlight w:val="none"/>
              </w:rPr>
              <w:t>5.2.2</w:t>
            </w:r>
            <w:r>
              <w:rPr>
                <w:rFonts w:hint="eastAsia" w:ascii="宋体" w:hAnsi="宋体"/>
                <w:spacing w:val="4"/>
                <w:highlight w:val="none"/>
              </w:rPr>
              <w:t>投标截止时间前未完成投标文件传输的或因投标人之外的原因造成投标文件未解密的或未在投标截止时间后半小时解密的，视为投标人其撤回投标文件。因投标人原因造成投标文件未解密的，视为撤销其投标文件。</w:t>
            </w:r>
          </w:p>
          <w:p w14:paraId="2A9CF250">
            <w:pPr>
              <w:rPr>
                <w:rFonts w:hint="eastAsia" w:ascii="宋体" w:hAnsi="宋体" w:cs="宋体"/>
                <w:highlight w:val="none"/>
              </w:rPr>
            </w:pPr>
            <w:r>
              <w:rPr>
                <w:rFonts w:hint="eastAsia" w:ascii="宋体" w:hAnsi="宋体" w:cs="宋体"/>
                <w:highlight w:val="none"/>
              </w:rPr>
              <w:t>5.2.3开标时，两个（含两个）以上的投标人加密打包投标文件电脑机器特征码一致的，不参与下一程序，并由评标委会否决其投标。</w:t>
            </w:r>
          </w:p>
        </w:tc>
      </w:tr>
      <w:tr w14:paraId="76D4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2D081020">
            <w:pPr>
              <w:spacing w:line="300" w:lineRule="auto"/>
              <w:jc w:val="center"/>
              <w:rPr>
                <w:rFonts w:hint="eastAsia" w:ascii="宋体" w:hAnsi="宋体" w:cs="宋体"/>
                <w:w w:val="99"/>
                <w:highlight w:val="none"/>
              </w:rPr>
            </w:pPr>
            <w:r>
              <w:rPr>
                <w:rFonts w:hint="eastAsia" w:ascii="宋体" w:hAnsi="宋体" w:cs="宋体"/>
                <w:highlight w:val="none"/>
              </w:rPr>
              <w:t>6.1.1</w:t>
            </w:r>
          </w:p>
        </w:tc>
        <w:tc>
          <w:tcPr>
            <w:tcW w:w="2694" w:type="dxa"/>
            <w:tcBorders>
              <w:top w:val="single" w:color="auto" w:sz="4" w:space="0"/>
              <w:left w:val="nil"/>
              <w:bottom w:val="single" w:color="auto" w:sz="4" w:space="0"/>
              <w:right w:val="single" w:color="auto" w:sz="4" w:space="0"/>
            </w:tcBorders>
            <w:noWrap w:val="0"/>
            <w:vAlign w:val="center"/>
          </w:tcPr>
          <w:p w14:paraId="7DAD15D2">
            <w:pPr>
              <w:jc w:val="center"/>
              <w:rPr>
                <w:rFonts w:hint="eastAsia" w:ascii="宋体" w:hAnsi="宋体" w:cs="宋体"/>
                <w:w w:val="99"/>
                <w:highlight w:val="none"/>
              </w:rPr>
            </w:pPr>
            <w:r>
              <w:rPr>
                <w:rFonts w:hint="eastAsia" w:ascii="宋体" w:hAnsi="宋体" w:cs="宋体"/>
                <w:highlight w:val="none"/>
              </w:rPr>
              <w:t>评标委员会的组建</w:t>
            </w:r>
          </w:p>
        </w:tc>
        <w:tc>
          <w:tcPr>
            <w:tcW w:w="6111" w:type="dxa"/>
            <w:tcBorders>
              <w:top w:val="single" w:color="auto" w:sz="4" w:space="0"/>
              <w:left w:val="nil"/>
              <w:bottom w:val="single" w:color="auto" w:sz="4" w:space="0"/>
              <w:right w:val="single" w:color="auto" w:sz="4" w:space="0"/>
            </w:tcBorders>
            <w:noWrap w:val="0"/>
            <w:vAlign w:val="center"/>
          </w:tcPr>
          <w:p w14:paraId="5CC693BD">
            <w:pPr>
              <w:rPr>
                <w:rFonts w:hint="eastAsia" w:ascii="宋体" w:hAnsi="宋体" w:cs="宋体"/>
                <w:highlight w:val="none"/>
              </w:rPr>
            </w:pPr>
            <w:r>
              <w:rPr>
                <w:rFonts w:hint="eastAsia" w:ascii="宋体" w:hAnsi="宋体" w:cs="宋体"/>
                <w:highlight w:val="none"/>
                <w:u w:val="single"/>
              </w:rPr>
              <w:t>评标委员会由招标人依法组建。</w:t>
            </w:r>
          </w:p>
        </w:tc>
      </w:tr>
      <w:tr w14:paraId="15BA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6CA267C0">
            <w:pPr>
              <w:spacing w:line="300" w:lineRule="auto"/>
              <w:jc w:val="center"/>
              <w:rPr>
                <w:rFonts w:hint="eastAsia" w:ascii="宋体" w:hAnsi="宋体" w:cs="宋体"/>
                <w:highlight w:val="none"/>
              </w:rPr>
            </w:pPr>
            <w:r>
              <w:rPr>
                <w:rFonts w:hint="eastAsia" w:ascii="宋体" w:hAnsi="宋体" w:cs="宋体"/>
                <w:highlight w:val="none"/>
              </w:rPr>
              <w:t>6.3.2</w:t>
            </w:r>
          </w:p>
        </w:tc>
        <w:tc>
          <w:tcPr>
            <w:tcW w:w="2694" w:type="dxa"/>
            <w:tcBorders>
              <w:top w:val="single" w:color="auto" w:sz="4" w:space="0"/>
              <w:left w:val="nil"/>
              <w:bottom w:val="single" w:color="auto" w:sz="4" w:space="0"/>
              <w:right w:val="single" w:color="auto" w:sz="4" w:space="0"/>
            </w:tcBorders>
            <w:noWrap w:val="0"/>
            <w:vAlign w:val="center"/>
          </w:tcPr>
          <w:p w14:paraId="1773F3DD">
            <w:pPr>
              <w:jc w:val="center"/>
              <w:rPr>
                <w:rFonts w:hint="eastAsia" w:ascii="宋体" w:hAnsi="宋体" w:cs="宋体"/>
                <w:highlight w:val="none"/>
              </w:rPr>
            </w:pPr>
            <w:r>
              <w:rPr>
                <w:rFonts w:hint="eastAsia" w:ascii="宋体" w:hAnsi="宋体" w:cs="宋体"/>
                <w:highlight w:val="none"/>
              </w:rPr>
              <w:t>评标委员会推荐中标候选人的人数</w:t>
            </w:r>
          </w:p>
        </w:tc>
        <w:tc>
          <w:tcPr>
            <w:tcW w:w="6111" w:type="dxa"/>
            <w:tcBorders>
              <w:top w:val="single" w:color="auto" w:sz="4" w:space="0"/>
              <w:left w:val="nil"/>
              <w:bottom w:val="single" w:color="auto" w:sz="4" w:space="0"/>
              <w:right w:val="single" w:color="auto" w:sz="4" w:space="0"/>
            </w:tcBorders>
            <w:noWrap w:val="0"/>
            <w:vAlign w:val="center"/>
          </w:tcPr>
          <w:p w14:paraId="62519773">
            <w:pPr>
              <w:rPr>
                <w:rFonts w:hint="eastAsia" w:ascii="宋体" w:hAnsi="宋体" w:cs="宋体"/>
                <w:highlight w:val="none"/>
              </w:rPr>
            </w:pPr>
            <w:r>
              <w:rPr>
                <w:rFonts w:hint="eastAsia" w:ascii="宋体" w:hAnsi="宋体" w:cs="宋体"/>
                <w:highlight w:val="none"/>
                <w:u w:val="single"/>
              </w:rPr>
              <w:t xml:space="preserve"> 3</w:t>
            </w:r>
            <w:r>
              <w:rPr>
                <w:rFonts w:hint="eastAsia" w:ascii="宋体" w:hAnsi="宋体" w:cs="宋体"/>
                <w:highlight w:val="none"/>
              </w:rPr>
              <w:t>名。</w:t>
            </w:r>
          </w:p>
        </w:tc>
      </w:tr>
      <w:tr w14:paraId="22B4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523C44EA">
            <w:pPr>
              <w:spacing w:line="300" w:lineRule="auto"/>
              <w:jc w:val="center"/>
              <w:rPr>
                <w:rFonts w:ascii="宋体" w:hAnsi="宋体"/>
                <w:highlight w:val="none"/>
              </w:rPr>
            </w:pPr>
            <w:r>
              <w:rPr>
                <w:rFonts w:hint="eastAsia" w:ascii="宋体" w:hAnsi="宋体"/>
                <w:highlight w:val="none"/>
              </w:rPr>
              <w:t>7.1</w:t>
            </w:r>
          </w:p>
        </w:tc>
        <w:tc>
          <w:tcPr>
            <w:tcW w:w="2694" w:type="dxa"/>
            <w:tcBorders>
              <w:top w:val="single" w:color="auto" w:sz="4" w:space="0"/>
              <w:left w:val="nil"/>
              <w:bottom w:val="single" w:color="auto" w:sz="4" w:space="0"/>
              <w:right w:val="single" w:color="auto" w:sz="4" w:space="0"/>
            </w:tcBorders>
            <w:noWrap w:val="0"/>
            <w:vAlign w:val="center"/>
          </w:tcPr>
          <w:p w14:paraId="51D10992">
            <w:pPr>
              <w:jc w:val="center"/>
              <w:rPr>
                <w:rFonts w:hint="eastAsia" w:ascii="宋体" w:hAnsi="宋体"/>
                <w:highlight w:val="none"/>
              </w:rPr>
            </w:pPr>
            <w:r>
              <w:rPr>
                <w:rFonts w:hint="eastAsia" w:ascii="宋体" w:hAnsi="宋体"/>
                <w:highlight w:val="none"/>
              </w:rPr>
              <w:t>中标候选人公示媒介</w:t>
            </w:r>
          </w:p>
          <w:p w14:paraId="0E41BA2D">
            <w:pPr>
              <w:jc w:val="center"/>
              <w:rPr>
                <w:rFonts w:ascii="宋体" w:hAnsi="宋体"/>
                <w:highlight w:val="none"/>
              </w:rPr>
            </w:pPr>
            <w:r>
              <w:rPr>
                <w:rFonts w:hint="eastAsia" w:ascii="宋体" w:hAnsi="宋体"/>
                <w:highlight w:val="none"/>
              </w:rPr>
              <w:t>及期限</w:t>
            </w:r>
          </w:p>
        </w:tc>
        <w:tc>
          <w:tcPr>
            <w:tcW w:w="6111" w:type="dxa"/>
            <w:tcBorders>
              <w:top w:val="single" w:color="auto" w:sz="4" w:space="0"/>
              <w:left w:val="nil"/>
              <w:bottom w:val="single" w:color="auto" w:sz="4" w:space="0"/>
              <w:right w:val="single" w:color="auto" w:sz="4" w:space="0"/>
            </w:tcBorders>
            <w:noWrap w:val="0"/>
            <w:vAlign w:val="center"/>
          </w:tcPr>
          <w:p w14:paraId="6C35F6CD">
            <w:pPr>
              <w:widowControl/>
              <w:jc w:val="left"/>
              <w:rPr>
                <w:rFonts w:ascii="宋体" w:hAnsi="宋体"/>
                <w:highlight w:val="none"/>
              </w:rPr>
            </w:pPr>
            <w:r>
              <w:rPr>
                <w:rFonts w:hint="eastAsia" w:ascii="宋体" w:hAnsi="宋体"/>
                <w:highlight w:val="none"/>
              </w:rPr>
              <w:t>公示媒介：中国招标投标公共服务平台、广东省招标投标监管网、广州公共资源交易中心网。</w:t>
            </w:r>
          </w:p>
          <w:p w14:paraId="4E7E028D">
            <w:pPr>
              <w:rPr>
                <w:rFonts w:ascii="宋体" w:hAnsi="宋体"/>
                <w:highlight w:val="none"/>
              </w:rPr>
            </w:pPr>
            <w:r>
              <w:rPr>
                <w:rFonts w:hint="eastAsia" w:ascii="宋体" w:hAnsi="宋体"/>
                <w:highlight w:val="none"/>
              </w:rPr>
              <w:t>公示期限：</w:t>
            </w:r>
            <w:r>
              <w:rPr>
                <w:rFonts w:hint="eastAsia" w:ascii="宋体" w:hAnsi="宋体"/>
                <w:highlight w:val="none"/>
                <w:u w:val="single"/>
              </w:rPr>
              <w:t>3日（</w:t>
            </w:r>
            <w:r>
              <w:rPr>
                <w:rFonts w:hint="eastAsia" w:ascii="宋体" w:hAnsi="宋体" w:cs="宋体"/>
                <w:highlight w:val="none"/>
                <w:u w:val="single"/>
              </w:rPr>
              <w:t>最后一天应为工作日）</w:t>
            </w:r>
            <w:r>
              <w:rPr>
                <w:rFonts w:hint="eastAsia" w:ascii="宋体" w:hAnsi="宋体"/>
                <w:highlight w:val="none"/>
              </w:rPr>
              <w:t>。</w:t>
            </w:r>
          </w:p>
        </w:tc>
      </w:tr>
      <w:tr w14:paraId="023E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1262C781">
            <w:pPr>
              <w:spacing w:line="300" w:lineRule="auto"/>
              <w:jc w:val="center"/>
              <w:rPr>
                <w:rFonts w:ascii="宋体" w:hAnsi="宋体"/>
                <w:highlight w:val="none"/>
              </w:rPr>
            </w:pPr>
            <w:r>
              <w:rPr>
                <w:rFonts w:hint="eastAsia" w:ascii="宋体" w:hAnsi="宋体"/>
                <w:highlight w:val="none"/>
              </w:rPr>
              <w:t>7.4</w:t>
            </w:r>
          </w:p>
        </w:tc>
        <w:tc>
          <w:tcPr>
            <w:tcW w:w="2694" w:type="dxa"/>
            <w:tcBorders>
              <w:top w:val="single" w:color="auto" w:sz="4" w:space="0"/>
              <w:left w:val="nil"/>
              <w:bottom w:val="single" w:color="auto" w:sz="4" w:space="0"/>
              <w:right w:val="single" w:color="auto" w:sz="4" w:space="0"/>
            </w:tcBorders>
            <w:noWrap w:val="0"/>
            <w:vAlign w:val="center"/>
          </w:tcPr>
          <w:p w14:paraId="4922A24A">
            <w:pPr>
              <w:jc w:val="center"/>
              <w:rPr>
                <w:rFonts w:ascii="宋体" w:hAnsi="宋体"/>
                <w:highlight w:val="none"/>
              </w:rPr>
            </w:pPr>
            <w:r>
              <w:rPr>
                <w:rFonts w:hint="eastAsia" w:ascii="宋体" w:hAnsi="宋体"/>
                <w:highlight w:val="none"/>
              </w:rPr>
              <w:t>是否授权评标委员会确定中标人</w:t>
            </w:r>
          </w:p>
        </w:tc>
        <w:tc>
          <w:tcPr>
            <w:tcW w:w="6111" w:type="dxa"/>
            <w:tcBorders>
              <w:top w:val="single" w:color="auto" w:sz="4" w:space="0"/>
              <w:left w:val="nil"/>
              <w:bottom w:val="single" w:color="auto" w:sz="4" w:space="0"/>
              <w:right w:val="single" w:color="auto" w:sz="4" w:space="0"/>
            </w:tcBorders>
            <w:noWrap w:val="0"/>
            <w:vAlign w:val="center"/>
          </w:tcPr>
          <w:p w14:paraId="380FD668">
            <w:pPr>
              <w:rPr>
                <w:rFonts w:ascii="宋体" w:hAnsi="宋体"/>
                <w:highlight w:val="none"/>
              </w:rPr>
            </w:pPr>
            <w:r>
              <w:rPr>
                <w:rFonts w:hint="eastAsia" w:ascii="宋体" w:hAnsi="宋体"/>
                <w:highlight w:val="none"/>
              </w:rPr>
              <w:t>□是</w:t>
            </w:r>
          </w:p>
          <w:p w14:paraId="732677E5">
            <w:pPr>
              <w:rPr>
                <w:rFonts w:ascii="宋体" w:hAnsi="宋体"/>
                <w:highlight w:val="none"/>
              </w:rPr>
            </w:pPr>
            <w:r>
              <w:rPr>
                <w:rFonts w:hint="eastAsia" w:ascii="宋体" w:hAnsi="宋体" w:cs="宋体"/>
                <w:highlight w:val="none"/>
              </w:rPr>
              <w:t>■</w:t>
            </w:r>
            <w:r>
              <w:rPr>
                <w:rFonts w:hint="eastAsia" w:ascii="宋体" w:hAnsi="宋体"/>
                <w:highlight w:val="none"/>
              </w:rPr>
              <w:t>否  推荐的中标候选人数：3</w:t>
            </w:r>
          </w:p>
        </w:tc>
      </w:tr>
      <w:tr w14:paraId="0035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2DC4124D">
            <w:pPr>
              <w:spacing w:line="300" w:lineRule="auto"/>
              <w:jc w:val="center"/>
              <w:rPr>
                <w:rFonts w:ascii="宋体" w:hAnsi="宋体"/>
                <w:highlight w:val="none"/>
              </w:rPr>
            </w:pPr>
            <w:r>
              <w:rPr>
                <w:rFonts w:hint="eastAsia" w:ascii="宋体" w:hAnsi="宋体"/>
                <w:highlight w:val="none"/>
              </w:rPr>
              <w:t>7.6.1</w:t>
            </w:r>
          </w:p>
        </w:tc>
        <w:tc>
          <w:tcPr>
            <w:tcW w:w="2694" w:type="dxa"/>
            <w:tcBorders>
              <w:top w:val="single" w:color="auto" w:sz="4" w:space="0"/>
              <w:left w:val="nil"/>
              <w:bottom w:val="single" w:color="auto" w:sz="4" w:space="0"/>
              <w:right w:val="single" w:color="auto" w:sz="4" w:space="0"/>
            </w:tcBorders>
            <w:noWrap w:val="0"/>
            <w:vAlign w:val="center"/>
          </w:tcPr>
          <w:p w14:paraId="2CD52990">
            <w:pPr>
              <w:jc w:val="center"/>
              <w:rPr>
                <w:rFonts w:ascii="宋体" w:hAnsi="宋体"/>
                <w:highlight w:val="none"/>
              </w:rPr>
            </w:pPr>
            <w:r>
              <w:rPr>
                <w:rFonts w:hint="eastAsia" w:ascii="宋体" w:hAnsi="宋体"/>
                <w:highlight w:val="none"/>
              </w:rPr>
              <w:t>履约保证金</w:t>
            </w:r>
          </w:p>
        </w:tc>
        <w:tc>
          <w:tcPr>
            <w:tcW w:w="6111" w:type="dxa"/>
            <w:tcBorders>
              <w:top w:val="single" w:color="auto" w:sz="4" w:space="0"/>
              <w:left w:val="nil"/>
              <w:bottom w:val="single" w:color="auto" w:sz="4" w:space="0"/>
              <w:right w:val="single" w:color="auto" w:sz="4" w:space="0"/>
            </w:tcBorders>
            <w:noWrap w:val="0"/>
            <w:vAlign w:val="center"/>
          </w:tcPr>
          <w:p w14:paraId="6E4F3DB2">
            <w:pPr>
              <w:rPr>
                <w:rFonts w:ascii="宋体" w:hAnsi="宋体"/>
                <w:highlight w:val="none"/>
              </w:rPr>
            </w:pPr>
            <w:r>
              <w:rPr>
                <w:rFonts w:hint="eastAsia" w:ascii="宋体" w:hAnsi="宋体"/>
                <w:highlight w:val="none"/>
              </w:rPr>
              <w:t>是否要求中标人提交履约保证金：</w:t>
            </w:r>
          </w:p>
          <w:p w14:paraId="7F6ADDB1">
            <w:pPr>
              <w:rPr>
                <w:rFonts w:hint="eastAsia" w:ascii="宋体" w:hAnsi="宋体"/>
                <w:highlight w:val="none"/>
              </w:rPr>
            </w:pPr>
            <w:r>
              <w:rPr>
                <w:rFonts w:hint="eastAsia" w:ascii="宋体" w:hAnsi="宋体" w:cs="宋体"/>
                <w:highlight w:val="none"/>
              </w:rPr>
              <w:t>□</w:t>
            </w:r>
            <w:r>
              <w:rPr>
                <w:rFonts w:hint="eastAsia" w:ascii="宋体" w:hAnsi="宋体"/>
                <w:highlight w:val="none"/>
              </w:rPr>
              <w:t>要求，履约保证金的形式：</w:t>
            </w:r>
          </w:p>
          <w:p w14:paraId="15180AD9">
            <w:pPr>
              <w:rPr>
                <w:rFonts w:ascii="宋体" w:hAnsi="宋体"/>
                <w:highlight w:val="none"/>
              </w:rPr>
            </w:pPr>
            <w:r>
              <w:rPr>
                <w:rFonts w:hint="eastAsia" w:ascii="宋体" w:hAnsi="宋体" w:cs="宋体"/>
                <w:highlight w:val="none"/>
              </w:rPr>
              <w:t>■不要求</w:t>
            </w:r>
          </w:p>
        </w:tc>
      </w:tr>
      <w:tr w14:paraId="484C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581D92F9">
            <w:pPr>
              <w:spacing w:line="300" w:lineRule="auto"/>
              <w:jc w:val="center"/>
              <w:rPr>
                <w:rFonts w:ascii="宋体" w:hAnsi="宋体"/>
                <w:highlight w:val="none"/>
              </w:rPr>
            </w:pPr>
            <w:r>
              <w:rPr>
                <w:rFonts w:hint="eastAsia" w:ascii="宋体" w:hAnsi="宋体"/>
                <w:highlight w:val="none"/>
              </w:rPr>
              <w:t>9</w:t>
            </w:r>
          </w:p>
        </w:tc>
        <w:tc>
          <w:tcPr>
            <w:tcW w:w="2694" w:type="dxa"/>
            <w:tcBorders>
              <w:top w:val="single" w:color="auto" w:sz="4" w:space="0"/>
              <w:left w:val="nil"/>
              <w:bottom w:val="single" w:color="auto" w:sz="4" w:space="0"/>
              <w:right w:val="single" w:color="auto" w:sz="4" w:space="0"/>
            </w:tcBorders>
            <w:noWrap w:val="0"/>
            <w:vAlign w:val="center"/>
          </w:tcPr>
          <w:p w14:paraId="5F332041">
            <w:pPr>
              <w:jc w:val="center"/>
              <w:rPr>
                <w:rFonts w:ascii="宋体" w:hAnsi="宋体"/>
                <w:highlight w:val="none"/>
              </w:rPr>
            </w:pPr>
            <w:r>
              <w:rPr>
                <w:rFonts w:hint="eastAsia" w:ascii="宋体" w:hAnsi="宋体"/>
                <w:highlight w:val="none"/>
              </w:rPr>
              <w:t>是否采用电子招标投标</w:t>
            </w:r>
          </w:p>
        </w:tc>
        <w:tc>
          <w:tcPr>
            <w:tcW w:w="6111" w:type="dxa"/>
            <w:tcBorders>
              <w:top w:val="single" w:color="auto" w:sz="4" w:space="0"/>
              <w:left w:val="nil"/>
              <w:bottom w:val="single" w:color="auto" w:sz="4" w:space="0"/>
              <w:right w:val="single" w:color="auto" w:sz="4" w:space="0"/>
            </w:tcBorders>
            <w:noWrap w:val="0"/>
            <w:vAlign w:val="center"/>
          </w:tcPr>
          <w:p w14:paraId="1A5AF0EF">
            <w:pPr>
              <w:rPr>
                <w:rFonts w:hint="eastAsia" w:ascii="宋体" w:hAnsi="宋体" w:cs="宋体"/>
                <w:highlight w:val="none"/>
              </w:rPr>
            </w:pPr>
            <w:r>
              <w:rPr>
                <w:rFonts w:hint="eastAsia" w:ascii="宋体" w:hAnsi="宋体" w:cs="宋体"/>
                <w:highlight w:val="none"/>
              </w:rPr>
              <w:t>□否</w:t>
            </w:r>
          </w:p>
          <w:p w14:paraId="5872815E">
            <w:pPr>
              <w:rPr>
                <w:rFonts w:hint="eastAsia" w:ascii="宋体" w:hAnsi="宋体" w:cs="宋体"/>
                <w:highlight w:val="none"/>
              </w:rPr>
            </w:pPr>
            <w:r>
              <w:rPr>
                <w:rFonts w:hint="eastAsia" w:ascii="宋体" w:hAnsi="宋体" w:cs="宋体"/>
                <w:highlight w:val="none"/>
              </w:rPr>
              <w:t>■是，具体要求：</w:t>
            </w:r>
          </w:p>
          <w:p w14:paraId="17413347">
            <w:pPr>
              <w:autoSpaceDE w:val="0"/>
              <w:rPr>
                <w:rFonts w:hint="eastAsia" w:ascii="宋体" w:hAnsi="宋体" w:cs="宋体"/>
                <w:highlight w:val="none"/>
              </w:rPr>
            </w:pPr>
            <w:r>
              <w:rPr>
                <w:rFonts w:hint="eastAsia" w:ascii="宋体" w:hAnsi="宋体" w:cs="宋体"/>
                <w:highlight w:val="none"/>
              </w:rPr>
              <w:t>1.有关无纸化电子招投标的操作手册可自行在广州公共资源交易中心网站相关栏目下载。</w:t>
            </w:r>
          </w:p>
          <w:p w14:paraId="22650B71">
            <w:pPr>
              <w:rPr>
                <w:rFonts w:hint="eastAsia" w:ascii="宋体" w:hAnsi="宋体" w:cs="宋体"/>
                <w:highlight w:val="none"/>
              </w:rPr>
            </w:pPr>
            <w:r>
              <w:rPr>
                <w:rFonts w:hint="eastAsia" w:ascii="宋体" w:hAnsi="宋体" w:cs="宋体"/>
                <w:highlight w:val="none"/>
              </w:rPr>
              <w:t>2.提交投标文件光盘备用</w:t>
            </w:r>
          </w:p>
          <w:p w14:paraId="54063A68">
            <w:pPr>
              <w:rPr>
                <w:rFonts w:hint="eastAsia" w:ascii="宋体" w:hAnsi="宋体" w:cs="宋体"/>
                <w:highlight w:val="none"/>
                <w:u w:val="single"/>
              </w:rPr>
            </w:pPr>
            <w:r>
              <w:rPr>
                <w:rFonts w:hint="eastAsia" w:ascii="宋体" w:hAnsi="宋体" w:cs="宋体"/>
                <w:highlight w:val="none"/>
                <w:u w:val="single"/>
              </w:rPr>
              <w:t>投标人可按无纸化电子招投标操作手册的操作方法制作的非加密的电子投标文件刻入光盘（1份），在规定的时间、地点提交备用。刻录好的投标文件光盘密封在密封袋中，并在封口处加盖投标人单位公章。密封袋上应写明项目名称及投标人名称。现场递交的投标文件（光盘）不得加密。光盘（投标文件）无法读取或导入的，则视为未提交备用投标文件光盘。如果投标人没有按规定通过交易平台网上递交电子投标文件的，不再读取提交的光盘。</w:t>
            </w:r>
          </w:p>
          <w:p w14:paraId="1A760932">
            <w:pPr>
              <w:rPr>
                <w:rFonts w:hint="eastAsia" w:ascii="宋体" w:hAnsi="宋体" w:cs="宋体"/>
                <w:highlight w:val="none"/>
              </w:rPr>
            </w:pPr>
            <w:r>
              <w:rPr>
                <w:rFonts w:hint="eastAsia" w:ascii="宋体" w:hAnsi="宋体" w:cs="宋体"/>
                <w:highlight w:val="none"/>
              </w:rPr>
              <w:t>3.补救方案</w:t>
            </w:r>
          </w:p>
          <w:p w14:paraId="2D6FD84D">
            <w:pPr>
              <w:rPr>
                <w:rFonts w:hint="eastAsia" w:ascii="宋体" w:hAnsi="宋体" w:cs="宋体"/>
                <w:highlight w:val="none"/>
                <w:u w:val="single"/>
              </w:rPr>
            </w:pPr>
            <w:r>
              <w:rPr>
                <w:rFonts w:hint="eastAsia" w:ascii="宋体" w:hAnsi="宋体" w:cs="宋体"/>
                <w:highlight w:val="none"/>
                <w:u w:val="single"/>
              </w:rPr>
              <w:t>（1）投标文件解密失败的补救方案：</w:t>
            </w:r>
          </w:p>
          <w:p w14:paraId="5D0FBEA3">
            <w:pPr>
              <w:rPr>
                <w:rFonts w:hint="eastAsia" w:ascii="宋体" w:hAnsi="宋体" w:cs="宋体"/>
                <w:highlight w:val="none"/>
                <w:u w:val="single"/>
              </w:rPr>
            </w:pPr>
            <w:r>
              <w:rPr>
                <w:rFonts w:hint="eastAsia" w:ascii="宋体" w:hAnsi="宋体" w:cs="宋体"/>
                <w:highlight w:val="none"/>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14:paraId="5170B755">
            <w:pPr>
              <w:rPr>
                <w:rFonts w:hint="eastAsia" w:ascii="宋体" w:hAnsi="宋体" w:cs="宋体"/>
                <w:highlight w:val="none"/>
                <w:u w:val="single"/>
              </w:rPr>
            </w:pPr>
            <w:r>
              <w:rPr>
                <w:rFonts w:hint="eastAsia" w:ascii="宋体" w:hAnsi="宋体" w:cs="宋体"/>
                <w:highlight w:val="none"/>
                <w:u w:val="single"/>
              </w:rPr>
              <w:t>（2）评标时突发情况的补救方案</w:t>
            </w:r>
          </w:p>
          <w:p w14:paraId="07BB9BD3">
            <w:pPr>
              <w:rPr>
                <w:rFonts w:hint="eastAsia" w:ascii="宋体" w:hAnsi="宋体" w:cs="宋体"/>
                <w:highlight w:val="none"/>
                <w:u w:val="single"/>
              </w:rPr>
            </w:pPr>
            <w:r>
              <w:rPr>
                <w:rFonts w:hint="eastAsia" w:ascii="宋体" w:hAnsi="宋体" w:cs="宋体"/>
                <w:highlight w:val="none"/>
                <w:u w:val="single"/>
              </w:rPr>
              <w:t>若遇不可抗力发生（如：网络瘫痪、服务器损坏、交易系统故障短期无法恢复等因素），由评标委员会开启递交的全部投标文件光盘，并按光盘内容进行评审。</w:t>
            </w:r>
          </w:p>
          <w:p w14:paraId="07527480">
            <w:pPr>
              <w:autoSpaceDE w:val="0"/>
              <w:rPr>
                <w:rFonts w:ascii="宋体" w:hAnsi="宋体"/>
                <w:highlight w:val="none"/>
                <w:u w:val="single"/>
              </w:rPr>
            </w:pPr>
            <w:r>
              <w:rPr>
                <w:rFonts w:hint="eastAsia" w:ascii="宋体" w:hAnsi="宋体" w:cs="宋体"/>
                <w:highlight w:val="none"/>
                <w:u w:val="single"/>
              </w:rPr>
              <w:t>（3）除发生上述情况外，开标评标均以投标人通过交易平台网上递交的电子投标文件为准。</w:t>
            </w:r>
          </w:p>
        </w:tc>
      </w:tr>
      <w:tr w14:paraId="09E2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1A0C8C25">
            <w:pPr>
              <w:rPr>
                <w:rFonts w:hint="eastAsia" w:ascii="宋体" w:hAnsi="宋体" w:cs="宋体"/>
                <w:highlight w:val="none"/>
              </w:rPr>
            </w:pPr>
            <w:r>
              <w:rPr>
                <w:rFonts w:hint="eastAsia" w:ascii="宋体" w:hAnsi="宋体" w:cs="宋体"/>
                <w:highlight w:val="none"/>
              </w:rPr>
              <w:t>10</w:t>
            </w:r>
          </w:p>
        </w:tc>
        <w:tc>
          <w:tcPr>
            <w:tcW w:w="2694" w:type="dxa"/>
            <w:tcBorders>
              <w:top w:val="single" w:color="auto" w:sz="4" w:space="0"/>
              <w:left w:val="nil"/>
              <w:bottom w:val="single" w:color="auto" w:sz="4" w:space="0"/>
              <w:right w:val="single" w:color="auto" w:sz="4" w:space="0"/>
            </w:tcBorders>
            <w:noWrap w:val="0"/>
            <w:vAlign w:val="center"/>
          </w:tcPr>
          <w:p w14:paraId="402B78D2">
            <w:pPr>
              <w:jc w:val="center"/>
              <w:rPr>
                <w:rFonts w:hint="eastAsia" w:ascii="宋体" w:hAnsi="宋体" w:cs="宋体"/>
                <w:highlight w:val="none"/>
              </w:rPr>
            </w:pPr>
            <w:r>
              <w:rPr>
                <w:rFonts w:hint="eastAsia" w:ascii="宋体" w:hAnsi="宋体" w:cs="宋体"/>
                <w:highlight w:val="none"/>
              </w:rPr>
              <w:t>需要补充的其他内容</w:t>
            </w:r>
          </w:p>
        </w:tc>
        <w:tc>
          <w:tcPr>
            <w:tcW w:w="6111" w:type="dxa"/>
            <w:tcBorders>
              <w:top w:val="single" w:color="auto" w:sz="4" w:space="0"/>
              <w:left w:val="nil"/>
              <w:bottom w:val="single" w:color="auto" w:sz="4" w:space="0"/>
              <w:right w:val="single" w:color="auto" w:sz="4" w:space="0"/>
            </w:tcBorders>
            <w:noWrap w:val="0"/>
            <w:vAlign w:val="center"/>
          </w:tcPr>
          <w:p w14:paraId="52252E5F">
            <w:pPr>
              <w:rPr>
                <w:rFonts w:hint="eastAsia" w:ascii="宋体" w:hAnsi="宋体"/>
                <w:highlight w:val="none"/>
              </w:rPr>
            </w:pPr>
            <w:r>
              <w:rPr>
                <w:rFonts w:hint="eastAsia" w:ascii="宋体" w:hAnsi="宋体"/>
                <w:highlight w:val="none"/>
              </w:rPr>
              <w:t>10.1发出中标通知书前，中标人未被纳入“信用广州”网站公布的“失信黑名单”，否则招标人将取消其中标资格。中标后，中标人须提供与电子投标文件一致的纸质版投标文件一正</w:t>
            </w:r>
            <w:r>
              <w:rPr>
                <w:rFonts w:hint="eastAsia" w:ascii="宋体" w:hAnsi="宋体"/>
                <w:highlight w:val="none"/>
                <w:lang w:eastAsia="zh-CN"/>
              </w:rPr>
              <w:t>三</w:t>
            </w:r>
            <w:r>
              <w:rPr>
                <w:rFonts w:hint="eastAsia" w:ascii="宋体" w:hAnsi="宋体"/>
                <w:highlight w:val="none"/>
              </w:rPr>
              <w:t>副</w:t>
            </w:r>
            <w:r>
              <w:rPr>
                <w:rFonts w:hint="eastAsia"/>
                <w:highlight w:val="none"/>
              </w:rPr>
              <w:t>给招标人</w:t>
            </w:r>
            <w:r>
              <w:rPr>
                <w:rFonts w:hint="eastAsia" w:ascii="宋体" w:hAnsi="宋体"/>
                <w:highlight w:val="none"/>
              </w:rPr>
              <w:t>。</w:t>
            </w:r>
          </w:p>
          <w:p w14:paraId="00CD3E79">
            <w:pPr>
              <w:rPr>
                <w:rFonts w:hint="eastAsia" w:ascii="宋体" w:hAnsi="宋体" w:cs="Arial"/>
                <w:highlight w:val="none"/>
              </w:rPr>
            </w:pPr>
            <w:r>
              <w:rPr>
                <w:rFonts w:hint="eastAsia" w:ascii="宋体" w:hAnsi="宋体" w:cs="Arial"/>
                <w:highlight w:val="none"/>
              </w:rPr>
              <w:t>10.2交易服务费</w:t>
            </w:r>
          </w:p>
          <w:p w14:paraId="43DEB250">
            <w:pPr>
              <w:rPr>
                <w:rFonts w:hint="eastAsia" w:ascii="宋体" w:hAnsi="宋体"/>
                <w:highlight w:val="none"/>
              </w:rPr>
            </w:pPr>
            <w:r>
              <w:rPr>
                <w:rFonts w:hint="eastAsia" w:ascii="宋体" w:hAnsi="宋体"/>
                <w:highlight w:val="none"/>
              </w:rPr>
              <w:t>中标人</w:t>
            </w:r>
            <w:r>
              <w:rPr>
                <w:rFonts w:ascii="宋体" w:hAnsi="宋体"/>
                <w:highlight w:val="none"/>
              </w:rPr>
              <w:t>应按</w:t>
            </w:r>
            <w:r>
              <w:rPr>
                <w:rFonts w:hint="eastAsia" w:ascii="宋体" w:hAnsi="宋体"/>
                <w:highlight w:val="none"/>
              </w:rPr>
              <w:t>招标人</w:t>
            </w:r>
            <w:r>
              <w:rPr>
                <w:rFonts w:ascii="宋体" w:hAnsi="宋体"/>
                <w:highlight w:val="none"/>
              </w:rPr>
              <w:t>通知的日期</w:t>
            </w:r>
            <w:r>
              <w:rPr>
                <w:rFonts w:hint="eastAsia" w:ascii="宋体" w:hAnsi="宋体"/>
                <w:highlight w:val="none"/>
              </w:rPr>
              <w:t>向广州公共资源交易中心缴纳交易服务费、向广州公共资源交易中心索取发票，并在取得发票后及时告知招标代理。（该交易服务费为中标金额的</w:t>
            </w:r>
            <w:r>
              <w:rPr>
                <w:rFonts w:ascii="宋体" w:hAnsi="宋体"/>
                <w:highlight w:val="none"/>
              </w:rPr>
              <w:t>0.9‰</w:t>
            </w:r>
            <w:r>
              <w:rPr>
                <w:rFonts w:hint="eastAsia" w:ascii="宋体" w:hAnsi="宋体"/>
                <w:highlight w:val="none"/>
              </w:rPr>
              <w:t>，具体收费标准投标人可以在广州公共资源交易中心网站查阅，如有变更以广州公共资源交易中心最新发布的标准为准）。</w:t>
            </w:r>
          </w:p>
          <w:p w14:paraId="5E714C08">
            <w:pPr>
              <w:rPr>
                <w:rFonts w:hint="eastAsia" w:ascii="宋体" w:hAnsi="宋体"/>
                <w:highlight w:val="none"/>
              </w:rPr>
            </w:pPr>
            <w:r>
              <w:rPr>
                <w:rFonts w:hint="eastAsia" w:ascii="宋体" w:hAnsi="宋体"/>
                <w:highlight w:val="none"/>
              </w:rPr>
              <w:t>10.3招标代理费</w:t>
            </w:r>
          </w:p>
          <w:p w14:paraId="184F5F48">
            <w:pPr>
              <w:rPr>
                <w:rFonts w:hint="eastAsia" w:ascii="宋体" w:hAnsi="宋体"/>
                <w:highlight w:val="none"/>
              </w:rPr>
            </w:pPr>
            <w:r>
              <w:rPr>
                <w:rFonts w:hint="eastAsia" w:ascii="宋体" w:hAnsi="宋体" w:cs="宋体"/>
                <w:highlight w:val="none"/>
              </w:rPr>
              <w:t>本项目招标代理服务费由中标人支付，金额以招标人与招标代理机构签订的招标代理合同为准。招标代理服务费用在中标人领取本项目中标通知书前一次性向招标代理单位交纳。</w:t>
            </w:r>
          </w:p>
        </w:tc>
      </w:tr>
    </w:tbl>
    <w:p w14:paraId="2A8013B5">
      <w:pPr>
        <w:pStyle w:val="9"/>
        <w:ind w:firstLine="482"/>
        <w:jc w:val="center"/>
        <w:rPr>
          <w:rFonts w:hint="eastAsia" w:ascii="宋体" w:hAnsi="宋体"/>
          <w:sz w:val="21"/>
          <w:szCs w:val="21"/>
          <w:highlight w:val="none"/>
        </w:rPr>
      </w:pPr>
      <w:r>
        <w:rPr>
          <w:rFonts w:hint="eastAsia" w:ascii="宋体" w:hAnsi="宋体"/>
          <w:highlight w:val="none"/>
        </w:rPr>
        <w:br w:type="page"/>
      </w:r>
      <w:bookmarkStart w:id="39" w:name="_Toc25165"/>
      <w:bookmarkEnd w:id="39"/>
      <w:bookmarkStart w:id="40" w:name="_Toc514170121"/>
      <w:bookmarkEnd w:id="40"/>
      <w:bookmarkStart w:id="41" w:name="_Toc30533"/>
      <w:bookmarkEnd w:id="41"/>
      <w:bookmarkStart w:id="42" w:name="_Toc9855"/>
      <w:bookmarkEnd w:id="42"/>
      <w:bookmarkStart w:id="43" w:name="_Toc13444"/>
      <w:bookmarkEnd w:id="43"/>
      <w:bookmarkStart w:id="44" w:name="_Toc20776"/>
      <w:bookmarkEnd w:id="44"/>
      <w:bookmarkStart w:id="45" w:name="_Toc510170367"/>
      <w:bookmarkStart w:id="46" w:name="_Toc510170246"/>
      <w:bookmarkStart w:id="47" w:name="_Toc7526"/>
      <w:r>
        <w:rPr>
          <w:rFonts w:hint="eastAsia" w:ascii="宋体" w:hAnsi="宋体"/>
          <w:sz w:val="21"/>
          <w:szCs w:val="21"/>
          <w:highlight w:val="none"/>
        </w:rPr>
        <w:t>1.</w:t>
      </w:r>
      <w:r>
        <w:rPr>
          <w:rFonts w:ascii="宋体" w:hAnsi="宋体"/>
          <w:sz w:val="21"/>
          <w:szCs w:val="21"/>
          <w:highlight w:val="none"/>
        </w:rPr>
        <w:t>总则</w:t>
      </w:r>
      <w:bookmarkEnd w:id="45"/>
      <w:bookmarkEnd w:id="46"/>
    </w:p>
    <w:p w14:paraId="58F57B57">
      <w:pPr>
        <w:pStyle w:val="10"/>
        <w:ind w:firstLine="402"/>
        <w:rPr>
          <w:rFonts w:hint="eastAsia" w:ascii="宋体" w:hAnsi="宋体"/>
          <w:highlight w:val="none"/>
        </w:rPr>
      </w:pPr>
      <w:bookmarkStart w:id="48" w:name="_Toc500409829"/>
      <w:bookmarkStart w:id="49" w:name="_Toc500410277"/>
      <w:bookmarkStart w:id="50" w:name="_Toc510170368"/>
      <w:r>
        <w:rPr>
          <w:rFonts w:hint="eastAsia" w:ascii="宋体" w:hAnsi="宋体"/>
          <w:highlight w:val="none"/>
        </w:rPr>
        <w:t>1.1 招标项目概况</w:t>
      </w:r>
      <w:bookmarkEnd w:id="48"/>
      <w:bookmarkEnd w:id="49"/>
      <w:bookmarkEnd w:id="50"/>
    </w:p>
    <w:p w14:paraId="68E45E19">
      <w:pPr>
        <w:spacing w:line="360" w:lineRule="auto"/>
        <w:ind w:firstLine="420" w:firstLineChars="200"/>
        <w:rPr>
          <w:rFonts w:hint="eastAsia" w:ascii="宋体" w:hAnsi="宋体"/>
          <w:highlight w:val="none"/>
        </w:rPr>
      </w:pPr>
      <w:r>
        <w:rPr>
          <w:rFonts w:hint="eastAsia" w:ascii="宋体" w:hAnsi="宋体"/>
          <w:highlight w:val="none"/>
        </w:rPr>
        <w:t>1.1.1根据《中华人民共和国招标投标法》、《中华人民共和国招标投标法实施条例》等有关法律、法规和规章的规定，本招标项目已具备招标条件，现对监理进行招标。</w:t>
      </w:r>
    </w:p>
    <w:p w14:paraId="0BDB64FC">
      <w:pPr>
        <w:spacing w:line="360" w:lineRule="auto"/>
        <w:ind w:firstLine="420" w:firstLineChars="200"/>
        <w:rPr>
          <w:rFonts w:hint="eastAsia" w:ascii="宋体" w:hAnsi="宋体"/>
          <w:highlight w:val="none"/>
        </w:rPr>
      </w:pPr>
      <w:r>
        <w:rPr>
          <w:rFonts w:hint="eastAsia" w:ascii="宋体" w:hAnsi="宋体"/>
          <w:highlight w:val="none"/>
        </w:rPr>
        <w:t>1.1.2</w:t>
      </w:r>
      <w:r>
        <w:rPr>
          <w:rFonts w:ascii="宋体" w:hAnsi="宋体"/>
          <w:highlight w:val="none"/>
        </w:rPr>
        <w:t>招标人：见投标人须知前附表。</w:t>
      </w:r>
    </w:p>
    <w:p w14:paraId="6C5E58E7">
      <w:pPr>
        <w:spacing w:line="360" w:lineRule="auto"/>
        <w:ind w:firstLine="420" w:firstLineChars="200"/>
        <w:rPr>
          <w:rFonts w:hint="eastAsia" w:ascii="宋体" w:hAnsi="宋体"/>
          <w:highlight w:val="none"/>
        </w:rPr>
      </w:pPr>
      <w:r>
        <w:rPr>
          <w:rFonts w:hint="eastAsia" w:ascii="宋体" w:hAnsi="宋体"/>
          <w:highlight w:val="none"/>
        </w:rPr>
        <w:t>1.1.3</w:t>
      </w:r>
      <w:r>
        <w:rPr>
          <w:rFonts w:ascii="宋体" w:hAnsi="宋体"/>
          <w:highlight w:val="none"/>
        </w:rPr>
        <w:t>招标代理机构：见投标人须知前附表。</w:t>
      </w:r>
    </w:p>
    <w:p w14:paraId="4E533FA4">
      <w:pPr>
        <w:spacing w:line="360" w:lineRule="auto"/>
        <w:ind w:firstLine="420" w:firstLineChars="200"/>
        <w:rPr>
          <w:rFonts w:hint="eastAsia" w:ascii="宋体" w:hAnsi="宋体"/>
          <w:highlight w:val="none"/>
        </w:rPr>
      </w:pPr>
      <w:r>
        <w:rPr>
          <w:rFonts w:hint="eastAsia" w:ascii="宋体" w:hAnsi="宋体"/>
          <w:highlight w:val="none"/>
        </w:rPr>
        <w:t>1.1.4</w:t>
      </w:r>
      <w:r>
        <w:rPr>
          <w:rFonts w:ascii="宋体" w:hAnsi="宋体"/>
          <w:highlight w:val="none"/>
        </w:rPr>
        <w:t>招标项目名称：见投标人须知前附表。</w:t>
      </w:r>
    </w:p>
    <w:p w14:paraId="658B5594">
      <w:pPr>
        <w:spacing w:line="360" w:lineRule="auto"/>
        <w:ind w:firstLine="420" w:firstLineChars="200"/>
        <w:rPr>
          <w:rFonts w:hint="eastAsia" w:ascii="宋体" w:hAnsi="宋体"/>
          <w:highlight w:val="none"/>
        </w:rPr>
      </w:pPr>
      <w:r>
        <w:rPr>
          <w:rFonts w:hint="eastAsia" w:ascii="宋体" w:hAnsi="宋体"/>
          <w:highlight w:val="none"/>
        </w:rPr>
        <w:t>1.1.5</w:t>
      </w:r>
      <w:r>
        <w:rPr>
          <w:rFonts w:ascii="宋体" w:hAnsi="宋体"/>
          <w:highlight w:val="none"/>
        </w:rPr>
        <w:t>项目建设地点：见投标人须知前附表。</w:t>
      </w:r>
    </w:p>
    <w:p w14:paraId="7954E1FC">
      <w:pPr>
        <w:spacing w:line="360" w:lineRule="auto"/>
        <w:ind w:firstLine="420" w:firstLineChars="200"/>
        <w:rPr>
          <w:rFonts w:hint="eastAsia" w:ascii="宋体" w:hAnsi="宋体"/>
          <w:highlight w:val="none"/>
        </w:rPr>
      </w:pPr>
      <w:r>
        <w:rPr>
          <w:rFonts w:hint="eastAsia" w:ascii="宋体" w:hAnsi="宋体"/>
          <w:highlight w:val="none"/>
        </w:rPr>
        <w:t>1.1.6</w:t>
      </w:r>
      <w:r>
        <w:rPr>
          <w:rFonts w:ascii="宋体" w:hAnsi="宋体"/>
          <w:highlight w:val="none"/>
        </w:rPr>
        <w:t>项目建设规模：见投标人须知前附表。</w:t>
      </w:r>
    </w:p>
    <w:p w14:paraId="38001BCE">
      <w:pPr>
        <w:spacing w:line="360" w:lineRule="auto"/>
        <w:ind w:firstLine="420" w:firstLineChars="200"/>
        <w:rPr>
          <w:rFonts w:hint="eastAsia" w:ascii="宋体" w:hAnsi="宋体"/>
          <w:highlight w:val="none"/>
        </w:rPr>
      </w:pPr>
      <w:r>
        <w:rPr>
          <w:rFonts w:ascii="宋体" w:hAnsi="宋体"/>
          <w:highlight w:val="none"/>
        </w:rPr>
        <w:t>1.1.7 工程项目施工预计开工日期和建设周期：见投标人须知前附表。</w:t>
      </w:r>
    </w:p>
    <w:p w14:paraId="4D283C78">
      <w:pPr>
        <w:spacing w:line="360" w:lineRule="auto"/>
        <w:ind w:firstLine="420" w:firstLineChars="200"/>
        <w:rPr>
          <w:rFonts w:hint="eastAsia" w:ascii="宋体" w:hAnsi="宋体"/>
          <w:highlight w:val="none"/>
        </w:rPr>
      </w:pPr>
      <w:r>
        <w:rPr>
          <w:rFonts w:ascii="宋体" w:hAnsi="宋体"/>
          <w:highlight w:val="none"/>
        </w:rPr>
        <w:t xml:space="preserve">1.1.8 </w:t>
      </w:r>
      <w:r>
        <w:rPr>
          <w:rFonts w:hint="eastAsia" w:ascii="宋体" w:hAnsi="宋体"/>
          <w:highlight w:val="none"/>
        </w:rPr>
        <w:t>投资概算</w:t>
      </w:r>
      <w:r>
        <w:rPr>
          <w:rFonts w:ascii="宋体" w:hAnsi="宋体"/>
          <w:highlight w:val="none"/>
        </w:rPr>
        <w:t>：见投标人须知前附表。</w:t>
      </w:r>
      <w:bookmarkStart w:id="51" w:name="_Toc500410278"/>
      <w:bookmarkStart w:id="52" w:name="_Toc500409830"/>
    </w:p>
    <w:p w14:paraId="6A20E162">
      <w:pPr>
        <w:pStyle w:val="10"/>
        <w:ind w:firstLine="402"/>
        <w:rPr>
          <w:rFonts w:hint="eastAsia" w:ascii="宋体" w:hAnsi="宋体"/>
          <w:highlight w:val="none"/>
        </w:rPr>
      </w:pPr>
      <w:bookmarkStart w:id="53" w:name="_Toc510170369"/>
      <w:r>
        <w:rPr>
          <w:rFonts w:hint="eastAsia" w:ascii="宋体" w:hAnsi="宋体"/>
          <w:highlight w:val="none"/>
        </w:rPr>
        <w:t>1.2 招标项目的资金来源和落实情况</w:t>
      </w:r>
      <w:bookmarkEnd w:id="51"/>
      <w:bookmarkEnd w:id="52"/>
      <w:bookmarkEnd w:id="53"/>
    </w:p>
    <w:p w14:paraId="75EBE702">
      <w:pPr>
        <w:spacing w:line="360" w:lineRule="auto"/>
        <w:ind w:firstLine="480"/>
        <w:rPr>
          <w:rFonts w:ascii="宋体" w:hAnsi="宋体"/>
          <w:highlight w:val="none"/>
        </w:rPr>
      </w:pPr>
      <w:r>
        <w:rPr>
          <w:rFonts w:ascii="宋体" w:hAnsi="宋体"/>
          <w:highlight w:val="none"/>
        </w:rPr>
        <w:t>1.2.1 资金来源及比例：见投标人须知前附表。</w:t>
      </w:r>
    </w:p>
    <w:p w14:paraId="489C47AD">
      <w:pPr>
        <w:spacing w:line="360" w:lineRule="auto"/>
        <w:ind w:firstLine="480"/>
        <w:rPr>
          <w:rFonts w:hint="eastAsia" w:ascii="宋体" w:hAnsi="宋体"/>
          <w:highlight w:val="none"/>
        </w:rPr>
      </w:pPr>
      <w:r>
        <w:rPr>
          <w:rFonts w:ascii="宋体" w:hAnsi="宋体"/>
          <w:highlight w:val="none"/>
        </w:rPr>
        <w:t>1.2.2 资金落实情况：见投标人须知前附表。</w:t>
      </w:r>
    </w:p>
    <w:p w14:paraId="5A045AC6">
      <w:pPr>
        <w:pStyle w:val="10"/>
        <w:ind w:firstLine="402"/>
        <w:rPr>
          <w:rFonts w:hint="eastAsia" w:ascii="宋体" w:hAnsi="宋体"/>
          <w:highlight w:val="none"/>
        </w:rPr>
      </w:pPr>
      <w:bookmarkStart w:id="54" w:name="_Toc510170370"/>
      <w:bookmarkStart w:id="55" w:name="_Toc500410279"/>
      <w:bookmarkStart w:id="56" w:name="_Toc500409831"/>
      <w:r>
        <w:rPr>
          <w:rFonts w:hint="eastAsia" w:ascii="宋体" w:hAnsi="宋体"/>
          <w:highlight w:val="none"/>
        </w:rPr>
        <w:t>1.3 招标范围、监理服务期限和质量标准</w:t>
      </w:r>
      <w:bookmarkEnd w:id="54"/>
      <w:bookmarkEnd w:id="55"/>
      <w:bookmarkEnd w:id="56"/>
    </w:p>
    <w:p w14:paraId="409954A0">
      <w:pPr>
        <w:spacing w:line="360" w:lineRule="auto"/>
        <w:ind w:firstLine="480"/>
        <w:rPr>
          <w:rFonts w:ascii="宋体" w:hAnsi="宋体"/>
          <w:highlight w:val="none"/>
        </w:rPr>
      </w:pPr>
      <w:r>
        <w:rPr>
          <w:rFonts w:ascii="宋体" w:hAnsi="宋体"/>
          <w:highlight w:val="none"/>
        </w:rPr>
        <w:t>1.3.1 招标范围：见投标人须知前附表。</w:t>
      </w:r>
    </w:p>
    <w:p w14:paraId="2E08156D">
      <w:pPr>
        <w:spacing w:line="360" w:lineRule="auto"/>
        <w:ind w:firstLine="480"/>
        <w:rPr>
          <w:rFonts w:ascii="宋体" w:hAnsi="宋体"/>
          <w:highlight w:val="none"/>
        </w:rPr>
      </w:pPr>
      <w:r>
        <w:rPr>
          <w:rFonts w:ascii="宋体" w:hAnsi="宋体"/>
          <w:highlight w:val="none"/>
        </w:rPr>
        <w:t>1.3.2 监理服务期限：见投标人须知前附表。</w:t>
      </w:r>
    </w:p>
    <w:p w14:paraId="5CD4CCEC">
      <w:pPr>
        <w:spacing w:line="360" w:lineRule="auto"/>
        <w:ind w:firstLine="480"/>
        <w:rPr>
          <w:rFonts w:hint="eastAsia" w:ascii="宋体" w:hAnsi="宋体"/>
          <w:highlight w:val="none"/>
        </w:rPr>
      </w:pPr>
      <w:r>
        <w:rPr>
          <w:rFonts w:ascii="宋体" w:hAnsi="宋体"/>
          <w:highlight w:val="none"/>
        </w:rPr>
        <w:t>1.3.3 质量标准：见投标人须知前附表。</w:t>
      </w:r>
    </w:p>
    <w:p w14:paraId="02A1A24A">
      <w:pPr>
        <w:pStyle w:val="10"/>
        <w:ind w:firstLine="402"/>
        <w:rPr>
          <w:rFonts w:hint="eastAsia" w:ascii="宋体" w:hAnsi="宋体"/>
          <w:highlight w:val="none"/>
        </w:rPr>
      </w:pPr>
      <w:bookmarkStart w:id="57" w:name="_Toc500409832"/>
      <w:bookmarkStart w:id="58" w:name="_Toc500410280"/>
      <w:bookmarkStart w:id="59" w:name="_Toc510170371"/>
      <w:r>
        <w:rPr>
          <w:rFonts w:hint="eastAsia" w:ascii="宋体" w:hAnsi="宋体"/>
          <w:highlight w:val="none"/>
        </w:rPr>
        <w:t>1.4 投标人资格要求</w:t>
      </w:r>
      <w:bookmarkEnd w:id="57"/>
      <w:bookmarkEnd w:id="58"/>
      <w:bookmarkEnd w:id="59"/>
    </w:p>
    <w:p w14:paraId="2A78C22C">
      <w:pPr>
        <w:spacing w:line="360" w:lineRule="auto"/>
        <w:ind w:firstLine="480"/>
        <w:rPr>
          <w:rFonts w:hint="eastAsia" w:ascii="宋体" w:hAnsi="宋体"/>
          <w:highlight w:val="none"/>
        </w:rPr>
      </w:pPr>
      <w:r>
        <w:rPr>
          <w:rFonts w:ascii="宋体" w:hAnsi="宋体"/>
          <w:highlight w:val="none"/>
        </w:rPr>
        <w:t>1.4.1 投标人</w:t>
      </w:r>
      <w:r>
        <w:rPr>
          <w:rFonts w:hint="eastAsia" w:ascii="宋体" w:hAnsi="宋体"/>
          <w:highlight w:val="none"/>
        </w:rPr>
        <w:t>资格要求</w:t>
      </w:r>
      <w:r>
        <w:rPr>
          <w:rFonts w:ascii="宋体" w:hAnsi="宋体"/>
          <w:highlight w:val="none"/>
        </w:rPr>
        <w:t>：</w:t>
      </w:r>
    </w:p>
    <w:p w14:paraId="183CD113">
      <w:pPr>
        <w:spacing w:line="360" w:lineRule="auto"/>
        <w:ind w:firstLine="480"/>
        <w:rPr>
          <w:rFonts w:hint="eastAsia" w:ascii="宋体" w:hAnsi="宋体"/>
          <w:highlight w:val="none"/>
        </w:rPr>
      </w:pPr>
      <w:r>
        <w:rPr>
          <w:rFonts w:ascii="宋体" w:hAnsi="宋体"/>
          <w:highlight w:val="none"/>
        </w:rPr>
        <w:t>1.</w:t>
      </w:r>
      <w:r>
        <w:rPr>
          <w:rFonts w:hint="eastAsia" w:ascii="宋体" w:hAnsi="宋体"/>
          <w:highlight w:val="none"/>
        </w:rPr>
        <w:t>4.1 投标人应具备承担本招标项目资质条件、能力和信誉：</w:t>
      </w:r>
    </w:p>
    <w:p w14:paraId="12C887B3">
      <w:pPr>
        <w:numPr>
          <w:ilvl w:val="0"/>
          <w:numId w:val="1"/>
        </w:numPr>
        <w:spacing w:line="360" w:lineRule="auto"/>
        <w:ind w:firstLine="420" w:firstLineChars="200"/>
        <w:rPr>
          <w:rFonts w:hint="eastAsia" w:ascii="宋体" w:hAnsi="宋体" w:cs="宋体"/>
          <w:highlight w:val="none"/>
        </w:rPr>
      </w:pPr>
      <w:r>
        <w:rPr>
          <w:rFonts w:hint="eastAsia" w:ascii="宋体" w:hAnsi="宋体" w:cs="宋体"/>
          <w:highlight w:val="none"/>
          <w:lang w:bidi="ar"/>
        </w:rPr>
        <w:t>资质要求：见投标人须知前附表；</w:t>
      </w:r>
    </w:p>
    <w:p w14:paraId="70E2C30B">
      <w:pPr>
        <w:numPr>
          <w:ilvl w:val="0"/>
          <w:numId w:val="1"/>
        </w:numPr>
        <w:spacing w:line="360" w:lineRule="auto"/>
        <w:ind w:firstLine="420" w:firstLineChars="200"/>
        <w:rPr>
          <w:rFonts w:hint="eastAsia" w:ascii="宋体" w:hAnsi="宋体" w:cs="宋体"/>
          <w:highlight w:val="none"/>
        </w:rPr>
      </w:pPr>
      <w:r>
        <w:rPr>
          <w:rFonts w:hint="eastAsia" w:ascii="宋体" w:hAnsi="宋体" w:cs="宋体"/>
          <w:highlight w:val="none"/>
          <w:lang w:bidi="ar"/>
        </w:rPr>
        <w:t>总监理工程师的资格要求：具体要求见投标人须知前附表；</w:t>
      </w:r>
    </w:p>
    <w:p w14:paraId="61733212">
      <w:pPr>
        <w:spacing w:line="360" w:lineRule="auto"/>
        <w:ind w:firstLine="420" w:firstLineChars="200"/>
        <w:rPr>
          <w:rFonts w:hint="eastAsia" w:ascii="宋体" w:hAnsi="宋体"/>
          <w:highlight w:val="none"/>
        </w:rPr>
      </w:pPr>
      <w:r>
        <w:rPr>
          <w:rFonts w:hint="eastAsia" w:ascii="宋体" w:hAnsi="宋体" w:cs="宋体"/>
          <w:highlight w:val="none"/>
          <w:lang w:bidi="ar"/>
        </w:rPr>
        <w:t>（3）其他要求：见投标人须知前附表。</w:t>
      </w:r>
    </w:p>
    <w:p w14:paraId="214D912C">
      <w:pPr>
        <w:spacing w:line="360" w:lineRule="auto"/>
        <w:ind w:firstLine="480"/>
        <w:rPr>
          <w:rFonts w:ascii="宋体" w:hAnsi="宋体"/>
          <w:highlight w:val="none"/>
        </w:rPr>
      </w:pPr>
      <w:r>
        <w:rPr>
          <w:rFonts w:ascii="宋体" w:hAnsi="宋体"/>
          <w:highlight w:val="none"/>
        </w:rPr>
        <w:t>需要提交的相关证明材料见本章第 3.5 款的规定。</w:t>
      </w:r>
    </w:p>
    <w:p w14:paraId="36DFFAE2">
      <w:pPr>
        <w:spacing w:line="360" w:lineRule="auto"/>
        <w:ind w:firstLine="480"/>
        <w:rPr>
          <w:rFonts w:ascii="宋体" w:hAnsi="宋体"/>
          <w:highlight w:val="none"/>
        </w:rPr>
      </w:pPr>
      <w:r>
        <w:rPr>
          <w:rFonts w:ascii="宋体" w:hAnsi="宋体"/>
          <w:highlight w:val="none"/>
        </w:rPr>
        <w:t xml:space="preserve">1.4.2 </w:t>
      </w:r>
      <w:r>
        <w:rPr>
          <w:rFonts w:hint="eastAsia" w:ascii="宋体" w:hAnsi="宋体"/>
          <w:highlight w:val="none"/>
        </w:rPr>
        <w:t>投标人须知前附表规定不接受联合体投标的。</w:t>
      </w:r>
    </w:p>
    <w:p w14:paraId="281239EF">
      <w:pPr>
        <w:spacing w:line="360" w:lineRule="auto"/>
        <w:ind w:firstLine="480"/>
        <w:rPr>
          <w:rFonts w:ascii="宋体" w:hAnsi="宋体"/>
          <w:highlight w:val="none"/>
        </w:rPr>
      </w:pPr>
      <w:r>
        <w:rPr>
          <w:rFonts w:ascii="宋体" w:hAnsi="宋体"/>
          <w:highlight w:val="none"/>
        </w:rPr>
        <w:t>1.4.</w:t>
      </w:r>
      <w:r>
        <w:rPr>
          <w:rFonts w:hint="eastAsia" w:ascii="宋体" w:hAnsi="宋体"/>
          <w:highlight w:val="none"/>
        </w:rPr>
        <w:t>3</w:t>
      </w:r>
      <w:r>
        <w:rPr>
          <w:rFonts w:ascii="宋体" w:hAnsi="宋体"/>
          <w:highlight w:val="none"/>
        </w:rPr>
        <w:t>投标人不得存在下列情形之一：</w:t>
      </w:r>
    </w:p>
    <w:p w14:paraId="20C63AFA">
      <w:pPr>
        <w:pStyle w:val="7"/>
        <w:tabs>
          <w:tab w:val="left" w:pos="2812"/>
          <w:tab w:val="left" w:pos="3986"/>
        </w:tabs>
        <w:kinsoku w:val="0"/>
        <w:overflowPunct w:val="0"/>
        <w:spacing w:before="120" w:beforeLines="50" w:beforeAutospacing="0" w:line="360" w:lineRule="auto"/>
        <w:ind w:left="420" w:right="83" w:firstLine="6"/>
        <w:rPr>
          <w:rFonts w:ascii="宋体" w:hAnsi="宋体"/>
          <w:sz w:val="21"/>
          <w:highlight w:val="none"/>
        </w:rPr>
      </w:pPr>
      <w:r>
        <w:rPr>
          <w:rFonts w:hint="eastAsia" w:ascii="宋体" w:hAnsi="宋体"/>
          <w:sz w:val="21"/>
          <w:highlight w:val="none"/>
        </w:rPr>
        <w:t>（</w:t>
      </w:r>
      <w:r>
        <w:rPr>
          <w:rFonts w:ascii="宋体" w:hAnsi="宋体"/>
          <w:sz w:val="21"/>
          <w:highlight w:val="none"/>
        </w:rPr>
        <w:t>1</w:t>
      </w:r>
      <w:r>
        <w:rPr>
          <w:rFonts w:hint="eastAsia" w:ascii="宋体" w:hAnsi="宋体"/>
          <w:sz w:val="21"/>
          <w:highlight w:val="none"/>
        </w:rPr>
        <w:t>）为招标人不具有独立法人资格的附属机构（单位）；</w:t>
      </w:r>
    </w:p>
    <w:p w14:paraId="570C56D4">
      <w:pPr>
        <w:pStyle w:val="7"/>
        <w:tabs>
          <w:tab w:val="left" w:pos="2812"/>
          <w:tab w:val="left" w:pos="3986"/>
        </w:tabs>
        <w:kinsoku w:val="0"/>
        <w:overflowPunct w:val="0"/>
        <w:spacing w:before="120" w:beforeLines="50" w:beforeAutospacing="0" w:line="360" w:lineRule="auto"/>
        <w:ind w:left="420" w:right="83" w:firstLine="6"/>
        <w:rPr>
          <w:rFonts w:ascii="宋体" w:hAnsi="宋体"/>
          <w:sz w:val="21"/>
          <w:highlight w:val="none"/>
        </w:rPr>
      </w:pPr>
      <w:r>
        <w:rPr>
          <w:rFonts w:hint="eastAsia" w:ascii="宋体" w:hAnsi="宋体"/>
          <w:sz w:val="21"/>
          <w:highlight w:val="none"/>
        </w:rPr>
        <w:t>（</w:t>
      </w:r>
      <w:r>
        <w:rPr>
          <w:rFonts w:ascii="宋体" w:hAnsi="宋体"/>
          <w:sz w:val="21"/>
          <w:highlight w:val="none"/>
        </w:rPr>
        <w:t>2</w:t>
      </w:r>
      <w:r>
        <w:rPr>
          <w:rFonts w:hint="eastAsia" w:ascii="宋体" w:hAnsi="宋体"/>
          <w:sz w:val="21"/>
          <w:highlight w:val="none"/>
        </w:rPr>
        <w:t>）与招标人存在利害关系且可能影响招标公正性；</w:t>
      </w:r>
    </w:p>
    <w:p w14:paraId="4D4D3B8F">
      <w:pPr>
        <w:pStyle w:val="7"/>
        <w:tabs>
          <w:tab w:val="left" w:pos="2812"/>
          <w:tab w:val="left" w:pos="3986"/>
        </w:tabs>
        <w:kinsoku w:val="0"/>
        <w:overflowPunct w:val="0"/>
        <w:spacing w:before="120" w:beforeLines="50" w:beforeAutospacing="0" w:line="360" w:lineRule="auto"/>
        <w:ind w:left="420" w:right="83" w:firstLine="6"/>
        <w:rPr>
          <w:rFonts w:ascii="宋体" w:hAnsi="宋体"/>
          <w:sz w:val="21"/>
          <w:highlight w:val="none"/>
        </w:rPr>
      </w:pPr>
      <w:r>
        <w:rPr>
          <w:rFonts w:hint="eastAsia" w:ascii="宋体" w:hAnsi="宋体"/>
          <w:sz w:val="21"/>
          <w:highlight w:val="none"/>
        </w:rPr>
        <w:t>（</w:t>
      </w:r>
      <w:r>
        <w:rPr>
          <w:rFonts w:ascii="宋体" w:hAnsi="宋体"/>
          <w:sz w:val="21"/>
          <w:highlight w:val="none"/>
        </w:rPr>
        <w:t>3</w:t>
      </w:r>
      <w:r>
        <w:rPr>
          <w:rFonts w:hint="eastAsia" w:ascii="宋体" w:hAnsi="宋体"/>
          <w:sz w:val="21"/>
          <w:highlight w:val="none"/>
        </w:rPr>
        <w:t>）与本招标项目的其他投标人为同一个单位负责人；</w:t>
      </w:r>
    </w:p>
    <w:p w14:paraId="682A2727">
      <w:pPr>
        <w:pStyle w:val="7"/>
        <w:tabs>
          <w:tab w:val="left" w:pos="2812"/>
          <w:tab w:val="left" w:pos="3986"/>
        </w:tabs>
        <w:kinsoku w:val="0"/>
        <w:overflowPunct w:val="0"/>
        <w:spacing w:before="120" w:beforeLines="50" w:beforeAutospacing="0" w:line="360" w:lineRule="auto"/>
        <w:ind w:left="420" w:right="83" w:firstLine="6"/>
        <w:rPr>
          <w:rFonts w:ascii="宋体" w:hAnsi="宋体"/>
          <w:sz w:val="21"/>
          <w:highlight w:val="none"/>
        </w:rPr>
      </w:pPr>
      <w:r>
        <w:rPr>
          <w:rFonts w:hint="eastAsia" w:ascii="宋体" w:hAnsi="宋体"/>
          <w:sz w:val="21"/>
          <w:highlight w:val="none"/>
        </w:rPr>
        <w:t>（</w:t>
      </w:r>
      <w:r>
        <w:rPr>
          <w:rFonts w:ascii="宋体" w:hAnsi="宋体"/>
          <w:sz w:val="21"/>
          <w:highlight w:val="none"/>
        </w:rPr>
        <w:t>4</w:t>
      </w:r>
      <w:r>
        <w:rPr>
          <w:rFonts w:hint="eastAsia" w:ascii="宋体" w:hAnsi="宋体"/>
          <w:sz w:val="21"/>
          <w:highlight w:val="none"/>
        </w:rPr>
        <w:t>）与本招标项目的其他投标人存在控股、管理关系；</w:t>
      </w:r>
    </w:p>
    <w:p w14:paraId="0B897AFD">
      <w:pPr>
        <w:pStyle w:val="7"/>
        <w:tabs>
          <w:tab w:val="left" w:pos="2812"/>
          <w:tab w:val="left" w:pos="3986"/>
        </w:tabs>
        <w:kinsoku w:val="0"/>
        <w:overflowPunct w:val="0"/>
        <w:spacing w:before="120" w:beforeLines="50" w:beforeAutospacing="0" w:line="360" w:lineRule="auto"/>
        <w:ind w:left="420" w:right="83" w:firstLine="6"/>
        <w:rPr>
          <w:rFonts w:ascii="宋体" w:hAnsi="宋体"/>
          <w:sz w:val="21"/>
          <w:highlight w:val="none"/>
        </w:rPr>
      </w:pPr>
      <w:r>
        <w:rPr>
          <w:rFonts w:hint="eastAsia" w:ascii="宋体" w:hAnsi="宋体"/>
          <w:sz w:val="21"/>
          <w:highlight w:val="none"/>
        </w:rPr>
        <w:t>（</w:t>
      </w:r>
      <w:r>
        <w:rPr>
          <w:rFonts w:ascii="宋体" w:hAnsi="宋体"/>
          <w:sz w:val="21"/>
          <w:highlight w:val="none"/>
        </w:rPr>
        <w:t>5</w:t>
      </w:r>
      <w:r>
        <w:rPr>
          <w:rFonts w:hint="eastAsia" w:ascii="宋体" w:hAnsi="宋体"/>
          <w:sz w:val="21"/>
          <w:highlight w:val="none"/>
        </w:rPr>
        <w:t>）为本招标项目的代建人；</w:t>
      </w:r>
    </w:p>
    <w:p w14:paraId="1D4C83D9">
      <w:pPr>
        <w:pStyle w:val="7"/>
        <w:tabs>
          <w:tab w:val="left" w:pos="2812"/>
          <w:tab w:val="left" w:pos="3986"/>
        </w:tabs>
        <w:kinsoku w:val="0"/>
        <w:overflowPunct w:val="0"/>
        <w:spacing w:before="120" w:beforeLines="50" w:beforeAutospacing="0" w:line="360" w:lineRule="auto"/>
        <w:ind w:left="420" w:right="83" w:firstLine="6"/>
        <w:rPr>
          <w:rFonts w:ascii="宋体" w:hAnsi="宋体"/>
          <w:sz w:val="21"/>
          <w:highlight w:val="none"/>
        </w:rPr>
      </w:pPr>
      <w:r>
        <w:rPr>
          <w:rFonts w:hint="eastAsia" w:ascii="宋体" w:hAnsi="宋体"/>
          <w:sz w:val="21"/>
          <w:highlight w:val="none"/>
        </w:rPr>
        <w:t>（</w:t>
      </w:r>
      <w:r>
        <w:rPr>
          <w:rFonts w:ascii="宋体" w:hAnsi="宋体"/>
          <w:sz w:val="21"/>
          <w:highlight w:val="none"/>
        </w:rPr>
        <w:t>6</w:t>
      </w:r>
      <w:r>
        <w:rPr>
          <w:rFonts w:hint="eastAsia" w:ascii="宋体" w:hAnsi="宋体"/>
          <w:sz w:val="21"/>
          <w:highlight w:val="none"/>
        </w:rPr>
        <w:t>）为本招标项目的招标代理机构；</w:t>
      </w:r>
    </w:p>
    <w:p w14:paraId="095588E9">
      <w:pPr>
        <w:pStyle w:val="7"/>
        <w:tabs>
          <w:tab w:val="left" w:pos="2812"/>
          <w:tab w:val="left" w:pos="3986"/>
        </w:tabs>
        <w:kinsoku w:val="0"/>
        <w:overflowPunct w:val="0"/>
        <w:spacing w:before="120" w:beforeLines="50" w:beforeAutospacing="0" w:line="360" w:lineRule="auto"/>
        <w:ind w:left="420" w:right="83" w:firstLine="6"/>
        <w:rPr>
          <w:rFonts w:ascii="宋体" w:hAnsi="宋体"/>
          <w:sz w:val="21"/>
          <w:highlight w:val="none"/>
        </w:rPr>
      </w:pPr>
      <w:r>
        <w:rPr>
          <w:rFonts w:hint="eastAsia" w:ascii="宋体" w:hAnsi="宋体"/>
          <w:sz w:val="21"/>
          <w:highlight w:val="none"/>
        </w:rPr>
        <w:t>（</w:t>
      </w:r>
      <w:r>
        <w:rPr>
          <w:rFonts w:ascii="宋体" w:hAnsi="宋体"/>
          <w:sz w:val="21"/>
          <w:highlight w:val="none"/>
        </w:rPr>
        <w:t>7</w:t>
      </w:r>
      <w:r>
        <w:rPr>
          <w:rFonts w:hint="eastAsia" w:ascii="宋体" w:hAnsi="宋体"/>
          <w:sz w:val="21"/>
          <w:highlight w:val="none"/>
        </w:rPr>
        <w:t>）与本招标项目的代建人或招标代理机构同为一个法定代表人；</w:t>
      </w:r>
    </w:p>
    <w:p w14:paraId="154DA60F">
      <w:pPr>
        <w:pStyle w:val="7"/>
        <w:tabs>
          <w:tab w:val="left" w:pos="2812"/>
          <w:tab w:val="left" w:pos="3986"/>
        </w:tabs>
        <w:kinsoku w:val="0"/>
        <w:overflowPunct w:val="0"/>
        <w:spacing w:before="120" w:beforeLines="50" w:beforeAutospacing="0" w:line="360" w:lineRule="auto"/>
        <w:ind w:left="420" w:right="83" w:firstLine="6"/>
        <w:rPr>
          <w:rFonts w:ascii="宋体" w:hAnsi="宋体"/>
          <w:sz w:val="21"/>
          <w:highlight w:val="none"/>
        </w:rPr>
      </w:pPr>
      <w:r>
        <w:rPr>
          <w:rFonts w:hint="eastAsia" w:ascii="宋体" w:hAnsi="宋体"/>
          <w:sz w:val="21"/>
          <w:highlight w:val="none"/>
        </w:rPr>
        <w:t>（</w:t>
      </w:r>
      <w:r>
        <w:rPr>
          <w:rFonts w:ascii="宋体" w:hAnsi="宋体"/>
          <w:sz w:val="21"/>
          <w:highlight w:val="none"/>
        </w:rPr>
        <w:t>8</w:t>
      </w:r>
      <w:r>
        <w:rPr>
          <w:rFonts w:hint="eastAsia" w:ascii="宋体" w:hAnsi="宋体"/>
          <w:sz w:val="21"/>
          <w:highlight w:val="none"/>
        </w:rPr>
        <w:t>）与本招标项目的代建人或招标代理机构存在控股或参股关系；</w:t>
      </w:r>
    </w:p>
    <w:p w14:paraId="194FF8EB">
      <w:pPr>
        <w:pStyle w:val="7"/>
        <w:tabs>
          <w:tab w:val="left" w:pos="2812"/>
          <w:tab w:val="left" w:pos="3986"/>
        </w:tabs>
        <w:kinsoku w:val="0"/>
        <w:overflowPunct w:val="0"/>
        <w:spacing w:before="120" w:beforeLines="50" w:beforeAutospacing="0" w:line="360" w:lineRule="auto"/>
        <w:ind w:left="420" w:right="83" w:firstLine="6"/>
        <w:rPr>
          <w:rFonts w:ascii="宋体" w:hAnsi="宋体"/>
          <w:sz w:val="21"/>
          <w:highlight w:val="none"/>
        </w:rPr>
      </w:pPr>
      <w:r>
        <w:rPr>
          <w:rFonts w:hint="eastAsia" w:ascii="宋体" w:hAnsi="宋体"/>
          <w:sz w:val="21"/>
          <w:highlight w:val="none"/>
        </w:rPr>
        <w:t>（</w:t>
      </w:r>
      <w:r>
        <w:rPr>
          <w:rFonts w:ascii="宋体" w:hAnsi="宋体"/>
          <w:sz w:val="21"/>
          <w:highlight w:val="none"/>
        </w:rPr>
        <w:t>9</w:t>
      </w:r>
      <w:r>
        <w:rPr>
          <w:rFonts w:hint="eastAsia" w:ascii="宋体" w:hAnsi="宋体"/>
          <w:sz w:val="21"/>
          <w:highlight w:val="none"/>
        </w:rPr>
        <w:t>）与本招标项目的施工承包人以及建筑材料、建筑构配件和设备供应商有隶属关系或者其他利害关系；</w:t>
      </w:r>
    </w:p>
    <w:p w14:paraId="1A14CD7D">
      <w:pPr>
        <w:pStyle w:val="7"/>
        <w:tabs>
          <w:tab w:val="left" w:pos="2812"/>
          <w:tab w:val="left" w:pos="3986"/>
        </w:tabs>
        <w:kinsoku w:val="0"/>
        <w:overflowPunct w:val="0"/>
        <w:spacing w:before="120" w:beforeLines="50" w:beforeAutospacing="0" w:line="360" w:lineRule="auto"/>
        <w:ind w:left="420" w:right="83" w:firstLine="6"/>
        <w:rPr>
          <w:rFonts w:ascii="宋体" w:hAnsi="宋体"/>
          <w:sz w:val="21"/>
          <w:highlight w:val="none"/>
        </w:rPr>
      </w:pPr>
      <w:r>
        <w:rPr>
          <w:rFonts w:hint="eastAsia" w:ascii="宋体" w:hAnsi="宋体"/>
          <w:sz w:val="21"/>
          <w:highlight w:val="none"/>
        </w:rPr>
        <w:t>（</w:t>
      </w:r>
      <w:r>
        <w:rPr>
          <w:rFonts w:ascii="宋体" w:hAnsi="宋体"/>
          <w:sz w:val="21"/>
          <w:highlight w:val="none"/>
        </w:rPr>
        <w:t>10</w:t>
      </w:r>
      <w:r>
        <w:rPr>
          <w:rFonts w:hint="eastAsia" w:ascii="宋体" w:hAnsi="宋体"/>
          <w:sz w:val="21"/>
          <w:highlight w:val="none"/>
        </w:rPr>
        <w:t>）被依法暂停或者取消投标资格；</w:t>
      </w:r>
    </w:p>
    <w:p w14:paraId="79FD1B65">
      <w:pPr>
        <w:pStyle w:val="7"/>
        <w:tabs>
          <w:tab w:val="left" w:pos="2812"/>
          <w:tab w:val="left" w:pos="3986"/>
        </w:tabs>
        <w:kinsoku w:val="0"/>
        <w:overflowPunct w:val="0"/>
        <w:spacing w:before="120" w:beforeLines="50" w:beforeAutospacing="0" w:line="360" w:lineRule="auto"/>
        <w:ind w:left="420" w:right="83" w:firstLine="6"/>
        <w:rPr>
          <w:rFonts w:ascii="宋体" w:hAnsi="宋体"/>
          <w:sz w:val="21"/>
          <w:highlight w:val="none"/>
        </w:rPr>
      </w:pPr>
      <w:r>
        <w:rPr>
          <w:rFonts w:hint="eastAsia" w:ascii="宋体" w:hAnsi="宋体"/>
          <w:sz w:val="21"/>
          <w:highlight w:val="none"/>
        </w:rPr>
        <w:t>（</w:t>
      </w:r>
      <w:r>
        <w:rPr>
          <w:rFonts w:ascii="宋体" w:hAnsi="宋体"/>
          <w:sz w:val="21"/>
          <w:highlight w:val="none"/>
        </w:rPr>
        <w:t>11</w:t>
      </w:r>
      <w:r>
        <w:rPr>
          <w:rFonts w:hint="eastAsia" w:ascii="宋体" w:hAnsi="宋体"/>
          <w:sz w:val="21"/>
          <w:highlight w:val="none"/>
        </w:rPr>
        <w:t>）被责令停产停业、暂扣或者吊销许可证、暂扣或者吊销执照；</w:t>
      </w:r>
    </w:p>
    <w:p w14:paraId="0DD6B041">
      <w:pPr>
        <w:pStyle w:val="7"/>
        <w:tabs>
          <w:tab w:val="left" w:pos="2812"/>
          <w:tab w:val="left" w:pos="3986"/>
        </w:tabs>
        <w:kinsoku w:val="0"/>
        <w:overflowPunct w:val="0"/>
        <w:spacing w:before="120" w:beforeLines="50" w:beforeAutospacing="0" w:line="360" w:lineRule="auto"/>
        <w:ind w:left="420" w:right="83" w:firstLine="6"/>
        <w:rPr>
          <w:rFonts w:ascii="宋体" w:hAnsi="宋体"/>
          <w:sz w:val="21"/>
          <w:highlight w:val="none"/>
        </w:rPr>
      </w:pPr>
      <w:r>
        <w:rPr>
          <w:rFonts w:hint="eastAsia" w:ascii="宋体" w:hAnsi="宋体"/>
          <w:sz w:val="21"/>
          <w:highlight w:val="none"/>
        </w:rPr>
        <w:t>（</w:t>
      </w:r>
      <w:r>
        <w:rPr>
          <w:rFonts w:ascii="宋体" w:hAnsi="宋体"/>
          <w:sz w:val="21"/>
          <w:highlight w:val="none"/>
        </w:rPr>
        <w:t>12</w:t>
      </w:r>
      <w:r>
        <w:rPr>
          <w:rFonts w:hint="eastAsia" w:ascii="宋体" w:hAnsi="宋体"/>
          <w:sz w:val="21"/>
          <w:highlight w:val="none"/>
        </w:rPr>
        <w:t>）进入清算程序，或被宣告破产，或其他丧失履约能力的情形；</w:t>
      </w:r>
    </w:p>
    <w:p w14:paraId="408764B1">
      <w:pPr>
        <w:pStyle w:val="7"/>
        <w:tabs>
          <w:tab w:val="left" w:pos="2812"/>
          <w:tab w:val="left" w:pos="3986"/>
        </w:tabs>
        <w:kinsoku w:val="0"/>
        <w:overflowPunct w:val="0"/>
        <w:spacing w:before="120" w:beforeLines="50" w:beforeAutospacing="0" w:line="360" w:lineRule="auto"/>
        <w:ind w:left="426" w:right="221"/>
        <w:rPr>
          <w:rFonts w:ascii="宋体" w:hAnsi="宋体"/>
          <w:sz w:val="21"/>
          <w:highlight w:val="none"/>
        </w:rPr>
      </w:pPr>
      <w:r>
        <w:rPr>
          <w:rFonts w:hint="eastAsia" w:ascii="宋体" w:hAnsi="宋体"/>
          <w:sz w:val="21"/>
          <w:highlight w:val="none"/>
        </w:rPr>
        <w:t>（</w:t>
      </w:r>
      <w:r>
        <w:rPr>
          <w:rFonts w:ascii="宋体" w:hAnsi="宋体"/>
          <w:sz w:val="21"/>
          <w:highlight w:val="none"/>
        </w:rPr>
        <w:t>13</w:t>
      </w:r>
      <w:r>
        <w:rPr>
          <w:rFonts w:hint="eastAsia" w:ascii="宋体" w:hAnsi="宋体"/>
          <w:sz w:val="21"/>
          <w:highlight w:val="none"/>
        </w:rPr>
        <w:t>）在最近三年内发生重大监理质量问题（以相关行业主管部门的行政处罚决定或司法机关出具的有关法律文书为准）；</w:t>
      </w:r>
    </w:p>
    <w:p w14:paraId="6A9CE3FA">
      <w:pPr>
        <w:pStyle w:val="7"/>
        <w:tabs>
          <w:tab w:val="left" w:pos="2812"/>
          <w:tab w:val="left" w:pos="3986"/>
        </w:tabs>
        <w:kinsoku w:val="0"/>
        <w:overflowPunct w:val="0"/>
        <w:spacing w:before="120" w:beforeLines="50" w:beforeAutospacing="0" w:line="360" w:lineRule="auto"/>
        <w:ind w:left="426" w:right="221"/>
        <w:rPr>
          <w:rFonts w:ascii="宋体" w:hAnsi="宋体"/>
          <w:sz w:val="21"/>
          <w:highlight w:val="none"/>
        </w:rPr>
      </w:pPr>
      <w:r>
        <w:rPr>
          <w:rFonts w:hint="eastAsia" w:ascii="宋体" w:hAnsi="宋体"/>
          <w:sz w:val="21"/>
          <w:highlight w:val="none"/>
        </w:rPr>
        <w:t>（</w:t>
      </w:r>
      <w:r>
        <w:rPr>
          <w:rFonts w:ascii="宋体" w:hAnsi="宋体"/>
          <w:sz w:val="21"/>
          <w:highlight w:val="none"/>
        </w:rPr>
        <w:t>14</w:t>
      </w:r>
      <w:r>
        <w:rPr>
          <w:rFonts w:hint="eastAsia" w:ascii="宋体" w:hAnsi="宋体"/>
          <w:sz w:val="21"/>
          <w:highlight w:val="none"/>
        </w:rPr>
        <w:t>）被工商行政管理机关在全国企业信用信息公示系统中列入严重违法失信企业名单；</w:t>
      </w:r>
    </w:p>
    <w:p w14:paraId="1A74C2DF">
      <w:pPr>
        <w:pStyle w:val="7"/>
        <w:tabs>
          <w:tab w:val="left" w:pos="2812"/>
          <w:tab w:val="left" w:pos="3986"/>
        </w:tabs>
        <w:kinsoku w:val="0"/>
        <w:overflowPunct w:val="0"/>
        <w:spacing w:before="120" w:beforeLines="50" w:beforeAutospacing="0" w:line="360" w:lineRule="auto"/>
        <w:ind w:left="426" w:right="221"/>
        <w:rPr>
          <w:rFonts w:ascii="宋体" w:hAnsi="宋体"/>
          <w:sz w:val="21"/>
          <w:highlight w:val="none"/>
        </w:rPr>
      </w:pPr>
      <w:r>
        <w:rPr>
          <w:rFonts w:hint="eastAsia" w:ascii="宋体" w:hAnsi="宋体"/>
          <w:sz w:val="21"/>
          <w:highlight w:val="none"/>
        </w:rPr>
        <w:t>（</w:t>
      </w:r>
      <w:r>
        <w:rPr>
          <w:rFonts w:ascii="宋体" w:hAnsi="宋体"/>
          <w:sz w:val="21"/>
          <w:highlight w:val="none"/>
        </w:rPr>
        <w:t>15</w:t>
      </w:r>
      <w:r>
        <w:rPr>
          <w:rFonts w:hint="eastAsia" w:ascii="宋体" w:hAnsi="宋体"/>
          <w:sz w:val="21"/>
          <w:highlight w:val="none"/>
        </w:rPr>
        <w:t>）</w:t>
      </w:r>
      <w:r>
        <w:rPr>
          <w:rFonts w:hint="eastAsia" w:ascii="宋体" w:hAnsi="宋体" w:cs="宋体"/>
          <w:highlight w:val="none"/>
        </w:rPr>
        <w:t>被最高人民法院在“信用中国”网站（www.creditchina.gov.cn）或各级信用信息共享平台中列入失信被执行人名单；</w:t>
      </w:r>
    </w:p>
    <w:p w14:paraId="54CA378A">
      <w:pPr>
        <w:pStyle w:val="7"/>
        <w:tabs>
          <w:tab w:val="left" w:pos="2812"/>
          <w:tab w:val="left" w:pos="3986"/>
        </w:tabs>
        <w:kinsoku w:val="0"/>
        <w:overflowPunct w:val="0"/>
        <w:spacing w:before="120" w:beforeLines="50" w:beforeAutospacing="0" w:line="360" w:lineRule="auto"/>
        <w:ind w:left="426" w:right="221"/>
        <w:rPr>
          <w:rFonts w:hint="eastAsia" w:ascii="宋体" w:hAnsi="宋体"/>
          <w:sz w:val="21"/>
          <w:highlight w:val="none"/>
        </w:rPr>
      </w:pPr>
      <w:r>
        <w:rPr>
          <w:rFonts w:hint="eastAsia" w:ascii="宋体" w:hAnsi="宋体"/>
          <w:sz w:val="21"/>
          <w:highlight w:val="none"/>
        </w:rPr>
        <w:t>（1</w:t>
      </w:r>
      <w:r>
        <w:rPr>
          <w:rFonts w:ascii="宋体" w:hAnsi="宋体"/>
          <w:sz w:val="21"/>
          <w:highlight w:val="none"/>
        </w:rPr>
        <w:t>6</w:t>
      </w:r>
      <w:r>
        <w:rPr>
          <w:rFonts w:hint="eastAsia" w:ascii="宋体" w:hAnsi="宋体"/>
          <w:sz w:val="21"/>
          <w:highlight w:val="none"/>
        </w:rPr>
        <w:t>）</w:t>
      </w:r>
      <w:r>
        <w:rPr>
          <w:rFonts w:ascii="宋体" w:hAnsi="宋体"/>
          <w:sz w:val="21"/>
          <w:highlight w:val="none"/>
        </w:rPr>
        <w:t>在近三年内投标人或其法定代表人、拟委任的</w:t>
      </w:r>
      <w:r>
        <w:rPr>
          <w:rFonts w:hint="eastAsia" w:ascii="宋体" w:hAnsi="宋体"/>
          <w:sz w:val="21"/>
          <w:highlight w:val="none"/>
        </w:rPr>
        <w:t>总监理工程师</w:t>
      </w:r>
      <w:r>
        <w:rPr>
          <w:rFonts w:ascii="宋体" w:hAnsi="宋体"/>
          <w:sz w:val="21"/>
          <w:highlight w:val="none"/>
        </w:rPr>
        <w:t>有行贿犯罪行为的</w:t>
      </w:r>
      <w:r>
        <w:rPr>
          <w:rFonts w:hint="eastAsia" w:ascii="宋体" w:hAnsi="宋体"/>
          <w:sz w:val="21"/>
          <w:highlight w:val="none"/>
        </w:rPr>
        <w:t>（以检察机关职务犯罪预防部门出具的查询结果为准）；</w:t>
      </w:r>
    </w:p>
    <w:p w14:paraId="5A1921A3">
      <w:pPr>
        <w:pStyle w:val="7"/>
        <w:tabs>
          <w:tab w:val="left" w:pos="2812"/>
          <w:tab w:val="left" w:pos="3986"/>
        </w:tabs>
        <w:kinsoku w:val="0"/>
        <w:overflowPunct w:val="0"/>
        <w:spacing w:before="120" w:beforeLines="50" w:beforeAutospacing="0" w:line="360" w:lineRule="auto"/>
        <w:ind w:left="426" w:right="221"/>
        <w:rPr>
          <w:rFonts w:hint="eastAsia" w:ascii="宋体" w:hAnsi="宋体"/>
          <w:sz w:val="21"/>
          <w:highlight w:val="none"/>
        </w:rPr>
      </w:pPr>
      <w:r>
        <w:rPr>
          <w:rFonts w:hint="eastAsia" w:ascii="宋体" w:hAnsi="宋体"/>
          <w:sz w:val="21"/>
          <w:highlight w:val="none"/>
        </w:rPr>
        <w:t>（</w:t>
      </w:r>
      <w:r>
        <w:rPr>
          <w:rFonts w:ascii="宋体" w:hAnsi="宋体"/>
          <w:sz w:val="21"/>
          <w:highlight w:val="none"/>
        </w:rPr>
        <w:t>17</w:t>
      </w:r>
      <w:r>
        <w:rPr>
          <w:rFonts w:hint="eastAsia" w:ascii="宋体" w:hAnsi="宋体"/>
          <w:sz w:val="21"/>
          <w:highlight w:val="none"/>
        </w:rPr>
        <w:t>）法律法规或投标人须知前附表规定的其他情形。</w:t>
      </w:r>
    </w:p>
    <w:p w14:paraId="64F3D3E9">
      <w:pPr>
        <w:pStyle w:val="10"/>
        <w:ind w:firstLine="422"/>
        <w:rPr>
          <w:rFonts w:hint="eastAsia" w:ascii="宋体" w:hAnsi="宋体"/>
          <w:sz w:val="21"/>
          <w:highlight w:val="none"/>
        </w:rPr>
      </w:pPr>
      <w:bookmarkStart w:id="60" w:name="_Toc500409833"/>
      <w:bookmarkStart w:id="61" w:name="_Toc500410281"/>
      <w:bookmarkStart w:id="62" w:name="_Toc510170372"/>
      <w:r>
        <w:rPr>
          <w:rFonts w:hint="eastAsia" w:ascii="宋体" w:hAnsi="宋体"/>
          <w:sz w:val="21"/>
          <w:highlight w:val="none"/>
        </w:rPr>
        <w:t>1.5 费用承担</w:t>
      </w:r>
      <w:bookmarkEnd w:id="60"/>
      <w:bookmarkEnd w:id="61"/>
      <w:bookmarkEnd w:id="62"/>
    </w:p>
    <w:p w14:paraId="512DAEFC">
      <w:pPr>
        <w:spacing w:line="360" w:lineRule="auto"/>
        <w:ind w:firstLine="480"/>
        <w:rPr>
          <w:rFonts w:hint="eastAsia" w:ascii="宋体" w:hAnsi="宋体"/>
          <w:highlight w:val="none"/>
        </w:rPr>
      </w:pPr>
      <w:r>
        <w:rPr>
          <w:rFonts w:ascii="宋体" w:hAnsi="宋体"/>
          <w:highlight w:val="none"/>
        </w:rPr>
        <w:t>投标人准备和参加投标活动发生的费用自理</w:t>
      </w:r>
      <w:r>
        <w:rPr>
          <w:rFonts w:hint="eastAsia" w:ascii="宋体" w:hAnsi="宋体"/>
          <w:highlight w:val="none"/>
        </w:rPr>
        <w:t>。</w:t>
      </w:r>
    </w:p>
    <w:p w14:paraId="57C8291D">
      <w:pPr>
        <w:pStyle w:val="10"/>
        <w:ind w:firstLine="422"/>
        <w:rPr>
          <w:rFonts w:hint="eastAsia" w:ascii="宋体" w:hAnsi="宋体"/>
          <w:sz w:val="21"/>
          <w:highlight w:val="none"/>
        </w:rPr>
      </w:pPr>
      <w:bookmarkStart w:id="63" w:name="_Toc510170373"/>
      <w:bookmarkStart w:id="64" w:name="_Toc500410282"/>
      <w:bookmarkStart w:id="65" w:name="_Toc500409834"/>
      <w:r>
        <w:rPr>
          <w:rFonts w:hint="eastAsia" w:ascii="宋体" w:hAnsi="宋体"/>
          <w:sz w:val="21"/>
          <w:highlight w:val="none"/>
        </w:rPr>
        <w:t>1.6 保密</w:t>
      </w:r>
      <w:bookmarkEnd w:id="63"/>
      <w:bookmarkEnd w:id="64"/>
      <w:bookmarkEnd w:id="65"/>
    </w:p>
    <w:p w14:paraId="425B6102">
      <w:pPr>
        <w:spacing w:line="360" w:lineRule="auto"/>
        <w:ind w:firstLine="480"/>
        <w:rPr>
          <w:rFonts w:ascii="宋体" w:hAnsi="宋体"/>
          <w:highlight w:val="none"/>
        </w:rPr>
      </w:pPr>
      <w:r>
        <w:rPr>
          <w:rFonts w:ascii="宋体" w:hAnsi="宋体"/>
          <w:highlight w:val="none"/>
        </w:rPr>
        <w:t>参与招标投标活动的各方应对招标文件和投标文件中的商业和技术等秘密保密，否则应承担相应的法律责任。</w:t>
      </w:r>
    </w:p>
    <w:p w14:paraId="4C9692A7">
      <w:pPr>
        <w:pStyle w:val="10"/>
        <w:ind w:firstLine="422"/>
        <w:rPr>
          <w:rFonts w:hint="eastAsia" w:ascii="宋体" w:hAnsi="宋体"/>
          <w:sz w:val="21"/>
          <w:highlight w:val="none"/>
        </w:rPr>
      </w:pPr>
      <w:bookmarkStart w:id="66" w:name="_Toc500410283"/>
      <w:bookmarkStart w:id="67" w:name="_Toc510170374"/>
      <w:bookmarkStart w:id="68" w:name="_Toc500409835"/>
      <w:r>
        <w:rPr>
          <w:rFonts w:hint="eastAsia" w:ascii="宋体" w:hAnsi="宋体"/>
          <w:sz w:val="21"/>
          <w:highlight w:val="none"/>
        </w:rPr>
        <w:t>1.7 语言文字</w:t>
      </w:r>
      <w:bookmarkEnd w:id="66"/>
      <w:bookmarkEnd w:id="67"/>
      <w:bookmarkEnd w:id="68"/>
    </w:p>
    <w:p w14:paraId="15E56953">
      <w:pPr>
        <w:spacing w:line="360" w:lineRule="auto"/>
        <w:ind w:firstLine="480"/>
        <w:rPr>
          <w:rFonts w:ascii="宋体" w:hAnsi="宋体"/>
          <w:highlight w:val="none"/>
        </w:rPr>
      </w:pPr>
      <w:r>
        <w:rPr>
          <w:rFonts w:ascii="宋体" w:hAnsi="宋体"/>
          <w:highlight w:val="none"/>
        </w:rPr>
        <w:t>招标投标文件使用的语言文字为中文。专用术语使用外文的，应附有中文注释。</w:t>
      </w:r>
    </w:p>
    <w:p w14:paraId="4C8B606B">
      <w:pPr>
        <w:pStyle w:val="10"/>
        <w:ind w:firstLine="422"/>
        <w:rPr>
          <w:rFonts w:hint="eastAsia" w:ascii="宋体" w:hAnsi="宋体"/>
          <w:sz w:val="21"/>
          <w:highlight w:val="none"/>
        </w:rPr>
      </w:pPr>
      <w:bookmarkStart w:id="69" w:name="_Toc500409836"/>
      <w:bookmarkStart w:id="70" w:name="_Toc500410284"/>
      <w:bookmarkStart w:id="71" w:name="_Toc510170375"/>
      <w:r>
        <w:rPr>
          <w:rFonts w:hint="eastAsia" w:ascii="宋体" w:hAnsi="宋体"/>
          <w:sz w:val="21"/>
          <w:highlight w:val="none"/>
        </w:rPr>
        <w:t>1.8 计量单位</w:t>
      </w:r>
      <w:bookmarkEnd w:id="69"/>
      <w:bookmarkEnd w:id="70"/>
      <w:bookmarkEnd w:id="71"/>
    </w:p>
    <w:p w14:paraId="4F6B07E0">
      <w:pPr>
        <w:spacing w:line="360" w:lineRule="auto"/>
        <w:ind w:firstLine="480"/>
        <w:rPr>
          <w:rFonts w:ascii="宋体" w:hAnsi="宋体"/>
          <w:highlight w:val="none"/>
        </w:rPr>
      </w:pPr>
      <w:r>
        <w:rPr>
          <w:rFonts w:ascii="宋体" w:hAnsi="宋体"/>
          <w:highlight w:val="none"/>
        </w:rPr>
        <w:t>所有计量均采用中华人民共和国法定计量单位。</w:t>
      </w:r>
    </w:p>
    <w:p w14:paraId="7F46DDFB">
      <w:pPr>
        <w:pStyle w:val="10"/>
        <w:ind w:firstLine="422"/>
        <w:rPr>
          <w:rFonts w:hint="eastAsia" w:ascii="宋体" w:hAnsi="宋体"/>
          <w:sz w:val="21"/>
          <w:highlight w:val="none"/>
        </w:rPr>
      </w:pPr>
      <w:bookmarkStart w:id="72" w:name="_Toc510170376"/>
      <w:bookmarkStart w:id="73" w:name="_Toc500410285"/>
      <w:bookmarkStart w:id="74" w:name="_Toc500409837"/>
      <w:r>
        <w:rPr>
          <w:rFonts w:hint="eastAsia" w:ascii="宋体" w:hAnsi="宋体"/>
          <w:sz w:val="21"/>
          <w:highlight w:val="none"/>
        </w:rPr>
        <w:t>1.9 踏勘现场</w:t>
      </w:r>
      <w:bookmarkEnd w:id="72"/>
      <w:bookmarkEnd w:id="73"/>
      <w:bookmarkEnd w:id="74"/>
    </w:p>
    <w:p w14:paraId="78A856BA">
      <w:pPr>
        <w:spacing w:line="360" w:lineRule="auto"/>
        <w:ind w:firstLine="480"/>
        <w:rPr>
          <w:rFonts w:ascii="宋体" w:hAnsi="宋体"/>
          <w:highlight w:val="none"/>
        </w:rPr>
      </w:pPr>
      <w:r>
        <w:rPr>
          <w:rFonts w:ascii="宋体" w:hAnsi="宋体"/>
          <w:highlight w:val="none"/>
        </w:rPr>
        <w:t>1.9.1 投标人须知前附表规定组织踏勘现场的，招标人按投标人须知前附表规定的时间、地点组织投标人踏勘项目现场。部分投标人未按时参加踏勘现场的，不影响踏勘现场的正常进行。</w:t>
      </w:r>
    </w:p>
    <w:p w14:paraId="178D3CCB">
      <w:pPr>
        <w:spacing w:line="360" w:lineRule="auto"/>
        <w:ind w:firstLine="480"/>
        <w:rPr>
          <w:rFonts w:ascii="宋体" w:hAnsi="宋体"/>
          <w:highlight w:val="none"/>
        </w:rPr>
      </w:pPr>
      <w:r>
        <w:rPr>
          <w:rFonts w:ascii="宋体" w:hAnsi="宋体"/>
          <w:highlight w:val="none"/>
        </w:rPr>
        <w:t>1.9.2 投标人踏勘现场发生的费用自理。</w:t>
      </w:r>
    </w:p>
    <w:p w14:paraId="1D2F019B">
      <w:pPr>
        <w:spacing w:line="360" w:lineRule="auto"/>
        <w:ind w:firstLine="480"/>
        <w:rPr>
          <w:rFonts w:ascii="宋体" w:hAnsi="宋体"/>
          <w:highlight w:val="none"/>
        </w:rPr>
      </w:pPr>
      <w:r>
        <w:rPr>
          <w:rFonts w:ascii="宋体" w:hAnsi="宋体"/>
          <w:highlight w:val="none"/>
        </w:rPr>
        <w:t>1.9.3 除招标人的原因外，投标人自行负责在踏勘现场中所发生的人员伤亡和财产损失</w:t>
      </w:r>
      <w:r>
        <w:rPr>
          <w:rFonts w:hint="eastAsia" w:ascii="宋体" w:hAnsi="宋体"/>
          <w:highlight w:val="none"/>
        </w:rPr>
        <w:t>。</w:t>
      </w:r>
    </w:p>
    <w:p w14:paraId="09F7DA40">
      <w:pPr>
        <w:spacing w:line="360" w:lineRule="auto"/>
        <w:ind w:firstLine="480"/>
        <w:rPr>
          <w:rFonts w:hint="eastAsia" w:ascii="宋体" w:hAnsi="宋体"/>
          <w:highlight w:val="none"/>
        </w:rPr>
      </w:pPr>
      <w:r>
        <w:rPr>
          <w:rFonts w:ascii="宋体" w:hAnsi="宋体"/>
          <w:highlight w:val="none"/>
        </w:rPr>
        <w:t>1.9.4 招标人在踏勘现场中介绍的工程场地和相关的周边环境情况，供投标人在编制投标文件时参考，招标人不对投标人据此作出的判断和决策负责。</w:t>
      </w:r>
    </w:p>
    <w:p w14:paraId="5AF713F1">
      <w:pPr>
        <w:pStyle w:val="10"/>
        <w:ind w:firstLine="422"/>
        <w:rPr>
          <w:rFonts w:hint="eastAsia" w:ascii="宋体" w:hAnsi="宋体"/>
          <w:sz w:val="21"/>
          <w:highlight w:val="none"/>
        </w:rPr>
      </w:pPr>
      <w:bookmarkStart w:id="75" w:name="_Toc510170377"/>
      <w:r>
        <w:rPr>
          <w:rFonts w:hint="eastAsia" w:ascii="宋体" w:hAnsi="宋体"/>
          <w:sz w:val="21"/>
          <w:highlight w:val="none"/>
        </w:rPr>
        <w:t>1.10投标预备会</w:t>
      </w:r>
      <w:bookmarkEnd w:id="75"/>
    </w:p>
    <w:p w14:paraId="2C30CA4D">
      <w:pPr>
        <w:spacing w:line="360" w:lineRule="auto"/>
        <w:ind w:firstLine="480"/>
        <w:rPr>
          <w:rFonts w:hint="eastAsia" w:ascii="宋体" w:hAnsi="宋体"/>
          <w:highlight w:val="none"/>
        </w:rPr>
      </w:pPr>
      <w:bookmarkStart w:id="76" w:name="page24"/>
      <w:bookmarkEnd w:id="76"/>
      <w:bookmarkStart w:id="77" w:name="page23"/>
      <w:bookmarkEnd w:id="77"/>
      <w:bookmarkStart w:id="78" w:name="page22"/>
      <w:bookmarkEnd w:id="78"/>
      <w:bookmarkStart w:id="79" w:name="_Toc500409838"/>
      <w:bookmarkStart w:id="80" w:name="_Toc500410286"/>
      <w:r>
        <w:rPr>
          <w:rFonts w:hint="eastAsia" w:ascii="宋体" w:hAnsi="宋体"/>
          <w:highlight w:val="none"/>
        </w:rPr>
        <w:t>1.10.1 投标人须知前附表规定召开投标预备会的，招标人按投标人须知前附表规定的时间和地点召开投标预备会，澄清投标人提出的问题。</w:t>
      </w:r>
    </w:p>
    <w:p w14:paraId="16A4E010">
      <w:pPr>
        <w:spacing w:line="360" w:lineRule="auto"/>
        <w:ind w:firstLine="480"/>
        <w:rPr>
          <w:rFonts w:ascii="宋体" w:hAnsi="宋体"/>
          <w:highlight w:val="none"/>
        </w:rPr>
      </w:pPr>
      <w:bookmarkStart w:id="81" w:name="_Toc510170378"/>
      <w:r>
        <w:rPr>
          <w:rFonts w:ascii="宋体" w:hAnsi="宋体"/>
          <w:highlight w:val="none"/>
        </w:rPr>
        <w:t xml:space="preserve">1.10.2 投标人应按投标人须知前附表规定的时间和形式将提出的问题送达招标人，以便招标人在会议期间澄清。 </w:t>
      </w:r>
    </w:p>
    <w:p w14:paraId="49741A09">
      <w:pPr>
        <w:spacing w:line="360" w:lineRule="auto"/>
        <w:ind w:firstLine="480"/>
        <w:rPr>
          <w:rFonts w:ascii="宋体" w:hAnsi="宋体"/>
          <w:highlight w:val="none"/>
        </w:rPr>
      </w:pPr>
      <w:r>
        <w:rPr>
          <w:rFonts w:ascii="宋体" w:hAnsi="宋体"/>
          <w:highlight w:val="none"/>
        </w:rPr>
        <w:t xml:space="preserve">1.10.3 投标预备会后，招标人将对投标人所提问题的澄清，以投标人须知前附表规定的形式通知所有购买招标文件的投标人。该澄清内容为招标文件的组成部分。 </w:t>
      </w:r>
    </w:p>
    <w:p w14:paraId="257B59A0">
      <w:pPr>
        <w:pStyle w:val="10"/>
        <w:ind w:firstLine="422"/>
        <w:rPr>
          <w:rFonts w:hint="eastAsia" w:ascii="宋体" w:hAnsi="宋体"/>
          <w:sz w:val="21"/>
          <w:highlight w:val="none"/>
        </w:rPr>
      </w:pPr>
      <w:r>
        <w:rPr>
          <w:rFonts w:hint="eastAsia" w:ascii="宋体" w:hAnsi="宋体"/>
          <w:sz w:val="21"/>
          <w:highlight w:val="none"/>
        </w:rPr>
        <w:t>1.11分包</w:t>
      </w:r>
      <w:bookmarkEnd w:id="79"/>
      <w:bookmarkEnd w:id="80"/>
      <w:bookmarkEnd w:id="81"/>
    </w:p>
    <w:p w14:paraId="5DC8F21C">
      <w:pPr>
        <w:spacing w:line="360" w:lineRule="auto"/>
        <w:ind w:firstLine="480"/>
        <w:rPr>
          <w:rFonts w:hint="eastAsia" w:ascii="宋体" w:hAnsi="宋体"/>
          <w:highlight w:val="none"/>
        </w:rPr>
      </w:pPr>
      <w:r>
        <w:rPr>
          <w:rFonts w:hint="eastAsia" w:ascii="宋体" w:hAnsi="宋体"/>
          <w:highlight w:val="none"/>
        </w:rPr>
        <w:t>本项目严禁分包。</w:t>
      </w:r>
    </w:p>
    <w:p w14:paraId="4E47DF7F">
      <w:pPr>
        <w:pStyle w:val="10"/>
        <w:ind w:firstLine="422"/>
        <w:rPr>
          <w:rFonts w:hint="eastAsia" w:ascii="宋体" w:hAnsi="宋体"/>
          <w:sz w:val="21"/>
          <w:highlight w:val="none"/>
        </w:rPr>
      </w:pPr>
      <w:bookmarkStart w:id="82" w:name="_Toc500409839"/>
      <w:bookmarkStart w:id="83" w:name="_Toc510170379"/>
      <w:bookmarkStart w:id="84" w:name="_Toc500410287"/>
      <w:r>
        <w:rPr>
          <w:rFonts w:hint="eastAsia" w:ascii="宋体" w:hAnsi="宋体"/>
          <w:sz w:val="21"/>
          <w:highlight w:val="none"/>
        </w:rPr>
        <w:t>1.12 响应和偏差</w:t>
      </w:r>
      <w:bookmarkEnd w:id="82"/>
      <w:bookmarkEnd w:id="83"/>
      <w:bookmarkEnd w:id="84"/>
    </w:p>
    <w:p w14:paraId="12C1D499">
      <w:pPr>
        <w:spacing w:line="360" w:lineRule="auto"/>
        <w:ind w:firstLine="480"/>
        <w:rPr>
          <w:rFonts w:hint="eastAsia" w:ascii="宋体" w:hAnsi="宋体"/>
          <w:highlight w:val="none"/>
        </w:rPr>
      </w:pPr>
      <w:r>
        <w:rPr>
          <w:rFonts w:ascii="宋体" w:hAnsi="宋体"/>
          <w:highlight w:val="none"/>
        </w:rPr>
        <w:t>1.</w:t>
      </w:r>
      <w:r>
        <w:rPr>
          <w:rFonts w:hint="eastAsia" w:ascii="宋体" w:hAnsi="宋体"/>
          <w:highlight w:val="none"/>
        </w:rPr>
        <w:t>12</w:t>
      </w:r>
      <w:r>
        <w:rPr>
          <w:rFonts w:ascii="宋体" w:hAnsi="宋体"/>
          <w:highlight w:val="none"/>
        </w:rPr>
        <w:t>.1 投标文件应当对招标文件的实质性要求和条件作出满足性或更有利于招标人的响应，否则，投标人的投标将被否决。实质性要求和条件见投标人须知前附表。</w:t>
      </w:r>
    </w:p>
    <w:p w14:paraId="386387B4">
      <w:pPr>
        <w:spacing w:line="360" w:lineRule="auto"/>
        <w:ind w:firstLine="480"/>
        <w:rPr>
          <w:rFonts w:hint="eastAsia" w:ascii="宋体" w:hAnsi="宋体"/>
          <w:highlight w:val="none"/>
        </w:rPr>
      </w:pPr>
      <w:r>
        <w:rPr>
          <w:rFonts w:ascii="宋体" w:hAnsi="宋体"/>
          <w:highlight w:val="none"/>
        </w:rPr>
        <w:t>1.</w:t>
      </w:r>
      <w:r>
        <w:rPr>
          <w:rFonts w:hint="eastAsia" w:ascii="宋体" w:hAnsi="宋体"/>
          <w:highlight w:val="none"/>
        </w:rPr>
        <w:t>12</w:t>
      </w:r>
      <w:r>
        <w:rPr>
          <w:rFonts w:ascii="宋体" w:hAnsi="宋体"/>
          <w:highlight w:val="none"/>
        </w:rPr>
        <w:t>.2 投标人应根据招标文件的要求提供投标监理大纲等内容以对招标文件作出响应。</w:t>
      </w:r>
    </w:p>
    <w:p w14:paraId="3440C635">
      <w:pPr>
        <w:spacing w:line="360" w:lineRule="auto"/>
        <w:ind w:firstLine="480"/>
        <w:rPr>
          <w:rFonts w:hint="eastAsia" w:ascii="宋体" w:hAnsi="宋体"/>
          <w:highlight w:val="none"/>
        </w:rPr>
      </w:pPr>
      <w:r>
        <w:rPr>
          <w:rFonts w:ascii="宋体" w:hAnsi="宋体"/>
          <w:highlight w:val="none"/>
        </w:rPr>
        <w:t>1.</w:t>
      </w:r>
      <w:r>
        <w:rPr>
          <w:rFonts w:hint="eastAsia" w:ascii="宋体" w:hAnsi="宋体"/>
          <w:highlight w:val="none"/>
        </w:rPr>
        <w:t>12</w:t>
      </w:r>
      <w:r>
        <w:rPr>
          <w:rFonts w:ascii="宋体" w:hAnsi="宋体"/>
          <w:highlight w:val="none"/>
        </w:rPr>
        <w:t>.3 投标人须知前附表允许投标文件偏离招标文件</w:t>
      </w:r>
      <w:r>
        <w:rPr>
          <w:rFonts w:hint="eastAsia" w:ascii="宋体" w:hAnsi="宋体"/>
          <w:highlight w:val="none"/>
        </w:rPr>
        <w:t>某些要求的，偏差应当符合招标文件规定的偏差范围和幅度。</w:t>
      </w:r>
    </w:p>
    <w:p w14:paraId="1EBC9ED4">
      <w:pPr>
        <w:pStyle w:val="9"/>
        <w:ind w:firstLine="422"/>
        <w:rPr>
          <w:rFonts w:hint="eastAsia" w:ascii="宋体" w:hAnsi="宋体"/>
          <w:sz w:val="21"/>
          <w:szCs w:val="21"/>
          <w:highlight w:val="none"/>
        </w:rPr>
      </w:pPr>
      <w:bookmarkStart w:id="85" w:name="_Toc500410288"/>
      <w:bookmarkStart w:id="86" w:name="_Toc510170380"/>
      <w:bookmarkStart w:id="87" w:name="_Toc500409840"/>
      <w:bookmarkStart w:id="88" w:name="_Toc510170247"/>
      <w:r>
        <w:rPr>
          <w:rFonts w:hint="eastAsia" w:ascii="宋体" w:hAnsi="宋体"/>
          <w:sz w:val="21"/>
          <w:szCs w:val="21"/>
          <w:highlight w:val="none"/>
        </w:rPr>
        <w:t>2.</w:t>
      </w:r>
      <w:r>
        <w:rPr>
          <w:rFonts w:ascii="宋体" w:hAnsi="宋体"/>
          <w:sz w:val="21"/>
          <w:szCs w:val="21"/>
          <w:highlight w:val="none"/>
        </w:rPr>
        <w:t>招标文件</w:t>
      </w:r>
      <w:bookmarkEnd w:id="85"/>
      <w:bookmarkEnd w:id="86"/>
      <w:bookmarkEnd w:id="87"/>
      <w:bookmarkEnd w:id="88"/>
    </w:p>
    <w:p w14:paraId="7AED667E">
      <w:pPr>
        <w:pStyle w:val="10"/>
        <w:ind w:firstLine="422"/>
        <w:rPr>
          <w:rFonts w:hint="eastAsia" w:ascii="宋体" w:hAnsi="宋体"/>
          <w:sz w:val="21"/>
          <w:highlight w:val="none"/>
        </w:rPr>
      </w:pPr>
      <w:bookmarkStart w:id="89" w:name="_Toc500410289"/>
      <w:bookmarkStart w:id="90" w:name="_Toc510170381"/>
      <w:bookmarkStart w:id="91" w:name="_Toc500409841"/>
      <w:r>
        <w:rPr>
          <w:rFonts w:hint="eastAsia" w:ascii="宋体" w:hAnsi="宋体"/>
          <w:sz w:val="21"/>
          <w:highlight w:val="none"/>
        </w:rPr>
        <w:t>2.1 招标文件的组成</w:t>
      </w:r>
      <w:bookmarkEnd w:id="89"/>
      <w:bookmarkEnd w:id="90"/>
      <w:bookmarkEnd w:id="91"/>
    </w:p>
    <w:p w14:paraId="2B2EDD5F">
      <w:pPr>
        <w:spacing w:line="360" w:lineRule="auto"/>
        <w:ind w:firstLine="480"/>
        <w:rPr>
          <w:rFonts w:ascii="宋体" w:hAnsi="宋体"/>
          <w:highlight w:val="none"/>
        </w:rPr>
      </w:pPr>
      <w:r>
        <w:rPr>
          <w:rFonts w:hint="eastAsia" w:ascii="宋体" w:hAnsi="宋体"/>
          <w:highlight w:val="none"/>
        </w:rPr>
        <w:t>2.1.1</w:t>
      </w:r>
      <w:r>
        <w:rPr>
          <w:rFonts w:ascii="宋体" w:hAnsi="宋体"/>
          <w:highlight w:val="none"/>
        </w:rPr>
        <w:t>本招标文件包括：</w:t>
      </w:r>
    </w:p>
    <w:p w14:paraId="02D353B1">
      <w:pPr>
        <w:spacing w:line="360" w:lineRule="auto"/>
        <w:ind w:firstLine="480"/>
        <w:rPr>
          <w:rFonts w:ascii="宋体" w:hAnsi="宋体"/>
          <w:highlight w:val="none"/>
        </w:rPr>
      </w:pPr>
      <w:r>
        <w:rPr>
          <w:rFonts w:ascii="宋体" w:hAnsi="宋体"/>
          <w:highlight w:val="none"/>
        </w:rPr>
        <w:t>（1）招标公告；</w:t>
      </w:r>
    </w:p>
    <w:p w14:paraId="5FFFD9A1">
      <w:pPr>
        <w:spacing w:line="360" w:lineRule="auto"/>
        <w:ind w:firstLine="480"/>
        <w:rPr>
          <w:rFonts w:ascii="宋体" w:hAnsi="宋体"/>
          <w:highlight w:val="none"/>
        </w:rPr>
      </w:pPr>
      <w:r>
        <w:rPr>
          <w:rFonts w:ascii="宋体" w:hAnsi="宋体"/>
          <w:highlight w:val="none"/>
        </w:rPr>
        <w:t>（2）投标人须知；</w:t>
      </w:r>
    </w:p>
    <w:p w14:paraId="3CC60B04">
      <w:pPr>
        <w:spacing w:line="360" w:lineRule="auto"/>
        <w:ind w:firstLine="480"/>
        <w:rPr>
          <w:rFonts w:ascii="宋体" w:hAnsi="宋体"/>
          <w:highlight w:val="none"/>
        </w:rPr>
      </w:pPr>
      <w:r>
        <w:rPr>
          <w:rFonts w:ascii="宋体" w:hAnsi="宋体"/>
          <w:highlight w:val="none"/>
        </w:rPr>
        <w:t>（3）评标办法；</w:t>
      </w:r>
    </w:p>
    <w:p w14:paraId="5704B92B">
      <w:pPr>
        <w:spacing w:line="360" w:lineRule="auto"/>
        <w:ind w:firstLine="480"/>
        <w:rPr>
          <w:rFonts w:ascii="宋体" w:hAnsi="宋体"/>
          <w:highlight w:val="none"/>
        </w:rPr>
      </w:pPr>
      <w:r>
        <w:rPr>
          <w:rFonts w:ascii="宋体" w:hAnsi="宋体"/>
          <w:highlight w:val="none"/>
        </w:rPr>
        <w:t>（4）合同条款及格式；</w:t>
      </w:r>
    </w:p>
    <w:p w14:paraId="4441C4D1">
      <w:pPr>
        <w:spacing w:line="360" w:lineRule="auto"/>
        <w:ind w:firstLine="480"/>
        <w:rPr>
          <w:rFonts w:ascii="宋体" w:hAnsi="宋体"/>
          <w:highlight w:val="none"/>
        </w:rPr>
      </w:pPr>
      <w:r>
        <w:rPr>
          <w:rFonts w:ascii="宋体" w:hAnsi="宋体"/>
          <w:highlight w:val="none"/>
        </w:rPr>
        <w:t>（5）委托人要求；</w:t>
      </w:r>
    </w:p>
    <w:p w14:paraId="0CE22904">
      <w:pPr>
        <w:spacing w:line="360" w:lineRule="auto"/>
        <w:ind w:firstLine="480"/>
        <w:rPr>
          <w:rFonts w:ascii="宋体" w:hAnsi="宋体"/>
          <w:highlight w:val="none"/>
        </w:rPr>
      </w:pPr>
      <w:r>
        <w:rPr>
          <w:rFonts w:ascii="宋体" w:hAnsi="宋体"/>
          <w:highlight w:val="none"/>
        </w:rPr>
        <w:t>（6）投标文件格式；</w:t>
      </w:r>
    </w:p>
    <w:p w14:paraId="7A2B16E0">
      <w:pPr>
        <w:spacing w:line="360" w:lineRule="auto"/>
        <w:ind w:firstLine="480"/>
        <w:rPr>
          <w:rFonts w:ascii="宋体" w:hAnsi="宋体"/>
          <w:highlight w:val="none"/>
        </w:rPr>
      </w:pPr>
      <w:r>
        <w:rPr>
          <w:rFonts w:ascii="宋体" w:hAnsi="宋体"/>
          <w:highlight w:val="none"/>
        </w:rPr>
        <w:t>（7）</w:t>
      </w:r>
      <w:r>
        <w:rPr>
          <w:rFonts w:ascii="宋体" w:hAnsi="宋体"/>
          <w:highlight w:val="none"/>
          <w:u w:val="single"/>
        </w:rPr>
        <w:t>否决性条款汇总</w:t>
      </w:r>
      <w:r>
        <w:rPr>
          <w:rFonts w:ascii="宋体" w:hAnsi="宋体"/>
          <w:highlight w:val="none"/>
        </w:rPr>
        <w:t>。</w:t>
      </w:r>
    </w:p>
    <w:p w14:paraId="4EC4AA3B">
      <w:pPr>
        <w:spacing w:line="360" w:lineRule="auto"/>
        <w:ind w:firstLine="480"/>
        <w:rPr>
          <w:rFonts w:ascii="宋体" w:hAnsi="宋体"/>
          <w:highlight w:val="none"/>
        </w:rPr>
      </w:pPr>
      <w:r>
        <w:rPr>
          <w:rFonts w:ascii="宋体" w:hAnsi="宋体"/>
          <w:highlight w:val="none"/>
        </w:rPr>
        <w:t>根据本章第 1.10 款、第 2.2 款和第 2.3 款对招标文件所作的澄清、修改，构成招标文件的组成部分。</w:t>
      </w:r>
    </w:p>
    <w:p w14:paraId="0A63E85B">
      <w:pPr>
        <w:pStyle w:val="10"/>
        <w:ind w:firstLine="422"/>
        <w:rPr>
          <w:rFonts w:hint="eastAsia" w:ascii="宋体" w:hAnsi="宋体"/>
          <w:sz w:val="21"/>
          <w:highlight w:val="none"/>
        </w:rPr>
      </w:pPr>
      <w:bookmarkStart w:id="92" w:name="_Toc510170382"/>
      <w:bookmarkStart w:id="93" w:name="_Toc500410290"/>
      <w:bookmarkStart w:id="94" w:name="_Toc500409842"/>
      <w:r>
        <w:rPr>
          <w:rFonts w:hint="eastAsia" w:ascii="宋体" w:hAnsi="宋体"/>
          <w:sz w:val="21"/>
          <w:highlight w:val="none"/>
        </w:rPr>
        <w:t>2.2招标文件的澄清</w:t>
      </w:r>
      <w:bookmarkEnd w:id="92"/>
    </w:p>
    <w:bookmarkEnd w:id="93"/>
    <w:bookmarkEnd w:id="94"/>
    <w:p w14:paraId="4E082E55">
      <w:pPr>
        <w:spacing w:line="360" w:lineRule="auto"/>
        <w:ind w:firstLine="422" w:firstLineChars="201"/>
        <w:rPr>
          <w:rFonts w:hint="eastAsia" w:ascii="宋体" w:hAnsi="宋体" w:cs="宋体"/>
          <w:highlight w:val="none"/>
        </w:rPr>
      </w:pPr>
      <w:r>
        <w:rPr>
          <w:rFonts w:hint="eastAsia" w:ascii="宋体" w:hAnsi="宋体"/>
          <w:highlight w:val="none"/>
        </w:rPr>
        <w:t>2.2.1</w:t>
      </w:r>
      <w:r>
        <w:rPr>
          <w:rFonts w:ascii="宋体" w:hAnsi="宋体" w:cs="宋体"/>
          <w:highlight w:val="none"/>
        </w:rPr>
        <w:t>投标人应仔细阅读和检查招标文件的全部内容。如发现缺页或附件不全，应及时向招标人提出，以便补齐。如有疑问，应</w:t>
      </w:r>
      <w:r>
        <w:rPr>
          <w:rFonts w:hint="eastAsia" w:ascii="宋体" w:hAnsi="宋体" w:cs="宋体"/>
          <w:highlight w:val="none"/>
        </w:rPr>
        <w:t>在</w:t>
      </w:r>
      <w:r>
        <w:rPr>
          <w:rFonts w:ascii="宋体" w:hAnsi="宋体"/>
          <w:highlight w:val="none"/>
        </w:rPr>
        <w:t>本章第 4.2.1 项规定的</w:t>
      </w:r>
      <w:r>
        <w:rPr>
          <w:rFonts w:hint="eastAsia" w:ascii="宋体" w:hAnsi="宋体" w:cs="宋体"/>
          <w:highlight w:val="none"/>
        </w:rPr>
        <w:t>投标截止时间</w:t>
      </w:r>
      <w:r>
        <w:rPr>
          <w:rFonts w:hint="eastAsia" w:ascii="宋体" w:hAnsi="宋体"/>
          <w:highlight w:val="none"/>
        </w:rPr>
        <w:t>18</w:t>
      </w:r>
      <w:r>
        <w:rPr>
          <w:rFonts w:hint="eastAsia" w:ascii="宋体" w:hAnsi="宋体" w:cs="宋体"/>
          <w:highlight w:val="none"/>
        </w:rPr>
        <w:t>日前按“投标人网上答疑操作指南”</w:t>
      </w:r>
      <w:r>
        <w:rPr>
          <w:rFonts w:ascii="宋体" w:hAnsi="宋体" w:cs="宋体"/>
          <w:highlight w:val="none"/>
        </w:rPr>
        <w:t>将提出的问题送达招标人，要求招标人对招标文件予以澄清</w:t>
      </w:r>
      <w:r>
        <w:rPr>
          <w:rFonts w:hint="eastAsia" w:ascii="宋体" w:hAnsi="宋体" w:cs="宋体"/>
          <w:highlight w:val="none"/>
        </w:rPr>
        <w:t>，提出澄清时一律不得署名</w:t>
      </w:r>
      <w:r>
        <w:rPr>
          <w:rFonts w:ascii="宋体" w:hAnsi="宋体" w:cs="宋体"/>
          <w:highlight w:val="none"/>
        </w:rPr>
        <w:t>。</w:t>
      </w:r>
    </w:p>
    <w:p w14:paraId="36F402FA">
      <w:pPr>
        <w:spacing w:line="360" w:lineRule="auto"/>
        <w:ind w:firstLine="422" w:firstLineChars="201"/>
        <w:rPr>
          <w:rFonts w:hint="eastAsia" w:ascii="宋体" w:hAnsi="宋体" w:cs="宋体"/>
          <w:highlight w:val="none"/>
        </w:rPr>
      </w:pPr>
      <w:r>
        <w:rPr>
          <w:rFonts w:hint="eastAsia" w:ascii="宋体" w:hAnsi="宋体" w:cs="宋体"/>
          <w:highlight w:val="none"/>
        </w:rPr>
        <w:t>投标人网上答疑操作指南：投标人的疑问通过广州交易集团有限公司（广州公共资源交易中心）数字交易平台提交。按照广州交易集团有限公司（广州公共资源交易中心）数字交易平台关于全流程电子化项目的相关指南进行操作，详见：《房屋建筑和市政基础设施工程全流程电子化项目专章》(http://www.gzggzy.cn/fwznbszyjsgc/808820.jhtml)。提问一律不得署名。</w:t>
      </w:r>
    </w:p>
    <w:p w14:paraId="7B22BBEE">
      <w:pPr>
        <w:pStyle w:val="6"/>
        <w:spacing w:before="0" w:beforeAutospacing="0" w:line="360" w:lineRule="auto"/>
        <w:ind w:firstLine="422" w:firstLineChars="201"/>
        <w:rPr>
          <w:rFonts w:hint="eastAsia" w:ascii="宋体" w:hAnsi="宋体"/>
          <w:sz w:val="21"/>
          <w:highlight w:val="none"/>
        </w:rPr>
      </w:pPr>
      <w:r>
        <w:rPr>
          <w:rFonts w:hint="eastAsia" w:ascii="宋体" w:hAnsi="宋体"/>
          <w:sz w:val="21"/>
          <w:highlight w:val="none"/>
        </w:rPr>
        <w:t>2.2.2</w:t>
      </w:r>
      <w:r>
        <w:rPr>
          <w:rFonts w:ascii="宋体" w:hAnsi="宋体"/>
          <w:sz w:val="21"/>
          <w:highlight w:val="none"/>
        </w:rPr>
        <w:t>招标文件的澄清</w:t>
      </w:r>
      <w:r>
        <w:rPr>
          <w:rFonts w:hint="eastAsia" w:ascii="宋体" w:hAnsi="宋体"/>
          <w:sz w:val="21"/>
          <w:highlight w:val="none"/>
        </w:rPr>
        <w:t>应在</w:t>
      </w:r>
      <w:r>
        <w:rPr>
          <w:rFonts w:ascii="宋体" w:hAnsi="宋体"/>
          <w:sz w:val="21"/>
          <w:highlight w:val="none"/>
        </w:rPr>
        <w:t>本章第4.2.1 项规定的投标截止时间</w:t>
      </w:r>
      <w:r>
        <w:rPr>
          <w:rFonts w:hint="eastAsia" w:ascii="宋体" w:hAnsi="宋体"/>
          <w:sz w:val="21"/>
          <w:highlight w:val="none"/>
        </w:rPr>
        <w:t>15日前</w:t>
      </w:r>
      <w:r>
        <w:rPr>
          <w:rFonts w:hint="eastAsia" w:ascii="宋体" w:hAnsi="宋体" w:cs="宋体"/>
          <w:sz w:val="21"/>
          <w:highlight w:val="none"/>
        </w:rPr>
        <w:t>在广州公共资源交易中心网站</w:t>
      </w:r>
      <w:r>
        <w:rPr>
          <w:rFonts w:ascii="宋体" w:hAnsi="宋体"/>
          <w:sz w:val="21"/>
          <w:highlight w:val="none"/>
        </w:rPr>
        <w:t>“</w:t>
      </w:r>
      <w:r>
        <w:rPr>
          <w:rFonts w:hint="eastAsia" w:ascii="宋体" w:hAnsi="宋体" w:cs="宋体"/>
          <w:sz w:val="21"/>
          <w:highlight w:val="none"/>
        </w:rPr>
        <w:t>项目答疑纪要</w:t>
      </w:r>
      <w:r>
        <w:rPr>
          <w:rFonts w:ascii="宋体" w:hAnsi="宋体"/>
          <w:sz w:val="21"/>
          <w:highlight w:val="none"/>
        </w:rPr>
        <w:t>”</w:t>
      </w:r>
      <w:r>
        <w:rPr>
          <w:rFonts w:hint="eastAsia" w:ascii="宋体" w:hAnsi="宋体" w:cs="宋体"/>
          <w:sz w:val="21"/>
          <w:highlight w:val="none"/>
        </w:rPr>
        <w:t>专区发布</w:t>
      </w:r>
      <w:r>
        <w:rPr>
          <w:rFonts w:ascii="宋体" w:hAnsi="宋体"/>
          <w:sz w:val="21"/>
          <w:highlight w:val="none"/>
        </w:rPr>
        <w:t>，但不指明澄清问题的来源。澄清发出的时间距本章第 4.2.1 项规定的投标截止时间不足 15 日的，并且澄清内容可能影响投标文件编制的，将相应延长投标截止时间。</w:t>
      </w:r>
    </w:p>
    <w:p w14:paraId="19C59D6E">
      <w:pPr>
        <w:pStyle w:val="6"/>
        <w:spacing w:before="0" w:beforeAutospacing="0" w:line="360" w:lineRule="auto"/>
        <w:ind w:firstLine="426" w:firstLineChars="0"/>
        <w:rPr>
          <w:rFonts w:ascii="宋体" w:hAnsi="宋体"/>
          <w:sz w:val="21"/>
          <w:highlight w:val="none"/>
        </w:rPr>
      </w:pPr>
      <w:r>
        <w:rPr>
          <w:rFonts w:hint="eastAsia" w:ascii="宋体" w:hAnsi="宋体" w:cs="宋体"/>
          <w:sz w:val="21"/>
          <w:highlight w:val="none"/>
        </w:rPr>
        <w:t>2.2.3</w:t>
      </w:r>
      <w:r>
        <w:rPr>
          <w:rFonts w:hint="eastAsia" w:ascii="宋体" w:hAnsi="宋体"/>
          <w:sz w:val="21"/>
          <w:highlight w:val="none"/>
        </w:rPr>
        <w:t>招标文件的澄清一经在广州公共资源交易中心网站发布，视作已发放给所有投标人，招标文件的澄清内容作为招标文件的组成部分，具有约束作用。</w:t>
      </w:r>
    </w:p>
    <w:p w14:paraId="13B0A3BF">
      <w:pPr>
        <w:spacing w:line="360" w:lineRule="auto"/>
        <w:ind w:firstLine="480"/>
        <w:rPr>
          <w:rFonts w:hint="eastAsia" w:ascii="宋体" w:hAnsi="宋体"/>
          <w:highlight w:val="none"/>
        </w:rPr>
      </w:pPr>
      <w:r>
        <w:rPr>
          <w:rFonts w:hint="eastAsia" w:ascii="宋体" w:hAnsi="宋体"/>
          <w:highlight w:val="none"/>
        </w:rPr>
        <w:t>2.2.4除非招标人认为确有必要答复，否则，招标人有权拒绝回复投标人在本章第 2.2.1 项规定的时间后的任何澄清要求。</w:t>
      </w:r>
    </w:p>
    <w:p w14:paraId="45ABA9D9">
      <w:pPr>
        <w:pStyle w:val="10"/>
        <w:ind w:firstLine="422"/>
        <w:rPr>
          <w:rFonts w:hint="eastAsia" w:ascii="宋体" w:hAnsi="宋体"/>
          <w:sz w:val="21"/>
          <w:highlight w:val="none"/>
        </w:rPr>
      </w:pPr>
      <w:bookmarkStart w:id="95" w:name="_Toc510170383"/>
      <w:bookmarkStart w:id="96" w:name="_Toc500410291"/>
      <w:bookmarkStart w:id="97" w:name="_Toc500409843"/>
      <w:r>
        <w:rPr>
          <w:rFonts w:hint="eastAsia" w:ascii="宋体" w:hAnsi="宋体"/>
          <w:sz w:val="21"/>
          <w:highlight w:val="none"/>
        </w:rPr>
        <w:t>2.3 招标文件的修改</w:t>
      </w:r>
      <w:bookmarkEnd w:id="95"/>
      <w:bookmarkEnd w:id="96"/>
      <w:bookmarkEnd w:id="97"/>
    </w:p>
    <w:p w14:paraId="00E2AF05">
      <w:pPr>
        <w:spacing w:line="360" w:lineRule="auto"/>
        <w:ind w:firstLine="480"/>
        <w:rPr>
          <w:rFonts w:hint="eastAsia" w:ascii="宋体" w:hAnsi="宋体" w:cs="宋体"/>
          <w:highlight w:val="none"/>
        </w:rPr>
      </w:pPr>
      <w:r>
        <w:rPr>
          <w:rFonts w:hint="eastAsia" w:ascii="宋体" w:hAnsi="宋体" w:cs="宋体"/>
          <w:highlight w:val="none"/>
        </w:rPr>
        <w:t>2.3.1</w:t>
      </w:r>
      <w:r>
        <w:rPr>
          <w:rFonts w:hint="eastAsia" w:ascii="宋体" w:hAnsi="宋体"/>
          <w:highlight w:val="none"/>
        </w:rPr>
        <w:t>招标人对招标文件的修改应在</w:t>
      </w:r>
      <w:r>
        <w:rPr>
          <w:rFonts w:ascii="宋体" w:hAnsi="宋体"/>
          <w:highlight w:val="none"/>
        </w:rPr>
        <w:t>本章第 4.2.1 项规定的投标截止时间</w:t>
      </w:r>
      <w:r>
        <w:rPr>
          <w:rFonts w:hint="eastAsia" w:ascii="宋体" w:hAnsi="宋体"/>
          <w:highlight w:val="none"/>
        </w:rPr>
        <w:t>15日前</w:t>
      </w:r>
      <w:r>
        <w:rPr>
          <w:rFonts w:hint="eastAsia" w:ascii="宋体" w:hAnsi="宋体" w:cs="宋体"/>
          <w:highlight w:val="none"/>
        </w:rPr>
        <w:t>在广州公共资源交易中心网站</w:t>
      </w:r>
      <w:r>
        <w:rPr>
          <w:rFonts w:ascii="宋体" w:hAnsi="宋体"/>
          <w:highlight w:val="none"/>
        </w:rPr>
        <w:t>“</w:t>
      </w:r>
      <w:r>
        <w:rPr>
          <w:rFonts w:hint="eastAsia" w:ascii="宋体" w:hAnsi="宋体" w:cs="宋体"/>
          <w:highlight w:val="none"/>
        </w:rPr>
        <w:t>项目答疑纪要</w:t>
      </w:r>
      <w:r>
        <w:rPr>
          <w:rFonts w:ascii="宋体" w:hAnsi="宋体"/>
          <w:highlight w:val="none"/>
        </w:rPr>
        <w:t>”</w:t>
      </w:r>
      <w:r>
        <w:rPr>
          <w:rFonts w:hint="eastAsia" w:ascii="宋体" w:hAnsi="宋体" w:cs="宋体"/>
          <w:highlight w:val="none"/>
        </w:rPr>
        <w:t>专区发布</w:t>
      </w:r>
      <w:r>
        <w:rPr>
          <w:rFonts w:hint="eastAsia" w:ascii="宋体" w:hAnsi="宋体"/>
          <w:highlight w:val="none"/>
        </w:rPr>
        <w:t>。修改招标文件的时间距本章第 4.2.1 项规定的投标截止时间不足 15 日的，并且修改内容可能影响投标文件编制的，将相应延长投标截止时间</w:t>
      </w:r>
      <w:r>
        <w:rPr>
          <w:rFonts w:hint="eastAsia" w:ascii="宋体" w:hAnsi="宋体" w:cs="宋体"/>
          <w:highlight w:val="none"/>
        </w:rPr>
        <w:t>。</w:t>
      </w:r>
    </w:p>
    <w:p w14:paraId="10F2C193">
      <w:pPr>
        <w:pStyle w:val="6"/>
        <w:spacing w:before="0" w:beforeAutospacing="0" w:line="360" w:lineRule="auto"/>
        <w:ind w:firstLine="426" w:firstLineChars="0"/>
        <w:rPr>
          <w:rFonts w:hint="eastAsia" w:ascii="宋体" w:hAnsi="宋体"/>
          <w:sz w:val="21"/>
          <w:highlight w:val="none"/>
        </w:rPr>
      </w:pPr>
      <w:r>
        <w:rPr>
          <w:rFonts w:hint="eastAsia" w:ascii="宋体" w:hAnsi="宋体" w:cs="宋体"/>
          <w:sz w:val="21"/>
          <w:highlight w:val="none"/>
        </w:rPr>
        <w:t>2.3.2招标文件的修改一经在广州公共资源交易中心网站发布，视作已发放给所有投标人，招标文件的修改内容作为招标文件的组成部分，具有约束作用。</w:t>
      </w:r>
    </w:p>
    <w:p w14:paraId="37D48D7C">
      <w:pPr>
        <w:pStyle w:val="10"/>
        <w:ind w:firstLine="422"/>
        <w:rPr>
          <w:rFonts w:hint="eastAsia" w:ascii="宋体" w:hAnsi="宋体"/>
          <w:sz w:val="21"/>
          <w:highlight w:val="none"/>
        </w:rPr>
      </w:pPr>
      <w:bookmarkStart w:id="98" w:name="_Toc510170384"/>
      <w:bookmarkStart w:id="99" w:name="_Toc500409844"/>
      <w:bookmarkStart w:id="100" w:name="_Toc500410292"/>
      <w:r>
        <w:rPr>
          <w:rFonts w:hint="eastAsia" w:ascii="宋体" w:hAnsi="宋体"/>
          <w:sz w:val="21"/>
          <w:highlight w:val="none"/>
        </w:rPr>
        <w:t>2.4 招标文件的异议</w:t>
      </w:r>
      <w:bookmarkEnd w:id="98"/>
      <w:bookmarkEnd w:id="99"/>
      <w:bookmarkEnd w:id="100"/>
    </w:p>
    <w:p w14:paraId="554F3492">
      <w:pPr>
        <w:spacing w:line="360" w:lineRule="auto"/>
        <w:ind w:right="360" w:firstLine="480"/>
        <w:rPr>
          <w:rFonts w:hint="eastAsia" w:ascii="宋体" w:hAnsi="宋体"/>
          <w:highlight w:val="none"/>
        </w:rPr>
      </w:pPr>
      <w:r>
        <w:rPr>
          <w:rFonts w:ascii="宋体" w:hAnsi="宋体"/>
          <w:highlight w:val="none"/>
        </w:rPr>
        <w:t>投标人或者其他利害关系人对招标文件有异议的，应当在投标截止时间 10 日前以书面形式提出。招标人将在收到异议之日起 3 日内作出答复；作出答复前，将暂停招标投标活动。</w:t>
      </w:r>
    </w:p>
    <w:p w14:paraId="4FD25A2B">
      <w:pPr>
        <w:pStyle w:val="9"/>
        <w:ind w:firstLine="422"/>
        <w:rPr>
          <w:rFonts w:hint="eastAsia" w:ascii="宋体" w:hAnsi="宋体"/>
          <w:bCs w:val="0"/>
          <w:sz w:val="21"/>
          <w:szCs w:val="21"/>
          <w:highlight w:val="none"/>
        </w:rPr>
      </w:pPr>
      <w:bookmarkStart w:id="101" w:name="_Toc510170385"/>
      <w:bookmarkStart w:id="102" w:name="_Toc510170248"/>
      <w:r>
        <w:rPr>
          <w:rFonts w:hint="eastAsia" w:ascii="宋体" w:hAnsi="宋体"/>
          <w:bCs w:val="0"/>
          <w:sz w:val="21"/>
          <w:szCs w:val="21"/>
          <w:highlight w:val="none"/>
        </w:rPr>
        <w:t>3.</w:t>
      </w:r>
      <w:r>
        <w:rPr>
          <w:rFonts w:ascii="宋体" w:hAnsi="宋体"/>
          <w:bCs w:val="0"/>
          <w:sz w:val="21"/>
          <w:szCs w:val="21"/>
          <w:highlight w:val="none"/>
        </w:rPr>
        <w:t>投标文件</w:t>
      </w:r>
      <w:bookmarkEnd w:id="101"/>
      <w:bookmarkEnd w:id="102"/>
    </w:p>
    <w:p w14:paraId="34624D33">
      <w:pPr>
        <w:pStyle w:val="10"/>
        <w:ind w:firstLine="422"/>
        <w:rPr>
          <w:rFonts w:hint="eastAsia" w:ascii="宋体" w:hAnsi="宋体"/>
          <w:sz w:val="21"/>
          <w:highlight w:val="none"/>
        </w:rPr>
      </w:pPr>
      <w:bookmarkStart w:id="103" w:name="_Toc500410293"/>
      <w:bookmarkStart w:id="104" w:name="_Toc500409845"/>
      <w:bookmarkStart w:id="105" w:name="_Toc510170386"/>
      <w:r>
        <w:rPr>
          <w:rFonts w:hint="eastAsia" w:ascii="宋体" w:hAnsi="宋体"/>
          <w:sz w:val="21"/>
          <w:highlight w:val="none"/>
        </w:rPr>
        <w:t>3.1  投标文件的组成</w:t>
      </w:r>
      <w:bookmarkEnd w:id="103"/>
      <w:bookmarkEnd w:id="104"/>
      <w:bookmarkEnd w:id="105"/>
    </w:p>
    <w:p w14:paraId="5DC9764D">
      <w:pPr>
        <w:spacing w:line="360" w:lineRule="auto"/>
        <w:ind w:right="360" w:firstLine="480"/>
        <w:rPr>
          <w:rFonts w:ascii="宋体" w:hAnsi="宋体"/>
          <w:highlight w:val="none"/>
        </w:rPr>
      </w:pPr>
      <w:r>
        <w:rPr>
          <w:rFonts w:hint="eastAsia" w:ascii="宋体" w:hAnsi="宋体"/>
          <w:highlight w:val="none"/>
        </w:rPr>
        <w:t>3.1.1</w:t>
      </w:r>
      <w:r>
        <w:rPr>
          <w:rFonts w:ascii="宋体" w:hAnsi="宋体"/>
          <w:highlight w:val="none"/>
        </w:rPr>
        <w:t>投标文件应包括下列内容：</w:t>
      </w:r>
    </w:p>
    <w:p w14:paraId="45DBC1CD">
      <w:pPr>
        <w:spacing w:line="360" w:lineRule="auto"/>
        <w:ind w:right="360" w:firstLine="422" w:firstLineChars="201"/>
        <w:rPr>
          <w:rFonts w:hint="eastAsia" w:ascii="宋体" w:hAnsi="宋体"/>
          <w:highlight w:val="none"/>
        </w:rPr>
      </w:pPr>
      <w:r>
        <w:rPr>
          <w:rFonts w:hint="eastAsia" w:ascii="宋体" w:hAnsi="宋体"/>
          <w:highlight w:val="none"/>
        </w:rPr>
        <w:t>（1）</w:t>
      </w:r>
      <w:r>
        <w:rPr>
          <w:rFonts w:ascii="宋体" w:hAnsi="宋体"/>
          <w:highlight w:val="none"/>
        </w:rPr>
        <w:t>投标函及投标函附录；</w:t>
      </w:r>
    </w:p>
    <w:p w14:paraId="76E1A741">
      <w:pPr>
        <w:spacing w:line="360" w:lineRule="auto"/>
        <w:ind w:right="360" w:firstLine="422" w:firstLineChars="201"/>
        <w:rPr>
          <w:rFonts w:hint="eastAsia" w:ascii="宋体" w:hAnsi="宋体"/>
          <w:highlight w:val="none"/>
        </w:rPr>
      </w:pPr>
      <w:r>
        <w:rPr>
          <w:rFonts w:hint="eastAsia" w:ascii="宋体" w:hAnsi="宋体"/>
          <w:highlight w:val="none"/>
        </w:rPr>
        <w:t>（2）法定代表人身份证明；</w:t>
      </w:r>
    </w:p>
    <w:p w14:paraId="2A570680">
      <w:pPr>
        <w:spacing w:line="360" w:lineRule="auto"/>
        <w:ind w:right="360" w:firstLine="422" w:firstLineChars="201"/>
        <w:rPr>
          <w:rFonts w:hint="eastAsia" w:ascii="宋体" w:hAnsi="宋体"/>
          <w:highlight w:val="none"/>
        </w:rPr>
      </w:pPr>
      <w:r>
        <w:rPr>
          <w:rFonts w:hint="eastAsia" w:ascii="宋体" w:hAnsi="宋体"/>
          <w:highlight w:val="none"/>
        </w:rPr>
        <w:t>（3）授权委托</w:t>
      </w:r>
      <w:r>
        <w:rPr>
          <w:rFonts w:hint="eastAsia" w:ascii="宋体" w:hAnsi="宋体"/>
          <w:highlight w:val="none"/>
          <w:lang w:eastAsia="zh-CN"/>
        </w:rPr>
        <w:t>证明</w:t>
      </w:r>
      <w:r>
        <w:rPr>
          <w:rFonts w:hint="eastAsia" w:ascii="宋体" w:hAnsi="宋体"/>
          <w:highlight w:val="none"/>
        </w:rPr>
        <w:t>书；</w:t>
      </w:r>
    </w:p>
    <w:p w14:paraId="792C8D83">
      <w:pPr>
        <w:spacing w:line="360" w:lineRule="auto"/>
        <w:ind w:right="360" w:firstLine="422" w:firstLineChars="201"/>
        <w:rPr>
          <w:rFonts w:ascii="宋体" w:hAnsi="宋体"/>
          <w:highlight w:val="none"/>
        </w:rPr>
      </w:pPr>
      <w:r>
        <w:rPr>
          <w:rFonts w:ascii="宋体" w:hAnsi="宋体"/>
          <w:highlight w:val="none"/>
        </w:rPr>
        <w:t>（</w:t>
      </w:r>
      <w:r>
        <w:rPr>
          <w:rFonts w:hint="eastAsia" w:ascii="宋体" w:hAnsi="宋体"/>
          <w:highlight w:val="none"/>
        </w:rPr>
        <w:t>4</w:t>
      </w:r>
      <w:r>
        <w:rPr>
          <w:rFonts w:ascii="宋体" w:hAnsi="宋体"/>
          <w:highlight w:val="none"/>
        </w:rPr>
        <w:t>）资格审查资料；</w:t>
      </w:r>
    </w:p>
    <w:p w14:paraId="4081A442">
      <w:pPr>
        <w:spacing w:line="360" w:lineRule="auto"/>
        <w:ind w:right="360" w:firstLine="422" w:firstLineChars="201"/>
        <w:rPr>
          <w:rFonts w:hint="eastAsia" w:ascii="宋体" w:hAnsi="宋体"/>
          <w:highlight w:val="none"/>
        </w:rPr>
      </w:pPr>
      <w:r>
        <w:rPr>
          <w:rFonts w:hint="eastAsia" w:ascii="宋体" w:hAnsi="宋体"/>
          <w:highlight w:val="none"/>
        </w:rPr>
        <w:t>（5）资信业绩资料；</w:t>
      </w:r>
    </w:p>
    <w:p w14:paraId="0A73A3CE">
      <w:pPr>
        <w:spacing w:line="360" w:lineRule="auto"/>
        <w:ind w:right="360" w:firstLine="422" w:firstLineChars="201"/>
        <w:rPr>
          <w:rFonts w:ascii="宋体" w:hAnsi="宋体"/>
          <w:highlight w:val="none"/>
        </w:rPr>
      </w:pPr>
      <w:r>
        <w:rPr>
          <w:rFonts w:hint="eastAsia" w:ascii="宋体" w:hAnsi="宋体"/>
          <w:highlight w:val="none"/>
        </w:rPr>
        <w:t>（6）</w:t>
      </w:r>
      <w:r>
        <w:rPr>
          <w:rFonts w:ascii="宋体" w:hAnsi="宋体"/>
          <w:highlight w:val="none"/>
        </w:rPr>
        <w:t>监理大纲；</w:t>
      </w:r>
    </w:p>
    <w:p w14:paraId="2F6583D0">
      <w:pPr>
        <w:spacing w:line="360" w:lineRule="auto"/>
        <w:ind w:right="360" w:firstLine="422" w:firstLineChars="201"/>
        <w:rPr>
          <w:rFonts w:ascii="宋体" w:hAnsi="宋体"/>
          <w:highlight w:val="none"/>
        </w:rPr>
      </w:pPr>
      <w:r>
        <w:rPr>
          <w:rFonts w:hint="eastAsia" w:ascii="宋体" w:hAnsi="宋体"/>
          <w:highlight w:val="none"/>
        </w:rPr>
        <w:t>（7）</w:t>
      </w:r>
      <w:r>
        <w:rPr>
          <w:rFonts w:ascii="宋体" w:hAnsi="宋体"/>
          <w:highlight w:val="none"/>
        </w:rPr>
        <w:t>投标人须知前附表规定的其他资料。</w:t>
      </w:r>
    </w:p>
    <w:p w14:paraId="656C4C52">
      <w:pPr>
        <w:spacing w:line="360" w:lineRule="auto"/>
        <w:ind w:right="360" w:firstLine="480"/>
        <w:rPr>
          <w:rFonts w:hint="eastAsia" w:ascii="宋体" w:hAnsi="宋体"/>
          <w:highlight w:val="none"/>
        </w:rPr>
      </w:pPr>
      <w:r>
        <w:rPr>
          <w:rFonts w:ascii="宋体" w:hAnsi="宋体"/>
          <w:highlight w:val="none"/>
        </w:rPr>
        <w:t>投标人在评标过程中作出的符合法律法规和招标文件规定的澄清确认，构成投标文件的组成部分。</w:t>
      </w:r>
    </w:p>
    <w:p w14:paraId="2EF15929">
      <w:pPr>
        <w:spacing w:line="360" w:lineRule="auto"/>
        <w:ind w:right="360" w:firstLine="480"/>
        <w:rPr>
          <w:rFonts w:ascii="宋体" w:hAnsi="宋体" w:cs="宋体"/>
          <w:highlight w:val="none"/>
        </w:rPr>
      </w:pPr>
      <w:r>
        <w:rPr>
          <w:rFonts w:ascii="宋体" w:hAnsi="宋体"/>
          <w:highlight w:val="none"/>
        </w:rPr>
        <w:t>3.1.2 投标人须知前附表规定不接受联合体投标的，或投标人没有组成联合体的，投标文件不包括本章第 3.1.1（</w:t>
      </w:r>
      <w:r>
        <w:rPr>
          <w:rFonts w:hint="eastAsia" w:ascii="宋体" w:hAnsi="宋体"/>
          <w:highlight w:val="none"/>
        </w:rPr>
        <w:t>4</w:t>
      </w:r>
      <w:r>
        <w:rPr>
          <w:rFonts w:ascii="宋体" w:hAnsi="宋体"/>
          <w:highlight w:val="none"/>
        </w:rPr>
        <w:t>）目所指的联合体协议书。</w:t>
      </w:r>
    </w:p>
    <w:p w14:paraId="710AD6B8">
      <w:pPr>
        <w:pStyle w:val="10"/>
        <w:ind w:firstLine="422"/>
        <w:rPr>
          <w:rFonts w:hint="eastAsia" w:ascii="宋体" w:hAnsi="宋体"/>
          <w:sz w:val="21"/>
          <w:highlight w:val="none"/>
        </w:rPr>
      </w:pPr>
      <w:bookmarkStart w:id="106" w:name="_Toc500409846"/>
      <w:bookmarkStart w:id="107" w:name="_Toc500410294"/>
      <w:bookmarkStart w:id="108" w:name="_Toc510170387"/>
      <w:r>
        <w:rPr>
          <w:rFonts w:hint="eastAsia" w:ascii="宋体" w:hAnsi="宋体"/>
          <w:sz w:val="21"/>
          <w:highlight w:val="none"/>
        </w:rPr>
        <w:t>3.2 投标报价</w:t>
      </w:r>
      <w:bookmarkEnd w:id="106"/>
      <w:bookmarkEnd w:id="107"/>
      <w:bookmarkEnd w:id="108"/>
    </w:p>
    <w:p w14:paraId="6E8E1CB6">
      <w:pPr>
        <w:widowControl/>
        <w:spacing w:line="360" w:lineRule="auto"/>
        <w:ind w:firstLine="420" w:firstLineChars="200"/>
        <w:jc w:val="left"/>
        <w:rPr>
          <w:rFonts w:hint="eastAsia" w:ascii="宋体" w:hAnsi="宋体"/>
          <w:highlight w:val="none"/>
        </w:rPr>
      </w:pPr>
      <w:r>
        <w:rPr>
          <w:rFonts w:hint="eastAsia" w:ascii="宋体" w:hAnsi="宋体"/>
          <w:highlight w:val="none"/>
        </w:rPr>
        <w:t>3.2.1 投标报价应包括国家规定的增值税税金，除投标人须知前附表另有规定外，增值税税金按一般计税方法计算。</w:t>
      </w:r>
    </w:p>
    <w:p w14:paraId="10677394">
      <w:pPr>
        <w:spacing w:line="360" w:lineRule="auto"/>
        <w:ind w:firstLine="480"/>
        <w:rPr>
          <w:rFonts w:ascii="宋体" w:hAnsi="宋体"/>
          <w:highlight w:val="none"/>
        </w:rPr>
      </w:pPr>
      <w:r>
        <w:rPr>
          <w:rFonts w:hint="eastAsia" w:ascii="宋体" w:hAnsi="宋体"/>
          <w:highlight w:val="none"/>
        </w:rPr>
        <w:t>3.2.2 投标人应充分了解该项目的总体情况以及影响投标报价的其他要素。</w:t>
      </w:r>
    </w:p>
    <w:p w14:paraId="7CBA176F">
      <w:pPr>
        <w:spacing w:line="360" w:lineRule="auto"/>
        <w:ind w:firstLine="480"/>
        <w:rPr>
          <w:rFonts w:ascii="宋体" w:hAnsi="宋体"/>
          <w:highlight w:val="none"/>
        </w:rPr>
      </w:pPr>
      <w:r>
        <w:rPr>
          <w:rFonts w:hint="eastAsia" w:ascii="宋体" w:hAnsi="宋体"/>
          <w:highlight w:val="none"/>
        </w:rPr>
        <w:t>3.2.3 本项目的报价方式见投标人须知前附表。投标人在投标截止时间前修改投标函中的投标报价总额。此修改须符合本章第 4.3 款的有关要求。</w:t>
      </w:r>
    </w:p>
    <w:p w14:paraId="3562BECD">
      <w:pPr>
        <w:spacing w:line="360" w:lineRule="auto"/>
        <w:ind w:firstLine="480"/>
        <w:rPr>
          <w:rFonts w:ascii="宋体" w:hAnsi="宋体"/>
          <w:highlight w:val="none"/>
        </w:rPr>
      </w:pPr>
      <w:r>
        <w:rPr>
          <w:rFonts w:hint="eastAsia" w:ascii="宋体" w:hAnsi="宋体"/>
          <w:highlight w:val="none"/>
        </w:rPr>
        <w:t>3.2.4 招标人设有最高投标限价的，投标人的投标报价不得超过最高投标限价，最高投标限价在投标人须知前附表中载明。</w:t>
      </w:r>
    </w:p>
    <w:p w14:paraId="397147B8">
      <w:pPr>
        <w:spacing w:line="360" w:lineRule="auto"/>
        <w:ind w:firstLine="480"/>
        <w:rPr>
          <w:rFonts w:ascii="宋体" w:hAnsi="宋体"/>
          <w:highlight w:val="none"/>
        </w:rPr>
      </w:pPr>
      <w:r>
        <w:rPr>
          <w:rFonts w:hint="eastAsia" w:ascii="宋体" w:hAnsi="宋体"/>
          <w:highlight w:val="none"/>
        </w:rPr>
        <w:t>3.2.5 投标报价的其他要求见投标人须知前附表。</w:t>
      </w:r>
    </w:p>
    <w:p w14:paraId="32B27D03">
      <w:pPr>
        <w:pStyle w:val="10"/>
        <w:ind w:firstLine="422"/>
        <w:rPr>
          <w:rFonts w:hint="eastAsia" w:ascii="宋体" w:hAnsi="宋体"/>
          <w:sz w:val="21"/>
          <w:highlight w:val="none"/>
        </w:rPr>
      </w:pPr>
      <w:bookmarkStart w:id="109" w:name="_Toc500410295"/>
      <w:bookmarkStart w:id="110" w:name="_Toc500409847"/>
      <w:bookmarkStart w:id="111" w:name="_Toc510170388"/>
      <w:r>
        <w:rPr>
          <w:rFonts w:hint="eastAsia" w:ascii="宋体" w:hAnsi="宋体"/>
          <w:sz w:val="21"/>
          <w:highlight w:val="none"/>
        </w:rPr>
        <w:t>3.3 投标有效期</w:t>
      </w:r>
      <w:bookmarkEnd w:id="109"/>
      <w:bookmarkEnd w:id="110"/>
      <w:bookmarkEnd w:id="111"/>
    </w:p>
    <w:p w14:paraId="62773074">
      <w:pPr>
        <w:spacing w:line="360" w:lineRule="auto"/>
        <w:ind w:firstLine="480"/>
        <w:rPr>
          <w:rFonts w:hint="eastAsia" w:ascii="宋体" w:hAnsi="宋体"/>
          <w:highlight w:val="none"/>
        </w:rPr>
      </w:pPr>
      <w:r>
        <w:rPr>
          <w:rFonts w:ascii="宋体" w:hAnsi="宋体"/>
          <w:highlight w:val="none"/>
        </w:rPr>
        <w:t>3.3.1 除投标人须知前附表另有规定外，投标有效期为90天。</w:t>
      </w:r>
    </w:p>
    <w:p w14:paraId="4EC79D0D">
      <w:pPr>
        <w:spacing w:line="360" w:lineRule="auto"/>
        <w:ind w:firstLine="480"/>
        <w:rPr>
          <w:rFonts w:ascii="宋体" w:hAnsi="宋体"/>
          <w:highlight w:val="none"/>
        </w:rPr>
      </w:pPr>
      <w:r>
        <w:rPr>
          <w:rFonts w:ascii="宋体" w:hAnsi="宋体"/>
          <w:highlight w:val="none"/>
        </w:rPr>
        <w:t>3.3.2 在投标有效期内，投标人撤销投标文件的，应承担招标文件和法律规定的责任。</w:t>
      </w:r>
    </w:p>
    <w:p w14:paraId="6FC0B275">
      <w:pPr>
        <w:spacing w:line="360" w:lineRule="auto"/>
        <w:ind w:firstLine="480"/>
        <w:rPr>
          <w:rFonts w:ascii="宋体" w:hAnsi="宋体"/>
          <w:highlight w:val="none"/>
        </w:rPr>
      </w:pPr>
      <w:r>
        <w:rPr>
          <w:rFonts w:ascii="宋体" w:hAnsi="宋体"/>
          <w:highlight w:val="none"/>
        </w:rPr>
        <w:t>3.3.3 出现特殊情况需要延长投标有效期的，招标人以书面形式通知所有投标人延长投标有效期。投标人应予以书面答复，同意延长的</w:t>
      </w:r>
      <w:r>
        <w:rPr>
          <w:rFonts w:ascii="宋体" w:hAnsi="宋体"/>
          <w:strike/>
          <w:highlight w:val="none"/>
        </w:rPr>
        <w:t>，应相应延长其投标保证金的有效期，但</w:t>
      </w:r>
      <w:r>
        <w:rPr>
          <w:rFonts w:ascii="宋体" w:hAnsi="宋体"/>
          <w:highlight w:val="none"/>
        </w:rPr>
        <w:t>不得要求或被允许修改其投标文件；投标人拒绝延长的，其投标失效</w:t>
      </w:r>
      <w:r>
        <w:rPr>
          <w:rFonts w:ascii="宋体" w:hAnsi="宋体"/>
          <w:strike/>
          <w:highlight w:val="none"/>
        </w:rPr>
        <w:t>，但投标人有权收回其投标保证金及以现金或者支票形式递交的投标保证金的银行同期存款利息</w:t>
      </w:r>
      <w:r>
        <w:rPr>
          <w:rFonts w:ascii="宋体" w:hAnsi="宋体"/>
          <w:highlight w:val="none"/>
        </w:rPr>
        <w:t>。</w:t>
      </w:r>
    </w:p>
    <w:p w14:paraId="2D45564F">
      <w:pPr>
        <w:pStyle w:val="10"/>
        <w:ind w:firstLine="422"/>
        <w:rPr>
          <w:rFonts w:hint="eastAsia" w:ascii="宋体" w:hAnsi="宋体"/>
          <w:strike/>
          <w:sz w:val="21"/>
          <w:highlight w:val="none"/>
        </w:rPr>
      </w:pPr>
      <w:bookmarkStart w:id="112" w:name="_Toc500410296"/>
      <w:bookmarkStart w:id="113" w:name="_Toc510170389"/>
      <w:bookmarkStart w:id="114" w:name="_Toc500409848"/>
      <w:r>
        <w:rPr>
          <w:rFonts w:hint="eastAsia" w:ascii="宋体" w:hAnsi="宋体"/>
          <w:strike/>
          <w:sz w:val="21"/>
          <w:highlight w:val="none"/>
        </w:rPr>
        <w:t>3.4 投标保证金</w:t>
      </w:r>
      <w:bookmarkEnd w:id="112"/>
      <w:bookmarkEnd w:id="113"/>
      <w:bookmarkEnd w:id="114"/>
    </w:p>
    <w:p w14:paraId="3EC3FB9D">
      <w:pPr>
        <w:spacing w:line="360" w:lineRule="auto"/>
        <w:ind w:firstLine="480"/>
        <w:rPr>
          <w:rFonts w:ascii="宋体" w:hAnsi="宋体"/>
          <w:strike/>
          <w:highlight w:val="none"/>
        </w:rPr>
      </w:pPr>
      <w:r>
        <w:rPr>
          <w:rFonts w:ascii="宋体" w:hAnsi="宋体"/>
          <w:strike/>
          <w:highlight w:val="none"/>
        </w:rPr>
        <w:t>3.4.1 投标人应按投标人须知前附表规定的金额、形式和第六章“投标文件格式”规定的投标保证金格式递交投标保证金，并作为其投标文件的组成部分。</w:t>
      </w:r>
    </w:p>
    <w:p w14:paraId="2FCDDABA">
      <w:pPr>
        <w:spacing w:line="360" w:lineRule="auto"/>
        <w:ind w:firstLine="480"/>
        <w:rPr>
          <w:rFonts w:ascii="宋体" w:hAnsi="宋体"/>
          <w:strike/>
          <w:highlight w:val="none"/>
        </w:rPr>
      </w:pPr>
      <w:r>
        <w:rPr>
          <w:rFonts w:ascii="宋体" w:hAnsi="宋体"/>
          <w:strike/>
          <w:highlight w:val="none"/>
        </w:rPr>
        <w:t>3.4.2 投标人不按本章第 3.4.1 项要求提交投标保证金的，评标委员会将否决其投标。</w:t>
      </w:r>
    </w:p>
    <w:p w14:paraId="718CAB34">
      <w:pPr>
        <w:spacing w:line="360" w:lineRule="auto"/>
        <w:ind w:firstLine="480"/>
        <w:rPr>
          <w:rFonts w:ascii="宋体" w:hAnsi="宋体"/>
          <w:strike/>
          <w:highlight w:val="none"/>
        </w:rPr>
      </w:pPr>
      <w:r>
        <w:rPr>
          <w:rFonts w:ascii="宋体" w:hAnsi="宋体"/>
          <w:strike/>
          <w:highlight w:val="none"/>
        </w:rPr>
        <w:t>3.4.3 招标人最迟将在与中标人签订合同后 5 日内，向未中标的投标人和中标人退还投标保证金。投标保证金以现金或者支票形式递交的，还应退还银行同期存款利息。</w:t>
      </w:r>
    </w:p>
    <w:p w14:paraId="781FC301">
      <w:pPr>
        <w:spacing w:line="360" w:lineRule="auto"/>
        <w:ind w:firstLine="480"/>
        <w:rPr>
          <w:rFonts w:ascii="宋体" w:hAnsi="宋体"/>
          <w:strike/>
          <w:highlight w:val="none"/>
        </w:rPr>
      </w:pPr>
      <w:r>
        <w:rPr>
          <w:rFonts w:ascii="宋体" w:hAnsi="宋体"/>
          <w:strike/>
          <w:highlight w:val="none"/>
        </w:rPr>
        <w:t>3.4.4 有下列情形之一的，投标保证金将不予退还：</w:t>
      </w:r>
    </w:p>
    <w:p w14:paraId="7E0013DE">
      <w:pPr>
        <w:spacing w:line="360" w:lineRule="auto"/>
        <w:ind w:firstLine="480"/>
        <w:rPr>
          <w:rFonts w:ascii="宋体" w:hAnsi="宋体"/>
          <w:strike/>
          <w:highlight w:val="none"/>
        </w:rPr>
      </w:pPr>
      <w:r>
        <w:rPr>
          <w:rFonts w:ascii="宋体" w:hAnsi="宋体"/>
          <w:strike/>
          <w:highlight w:val="none"/>
        </w:rPr>
        <w:t>（1）投标人在投标有效期内撤销投标文件；</w:t>
      </w:r>
    </w:p>
    <w:p w14:paraId="51649768">
      <w:pPr>
        <w:spacing w:line="360" w:lineRule="auto"/>
        <w:ind w:firstLine="480"/>
        <w:rPr>
          <w:rFonts w:ascii="宋体" w:hAnsi="宋体"/>
          <w:strike/>
          <w:highlight w:val="none"/>
        </w:rPr>
      </w:pPr>
      <w:r>
        <w:rPr>
          <w:rFonts w:ascii="宋体" w:hAnsi="宋体"/>
          <w:strike/>
          <w:highlight w:val="none"/>
        </w:rPr>
        <w:t>（2）中标人在收到中标通知书后，无正当理由不与招标人订立合同，在签订合同时向招标人提出附加条件，或者不按照招标文件要求提交履约保证金；</w:t>
      </w:r>
    </w:p>
    <w:p w14:paraId="2AEFB7B0">
      <w:pPr>
        <w:widowControl/>
        <w:numPr>
          <w:ilvl w:val="0"/>
          <w:numId w:val="2"/>
        </w:numPr>
        <w:spacing w:line="360" w:lineRule="auto"/>
        <w:ind w:firstLine="480"/>
        <w:jc w:val="left"/>
        <w:rPr>
          <w:rFonts w:ascii="宋体" w:hAnsi="宋体"/>
          <w:strike/>
          <w:highlight w:val="none"/>
        </w:rPr>
      </w:pPr>
      <w:r>
        <w:rPr>
          <w:rFonts w:ascii="宋体" w:hAnsi="宋体"/>
          <w:strike/>
          <w:highlight w:val="none"/>
        </w:rPr>
        <w:t>发生投标人须知前附表规定的其他可以不予退还投标保证金的情形。</w:t>
      </w:r>
    </w:p>
    <w:p w14:paraId="28D34C9E">
      <w:pPr>
        <w:pStyle w:val="10"/>
        <w:ind w:firstLine="422"/>
        <w:rPr>
          <w:rFonts w:hint="eastAsia" w:ascii="宋体" w:hAnsi="宋体"/>
          <w:sz w:val="21"/>
          <w:highlight w:val="none"/>
        </w:rPr>
      </w:pPr>
      <w:bookmarkStart w:id="115" w:name="_Toc500409849"/>
      <w:bookmarkStart w:id="116" w:name="_Toc500410297"/>
      <w:bookmarkStart w:id="117" w:name="_Toc510170390"/>
      <w:r>
        <w:rPr>
          <w:rFonts w:hint="eastAsia" w:ascii="宋体" w:hAnsi="宋体"/>
          <w:sz w:val="21"/>
          <w:highlight w:val="none"/>
        </w:rPr>
        <w:t>3.5 资格审查资料（适用于未进行资格预审的）</w:t>
      </w:r>
      <w:bookmarkEnd w:id="115"/>
      <w:bookmarkEnd w:id="116"/>
      <w:bookmarkEnd w:id="117"/>
    </w:p>
    <w:p w14:paraId="2D924260">
      <w:pPr>
        <w:spacing w:line="360" w:lineRule="auto"/>
        <w:ind w:firstLine="480"/>
        <w:rPr>
          <w:rFonts w:hint="eastAsia" w:ascii="宋体" w:hAnsi="宋体"/>
          <w:highlight w:val="none"/>
        </w:rPr>
      </w:pPr>
      <w:r>
        <w:rPr>
          <w:rFonts w:ascii="宋体" w:hAnsi="宋体"/>
          <w:highlight w:val="none"/>
        </w:rPr>
        <w:t>除投标人须知前附表另有规定外，投标人应按下列规定提供资格审查资料，以证明其满足本章第 1.4 款规定的要求。</w:t>
      </w:r>
    </w:p>
    <w:p w14:paraId="1723C807">
      <w:pPr>
        <w:spacing w:line="360" w:lineRule="auto"/>
        <w:ind w:firstLine="480"/>
        <w:rPr>
          <w:rFonts w:hint="eastAsia" w:ascii="宋体" w:hAnsi="宋体"/>
          <w:highlight w:val="none"/>
        </w:rPr>
      </w:pPr>
      <w:r>
        <w:rPr>
          <w:rFonts w:ascii="宋体" w:hAnsi="宋体"/>
          <w:highlight w:val="none"/>
        </w:rPr>
        <w:t>3.5.1 “投标人基本情况表”应附投标人营业执照和组织机构代码证的复印件（按照“三证合一”或“五证合一”登记制度进行登记的，可仅提供营业执照复印件）、投标人监理资质证书副本等材料的复印件。</w:t>
      </w:r>
    </w:p>
    <w:p w14:paraId="790D4091">
      <w:pPr>
        <w:pStyle w:val="7"/>
        <w:tabs>
          <w:tab w:val="left" w:pos="2812"/>
          <w:tab w:val="left" w:pos="3986"/>
        </w:tabs>
        <w:kinsoku w:val="0"/>
        <w:overflowPunct w:val="0"/>
        <w:spacing w:before="120" w:beforeLines="50" w:beforeAutospacing="0" w:line="360" w:lineRule="auto"/>
        <w:ind w:left="420" w:right="-58" w:firstLine="6"/>
        <w:rPr>
          <w:rFonts w:hint="eastAsia" w:ascii="宋体" w:hAnsi="宋体"/>
          <w:sz w:val="21"/>
          <w:highlight w:val="none"/>
        </w:rPr>
      </w:pPr>
      <w:r>
        <w:rPr>
          <w:rFonts w:hint="eastAsia" w:ascii="宋体" w:hAnsi="宋体"/>
          <w:sz w:val="21"/>
          <w:highlight w:val="none"/>
        </w:rPr>
        <w:t>3.5.2投标人须具备</w:t>
      </w:r>
      <w:r>
        <w:rPr>
          <w:rFonts w:hint="eastAsia" w:ascii="宋体" w:hAnsi="宋体"/>
          <w:sz w:val="21"/>
          <w:highlight w:val="none"/>
          <w:u w:val="single"/>
        </w:rPr>
        <w:t>工程监理综合资质或市政公用工程监理</w:t>
      </w:r>
      <w:r>
        <w:rPr>
          <w:rFonts w:hint="eastAsia" w:ascii="宋体" w:hAnsi="宋体"/>
          <w:sz w:val="21"/>
          <w:highlight w:val="none"/>
          <w:u w:val="single"/>
          <w:lang w:eastAsia="zh-CN"/>
        </w:rPr>
        <w:t>乙</w:t>
      </w:r>
      <w:r>
        <w:rPr>
          <w:rFonts w:hint="eastAsia" w:ascii="宋体" w:hAnsi="宋体"/>
          <w:sz w:val="21"/>
          <w:highlight w:val="none"/>
          <w:u w:val="single"/>
        </w:rPr>
        <w:t>级（或以上）</w:t>
      </w:r>
      <w:r>
        <w:rPr>
          <w:rFonts w:hint="eastAsia" w:ascii="宋体" w:hAnsi="宋体"/>
          <w:sz w:val="21"/>
          <w:highlight w:val="none"/>
        </w:rPr>
        <w:t xml:space="preserve">资质。 </w:t>
      </w:r>
    </w:p>
    <w:p w14:paraId="6FF47D38">
      <w:pPr>
        <w:spacing w:line="360" w:lineRule="auto"/>
        <w:ind w:firstLine="480"/>
        <w:rPr>
          <w:rFonts w:ascii="宋体" w:hAnsi="宋体"/>
          <w:highlight w:val="none"/>
        </w:rPr>
      </w:pPr>
      <w:r>
        <w:rPr>
          <w:rFonts w:hint="eastAsia" w:ascii="宋体" w:hAnsi="宋体"/>
          <w:highlight w:val="none"/>
        </w:rPr>
        <w:t>3.5.3投标人须知前附表规定</w:t>
      </w:r>
      <w:r>
        <w:rPr>
          <w:rFonts w:hint="eastAsia" w:ascii="宋体" w:hAnsi="宋体"/>
          <w:highlight w:val="none"/>
          <w:u w:val="single"/>
        </w:rPr>
        <w:t>不接受联合体投标</w:t>
      </w:r>
      <w:r>
        <w:rPr>
          <w:rFonts w:hint="eastAsia" w:ascii="宋体" w:hAnsi="宋体"/>
          <w:highlight w:val="none"/>
        </w:rPr>
        <w:t>。</w:t>
      </w:r>
    </w:p>
    <w:p w14:paraId="53403D68">
      <w:pPr>
        <w:spacing w:line="360" w:lineRule="auto"/>
        <w:ind w:firstLine="480"/>
        <w:rPr>
          <w:rFonts w:hint="eastAsia" w:ascii="宋体" w:hAnsi="宋体"/>
          <w:highlight w:val="none"/>
        </w:rPr>
      </w:pPr>
      <w:r>
        <w:rPr>
          <w:rFonts w:ascii="宋体" w:hAnsi="宋体"/>
          <w:highlight w:val="none"/>
        </w:rPr>
        <w:t>3.5.</w:t>
      </w:r>
      <w:r>
        <w:rPr>
          <w:rFonts w:hint="eastAsia" w:ascii="宋体" w:hAnsi="宋体"/>
          <w:highlight w:val="none"/>
        </w:rPr>
        <w:t>4</w:t>
      </w:r>
      <w:r>
        <w:rPr>
          <w:rFonts w:ascii="宋体" w:hAnsi="宋体"/>
          <w:highlight w:val="none"/>
        </w:rPr>
        <w:t>“</w:t>
      </w:r>
      <w:r>
        <w:rPr>
          <w:rFonts w:hint="eastAsia" w:ascii="宋体" w:hAnsi="宋体"/>
          <w:highlight w:val="none"/>
        </w:rPr>
        <w:t>总监理工程师资历</w:t>
      </w:r>
      <w:r>
        <w:rPr>
          <w:rFonts w:ascii="宋体" w:hAnsi="宋体"/>
          <w:highlight w:val="none"/>
        </w:rPr>
        <w:t>表”应填报满足本章第 1.4.1 项规定的</w:t>
      </w:r>
      <w:r>
        <w:rPr>
          <w:rFonts w:hint="eastAsia" w:ascii="宋体" w:hAnsi="宋体"/>
          <w:highlight w:val="none"/>
        </w:rPr>
        <w:t>总监理工程师</w:t>
      </w:r>
      <w:r>
        <w:rPr>
          <w:rFonts w:ascii="宋体" w:hAnsi="宋体"/>
          <w:highlight w:val="none"/>
        </w:rPr>
        <w:t>的相关信息</w:t>
      </w:r>
      <w:r>
        <w:rPr>
          <w:rFonts w:hint="eastAsia" w:ascii="宋体" w:hAnsi="宋体"/>
          <w:highlight w:val="none"/>
        </w:rPr>
        <w:t>，并附上总监理工程师的身份证、具有工程师或以上职称，持有建设部2006年4月1日后颁发的中华人民共和国注册监理工程师注册执业证书，其注册专业为市政公用工程，注册执业单位为本单位并具备本科或以上学历，必须是投标申请人在广州公共资源交易中心企业信息登记中的在册人员，需提供在投标人本单位缴交的2024年</w:t>
      </w:r>
      <w:r>
        <w:rPr>
          <w:rFonts w:hint="eastAsia" w:ascii="宋体" w:hAnsi="宋体"/>
          <w:highlight w:val="none"/>
          <w:lang w:val="en-US" w:eastAsia="zh-CN"/>
        </w:rPr>
        <w:t>7</w:t>
      </w:r>
      <w:r>
        <w:rPr>
          <w:rFonts w:hint="eastAsia" w:ascii="宋体" w:hAnsi="宋体"/>
          <w:highlight w:val="none"/>
        </w:rPr>
        <w:t>月社保证明(须加盖社保部门或税务部门印章)。</w:t>
      </w:r>
    </w:p>
    <w:p w14:paraId="6014B05E">
      <w:pPr>
        <w:spacing w:line="360" w:lineRule="auto"/>
        <w:ind w:firstLine="480"/>
        <w:rPr>
          <w:rFonts w:hint="eastAsia" w:ascii="宋体" w:hAnsi="宋体"/>
          <w:highlight w:val="none"/>
        </w:rPr>
      </w:pPr>
      <w:r>
        <w:rPr>
          <w:rFonts w:hint="eastAsia" w:ascii="宋体" w:hAnsi="宋体"/>
          <w:highlight w:val="none"/>
        </w:rPr>
        <w:t>3.5.5其他要求：</w:t>
      </w:r>
    </w:p>
    <w:p w14:paraId="7BF2D7CD">
      <w:pPr>
        <w:pStyle w:val="111"/>
        <w:ind w:firstLine="420"/>
        <w:rPr>
          <w:rFonts w:hint="eastAsia"/>
          <w:kern w:val="2"/>
          <w:sz w:val="21"/>
          <w:highlight w:val="none"/>
        </w:rPr>
      </w:pPr>
      <w:bookmarkStart w:id="118" w:name="_Toc492300549"/>
      <w:r>
        <w:rPr>
          <w:rFonts w:hint="eastAsia"/>
          <w:kern w:val="2"/>
          <w:sz w:val="21"/>
          <w:highlight w:val="none"/>
        </w:rPr>
        <w:t>（1）投标人参加投标的意思表达清楚，投标人代表被授权有效</w:t>
      </w:r>
      <w:bookmarkEnd w:id="118"/>
      <w:r>
        <w:rPr>
          <w:rFonts w:hint="eastAsia"/>
          <w:kern w:val="2"/>
          <w:sz w:val="21"/>
          <w:highlight w:val="none"/>
        </w:rPr>
        <w:t>。</w:t>
      </w:r>
    </w:p>
    <w:p w14:paraId="09F87092">
      <w:pPr>
        <w:pStyle w:val="111"/>
        <w:ind w:firstLine="420"/>
        <w:rPr>
          <w:rFonts w:hint="eastAsia"/>
          <w:kern w:val="2"/>
          <w:sz w:val="21"/>
          <w:highlight w:val="none"/>
        </w:rPr>
      </w:pPr>
      <w:r>
        <w:rPr>
          <w:rFonts w:hint="eastAsia"/>
          <w:kern w:val="2"/>
          <w:sz w:val="21"/>
          <w:highlight w:val="none"/>
        </w:rPr>
        <w:t>（2）投标人具有独立的法人资格，持有工商行政部门核发的法人营业执照，按国家法律经营。</w:t>
      </w:r>
    </w:p>
    <w:p w14:paraId="1437A1EB">
      <w:pPr>
        <w:pStyle w:val="111"/>
        <w:ind w:firstLine="420"/>
        <w:rPr>
          <w:rFonts w:hint="eastAsia"/>
          <w:kern w:val="2"/>
          <w:sz w:val="21"/>
          <w:highlight w:val="none"/>
        </w:rPr>
      </w:pPr>
      <w:r>
        <w:rPr>
          <w:rFonts w:hint="eastAsia"/>
          <w:kern w:val="2"/>
          <w:sz w:val="21"/>
          <w:highlight w:val="none"/>
        </w:rPr>
        <w:t>（3）投标人已按公告附件1规定格式签名盖章的《投标人声明》。</w:t>
      </w:r>
    </w:p>
    <w:p w14:paraId="47764CB6">
      <w:pPr>
        <w:pStyle w:val="111"/>
        <w:ind w:firstLine="420"/>
        <w:rPr>
          <w:rFonts w:hint="eastAsia"/>
          <w:kern w:val="2"/>
          <w:sz w:val="21"/>
          <w:highlight w:val="none"/>
        </w:rPr>
      </w:pPr>
      <w:r>
        <w:rPr>
          <w:rFonts w:hint="eastAsia"/>
          <w:kern w:val="2"/>
          <w:sz w:val="21"/>
          <w:highlight w:val="none"/>
        </w:rPr>
        <w:t>（4）投标截止时间前，投标人须在广州公共资源交易中心企业库已办理企业信息登记，拟担任本工程总监理工程师为本企业库中的在册人员。（提供网页打印页，并加盖公章）。</w:t>
      </w:r>
    </w:p>
    <w:p w14:paraId="7C704984">
      <w:pPr>
        <w:pStyle w:val="111"/>
        <w:ind w:firstLine="420"/>
        <w:rPr>
          <w:rFonts w:hint="eastAsia"/>
          <w:kern w:val="2"/>
          <w:sz w:val="21"/>
          <w:highlight w:val="none"/>
        </w:rPr>
      </w:pPr>
      <w:r>
        <w:rPr>
          <w:rFonts w:hint="eastAsia"/>
          <w:kern w:val="2"/>
          <w:sz w:val="21"/>
          <w:highlight w:val="none"/>
        </w:rPr>
        <w:t>（5）投标人未被纳入失信联合惩戒名单，名单以“信用广州”网站公布的“失信联合惩戒黑名单”为准（提供网页打印页，并加盖公章）。</w:t>
      </w:r>
    </w:p>
    <w:p w14:paraId="1A9B9967">
      <w:pPr>
        <w:spacing w:line="360" w:lineRule="auto"/>
        <w:ind w:firstLine="480"/>
        <w:rPr>
          <w:rFonts w:hint="eastAsia" w:ascii="宋体" w:hAnsi="宋体"/>
          <w:highlight w:val="none"/>
        </w:rPr>
      </w:pPr>
      <w:r>
        <w:rPr>
          <w:rFonts w:hint="eastAsia" w:ascii="宋体" w:hAnsi="宋体"/>
          <w:highlight w:val="none"/>
        </w:rPr>
        <w:t>（6）本次招标实行资格后审,资格后审不合格的投标人投标文件将被否决。</w:t>
      </w:r>
    </w:p>
    <w:p w14:paraId="5241F62A">
      <w:pPr>
        <w:pStyle w:val="10"/>
        <w:ind w:firstLine="422"/>
        <w:rPr>
          <w:rFonts w:hint="eastAsia" w:ascii="宋体" w:hAnsi="宋体"/>
          <w:sz w:val="21"/>
          <w:highlight w:val="none"/>
        </w:rPr>
      </w:pPr>
      <w:bookmarkStart w:id="119" w:name="_Toc510170391"/>
      <w:r>
        <w:rPr>
          <w:rFonts w:hint="eastAsia" w:ascii="宋体" w:hAnsi="宋体"/>
          <w:sz w:val="21"/>
          <w:highlight w:val="none"/>
        </w:rPr>
        <w:t>3.6 备选投标方案</w:t>
      </w:r>
      <w:bookmarkEnd w:id="119"/>
    </w:p>
    <w:p w14:paraId="7D5D6234">
      <w:pPr>
        <w:spacing w:line="360" w:lineRule="auto"/>
        <w:ind w:firstLine="480"/>
        <w:rPr>
          <w:rFonts w:hint="eastAsia" w:ascii="宋体" w:hAnsi="宋体"/>
          <w:highlight w:val="none"/>
        </w:rPr>
      </w:pPr>
      <w:r>
        <w:rPr>
          <w:rFonts w:ascii="宋体" w:hAnsi="宋体"/>
          <w:highlight w:val="none"/>
        </w:rPr>
        <w:t xml:space="preserve">3.6.1 </w:t>
      </w:r>
      <w:r>
        <w:rPr>
          <w:rFonts w:hint="eastAsia" w:ascii="宋体" w:hAnsi="宋体"/>
          <w:highlight w:val="none"/>
        </w:rPr>
        <w:t>除投标人须知前附表规定允许外，投标人不得递交备选投标方案，否则其投标将被否决。</w:t>
      </w:r>
    </w:p>
    <w:p w14:paraId="2F541CDD">
      <w:pPr>
        <w:spacing w:line="360" w:lineRule="auto"/>
        <w:ind w:firstLine="480"/>
        <w:rPr>
          <w:rFonts w:hint="eastAsia" w:ascii="宋体" w:hAnsi="宋体"/>
          <w:highlight w:val="none"/>
        </w:rPr>
      </w:pPr>
      <w:r>
        <w:rPr>
          <w:rFonts w:ascii="宋体" w:hAnsi="宋体"/>
          <w:highlight w:val="none"/>
        </w:rPr>
        <w:t xml:space="preserve">3.6.2 </w:t>
      </w:r>
      <w:r>
        <w:rPr>
          <w:rFonts w:hint="eastAsia" w:ascii="宋体" w:hAnsi="宋体"/>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0C401B90">
      <w:pPr>
        <w:spacing w:line="360" w:lineRule="auto"/>
        <w:ind w:firstLine="480"/>
        <w:rPr>
          <w:rFonts w:ascii="宋体" w:hAnsi="宋体"/>
          <w:highlight w:val="none"/>
        </w:rPr>
      </w:pPr>
      <w:r>
        <w:rPr>
          <w:rFonts w:ascii="宋体" w:hAnsi="宋体"/>
          <w:highlight w:val="none"/>
        </w:rPr>
        <w:t xml:space="preserve">3.6.3 </w:t>
      </w:r>
      <w:r>
        <w:rPr>
          <w:rFonts w:hint="eastAsia" w:ascii="宋体" w:hAnsi="宋体"/>
          <w:highlight w:val="none"/>
        </w:rPr>
        <w:t>投标人提供两个或两个以上投标报价，或者在投标文件中提供一个报价，但同时提供两个或两个以上监理方案的，视为提供备选方案。</w:t>
      </w:r>
    </w:p>
    <w:p w14:paraId="3EC11673">
      <w:pPr>
        <w:spacing w:line="360" w:lineRule="auto"/>
        <w:ind w:firstLine="422" w:firstLineChars="201"/>
        <w:rPr>
          <w:rFonts w:hint="eastAsia" w:ascii="宋体" w:hAnsi="宋体"/>
          <w:highlight w:val="none"/>
        </w:rPr>
      </w:pPr>
      <w:bookmarkStart w:id="120" w:name="_Toc500410298"/>
      <w:bookmarkStart w:id="121" w:name="_Toc510170392"/>
      <w:bookmarkStart w:id="122" w:name="_Toc500409850"/>
      <w:r>
        <w:rPr>
          <w:rFonts w:hint="eastAsia" w:ascii="宋体" w:hAnsi="宋体"/>
          <w:highlight w:val="none"/>
        </w:rPr>
        <w:t>3.7</w:t>
      </w:r>
      <w:r>
        <w:rPr>
          <w:spacing w:val="-1"/>
          <w:highlight w:val="none"/>
        </w:rPr>
        <w:t>投标文件的编制</w:t>
      </w:r>
    </w:p>
    <w:p w14:paraId="7BEC0FCD">
      <w:pPr>
        <w:spacing w:line="360" w:lineRule="auto"/>
        <w:ind w:firstLine="422" w:firstLineChars="201"/>
        <w:rPr>
          <w:rFonts w:hint="eastAsia" w:ascii="宋体" w:hAnsi="宋体"/>
          <w:highlight w:val="none"/>
        </w:rPr>
      </w:pPr>
      <w:r>
        <w:rPr>
          <w:rFonts w:hint="eastAsia" w:ascii="宋体" w:hAnsi="宋体"/>
          <w:highlight w:val="none"/>
        </w:rPr>
        <w:t xml:space="preserve"> </w:t>
      </w:r>
      <w:bookmarkEnd w:id="120"/>
      <w:bookmarkEnd w:id="121"/>
      <w:bookmarkEnd w:id="122"/>
      <w:bookmarkStart w:id="123" w:name="_Toc510170249"/>
      <w:bookmarkStart w:id="124" w:name="_Toc510170393"/>
      <w:r>
        <w:rPr>
          <w:rFonts w:hint="eastAsia" w:ascii="宋体" w:hAnsi="宋体"/>
          <w:b/>
          <w:highlight w:val="none"/>
        </w:rPr>
        <w:t>3.7.1投标文件所附证书证件要求</w:t>
      </w:r>
    </w:p>
    <w:p w14:paraId="38C67E6F">
      <w:pPr>
        <w:spacing w:line="360" w:lineRule="auto"/>
        <w:ind w:firstLine="422" w:firstLineChars="201"/>
        <w:rPr>
          <w:rFonts w:hint="eastAsia" w:ascii="宋体" w:hAnsi="宋体"/>
          <w:highlight w:val="none"/>
        </w:rPr>
      </w:pPr>
      <w:r>
        <w:rPr>
          <w:rFonts w:hint="eastAsia" w:ascii="宋体" w:hAnsi="宋体"/>
          <w:highlight w:val="none"/>
        </w:rPr>
        <w:t>投标文件所附证书证件要求  投标文件所附证书证件均以电子文件（纸质原件的扫描件</w:t>
      </w:r>
      <w:r>
        <w:rPr>
          <w:rFonts w:hint="eastAsia" w:ascii="宋体" w:hAnsi="宋体"/>
          <w:strike/>
          <w:highlight w:val="none"/>
        </w:rPr>
        <w:t>，《广州建设工程投标信息表》除外</w:t>
      </w:r>
      <w:r>
        <w:rPr>
          <w:rFonts w:hint="eastAsia" w:ascii="宋体" w:hAnsi="宋体"/>
          <w:highlight w:val="none"/>
        </w:rPr>
        <w:t>）编制。</w:t>
      </w:r>
    </w:p>
    <w:p w14:paraId="15DFD80D">
      <w:pPr>
        <w:spacing w:line="360" w:lineRule="auto"/>
        <w:ind w:firstLine="424" w:firstLineChars="201"/>
        <w:rPr>
          <w:rFonts w:hint="eastAsia" w:ascii="宋体" w:hAnsi="宋体"/>
          <w:b/>
          <w:highlight w:val="none"/>
        </w:rPr>
      </w:pPr>
      <w:r>
        <w:rPr>
          <w:rFonts w:hint="eastAsia" w:ascii="宋体" w:hAnsi="宋体"/>
          <w:b/>
          <w:highlight w:val="none"/>
        </w:rPr>
        <w:t>3.7.2投标文件签字或盖章要求</w:t>
      </w:r>
    </w:p>
    <w:p w14:paraId="2107DC91">
      <w:pPr>
        <w:spacing w:line="360" w:lineRule="auto"/>
        <w:ind w:firstLine="422" w:firstLineChars="201"/>
        <w:rPr>
          <w:rFonts w:hint="eastAsia" w:ascii="宋体" w:hAnsi="宋体"/>
          <w:highlight w:val="none"/>
        </w:rPr>
      </w:pPr>
      <w:r>
        <w:rPr>
          <w:rFonts w:hint="eastAsia" w:ascii="宋体" w:hAnsi="宋体"/>
          <w:highlight w:val="none"/>
        </w:rPr>
        <w:t>1.投标人应使用依法设立的电子认证服务机构签发的电子签名认证证书对电子投标文件进行电子签名及电子签章。该电子签名及电子签章与手写签名或者盖章具有同等的法律效力。</w:t>
      </w:r>
    </w:p>
    <w:p w14:paraId="6B382F0B">
      <w:pPr>
        <w:spacing w:line="360" w:lineRule="auto"/>
        <w:ind w:firstLine="422" w:firstLineChars="201"/>
        <w:rPr>
          <w:rFonts w:hint="eastAsia" w:ascii="宋体" w:hAnsi="宋体"/>
          <w:highlight w:val="none"/>
        </w:rPr>
      </w:pPr>
      <w:r>
        <w:rPr>
          <w:rFonts w:hint="eastAsia" w:ascii="宋体" w:hAnsi="宋体"/>
          <w:highlight w:val="none"/>
        </w:rPr>
        <w:t>2. 投标文件中须完成盖章签名后扫描上传的部分，应按以下要求盖章签字后扫描上传：</w:t>
      </w:r>
    </w:p>
    <w:p w14:paraId="73314E23">
      <w:pPr>
        <w:spacing w:line="360" w:lineRule="auto"/>
        <w:ind w:firstLine="422" w:firstLineChars="201"/>
        <w:rPr>
          <w:rFonts w:hint="eastAsia" w:ascii="宋体" w:hAnsi="宋体"/>
          <w:highlight w:val="none"/>
        </w:rPr>
      </w:pPr>
      <w:r>
        <w:rPr>
          <w:rFonts w:hint="eastAsia" w:ascii="宋体" w:hAnsi="宋体"/>
          <w:highlight w:val="none"/>
        </w:rPr>
        <w:t>1）投标文件格式规定盖单位章的地方必须盖单位章或电子签章。</w:t>
      </w:r>
    </w:p>
    <w:p w14:paraId="01AFE1C3">
      <w:pPr>
        <w:spacing w:line="360" w:lineRule="auto"/>
        <w:ind w:firstLine="422" w:firstLineChars="201"/>
        <w:rPr>
          <w:rFonts w:hint="eastAsia" w:ascii="宋体" w:hAnsi="宋体"/>
          <w:highlight w:val="none"/>
        </w:rPr>
      </w:pPr>
      <w:r>
        <w:rPr>
          <w:rFonts w:hint="eastAsia" w:ascii="宋体" w:hAnsi="宋体"/>
          <w:highlight w:val="none"/>
        </w:rPr>
        <w:t>2）投标文件格式规定签字的地方必须手写姓名或盖私章，由法定代表人签字的，应附法定代表人（单位负责人）身份证明，由代理人签字的，应附法定代表人（单位负责人）身份证明和授权委托</w:t>
      </w:r>
      <w:r>
        <w:rPr>
          <w:rFonts w:hint="eastAsia" w:ascii="宋体" w:hAnsi="宋体"/>
          <w:highlight w:val="none"/>
          <w:lang w:eastAsia="zh-CN"/>
        </w:rPr>
        <w:t>证明</w:t>
      </w:r>
      <w:r>
        <w:rPr>
          <w:rFonts w:hint="eastAsia" w:ascii="宋体" w:hAnsi="宋体"/>
          <w:highlight w:val="none"/>
        </w:rPr>
        <w:t>书。法定代表人（单位负责人）身份证明和授权委托</w:t>
      </w:r>
      <w:r>
        <w:rPr>
          <w:rFonts w:hint="eastAsia" w:ascii="宋体" w:hAnsi="宋体"/>
          <w:highlight w:val="none"/>
          <w:lang w:eastAsia="zh-CN"/>
        </w:rPr>
        <w:t>证明</w:t>
      </w:r>
      <w:r>
        <w:rPr>
          <w:rFonts w:hint="eastAsia" w:ascii="宋体" w:hAnsi="宋体"/>
          <w:highlight w:val="none"/>
        </w:rPr>
        <w:t>书应符合“第六章 投标文件格式”的规定。</w:t>
      </w:r>
    </w:p>
    <w:p w14:paraId="63738284">
      <w:pPr>
        <w:pStyle w:val="10"/>
        <w:ind w:firstLine="422"/>
        <w:rPr>
          <w:rFonts w:hint="eastAsia" w:ascii="宋体" w:hAnsi="宋体"/>
          <w:sz w:val="21"/>
          <w:highlight w:val="none"/>
        </w:rPr>
      </w:pPr>
      <w:r>
        <w:rPr>
          <w:rFonts w:hint="eastAsia" w:ascii="宋体" w:hAnsi="宋体"/>
          <w:sz w:val="21"/>
          <w:highlight w:val="none"/>
        </w:rPr>
        <w:t>有关无纸化电子招投标的操作手册可自行在广州公共资源交易中心网站相关栏目下载。</w:t>
      </w:r>
    </w:p>
    <w:p w14:paraId="0785E415">
      <w:pPr>
        <w:pStyle w:val="9"/>
        <w:ind w:firstLine="422"/>
        <w:rPr>
          <w:rFonts w:hint="eastAsia" w:ascii="宋体" w:hAnsi="宋体"/>
          <w:bCs w:val="0"/>
          <w:sz w:val="21"/>
          <w:szCs w:val="21"/>
          <w:highlight w:val="none"/>
        </w:rPr>
      </w:pPr>
      <w:r>
        <w:rPr>
          <w:rFonts w:hint="eastAsia" w:ascii="宋体" w:hAnsi="宋体"/>
          <w:bCs w:val="0"/>
          <w:sz w:val="21"/>
          <w:szCs w:val="21"/>
          <w:highlight w:val="none"/>
        </w:rPr>
        <w:t>4.</w:t>
      </w:r>
      <w:r>
        <w:rPr>
          <w:rFonts w:ascii="宋体" w:hAnsi="宋体"/>
          <w:bCs w:val="0"/>
          <w:sz w:val="21"/>
          <w:szCs w:val="21"/>
          <w:highlight w:val="none"/>
        </w:rPr>
        <w:t>投标</w:t>
      </w:r>
      <w:bookmarkEnd w:id="123"/>
      <w:bookmarkEnd w:id="124"/>
    </w:p>
    <w:p w14:paraId="52DE3269">
      <w:pPr>
        <w:pStyle w:val="10"/>
        <w:ind w:firstLine="422"/>
        <w:rPr>
          <w:rFonts w:hint="eastAsia" w:ascii="宋体" w:hAnsi="宋体"/>
          <w:sz w:val="21"/>
          <w:highlight w:val="none"/>
        </w:rPr>
      </w:pPr>
      <w:bookmarkStart w:id="125" w:name="_Toc510170394"/>
      <w:bookmarkStart w:id="126" w:name="_Toc500409851"/>
      <w:bookmarkStart w:id="127" w:name="_Toc500410299"/>
      <w:r>
        <w:rPr>
          <w:rFonts w:hint="eastAsia" w:ascii="宋体" w:hAnsi="宋体"/>
          <w:sz w:val="21"/>
          <w:highlight w:val="none"/>
        </w:rPr>
        <w:t>4.1 投标文件的密封和标记</w:t>
      </w:r>
      <w:bookmarkEnd w:id="125"/>
      <w:bookmarkEnd w:id="126"/>
      <w:bookmarkEnd w:id="127"/>
    </w:p>
    <w:p w14:paraId="6F9FAC7D">
      <w:pPr>
        <w:spacing w:line="360" w:lineRule="auto"/>
        <w:ind w:firstLine="480"/>
        <w:rPr>
          <w:rFonts w:hint="eastAsia" w:ascii="宋体" w:hAnsi="宋体"/>
          <w:highlight w:val="none"/>
        </w:rPr>
      </w:pPr>
      <w:r>
        <w:rPr>
          <w:rFonts w:hint="eastAsia" w:ascii="宋体" w:hAnsi="宋体"/>
          <w:highlight w:val="none"/>
        </w:rPr>
        <w:t xml:space="preserve">4.1.1 </w:t>
      </w:r>
      <w:r>
        <w:rPr>
          <w:rFonts w:ascii="宋体" w:hAnsi="宋体"/>
          <w:highlight w:val="none"/>
        </w:rPr>
        <w:t>投标人应当按照招标文件和电子招标投标交易平台的要求加密投标文件，具体要求见投标人须知前附表。</w:t>
      </w:r>
    </w:p>
    <w:p w14:paraId="5ED98AE5">
      <w:pPr>
        <w:pStyle w:val="10"/>
        <w:ind w:firstLine="422"/>
        <w:rPr>
          <w:rFonts w:hint="eastAsia" w:ascii="宋体" w:hAnsi="宋体"/>
          <w:sz w:val="21"/>
          <w:highlight w:val="none"/>
        </w:rPr>
      </w:pPr>
      <w:bookmarkStart w:id="128" w:name="_Toc510170395"/>
      <w:bookmarkStart w:id="129" w:name="_Toc500409852"/>
      <w:bookmarkStart w:id="130" w:name="_Toc500410300"/>
      <w:r>
        <w:rPr>
          <w:rFonts w:hint="eastAsia" w:ascii="宋体" w:hAnsi="宋体"/>
          <w:sz w:val="21"/>
          <w:highlight w:val="none"/>
        </w:rPr>
        <w:t>4.2 投标文件的递交</w:t>
      </w:r>
      <w:bookmarkEnd w:id="128"/>
      <w:bookmarkEnd w:id="129"/>
      <w:bookmarkEnd w:id="130"/>
    </w:p>
    <w:p w14:paraId="33B44363">
      <w:pPr>
        <w:spacing w:line="360" w:lineRule="auto"/>
        <w:ind w:firstLine="480"/>
        <w:rPr>
          <w:rFonts w:hint="eastAsia" w:ascii="宋体" w:hAnsi="宋体"/>
          <w:highlight w:val="none"/>
        </w:rPr>
      </w:pPr>
      <w:r>
        <w:rPr>
          <w:rFonts w:hint="eastAsia" w:ascii="宋体" w:hAnsi="宋体"/>
          <w:highlight w:val="none"/>
        </w:rPr>
        <w:t>4.2.1 投标人应在投标人须知前附表规定的投标截止时间前递交投标文件。</w:t>
      </w:r>
    </w:p>
    <w:p w14:paraId="68B660E3">
      <w:pPr>
        <w:spacing w:line="360" w:lineRule="auto"/>
        <w:ind w:firstLine="480"/>
        <w:rPr>
          <w:rFonts w:hint="eastAsia" w:ascii="宋体" w:hAnsi="宋体"/>
          <w:highlight w:val="none"/>
        </w:rPr>
      </w:pPr>
      <w:r>
        <w:rPr>
          <w:rFonts w:hint="eastAsia" w:ascii="宋体" w:hAnsi="宋体"/>
          <w:highlight w:val="none"/>
        </w:rPr>
        <w:t>4.2.2 投标人通过下载招标文件的电子招标投标交易平台递交电子投标文件。</w:t>
      </w:r>
    </w:p>
    <w:p w14:paraId="7E23B098">
      <w:pPr>
        <w:spacing w:line="360" w:lineRule="auto"/>
        <w:ind w:firstLine="480"/>
        <w:rPr>
          <w:rFonts w:hint="eastAsia" w:ascii="宋体" w:hAnsi="宋体"/>
          <w:highlight w:val="none"/>
        </w:rPr>
      </w:pPr>
      <w:r>
        <w:rPr>
          <w:rFonts w:hint="eastAsia" w:ascii="宋体" w:hAnsi="宋体"/>
          <w:highlight w:val="none"/>
        </w:rPr>
        <w:t>4.2.3 除投标人须知前附表另有规定外，投标人所递交的投标文件不予退还。</w:t>
      </w:r>
    </w:p>
    <w:p w14:paraId="17CA49B5">
      <w:pPr>
        <w:spacing w:line="360" w:lineRule="auto"/>
        <w:ind w:firstLine="480"/>
        <w:rPr>
          <w:rFonts w:hint="eastAsia" w:ascii="宋体" w:hAnsi="宋体"/>
          <w:highlight w:val="none"/>
        </w:rPr>
      </w:pPr>
      <w:r>
        <w:rPr>
          <w:rFonts w:hint="eastAsia" w:ascii="宋体" w:hAnsi="宋体"/>
          <w:highlight w:val="none"/>
        </w:rPr>
        <w:t>4.2.4 投标人完成电子投标文件上传后，电子招标投标交易平台即时向投标人发出递交回执通知。递交时间以递交回执通知载明的传输完成时间为准。</w:t>
      </w:r>
    </w:p>
    <w:p w14:paraId="5F5673D2">
      <w:pPr>
        <w:spacing w:line="360" w:lineRule="auto"/>
        <w:ind w:firstLine="480"/>
        <w:rPr>
          <w:rFonts w:hint="eastAsia" w:ascii="宋体" w:hAnsi="宋体"/>
          <w:highlight w:val="none"/>
        </w:rPr>
      </w:pPr>
      <w:r>
        <w:rPr>
          <w:rFonts w:hint="eastAsia" w:ascii="宋体" w:hAnsi="宋体"/>
          <w:highlight w:val="none"/>
        </w:rPr>
        <w:t>4.2.5 投标文件的递交要求</w:t>
      </w:r>
    </w:p>
    <w:p w14:paraId="79F9B637">
      <w:pPr>
        <w:pStyle w:val="7"/>
        <w:kinsoku w:val="0"/>
        <w:overflowPunct w:val="0"/>
        <w:spacing w:before="0" w:beforeAutospacing="0" w:line="360" w:lineRule="auto"/>
        <w:ind w:firstLine="420"/>
        <w:rPr>
          <w:rFonts w:hint="eastAsia" w:ascii="宋体" w:hAnsi="宋体"/>
          <w:sz w:val="21"/>
          <w:highlight w:val="none"/>
        </w:rPr>
      </w:pPr>
      <w:r>
        <w:rPr>
          <w:rFonts w:hint="eastAsia" w:ascii="宋体" w:hAnsi="宋体"/>
          <w:sz w:val="21"/>
          <w:highlight w:val="none"/>
        </w:rPr>
        <w:t>（一）电子投标文件若出现以下情况之一的，招标人将按废标处理：</w:t>
      </w:r>
    </w:p>
    <w:p w14:paraId="6298B561">
      <w:pPr>
        <w:pStyle w:val="7"/>
        <w:kinsoku w:val="0"/>
        <w:overflowPunct w:val="0"/>
        <w:spacing w:before="0" w:beforeAutospacing="0" w:line="360" w:lineRule="auto"/>
        <w:ind w:left="991" w:leftChars="472"/>
        <w:rPr>
          <w:rFonts w:hint="eastAsia" w:ascii="宋体" w:hAnsi="宋体"/>
          <w:sz w:val="21"/>
          <w:highlight w:val="none"/>
        </w:rPr>
      </w:pPr>
      <w:r>
        <w:rPr>
          <w:rFonts w:hint="eastAsia" w:ascii="宋体" w:hAnsi="宋体"/>
          <w:sz w:val="21"/>
          <w:highlight w:val="none"/>
        </w:rPr>
        <w:t>A.电子投标文件未在投标截止时间前成功上传并保存在交易中心数字交易平台；</w:t>
      </w:r>
    </w:p>
    <w:p w14:paraId="43236ECA">
      <w:pPr>
        <w:pStyle w:val="7"/>
        <w:kinsoku w:val="0"/>
        <w:overflowPunct w:val="0"/>
        <w:spacing w:before="0" w:beforeAutospacing="0" w:line="360" w:lineRule="auto"/>
        <w:ind w:left="991" w:leftChars="472"/>
        <w:rPr>
          <w:rFonts w:hint="eastAsia" w:ascii="宋体" w:hAnsi="宋体"/>
          <w:sz w:val="21"/>
          <w:highlight w:val="none"/>
        </w:rPr>
      </w:pPr>
      <w:r>
        <w:rPr>
          <w:rFonts w:hint="eastAsia" w:ascii="宋体" w:hAnsi="宋体"/>
          <w:sz w:val="21"/>
          <w:highlight w:val="none"/>
        </w:rPr>
        <w:t>B.因投标人原因造成电子投标文件未解密或逾期解密的；</w:t>
      </w:r>
    </w:p>
    <w:p w14:paraId="4B0BD734">
      <w:pPr>
        <w:pStyle w:val="7"/>
        <w:kinsoku w:val="0"/>
        <w:overflowPunct w:val="0"/>
        <w:spacing w:before="0" w:beforeAutospacing="0" w:line="360" w:lineRule="auto"/>
        <w:ind w:left="991" w:leftChars="472"/>
        <w:rPr>
          <w:rFonts w:hint="eastAsia" w:ascii="宋体" w:hAnsi="宋体"/>
          <w:sz w:val="21"/>
          <w:highlight w:val="none"/>
        </w:rPr>
      </w:pPr>
      <w:r>
        <w:rPr>
          <w:rFonts w:hint="eastAsia" w:ascii="宋体" w:hAnsi="宋体"/>
          <w:sz w:val="21"/>
          <w:highlight w:val="none"/>
        </w:rPr>
        <w:t>C.两个（含两个）以上的投标人加密打包的电子投标文件电脑机器码一致的；</w:t>
      </w:r>
    </w:p>
    <w:p w14:paraId="071962BC">
      <w:pPr>
        <w:pStyle w:val="7"/>
        <w:kinsoku w:val="0"/>
        <w:overflowPunct w:val="0"/>
        <w:spacing w:before="0" w:beforeAutospacing="0" w:line="360" w:lineRule="auto"/>
        <w:ind w:left="991" w:leftChars="472"/>
        <w:rPr>
          <w:rFonts w:hint="eastAsia" w:ascii="宋体" w:hAnsi="宋体"/>
          <w:sz w:val="21"/>
          <w:highlight w:val="none"/>
        </w:rPr>
      </w:pPr>
      <w:r>
        <w:rPr>
          <w:rFonts w:hint="eastAsia" w:ascii="宋体" w:hAnsi="宋体"/>
          <w:sz w:val="21"/>
          <w:highlight w:val="none"/>
        </w:rPr>
        <w:t>D.投标文件中的投标人、项目负责人与投标登记时的信息不一致的；</w:t>
      </w:r>
    </w:p>
    <w:p w14:paraId="071D37E0">
      <w:pPr>
        <w:spacing w:line="360" w:lineRule="auto"/>
        <w:ind w:firstLine="480"/>
        <w:rPr>
          <w:rFonts w:hint="eastAsia" w:ascii="宋体" w:hAnsi="宋体"/>
          <w:bCs/>
          <w:highlight w:val="none"/>
        </w:rPr>
      </w:pPr>
      <w:bookmarkStart w:id="131" w:name="_Toc7611"/>
      <w:bookmarkStart w:id="132" w:name="_Toc510170396"/>
      <w:bookmarkStart w:id="133" w:name="_Toc510170250"/>
      <w:bookmarkStart w:id="134" w:name="_Toc500410305"/>
      <w:bookmarkStart w:id="135" w:name="_Toc500409857"/>
      <w:r>
        <w:rPr>
          <w:rFonts w:hint="eastAsia" w:ascii="宋体" w:hAnsi="宋体"/>
          <w:bCs/>
          <w:highlight w:val="none"/>
        </w:rPr>
        <w:t>4.2.6投标文件的解密</w:t>
      </w:r>
      <w:bookmarkEnd w:id="131"/>
      <w:bookmarkEnd w:id="132"/>
      <w:bookmarkEnd w:id="133"/>
      <w:bookmarkEnd w:id="134"/>
      <w:bookmarkEnd w:id="135"/>
    </w:p>
    <w:p w14:paraId="26FF7CBC">
      <w:pPr>
        <w:spacing w:line="360" w:lineRule="auto"/>
        <w:ind w:firstLine="480"/>
        <w:rPr>
          <w:rFonts w:hint="eastAsia" w:ascii="宋体" w:hAnsi="宋体"/>
          <w:highlight w:val="none"/>
        </w:rPr>
      </w:pPr>
      <w:r>
        <w:rPr>
          <w:rFonts w:hint="eastAsia" w:ascii="宋体" w:hAnsi="宋体"/>
          <w:highlight w:val="none"/>
        </w:rPr>
        <w:t>（1）递交投标文件截止时间到达后的前</w:t>
      </w:r>
      <w:r>
        <w:rPr>
          <w:rFonts w:hint="eastAsia" w:ascii="宋体" w:hAnsi="宋体"/>
          <w:b/>
          <w:highlight w:val="none"/>
        </w:rPr>
        <w:t>30分钟内</w:t>
      </w:r>
      <w:r>
        <w:rPr>
          <w:rFonts w:hint="eastAsia" w:ascii="宋体" w:hAnsi="宋体"/>
          <w:highlight w:val="none"/>
        </w:rPr>
        <w:t>为投标人对电子投标文件解密时间。</w:t>
      </w:r>
    </w:p>
    <w:p w14:paraId="09799657">
      <w:pPr>
        <w:spacing w:line="360" w:lineRule="auto"/>
        <w:ind w:firstLine="480"/>
        <w:rPr>
          <w:rFonts w:ascii="宋体" w:hAnsi="宋体"/>
          <w:b/>
          <w:highlight w:val="none"/>
        </w:rPr>
      </w:pPr>
      <w:r>
        <w:rPr>
          <w:rFonts w:hint="eastAsia" w:ascii="宋体" w:hAnsi="宋体"/>
          <w:highlight w:val="none"/>
        </w:rPr>
        <w:t>（2）投标人须在规定解密时间内使用制作该投标文件的机构业务数字证书对投标文件进行解密。逾期未解密的电子投标文件将被否决。</w:t>
      </w:r>
    </w:p>
    <w:p w14:paraId="4B33B362">
      <w:pPr>
        <w:pStyle w:val="10"/>
        <w:ind w:firstLine="422"/>
        <w:rPr>
          <w:rFonts w:hint="eastAsia" w:ascii="宋体" w:hAnsi="宋体"/>
          <w:sz w:val="21"/>
          <w:highlight w:val="none"/>
        </w:rPr>
      </w:pPr>
      <w:bookmarkStart w:id="136" w:name="_Toc510170397"/>
      <w:bookmarkStart w:id="137" w:name="_Toc500410301"/>
      <w:bookmarkStart w:id="138" w:name="_Toc500409853"/>
      <w:r>
        <w:rPr>
          <w:rFonts w:hint="eastAsia" w:ascii="宋体" w:hAnsi="宋体"/>
          <w:sz w:val="21"/>
          <w:highlight w:val="none"/>
        </w:rPr>
        <w:t>4.3 投标文件递交的截止时间</w:t>
      </w:r>
      <w:bookmarkEnd w:id="136"/>
      <w:bookmarkEnd w:id="137"/>
      <w:bookmarkEnd w:id="138"/>
    </w:p>
    <w:p w14:paraId="3D0EA4F9">
      <w:pPr>
        <w:spacing w:line="360" w:lineRule="auto"/>
        <w:ind w:firstLine="480"/>
        <w:rPr>
          <w:rFonts w:hint="eastAsia" w:ascii="宋体" w:hAnsi="宋体"/>
          <w:highlight w:val="none"/>
        </w:rPr>
      </w:pPr>
      <w:r>
        <w:rPr>
          <w:rFonts w:hint="eastAsia" w:ascii="宋体" w:hAnsi="宋体"/>
          <w:highlight w:val="none"/>
        </w:rPr>
        <w:t>4.3.1 在本章第 4.2.1 项规定的投标截止时间前，投标人可以修改或撤回已递交的投标文件，但应以书面形式通知招标人。</w:t>
      </w:r>
    </w:p>
    <w:p w14:paraId="1F8B52F1">
      <w:pPr>
        <w:spacing w:line="360" w:lineRule="auto"/>
        <w:ind w:firstLine="480"/>
        <w:rPr>
          <w:rFonts w:hint="eastAsia" w:ascii="宋体" w:hAnsi="宋体"/>
          <w:strike/>
          <w:highlight w:val="none"/>
        </w:rPr>
      </w:pPr>
      <w:r>
        <w:rPr>
          <w:rFonts w:hint="eastAsia" w:ascii="宋体" w:hAnsi="宋体"/>
          <w:highlight w:val="none"/>
        </w:rPr>
        <w:t>4.3.2 投标人修改或撤回已递交电子投标文件的通知，应按照本章第 3.7.2项的要求加盖电子印章。电子招标投标交易平台收到通知后，即时向投标人发出确认回执通知。</w:t>
      </w:r>
    </w:p>
    <w:p w14:paraId="543B2AC0">
      <w:pPr>
        <w:spacing w:line="360" w:lineRule="auto"/>
        <w:ind w:firstLine="480"/>
        <w:rPr>
          <w:rFonts w:hint="eastAsia" w:ascii="宋体" w:hAnsi="宋体"/>
          <w:highlight w:val="none"/>
        </w:rPr>
      </w:pPr>
      <w:r>
        <w:rPr>
          <w:rFonts w:hint="eastAsia" w:ascii="宋体" w:hAnsi="宋体"/>
          <w:highlight w:val="none"/>
        </w:rPr>
        <w:t>4.3.3修改的内容为投标文件的组成部分。修改的投标文件应按照本章第 3 条、第 4 条的规定进行编制、密封、标记和递交，并标明“修改”字样。</w:t>
      </w:r>
    </w:p>
    <w:p w14:paraId="45A132CC">
      <w:pPr>
        <w:pStyle w:val="9"/>
        <w:ind w:firstLine="422"/>
        <w:rPr>
          <w:rFonts w:hint="eastAsia" w:ascii="宋体" w:hAnsi="宋体"/>
          <w:bCs w:val="0"/>
          <w:sz w:val="21"/>
          <w:szCs w:val="21"/>
          <w:highlight w:val="none"/>
        </w:rPr>
      </w:pPr>
      <w:bookmarkStart w:id="139" w:name="_Toc510170398"/>
      <w:bookmarkStart w:id="140" w:name="_Toc510170251"/>
      <w:r>
        <w:rPr>
          <w:rFonts w:hint="eastAsia" w:ascii="宋体" w:hAnsi="宋体"/>
          <w:bCs w:val="0"/>
          <w:sz w:val="21"/>
          <w:szCs w:val="21"/>
          <w:highlight w:val="none"/>
        </w:rPr>
        <w:t>5.</w:t>
      </w:r>
      <w:r>
        <w:rPr>
          <w:rFonts w:ascii="宋体" w:hAnsi="宋体"/>
          <w:bCs w:val="0"/>
          <w:sz w:val="21"/>
          <w:szCs w:val="21"/>
          <w:highlight w:val="none"/>
        </w:rPr>
        <w:t>开标</w:t>
      </w:r>
      <w:bookmarkEnd w:id="139"/>
      <w:bookmarkEnd w:id="140"/>
    </w:p>
    <w:p w14:paraId="052D053F">
      <w:pPr>
        <w:pStyle w:val="10"/>
        <w:ind w:firstLine="422"/>
        <w:rPr>
          <w:rFonts w:hint="eastAsia" w:ascii="宋体" w:hAnsi="宋体"/>
          <w:sz w:val="21"/>
          <w:highlight w:val="none"/>
        </w:rPr>
      </w:pPr>
      <w:bookmarkStart w:id="141" w:name="_Toc500409858"/>
      <w:bookmarkStart w:id="142" w:name="_Toc510170399"/>
      <w:bookmarkStart w:id="143" w:name="_Toc500410306"/>
      <w:r>
        <w:rPr>
          <w:rFonts w:hint="eastAsia" w:ascii="宋体" w:hAnsi="宋体"/>
          <w:sz w:val="21"/>
          <w:highlight w:val="none"/>
        </w:rPr>
        <w:t>5.1 开标时间和地点</w:t>
      </w:r>
      <w:bookmarkEnd w:id="141"/>
      <w:bookmarkEnd w:id="142"/>
      <w:bookmarkEnd w:id="143"/>
    </w:p>
    <w:p w14:paraId="5CC47115">
      <w:pPr>
        <w:spacing w:line="360" w:lineRule="auto"/>
        <w:ind w:firstLine="480"/>
        <w:rPr>
          <w:rFonts w:hint="eastAsia" w:ascii="宋体" w:hAnsi="宋体"/>
          <w:highlight w:val="none"/>
        </w:rPr>
      </w:pPr>
      <w:r>
        <w:rPr>
          <w:rFonts w:ascii="宋体" w:hAnsi="宋体"/>
          <w:highlight w:val="none"/>
          <w:u w:val="single"/>
        </w:rPr>
        <w:t>招标人在本章第 4.2.1 项规定的投标截止时间（开标时间）和投标人须知前附表规定的地点公开开标</w:t>
      </w:r>
      <w:r>
        <w:rPr>
          <w:rFonts w:hint="eastAsia" w:ascii="宋体" w:hAnsi="宋体"/>
          <w:highlight w:val="none"/>
          <w:u w:val="single"/>
        </w:rPr>
        <w:t>，并邀请所有的投标人的法定代表人（需携带法定代表人证明书）或其委托代理人（需携带法定代表人证明书、授权委托</w:t>
      </w:r>
      <w:r>
        <w:rPr>
          <w:rFonts w:hint="eastAsia" w:ascii="宋体" w:hAnsi="宋体"/>
          <w:highlight w:val="none"/>
          <w:u w:val="single"/>
          <w:lang w:eastAsia="zh-CN"/>
        </w:rPr>
        <w:t>证明</w:t>
      </w:r>
      <w:r>
        <w:rPr>
          <w:rFonts w:hint="eastAsia" w:ascii="宋体" w:hAnsi="宋体"/>
          <w:highlight w:val="none"/>
          <w:u w:val="single"/>
        </w:rPr>
        <w:t>书）准时参加。若投标人不派代表出席，则视其为自动放弃参与开标的权利，认可开标结果。</w:t>
      </w:r>
    </w:p>
    <w:p w14:paraId="42A9F1E2">
      <w:pPr>
        <w:pStyle w:val="10"/>
        <w:ind w:firstLine="422"/>
        <w:rPr>
          <w:rFonts w:hint="eastAsia" w:ascii="宋体" w:hAnsi="宋体"/>
          <w:sz w:val="21"/>
          <w:highlight w:val="none"/>
        </w:rPr>
      </w:pPr>
      <w:bookmarkStart w:id="144" w:name="_Toc500409859"/>
      <w:bookmarkStart w:id="145" w:name="_Toc510170400"/>
      <w:bookmarkStart w:id="146" w:name="_Toc500410307"/>
      <w:r>
        <w:rPr>
          <w:rFonts w:hint="eastAsia" w:ascii="宋体" w:hAnsi="宋体"/>
          <w:sz w:val="21"/>
          <w:highlight w:val="none"/>
        </w:rPr>
        <w:t>5.2 开标程序</w:t>
      </w:r>
      <w:bookmarkEnd w:id="144"/>
      <w:bookmarkEnd w:id="145"/>
      <w:bookmarkEnd w:id="146"/>
    </w:p>
    <w:p w14:paraId="45E758C1">
      <w:pPr>
        <w:spacing w:line="360" w:lineRule="auto"/>
        <w:ind w:firstLine="420" w:firstLineChars="200"/>
        <w:jc w:val="left"/>
        <w:rPr>
          <w:rFonts w:hint="eastAsia"/>
          <w:highlight w:val="none"/>
          <w:u w:val="single"/>
        </w:rPr>
      </w:pPr>
      <w:r>
        <w:rPr>
          <w:rFonts w:hint="eastAsia"/>
          <w:highlight w:val="none"/>
          <w:u w:val="single"/>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0D5A38B6">
      <w:pPr>
        <w:spacing w:line="360" w:lineRule="auto"/>
        <w:ind w:firstLine="482"/>
        <w:rPr>
          <w:rFonts w:hint="eastAsia" w:ascii="宋体" w:hAnsi="宋体"/>
          <w:highlight w:val="none"/>
        </w:rPr>
      </w:pPr>
      <w:r>
        <w:rPr>
          <w:rFonts w:hint="eastAsia" w:ascii="宋体" w:hAnsi="宋体"/>
          <w:b/>
          <w:highlight w:val="none"/>
        </w:rPr>
        <w:t>5.2.1</w:t>
      </w:r>
      <w:r>
        <w:rPr>
          <w:rFonts w:hint="eastAsia" w:ascii="宋体" w:hAnsi="宋体"/>
          <w:highlight w:val="none"/>
        </w:rPr>
        <w:t>主持人按下列程序进行开标：</w:t>
      </w:r>
    </w:p>
    <w:p w14:paraId="4CD19C93">
      <w:pPr>
        <w:spacing w:line="360" w:lineRule="auto"/>
        <w:ind w:firstLine="480"/>
        <w:rPr>
          <w:rFonts w:hint="eastAsia" w:ascii="宋体" w:hAnsi="宋体"/>
          <w:highlight w:val="none"/>
        </w:rPr>
      </w:pPr>
      <w:r>
        <w:rPr>
          <w:rFonts w:hint="eastAsia" w:ascii="宋体" w:hAnsi="宋体"/>
          <w:highlight w:val="none"/>
        </w:rPr>
        <w:t>（1）宣布开标纪律；</w:t>
      </w:r>
    </w:p>
    <w:p w14:paraId="50229190">
      <w:pPr>
        <w:spacing w:line="360" w:lineRule="auto"/>
        <w:ind w:firstLine="480"/>
        <w:rPr>
          <w:rFonts w:hint="eastAsia" w:ascii="宋体" w:hAnsi="宋体"/>
          <w:highlight w:val="none"/>
        </w:rPr>
      </w:pPr>
      <w:r>
        <w:rPr>
          <w:rFonts w:hint="eastAsia" w:ascii="宋体" w:hAnsi="宋体"/>
          <w:highlight w:val="none"/>
        </w:rPr>
        <w:t>（2）公布在投标截止时间前递交投标文件的投标人名称；</w:t>
      </w:r>
    </w:p>
    <w:p w14:paraId="6716C4B9">
      <w:pPr>
        <w:spacing w:line="360" w:lineRule="auto"/>
        <w:ind w:firstLine="480"/>
        <w:rPr>
          <w:rFonts w:hint="eastAsia" w:ascii="宋体" w:hAnsi="宋体"/>
          <w:highlight w:val="none"/>
        </w:rPr>
      </w:pPr>
      <w:r>
        <w:rPr>
          <w:rFonts w:hint="eastAsia" w:ascii="宋体" w:hAnsi="宋体"/>
          <w:highlight w:val="none"/>
        </w:rPr>
        <w:t>（3）宣布开标人、唱标人、记录人、监标人等有关人员姓名；</w:t>
      </w:r>
    </w:p>
    <w:p w14:paraId="05732CA3">
      <w:pPr>
        <w:spacing w:line="360" w:lineRule="auto"/>
        <w:ind w:firstLine="480"/>
        <w:rPr>
          <w:rFonts w:hint="eastAsia" w:ascii="宋体" w:hAnsi="宋体"/>
          <w:highlight w:val="none"/>
        </w:rPr>
      </w:pPr>
      <w:r>
        <w:rPr>
          <w:rFonts w:hint="eastAsia" w:ascii="宋体" w:hAnsi="宋体"/>
          <w:highlight w:val="none"/>
        </w:rPr>
        <w:t>（4）投标人通过交易中心数字交易平台对已递交的电子投标文件进行解密，公布招标项目名称，投标人名称、投标报价、监理服务期限及其他内容，并记录在案；</w:t>
      </w:r>
    </w:p>
    <w:p w14:paraId="1AAC08BB">
      <w:pPr>
        <w:spacing w:line="360" w:lineRule="auto"/>
        <w:ind w:firstLine="480"/>
        <w:rPr>
          <w:rFonts w:hint="eastAsia" w:ascii="宋体" w:hAnsi="宋体"/>
          <w:highlight w:val="none"/>
        </w:rPr>
      </w:pPr>
      <w:r>
        <w:rPr>
          <w:rFonts w:hint="eastAsia" w:ascii="宋体" w:hAnsi="宋体"/>
          <w:highlight w:val="none"/>
        </w:rPr>
        <w:t>（5）投标人代表、招标人代表、监标人、记录人等有关人员在开标记录上签字确认；若有关人员不签字的，不影响开标程序；</w:t>
      </w:r>
    </w:p>
    <w:p w14:paraId="70862C9C">
      <w:pPr>
        <w:spacing w:line="360" w:lineRule="auto"/>
        <w:ind w:firstLine="480"/>
        <w:rPr>
          <w:rFonts w:hint="eastAsia" w:ascii="宋体" w:hAnsi="宋体"/>
          <w:highlight w:val="none"/>
        </w:rPr>
      </w:pPr>
      <w:r>
        <w:rPr>
          <w:rFonts w:hint="eastAsia" w:ascii="宋体" w:hAnsi="宋体"/>
          <w:highlight w:val="none"/>
        </w:rPr>
        <w:t>（6）开标结束。</w:t>
      </w:r>
    </w:p>
    <w:p w14:paraId="3A2A5033">
      <w:pPr>
        <w:spacing w:line="360" w:lineRule="auto"/>
        <w:ind w:firstLine="482"/>
        <w:rPr>
          <w:rFonts w:hint="eastAsia" w:ascii="宋体" w:hAnsi="宋体"/>
          <w:highlight w:val="none"/>
        </w:rPr>
      </w:pPr>
      <w:r>
        <w:rPr>
          <w:rFonts w:hint="eastAsia" w:ascii="宋体" w:hAnsi="宋体"/>
          <w:b/>
          <w:highlight w:val="none"/>
        </w:rPr>
        <w:t>5.2.2</w:t>
      </w:r>
      <w:r>
        <w:rPr>
          <w:rFonts w:hint="eastAsia" w:ascii="宋体" w:hAnsi="宋体"/>
          <w:highlight w:val="none"/>
        </w:rPr>
        <w:t>投标截止时间前未完成投标文件传输的或因投标人之外的原因造成投标文件未解密的或未在投标截止时间后半小时解密的，视为投标人其撤回投标文件。因投标人原因造成投标文件未解密的，视为撤销其投标文件。</w:t>
      </w:r>
    </w:p>
    <w:p w14:paraId="3E1D3998">
      <w:pPr>
        <w:spacing w:line="360" w:lineRule="auto"/>
        <w:ind w:firstLine="482"/>
        <w:rPr>
          <w:rFonts w:hint="eastAsia" w:ascii="宋体" w:hAnsi="宋体"/>
          <w:highlight w:val="none"/>
        </w:rPr>
      </w:pPr>
      <w:r>
        <w:rPr>
          <w:rFonts w:hint="eastAsia" w:ascii="宋体" w:hAnsi="宋体"/>
          <w:b/>
          <w:highlight w:val="none"/>
        </w:rPr>
        <w:t>5.2.3</w:t>
      </w:r>
      <w:r>
        <w:rPr>
          <w:rFonts w:hint="eastAsia" w:ascii="宋体" w:hAnsi="宋体"/>
          <w:highlight w:val="none"/>
        </w:rPr>
        <w:t>开标时，两个（含两个）以上的投标人加密打包投标文件电脑机器特征码一致的，不参与下一程序，并由评标委会否决其投标。</w:t>
      </w:r>
    </w:p>
    <w:p w14:paraId="12662687">
      <w:pPr>
        <w:pStyle w:val="10"/>
        <w:ind w:firstLine="422"/>
        <w:rPr>
          <w:rFonts w:hint="eastAsia" w:ascii="宋体" w:hAnsi="宋体"/>
          <w:sz w:val="21"/>
          <w:highlight w:val="none"/>
        </w:rPr>
      </w:pPr>
      <w:bookmarkStart w:id="147" w:name="_Toc510170401"/>
      <w:bookmarkStart w:id="148" w:name="_Toc500410308"/>
      <w:bookmarkStart w:id="149" w:name="_Toc500409860"/>
      <w:r>
        <w:rPr>
          <w:rFonts w:hint="eastAsia" w:ascii="宋体" w:hAnsi="宋体"/>
          <w:sz w:val="21"/>
          <w:highlight w:val="none"/>
        </w:rPr>
        <w:t>5.3 开标异议</w:t>
      </w:r>
      <w:bookmarkEnd w:id="147"/>
      <w:bookmarkEnd w:id="148"/>
      <w:bookmarkEnd w:id="149"/>
      <w:bookmarkStart w:id="150" w:name="_Toc500410309"/>
      <w:bookmarkStart w:id="151" w:name="_Toc500409861"/>
    </w:p>
    <w:p w14:paraId="18DF9FE2">
      <w:pPr>
        <w:spacing w:line="360" w:lineRule="auto"/>
        <w:ind w:firstLine="480"/>
        <w:rPr>
          <w:rFonts w:hint="eastAsia" w:ascii="宋体" w:hAnsi="宋体"/>
          <w:highlight w:val="none"/>
        </w:rPr>
      </w:pPr>
      <w:r>
        <w:rPr>
          <w:rFonts w:hint="eastAsia" w:ascii="宋体" w:hAnsi="宋体"/>
          <w:highlight w:val="none"/>
          <w:u w:val="single"/>
        </w:rPr>
        <w:t>5.3.1</w:t>
      </w:r>
      <w:r>
        <w:rPr>
          <w:rFonts w:ascii="宋体" w:hAnsi="宋体"/>
          <w:highlight w:val="none"/>
          <w:u w:val="single"/>
        </w:rPr>
        <w:t>参加在线开标的投标人对开标结果有异议的，应当使用单位数字证书登录交易平台后通过交易平台提出。招标人授权招标代理机构工作人员使用招标代理机构数字证书登录交易平台答复异议，异议答复是招标人真实意思表示。未答复的，开标程序不得结束，投标人若无异议，点击“我没有异议了”按钮即可。</w:t>
      </w:r>
      <w:r>
        <w:rPr>
          <w:rFonts w:hint="eastAsia" w:ascii="宋体" w:hAnsi="宋体"/>
          <w:highlight w:val="none"/>
          <w:u w:val="single"/>
        </w:rPr>
        <w:t>参加现场开标的投标人对开标结果有异议的，应当在开标现场提出，该投标人代表须同时出示本人身份证原件。</w:t>
      </w:r>
    </w:p>
    <w:p w14:paraId="0A821D73">
      <w:pPr>
        <w:spacing w:line="360" w:lineRule="auto"/>
        <w:ind w:firstLine="480"/>
        <w:rPr>
          <w:rFonts w:hint="eastAsia" w:ascii="宋体" w:hAnsi="宋体"/>
          <w:highlight w:val="none"/>
        </w:rPr>
      </w:pPr>
      <w:r>
        <w:rPr>
          <w:rFonts w:hint="eastAsia" w:ascii="宋体" w:hAnsi="宋体"/>
          <w:highlight w:val="none"/>
        </w:rPr>
        <w:t>对开标的异议，招标人应当当场作出答复并予以书面记录，异议成立的，招标人应当及时采取纠正措施，或者提交评标委员会评审确认；异议不成立的，招标人应当当场给予解释说明。招标人应当按照同一异议提起人一份记录的方式，对异议事项的处理应逐条进行书面记录，并由异议提起人、招标人签名确认。书面记录含义应清晰而明确，包括但不限于纠正的措施、解释说明的内容、相关依据等。招标人需将开标异议提交给评标委员会的评审确认时，评标委员会须进行评审确认，不得以任何理由拒绝。</w:t>
      </w:r>
    </w:p>
    <w:bookmarkEnd w:id="150"/>
    <w:bookmarkEnd w:id="151"/>
    <w:p w14:paraId="3DDF5C5C">
      <w:pPr>
        <w:pStyle w:val="9"/>
        <w:ind w:firstLine="422"/>
        <w:rPr>
          <w:rFonts w:hint="eastAsia" w:ascii="宋体" w:hAnsi="宋体"/>
          <w:bCs w:val="0"/>
          <w:sz w:val="21"/>
          <w:szCs w:val="21"/>
          <w:highlight w:val="none"/>
        </w:rPr>
      </w:pPr>
      <w:bookmarkStart w:id="152" w:name="_Toc510170402"/>
      <w:bookmarkStart w:id="153" w:name="_Toc510170252"/>
      <w:r>
        <w:rPr>
          <w:rFonts w:hint="eastAsia" w:ascii="宋体" w:hAnsi="宋体"/>
          <w:bCs w:val="0"/>
          <w:sz w:val="21"/>
          <w:szCs w:val="21"/>
          <w:highlight w:val="none"/>
        </w:rPr>
        <w:t>6.</w:t>
      </w:r>
      <w:r>
        <w:rPr>
          <w:rFonts w:ascii="宋体" w:hAnsi="宋体"/>
          <w:bCs w:val="0"/>
          <w:sz w:val="21"/>
          <w:szCs w:val="21"/>
          <w:highlight w:val="none"/>
        </w:rPr>
        <w:t>评标</w:t>
      </w:r>
      <w:bookmarkEnd w:id="152"/>
      <w:bookmarkEnd w:id="153"/>
    </w:p>
    <w:p w14:paraId="2EEEDF4D">
      <w:pPr>
        <w:pStyle w:val="10"/>
        <w:ind w:firstLine="422"/>
        <w:rPr>
          <w:rFonts w:hint="eastAsia" w:ascii="宋体" w:hAnsi="宋体"/>
          <w:sz w:val="21"/>
          <w:highlight w:val="none"/>
        </w:rPr>
      </w:pPr>
      <w:bookmarkStart w:id="154" w:name="_Toc500409862"/>
      <w:bookmarkStart w:id="155" w:name="_Toc510170403"/>
      <w:bookmarkStart w:id="156" w:name="_Toc500410310"/>
      <w:r>
        <w:rPr>
          <w:rFonts w:hint="eastAsia" w:ascii="宋体" w:hAnsi="宋体"/>
          <w:sz w:val="21"/>
          <w:highlight w:val="none"/>
        </w:rPr>
        <w:t>6.1 评标委员会</w:t>
      </w:r>
      <w:bookmarkEnd w:id="154"/>
      <w:bookmarkEnd w:id="155"/>
      <w:bookmarkEnd w:id="156"/>
    </w:p>
    <w:p w14:paraId="695FF7C3">
      <w:pPr>
        <w:spacing w:line="360" w:lineRule="auto"/>
        <w:ind w:firstLine="480"/>
        <w:rPr>
          <w:rFonts w:ascii="宋体" w:hAnsi="宋体"/>
          <w:highlight w:val="none"/>
        </w:rPr>
      </w:pPr>
      <w:r>
        <w:rPr>
          <w:rFonts w:hint="eastAsia" w:ascii="宋体" w:hAnsi="宋体"/>
          <w:highlight w:val="none"/>
        </w:rPr>
        <w:t xml:space="preserve"> </w:t>
      </w:r>
      <w:r>
        <w:rPr>
          <w:rFonts w:ascii="宋体" w:hAnsi="宋体"/>
          <w:highlight w:val="none"/>
        </w:rPr>
        <w:t>6.1.1 评标由招标人依法组建的评标委员会负责。</w:t>
      </w:r>
      <w:r>
        <w:rPr>
          <w:rFonts w:hint="eastAsia" w:ascii="宋体" w:hAnsi="宋体"/>
          <w:strike/>
          <w:highlight w:val="none"/>
        </w:rPr>
        <w:t>评标委员会由招标人或其委托的招标代理机构熟悉相关业务的代表，以及有关技术、经济等方面的专家组成</w:t>
      </w:r>
      <w:r>
        <w:rPr>
          <w:rFonts w:ascii="宋体" w:hAnsi="宋体"/>
          <w:strike/>
          <w:highlight w:val="none"/>
        </w:rPr>
        <w:t>。评标委员会成员人数以及技术、经济等方面专家的确定方式见投标人须知前附表。</w:t>
      </w:r>
    </w:p>
    <w:p w14:paraId="3FAEA3F5">
      <w:pPr>
        <w:spacing w:line="360" w:lineRule="auto"/>
        <w:ind w:firstLine="480"/>
        <w:rPr>
          <w:rFonts w:ascii="宋体" w:hAnsi="宋体"/>
          <w:highlight w:val="none"/>
        </w:rPr>
      </w:pPr>
      <w:r>
        <w:rPr>
          <w:rFonts w:ascii="宋体" w:hAnsi="宋体"/>
          <w:highlight w:val="none"/>
        </w:rPr>
        <w:t>6.1.2 评标委员会成员有下列情形之一的，应当回避：</w:t>
      </w:r>
    </w:p>
    <w:p w14:paraId="2CDB9563">
      <w:pPr>
        <w:spacing w:line="360" w:lineRule="auto"/>
        <w:ind w:firstLine="480"/>
        <w:rPr>
          <w:rFonts w:ascii="宋体" w:hAnsi="宋体"/>
          <w:highlight w:val="none"/>
        </w:rPr>
      </w:pPr>
      <w:r>
        <w:rPr>
          <w:rFonts w:ascii="宋体" w:hAnsi="宋体"/>
          <w:highlight w:val="none"/>
        </w:rPr>
        <w:t>（1）投标人或投标人主要负责人的近亲属；</w:t>
      </w:r>
    </w:p>
    <w:p w14:paraId="562F235F">
      <w:pPr>
        <w:spacing w:line="360" w:lineRule="auto"/>
        <w:ind w:firstLine="480"/>
        <w:rPr>
          <w:rFonts w:ascii="宋体" w:hAnsi="宋体"/>
          <w:highlight w:val="none"/>
        </w:rPr>
      </w:pPr>
      <w:r>
        <w:rPr>
          <w:rFonts w:ascii="宋体" w:hAnsi="宋体"/>
          <w:highlight w:val="none"/>
        </w:rPr>
        <w:t>（2）项目主管部门或者行政监督部门的人员；</w:t>
      </w:r>
    </w:p>
    <w:p w14:paraId="5ADBF6DB">
      <w:pPr>
        <w:spacing w:line="360" w:lineRule="auto"/>
        <w:ind w:firstLine="480"/>
        <w:rPr>
          <w:rFonts w:ascii="宋体" w:hAnsi="宋体"/>
          <w:highlight w:val="none"/>
        </w:rPr>
      </w:pPr>
      <w:r>
        <w:rPr>
          <w:rFonts w:ascii="宋体" w:hAnsi="宋体"/>
          <w:highlight w:val="none"/>
        </w:rPr>
        <w:t>（3）与投标人有经济利益关系，可能影响对投标公正评审的；</w:t>
      </w:r>
    </w:p>
    <w:p w14:paraId="4FCFE2CE">
      <w:pPr>
        <w:spacing w:line="360" w:lineRule="auto"/>
        <w:ind w:firstLine="480"/>
        <w:rPr>
          <w:rFonts w:ascii="宋体" w:hAnsi="宋体"/>
          <w:highlight w:val="none"/>
        </w:rPr>
      </w:pPr>
      <w:r>
        <w:rPr>
          <w:rFonts w:ascii="宋体" w:hAnsi="宋体"/>
          <w:highlight w:val="none"/>
        </w:rPr>
        <w:t>（4）曾因在招标、评标以及其他与招标投标有关活动中从事违法行为而受过行政处罚或刑事处罚的；</w:t>
      </w:r>
    </w:p>
    <w:p w14:paraId="233B0D05">
      <w:pPr>
        <w:spacing w:line="360" w:lineRule="auto"/>
        <w:ind w:firstLine="480"/>
        <w:rPr>
          <w:rFonts w:ascii="宋体" w:hAnsi="宋体"/>
          <w:highlight w:val="none"/>
        </w:rPr>
      </w:pPr>
      <w:r>
        <w:rPr>
          <w:rFonts w:ascii="宋体" w:hAnsi="宋体"/>
          <w:highlight w:val="none"/>
        </w:rPr>
        <w:t>（5）与投标人有其他利害关系。</w:t>
      </w:r>
    </w:p>
    <w:p w14:paraId="52B84E4B">
      <w:pPr>
        <w:spacing w:line="360" w:lineRule="auto"/>
        <w:ind w:firstLine="480"/>
        <w:rPr>
          <w:rFonts w:hint="eastAsia" w:ascii="宋体" w:hAnsi="宋体"/>
          <w:highlight w:val="none"/>
        </w:rPr>
      </w:pPr>
      <w:r>
        <w:rPr>
          <w:rFonts w:ascii="宋体" w:hAnsi="宋体"/>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7DE58860">
      <w:pPr>
        <w:spacing w:line="360" w:lineRule="auto"/>
        <w:ind w:firstLine="480"/>
        <w:rPr>
          <w:rFonts w:ascii="宋体" w:hAnsi="宋体"/>
          <w:highlight w:val="none"/>
        </w:rPr>
      </w:pPr>
      <w:r>
        <w:rPr>
          <w:rFonts w:hint="eastAsia" w:ascii="宋体" w:hAnsi="宋体"/>
          <w:highlight w:val="none"/>
        </w:rPr>
        <w:t>6.1.4招标人需将开标异议提交给评标委员会的评审确认时，评标委员会须进行评审确认，不得以任何理由拒绝；</w:t>
      </w:r>
    </w:p>
    <w:p w14:paraId="07F3C485">
      <w:pPr>
        <w:pStyle w:val="10"/>
        <w:ind w:firstLine="422"/>
        <w:rPr>
          <w:rFonts w:hint="eastAsia" w:ascii="宋体" w:hAnsi="宋体"/>
          <w:sz w:val="21"/>
          <w:highlight w:val="none"/>
        </w:rPr>
      </w:pPr>
      <w:bookmarkStart w:id="157" w:name="_Toc500410311"/>
      <w:bookmarkStart w:id="158" w:name="_Toc510170404"/>
      <w:bookmarkStart w:id="159" w:name="_Toc500409863"/>
      <w:r>
        <w:rPr>
          <w:rFonts w:hint="eastAsia" w:ascii="宋体" w:hAnsi="宋体"/>
          <w:sz w:val="21"/>
          <w:highlight w:val="none"/>
        </w:rPr>
        <w:t>6.2 评标原则</w:t>
      </w:r>
      <w:bookmarkEnd w:id="157"/>
      <w:bookmarkEnd w:id="158"/>
      <w:bookmarkEnd w:id="159"/>
    </w:p>
    <w:p w14:paraId="1769528F">
      <w:pPr>
        <w:spacing w:line="360" w:lineRule="auto"/>
        <w:ind w:firstLine="480"/>
        <w:rPr>
          <w:rFonts w:hint="eastAsia" w:ascii="宋体" w:hAnsi="宋体"/>
          <w:highlight w:val="none"/>
        </w:rPr>
      </w:pPr>
      <w:r>
        <w:rPr>
          <w:rFonts w:ascii="宋体" w:hAnsi="宋体"/>
          <w:highlight w:val="none"/>
        </w:rPr>
        <w:t>评标活动遵循公平、公正、科学和择优的原则。</w:t>
      </w:r>
    </w:p>
    <w:p w14:paraId="4AC7AFB7">
      <w:pPr>
        <w:pStyle w:val="10"/>
        <w:ind w:firstLine="422"/>
        <w:rPr>
          <w:rFonts w:hint="eastAsia" w:ascii="宋体" w:hAnsi="宋体"/>
          <w:sz w:val="21"/>
          <w:highlight w:val="none"/>
        </w:rPr>
      </w:pPr>
      <w:bookmarkStart w:id="160" w:name="_Toc510170405"/>
      <w:bookmarkStart w:id="161" w:name="_Toc500409864"/>
      <w:bookmarkStart w:id="162" w:name="_Toc500410312"/>
      <w:r>
        <w:rPr>
          <w:rFonts w:hint="eastAsia" w:ascii="宋体" w:hAnsi="宋体"/>
          <w:sz w:val="21"/>
          <w:highlight w:val="none"/>
        </w:rPr>
        <w:t>6.3 评标</w:t>
      </w:r>
      <w:bookmarkEnd w:id="160"/>
      <w:bookmarkEnd w:id="161"/>
      <w:bookmarkEnd w:id="162"/>
    </w:p>
    <w:p w14:paraId="56315181">
      <w:pPr>
        <w:spacing w:line="360" w:lineRule="auto"/>
        <w:ind w:firstLine="480"/>
        <w:rPr>
          <w:rFonts w:ascii="宋体" w:hAnsi="宋体"/>
          <w:highlight w:val="none"/>
        </w:rPr>
      </w:pPr>
      <w:r>
        <w:rPr>
          <w:rFonts w:ascii="宋体" w:hAnsi="宋体"/>
          <w:highlight w:val="none"/>
        </w:rPr>
        <w:t>6.3.1 评标委员会按照第三章“评标办法”规定的方法、评审因素、标准和程序对投标文件进行评审。第三章“评标办法”没有规定的方法、评审因素和标准，不作为评标依据。</w:t>
      </w:r>
    </w:p>
    <w:p w14:paraId="2442F628">
      <w:pPr>
        <w:spacing w:line="360" w:lineRule="auto"/>
        <w:ind w:firstLine="480"/>
        <w:rPr>
          <w:rFonts w:ascii="宋体" w:hAnsi="宋体"/>
          <w:highlight w:val="none"/>
        </w:rPr>
      </w:pPr>
      <w:r>
        <w:rPr>
          <w:rFonts w:ascii="宋体" w:hAnsi="宋体"/>
          <w:highlight w:val="none"/>
        </w:rPr>
        <w:t>6.3.2 评标完成后，评标委员会应当向招标人提交书面评标报告和中标候选人名单。评标委员会推荐中标候选人的人数见投标人须知前附表。</w:t>
      </w:r>
    </w:p>
    <w:p w14:paraId="1D8E4CB6">
      <w:pPr>
        <w:spacing w:line="360" w:lineRule="auto"/>
        <w:ind w:firstLine="480"/>
        <w:rPr>
          <w:rFonts w:hint="eastAsia" w:ascii="宋体" w:hAnsi="宋体"/>
          <w:highlight w:val="none"/>
        </w:rPr>
      </w:pPr>
      <w:bookmarkStart w:id="163" w:name="_Toc500409865"/>
      <w:bookmarkStart w:id="164" w:name="_Toc500410313"/>
      <w:r>
        <w:rPr>
          <w:rFonts w:hint="eastAsia" w:ascii="宋体" w:hAnsi="宋体"/>
          <w:highlight w:val="none"/>
        </w:rPr>
        <w:t>6.3.3</w:t>
      </w:r>
      <w:r>
        <w:rPr>
          <w:rFonts w:ascii="宋体" w:hAnsi="宋体"/>
          <w:highlight w:val="none"/>
        </w:rPr>
        <w:t>评标</w:t>
      </w:r>
      <w:r>
        <w:rPr>
          <w:rFonts w:hint="eastAsia" w:ascii="宋体" w:hAnsi="宋体"/>
          <w:highlight w:val="none"/>
        </w:rPr>
        <w:t>过程应急预案</w:t>
      </w:r>
      <w:bookmarkEnd w:id="163"/>
      <w:bookmarkEnd w:id="164"/>
    </w:p>
    <w:p w14:paraId="6E5EF2CC">
      <w:pPr>
        <w:spacing w:line="360" w:lineRule="auto"/>
        <w:ind w:firstLine="480"/>
        <w:rPr>
          <w:rFonts w:hint="eastAsia" w:ascii="宋体" w:hAnsi="宋体"/>
          <w:highlight w:val="none"/>
        </w:rPr>
      </w:pPr>
      <w:r>
        <w:rPr>
          <w:rFonts w:hint="eastAsia" w:ascii="宋体" w:hAnsi="宋体"/>
          <w:highlight w:val="none"/>
        </w:rPr>
        <w:t>（1）在电子评标过程中，如系统发生故障时，应立即通知交易中心进行技术排查，若经交易中心确认，故障无法当天解除，则评标委员会对未完成的评标活动启动手动评审，提交包含已完成电子评审成果在内的纸质评标报告。评审故障以广州公共资源交易中心的认定为准。当广州公共资源交易中心的系统维护人员在评标室告知评标委员会当天无法解除评审故障后，评标委员会即可对未完成的评标活动启动手动评审。</w:t>
      </w:r>
    </w:p>
    <w:p w14:paraId="4810C678">
      <w:pPr>
        <w:spacing w:line="360" w:lineRule="auto"/>
        <w:ind w:firstLine="480"/>
        <w:rPr>
          <w:rFonts w:hint="eastAsia" w:ascii="宋体" w:hAnsi="宋体"/>
          <w:highlight w:val="none"/>
        </w:rPr>
      </w:pPr>
      <w:r>
        <w:rPr>
          <w:rFonts w:hint="eastAsia" w:ascii="宋体" w:hAnsi="宋体"/>
          <w:highlight w:val="none"/>
        </w:rPr>
        <w:t xml:space="preserve"> （2）在电子评标过程中，无论遇到任何系统异常或故障，评标委员会均应出具评标报告。</w:t>
      </w:r>
    </w:p>
    <w:p w14:paraId="4CBB4518">
      <w:pPr>
        <w:pStyle w:val="9"/>
        <w:ind w:firstLine="422"/>
        <w:rPr>
          <w:rFonts w:hint="eastAsia" w:ascii="宋体" w:hAnsi="宋体"/>
          <w:b w:val="0"/>
          <w:sz w:val="21"/>
          <w:szCs w:val="21"/>
          <w:highlight w:val="none"/>
        </w:rPr>
      </w:pPr>
      <w:bookmarkStart w:id="165" w:name="_Toc510170406"/>
      <w:bookmarkStart w:id="166" w:name="_Toc510170253"/>
      <w:r>
        <w:rPr>
          <w:rFonts w:hint="eastAsia" w:ascii="宋体" w:hAnsi="宋体"/>
          <w:bCs w:val="0"/>
          <w:sz w:val="21"/>
          <w:szCs w:val="21"/>
          <w:highlight w:val="none"/>
        </w:rPr>
        <w:t>7.</w:t>
      </w:r>
      <w:r>
        <w:rPr>
          <w:rFonts w:ascii="宋体" w:hAnsi="宋体"/>
          <w:bCs w:val="0"/>
          <w:sz w:val="21"/>
          <w:szCs w:val="21"/>
          <w:highlight w:val="none"/>
        </w:rPr>
        <w:t>合同授予</w:t>
      </w:r>
      <w:bookmarkEnd w:id="165"/>
      <w:bookmarkEnd w:id="166"/>
    </w:p>
    <w:p w14:paraId="1BE0F3AF">
      <w:pPr>
        <w:pStyle w:val="10"/>
        <w:ind w:firstLine="422"/>
        <w:rPr>
          <w:rFonts w:hint="eastAsia" w:ascii="宋体" w:hAnsi="宋体"/>
          <w:sz w:val="21"/>
          <w:highlight w:val="none"/>
        </w:rPr>
      </w:pPr>
      <w:bookmarkStart w:id="167" w:name="_Toc500410314"/>
      <w:bookmarkStart w:id="168" w:name="_Toc500409866"/>
      <w:bookmarkStart w:id="169" w:name="_Toc510170407"/>
      <w:r>
        <w:rPr>
          <w:rFonts w:hint="eastAsia" w:ascii="宋体" w:hAnsi="宋体"/>
          <w:sz w:val="21"/>
          <w:highlight w:val="none"/>
        </w:rPr>
        <w:t>7.1 中标候选人公示</w:t>
      </w:r>
      <w:bookmarkEnd w:id="167"/>
      <w:bookmarkEnd w:id="168"/>
      <w:bookmarkEnd w:id="169"/>
    </w:p>
    <w:p w14:paraId="6CC5D7B9">
      <w:pPr>
        <w:spacing w:line="360" w:lineRule="auto"/>
        <w:ind w:right="357" w:firstLine="480"/>
        <w:rPr>
          <w:rFonts w:hint="eastAsia" w:ascii="宋体" w:hAnsi="宋体"/>
          <w:highlight w:val="none"/>
        </w:rPr>
      </w:pPr>
      <w:r>
        <w:rPr>
          <w:rFonts w:ascii="宋体" w:hAnsi="宋体"/>
          <w:highlight w:val="none"/>
        </w:rPr>
        <w:t>按照投标人须知前附表规定的公示媒介和期限公示中标候选人，公示期不得少于 3 天。</w:t>
      </w:r>
      <w:r>
        <w:rPr>
          <w:rFonts w:hint="eastAsia" w:ascii="宋体" w:hAnsi="宋体"/>
          <w:highlight w:val="none"/>
        </w:rPr>
        <w:t>公示最后一天为工作日。</w:t>
      </w:r>
    </w:p>
    <w:p w14:paraId="25D5A49A">
      <w:pPr>
        <w:pStyle w:val="10"/>
        <w:ind w:firstLine="422"/>
        <w:rPr>
          <w:rFonts w:hint="eastAsia" w:ascii="宋体" w:hAnsi="宋体"/>
          <w:sz w:val="21"/>
          <w:highlight w:val="none"/>
        </w:rPr>
      </w:pPr>
      <w:bookmarkStart w:id="170" w:name="_Toc510170408"/>
      <w:bookmarkStart w:id="171" w:name="_Toc500410315"/>
      <w:bookmarkStart w:id="172" w:name="_Toc500409867"/>
      <w:r>
        <w:rPr>
          <w:rFonts w:hint="eastAsia" w:ascii="宋体" w:hAnsi="宋体"/>
          <w:sz w:val="21"/>
          <w:highlight w:val="none"/>
        </w:rPr>
        <w:t>7.2 评标结果异议</w:t>
      </w:r>
      <w:bookmarkEnd w:id="170"/>
      <w:bookmarkEnd w:id="171"/>
      <w:bookmarkEnd w:id="172"/>
    </w:p>
    <w:p w14:paraId="4F952774">
      <w:pPr>
        <w:spacing w:line="360" w:lineRule="auto"/>
        <w:ind w:right="360" w:firstLine="480"/>
        <w:rPr>
          <w:rFonts w:hint="eastAsia" w:ascii="宋体" w:hAnsi="宋体"/>
          <w:highlight w:val="none"/>
        </w:rPr>
      </w:pPr>
      <w:r>
        <w:rPr>
          <w:rFonts w:ascii="宋体" w:hAnsi="宋体"/>
          <w:highlight w:val="none"/>
        </w:rPr>
        <w:t>投标人或者其他利害关系人对评标结果有异议的，应当在中标候选人公示期间提出。招标人将在收到异议之日起 3 日内作出答复；作出答复前，将暂停招标投标活动。</w:t>
      </w:r>
    </w:p>
    <w:p w14:paraId="19936D0A">
      <w:pPr>
        <w:pStyle w:val="10"/>
        <w:ind w:firstLine="422"/>
        <w:rPr>
          <w:rFonts w:hint="eastAsia" w:ascii="宋体" w:hAnsi="宋体"/>
          <w:sz w:val="21"/>
          <w:highlight w:val="none"/>
        </w:rPr>
      </w:pPr>
      <w:bookmarkStart w:id="173" w:name="_Toc500409868"/>
      <w:bookmarkStart w:id="174" w:name="_Toc510170409"/>
      <w:bookmarkStart w:id="175" w:name="_Toc500410316"/>
      <w:r>
        <w:rPr>
          <w:rFonts w:hint="eastAsia" w:ascii="宋体" w:hAnsi="宋体"/>
          <w:sz w:val="21"/>
          <w:highlight w:val="none"/>
        </w:rPr>
        <w:t>7.3 中标候选人履约能力审查</w:t>
      </w:r>
      <w:bookmarkEnd w:id="173"/>
      <w:bookmarkEnd w:id="174"/>
      <w:bookmarkEnd w:id="175"/>
    </w:p>
    <w:p w14:paraId="49DA390F">
      <w:pPr>
        <w:spacing w:line="360" w:lineRule="auto"/>
        <w:ind w:firstLine="480"/>
        <w:rPr>
          <w:rFonts w:hint="eastAsia" w:ascii="宋体" w:hAnsi="宋体"/>
          <w:highlight w:val="none"/>
        </w:rPr>
      </w:pPr>
      <w:r>
        <w:rPr>
          <w:rFonts w:ascii="宋体" w:hAnsi="宋体"/>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2749D600">
      <w:pPr>
        <w:pStyle w:val="10"/>
        <w:ind w:firstLine="422"/>
        <w:rPr>
          <w:rFonts w:hint="eastAsia" w:ascii="宋体" w:hAnsi="宋体"/>
          <w:sz w:val="21"/>
          <w:highlight w:val="none"/>
        </w:rPr>
      </w:pPr>
      <w:bookmarkStart w:id="176" w:name="_Toc500410317"/>
      <w:bookmarkStart w:id="177" w:name="_Toc500409869"/>
      <w:bookmarkStart w:id="178" w:name="_Toc510170410"/>
      <w:r>
        <w:rPr>
          <w:rFonts w:hint="eastAsia" w:ascii="宋体" w:hAnsi="宋体"/>
          <w:sz w:val="21"/>
          <w:highlight w:val="none"/>
        </w:rPr>
        <w:t>7.4 定标</w:t>
      </w:r>
      <w:bookmarkEnd w:id="176"/>
      <w:bookmarkEnd w:id="177"/>
      <w:bookmarkEnd w:id="178"/>
    </w:p>
    <w:p w14:paraId="6582465F">
      <w:pPr>
        <w:spacing w:line="360" w:lineRule="auto"/>
        <w:ind w:right="20" w:firstLine="480"/>
        <w:rPr>
          <w:rFonts w:hint="eastAsia" w:ascii="宋体" w:hAnsi="宋体"/>
          <w:highlight w:val="none"/>
        </w:rPr>
      </w:pPr>
      <w:r>
        <w:rPr>
          <w:rFonts w:ascii="宋体" w:hAnsi="宋体"/>
          <w:highlight w:val="none"/>
        </w:rPr>
        <w:t>按照投标人须知前附表的规定，招标人或招标人授权的评标委员会依法确定中</w:t>
      </w:r>
      <w:r>
        <w:rPr>
          <w:rFonts w:hint="eastAsia" w:ascii="宋体" w:hAnsi="宋体"/>
          <w:highlight w:val="none"/>
        </w:rPr>
        <w:t>标</w:t>
      </w:r>
      <w:r>
        <w:rPr>
          <w:rFonts w:ascii="宋体" w:hAnsi="宋体"/>
          <w:highlight w:val="none"/>
        </w:rPr>
        <w:t>人。</w:t>
      </w:r>
    </w:p>
    <w:p w14:paraId="08A0503B">
      <w:pPr>
        <w:pStyle w:val="10"/>
        <w:ind w:firstLine="422"/>
        <w:rPr>
          <w:rFonts w:hint="eastAsia" w:ascii="宋体" w:hAnsi="宋体"/>
          <w:sz w:val="21"/>
          <w:highlight w:val="none"/>
        </w:rPr>
      </w:pPr>
      <w:bookmarkStart w:id="179" w:name="_Toc500409870"/>
      <w:bookmarkStart w:id="180" w:name="_Toc500410318"/>
      <w:bookmarkStart w:id="181" w:name="_Toc510170411"/>
      <w:r>
        <w:rPr>
          <w:rFonts w:hint="eastAsia" w:ascii="宋体" w:hAnsi="宋体"/>
          <w:sz w:val="21"/>
          <w:highlight w:val="none"/>
        </w:rPr>
        <w:t>7.5 中标通知</w:t>
      </w:r>
      <w:bookmarkEnd w:id="179"/>
      <w:bookmarkEnd w:id="180"/>
      <w:bookmarkEnd w:id="181"/>
    </w:p>
    <w:p w14:paraId="4A637B0A">
      <w:pPr>
        <w:spacing w:line="360" w:lineRule="auto"/>
        <w:ind w:firstLine="480"/>
        <w:rPr>
          <w:rFonts w:hint="eastAsia" w:ascii="宋体" w:hAnsi="宋体"/>
          <w:highlight w:val="none"/>
        </w:rPr>
      </w:pPr>
      <w:r>
        <w:rPr>
          <w:rFonts w:ascii="宋体" w:hAnsi="宋体"/>
          <w:highlight w:val="none"/>
        </w:rPr>
        <w:t>在本章第 3.3 款规定的投标有效期内，招标人以书面形式向中标人发出中标通知书。</w:t>
      </w:r>
    </w:p>
    <w:p w14:paraId="2C7BA559">
      <w:pPr>
        <w:pStyle w:val="10"/>
        <w:ind w:firstLine="422"/>
        <w:rPr>
          <w:rFonts w:hint="eastAsia" w:ascii="宋体" w:hAnsi="宋体"/>
          <w:strike/>
          <w:sz w:val="21"/>
          <w:highlight w:val="none"/>
        </w:rPr>
      </w:pPr>
      <w:bookmarkStart w:id="182" w:name="_Toc510170412"/>
      <w:bookmarkStart w:id="183" w:name="_Toc500409871"/>
      <w:bookmarkStart w:id="184" w:name="_Toc500410319"/>
      <w:r>
        <w:rPr>
          <w:rFonts w:hint="eastAsia" w:ascii="宋体" w:hAnsi="宋体"/>
          <w:strike/>
          <w:sz w:val="21"/>
          <w:highlight w:val="none"/>
        </w:rPr>
        <w:t>7.6 履约保证金</w:t>
      </w:r>
      <w:bookmarkEnd w:id="182"/>
      <w:bookmarkEnd w:id="183"/>
      <w:bookmarkEnd w:id="184"/>
    </w:p>
    <w:p w14:paraId="6C6F7CAA">
      <w:pPr>
        <w:spacing w:line="360" w:lineRule="auto"/>
        <w:ind w:firstLine="480"/>
        <w:rPr>
          <w:rFonts w:ascii="宋体" w:hAnsi="宋体"/>
          <w:b/>
          <w:strike/>
          <w:highlight w:val="none"/>
        </w:rPr>
      </w:pPr>
      <w:r>
        <w:rPr>
          <w:rFonts w:ascii="宋体" w:hAnsi="宋体"/>
          <w:strike/>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w:t>
      </w:r>
      <w:r>
        <w:rPr>
          <w:rFonts w:hint="eastAsia" w:ascii="宋体" w:hAnsi="宋体"/>
          <w:strike/>
          <w:highlight w:val="none"/>
        </w:rPr>
        <w:t>联合体中标的，其履约保证金以联合体各方或者联合体中牵头人的名义提交。</w:t>
      </w:r>
    </w:p>
    <w:p w14:paraId="195B4125">
      <w:pPr>
        <w:spacing w:line="360" w:lineRule="auto"/>
        <w:ind w:firstLine="480"/>
        <w:rPr>
          <w:rFonts w:ascii="宋体" w:hAnsi="宋体"/>
          <w:strike/>
          <w:highlight w:val="none"/>
        </w:rPr>
      </w:pPr>
      <w:r>
        <w:rPr>
          <w:rFonts w:ascii="宋体" w:hAnsi="宋体"/>
          <w:strike/>
          <w:highlight w:val="none"/>
        </w:rPr>
        <w:t>7.6.2 中标人不能按本章第 7.6.1 项要求提交履约保证金的，视为放弃中标，其投标保证金不予退还，给招标人造成的损失超过投标保证金数额的，中标人还应当对超过部分予以赔偿。</w:t>
      </w:r>
    </w:p>
    <w:p w14:paraId="0A655010">
      <w:pPr>
        <w:pStyle w:val="10"/>
        <w:ind w:firstLine="422"/>
        <w:rPr>
          <w:rFonts w:hint="eastAsia" w:ascii="宋体" w:hAnsi="宋体"/>
          <w:sz w:val="21"/>
          <w:highlight w:val="none"/>
        </w:rPr>
      </w:pPr>
      <w:bookmarkStart w:id="185" w:name="_Toc510170413"/>
      <w:bookmarkStart w:id="186" w:name="_Toc500409872"/>
      <w:bookmarkStart w:id="187" w:name="_Toc500410320"/>
      <w:r>
        <w:rPr>
          <w:rFonts w:hint="eastAsia" w:ascii="宋体" w:hAnsi="宋体"/>
          <w:sz w:val="21"/>
          <w:highlight w:val="none"/>
        </w:rPr>
        <w:t>7.7 签订合同</w:t>
      </w:r>
      <w:bookmarkEnd w:id="185"/>
      <w:bookmarkEnd w:id="186"/>
      <w:bookmarkEnd w:id="187"/>
    </w:p>
    <w:p w14:paraId="5B7B0F1D">
      <w:pPr>
        <w:spacing w:line="360" w:lineRule="auto"/>
        <w:ind w:firstLine="480"/>
        <w:rPr>
          <w:rFonts w:hint="eastAsia" w:ascii="宋体" w:hAnsi="宋体"/>
          <w:highlight w:val="none"/>
        </w:rPr>
      </w:pPr>
      <w:r>
        <w:rPr>
          <w:rFonts w:ascii="宋体" w:hAnsi="宋体"/>
          <w:highlight w:val="none"/>
        </w:rPr>
        <w:t>7.7.1 招标人和中标人应当在中标通知书发出之日起 30 日内，根据招标文件和中标人的投标文件订立书面合同。中标人无正当理由拒签合同，在签订合同时向招标人提出附加条件</w:t>
      </w:r>
      <w:r>
        <w:rPr>
          <w:rFonts w:ascii="宋体" w:hAnsi="宋体"/>
          <w:strike/>
          <w:highlight w:val="none"/>
        </w:rPr>
        <w:t>，或者不按照招标文件要求提交履约保证金</w:t>
      </w:r>
      <w:r>
        <w:rPr>
          <w:rFonts w:ascii="宋体" w:hAnsi="宋体"/>
          <w:highlight w:val="none"/>
        </w:rPr>
        <w:t>的，招标人有权取消其中标资格</w:t>
      </w:r>
      <w:r>
        <w:rPr>
          <w:rFonts w:ascii="宋体" w:hAnsi="宋体"/>
          <w:strike/>
          <w:highlight w:val="none"/>
        </w:rPr>
        <w:t>，其投标保证金不予退还</w:t>
      </w:r>
      <w:r>
        <w:rPr>
          <w:rFonts w:ascii="宋体" w:hAnsi="宋体"/>
          <w:highlight w:val="none"/>
        </w:rPr>
        <w:t>；给招标人造成的损失</w:t>
      </w:r>
      <w:r>
        <w:rPr>
          <w:rFonts w:ascii="宋体" w:hAnsi="宋体"/>
          <w:strike/>
          <w:highlight w:val="none"/>
        </w:rPr>
        <w:t>超过投标保证金数额</w:t>
      </w:r>
      <w:r>
        <w:rPr>
          <w:rFonts w:ascii="宋体" w:hAnsi="宋体"/>
          <w:highlight w:val="none"/>
        </w:rPr>
        <w:t>的，中标人还应当</w:t>
      </w:r>
      <w:r>
        <w:rPr>
          <w:rFonts w:ascii="宋体" w:hAnsi="宋体"/>
          <w:strike/>
          <w:highlight w:val="none"/>
        </w:rPr>
        <w:t>对超过部分</w:t>
      </w:r>
      <w:r>
        <w:rPr>
          <w:rFonts w:ascii="宋体" w:hAnsi="宋体"/>
          <w:highlight w:val="none"/>
        </w:rPr>
        <w:t>予以赔偿。</w:t>
      </w:r>
    </w:p>
    <w:p w14:paraId="54A90281">
      <w:pPr>
        <w:spacing w:line="360" w:lineRule="auto"/>
        <w:ind w:firstLine="480"/>
        <w:rPr>
          <w:rFonts w:ascii="宋体" w:hAnsi="宋体"/>
          <w:highlight w:val="none"/>
        </w:rPr>
      </w:pPr>
      <w:r>
        <w:rPr>
          <w:rFonts w:ascii="宋体" w:hAnsi="宋体"/>
          <w:highlight w:val="none"/>
        </w:rPr>
        <w:t>7.7.2 发出中标通知书后，招标人无正当理由拒签合同，或者在签订合同时向中标人提出附加条件的</w:t>
      </w:r>
      <w:r>
        <w:rPr>
          <w:rFonts w:ascii="宋体" w:hAnsi="宋体"/>
          <w:strike/>
          <w:highlight w:val="none"/>
        </w:rPr>
        <w:t>，招标人向中标人退还投标保证金</w:t>
      </w:r>
      <w:r>
        <w:rPr>
          <w:rFonts w:ascii="宋体" w:hAnsi="宋体"/>
          <w:highlight w:val="none"/>
        </w:rPr>
        <w:t>；给中标人造成损失的，还应当赔偿损失。</w:t>
      </w:r>
    </w:p>
    <w:p w14:paraId="43D2F07D">
      <w:pPr>
        <w:spacing w:line="360" w:lineRule="auto"/>
        <w:ind w:firstLine="480"/>
        <w:rPr>
          <w:rFonts w:hint="eastAsia" w:ascii="宋体" w:hAnsi="宋体"/>
          <w:strike/>
          <w:highlight w:val="none"/>
        </w:rPr>
      </w:pPr>
      <w:r>
        <w:rPr>
          <w:rFonts w:ascii="宋体" w:hAnsi="宋体"/>
          <w:highlight w:val="none"/>
        </w:rPr>
        <w:t>7.</w:t>
      </w:r>
      <w:r>
        <w:rPr>
          <w:rFonts w:hint="eastAsia" w:ascii="宋体" w:hAnsi="宋体"/>
          <w:highlight w:val="none"/>
        </w:rPr>
        <w:t>7.</w:t>
      </w:r>
      <w:r>
        <w:rPr>
          <w:rFonts w:ascii="宋体" w:hAnsi="宋体"/>
          <w:highlight w:val="none"/>
        </w:rPr>
        <w:t xml:space="preserve">3 </w:t>
      </w:r>
      <w:r>
        <w:rPr>
          <w:rFonts w:ascii="宋体" w:hAnsi="宋体"/>
          <w:strike/>
          <w:highlight w:val="none"/>
        </w:rPr>
        <w:t>联合体中标的，联合体各方应当共同与招标人签订合同，就中标项目向招标人承担连带责任。</w:t>
      </w:r>
    </w:p>
    <w:p w14:paraId="340B7B63">
      <w:pPr>
        <w:spacing w:line="360" w:lineRule="auto"/>
        <w:ind w:firstLine="480"/>
        <w:rPr>
          <w:rFonts w:hint="eastAsia" w:ascii="宋体" w:hAnsi="宋体"/>
          <w:highlight w:val="none"/>
        </w:rPr>
      </w:pPr>
      <w:r>
        <w:rPr>
          <w:rFonts w:hint="eastAsia" w:ascii="宋体" w:hAnsi="宋体"/>
          <w:highlight w:val="none"/>
        </w:rPr>
        <w:t>7.7.4中标人出现不诚信行为将按照相关文件要求执行。</w:t>
      </w:r>
    </w:p>
    <w:p w14:paraId="7C6CF03C">
      <w:pPr>
        <w:pStyle w:val="9"/>
        <w:ind w:firstLine="422"/>
        <w:rPr>
          <w:rFonts w:hint="eastAsia" w:ascii="宋体" w:hAnsi="宋体"/>
          <w:bCs w:val="0"/>
          <w:sz w:val="21"/>
          <w:szCs w:val="21"/>
          <w:highlight w:val="none"/>
        </w:rPr>
      </w:pPr>
      <w:bookmarkStart w:id="188" w:name="_Toc510170254"/>
      <w:bookmarkStart w:id="189" w:name="_Toc510170414"/>
      <w:r>
        <w:rPr>
          <w:rFonts w:ascii="宋体" w:hAnsi="宋体"/>
          <w:bCs w:val="0"/>
          <w:sz w:val="21"/>
          <w:szCs w:val="21"/>
          <w:highlight w:val="none"/>
        </w:rPr>
        <w:t>8.纪律和监督</w:t>
      </w:r>
      <w:bookmarkEnd w:id="188"/>
      <w:bookmarkEnd w:id="189"/>
    </w:p>
    <w:p w14:paraId="76342129">
      <w:pPr>
        <w:pStyle w:val="10"/>
        <w:ind w:firstLine="422"/>
        <w:rPr>
          <w:rFonts w:hint="eastAsia" w:ascii="宋体" w:hAnsi="宋体"/>
          <w:sz w:val="21"/>
          <w:highlight w:val="none"/>
        </w:rPr>
      </w:pPr>
      <w:bookmarkStart w:id="190" w:name="_Toc500410321"/>
      <w:bookmarkStart w:id="191" w:name="_Toc510170415"/>
      <w:bookmarkStart w:id="192" w:name="_Toc500409873"/>
      <w:r>
        <w:rPr>
          <w:rFonts w:hint="eastAsia" w:ascii="宋体" w:hAnsi="宋体"/>
          <w:sz w:val="21"/>
          <w:highlight w:val="none"/>
        </w:rPr>
        <w:t>8.1 对招标人的纪律要求</w:t>
      </w:r>
      <w:bookmarkEnd w:id="190"/>
      <w:bookmarkEnd w:id="191"/>
      <w:bookmarkEnd w:id="192"/>
    </w:p>
    <w:p w14:paraId="58576A26">
      <w:pPr>
        <w:spacing w:line="360" w:lineRule="auto"/>
        <w:ind w:firstLine="480"/>
        <w:rPr>
          <w:rFonts w:hint="eastAsia" w:ascii="宋体" w:hAnsi="宋体"/>
          <w:highlight w:val="none"/>
        </w:rPr>
      </w:pPr>
      <w:r>
        <w:rPr>
          <w:rFonts w:ascii="宋体" w:hAnsi="宋体"/>
          <w:highlight w:val="none"/>
        </w:rPr>
        <w:t>招标人不得泄露招标投标活动中应当保密的情况和资料，不得与投标人串通损害国家利益、社会公共利益或者他人合法权益。</w:t>
      </w:r>
    </w:p>
    <w:p w14:paraId="5A6BBE9F">
      <w:pPr>
        <w:pStyle w:val="10"/>
        <w:ind w:firstLine="422"/>
        <w:rPr>
          <w:rFonts w:hint="eastAsia" w:ascii="宋体" w:hAnsi="宋体"/>
          <w:sz w:val="21"/>
          <w:highlight w:val="none"/>
        </w:rPr>
      </w:pPr>
      <w:bookmarkStart w:id="193" w:name="_Toc500409874"/>
      <w:bookmarkStart w:id="194" w:name="_Toc500410322"/>
      <w:bookmarkStart w:id="195" w:name="_Toc510170416"/>
      <w:r>
        <w:rPr>
          <w:rFonts w:hint="eastAsia" w:ascii="宋体" w:hAnsi="宋体"/>
          <w:sz w:val="21"/>
          <w:highlight w:val="none"/>
        </w:rPr>
        <w:t>8.2 对投标人的纪律要求</w:t>
      </w:r>
      <w:bookmarkEnd w:id="193"/>
      <w:bookmarkEnd w:id="194"/>
      <w:bookmarkEnd w:id="195"/>
    </w:p>
    <w:p w14:paraId="4B6B6BDE">
      <w:pPr>
        <w:spacing w:line="360" w:lineRule="auto"/>
        <w:ind w:firstLine="480"/>
        <w:rPr>
          <w:rFonts w:hint="eastAsia" w:ascii="宋体" w:hAnsi="宋体"/>
          <w:highlight w:val="none"/>
        </w:rPr>
      </w:pPr>
      <w:r>
        <w:rPr>
          <w:rFonts w:ascii="宋体" w:hAnsi="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076E742">
      <w:pPr>
        <w:pStyle w:val="10"/>
        <w:ind w:firstLine="422"/>
        <w:rPr>
          <w:rFonts w:hint="eastAsia" w:ascii="宋体" w:hAnsi="宋体"/>
          <w:sz w:val="21"/>
          <w:highlight w:val="none"/>
        </w:rPr>
      </w:pPr>
      <w:bookmarkStart w:id="196" w:name="_Toc500409875"/>
      <w:bookmarkStart w:id="197" w:name="_Toc510170417"/>
      <w:bookmarkStart w:id="198" w:name="_Toc500410323"/>
      <w:r>
        <w:rPr>
          <w:rFonts w:hint="eastAsia" w:ascii="宋体" w:hAnsi="宋体"/>
          <w:sz w:val="21"/>
          <w:highlight w:val="none"/>
        </w:rPr>
        <w:t>8.3 对评标委员会成员的纪律要求</w:t>
      </w:r>
      <w:bookmarkEnd w:id="196"/>
      <w:bookmarkEnd w:id="197"/>
      <w:bookmarkEnd w:id="198"/>
    </w:p>
    <w:p w14:paraId="4E08E877">
      <w:pPr>
        <w:spacing w:line="360" w:lineRule="auto"/>
        <w:ind w:firstLine="480"/>
        <w:rPr>
          <w:rFonts w:hint="eastAsia" w:ascii="宋体" w:hAnsi="宋体"/>
          <w:highlight w:val="none"/>
        </w:rPr>
      </w:pPr>
      <w:r>
        <w:rPr>
          <w:rFonts w:ascii="宋体" w:hAnsi="宋体"/>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27B3E44">
      <w:pPr>
        <w:pStyle w:val="10"/>
        <w:ind w:firstLine="422"/>
        <w:rPr>
          <w:rFonts w:hint="eastAsia" w:ascii="宋体" w:hAnsi="宋体"/>
          <w:sz w:val="21"/>
          <w:highlight w:val="none"/>
        </w:rPr>
      </w:pPr>
      <w:bookmarkStart w:id="199" w:name="_Toc500409876"/>
      <w:bookmarkStart w:id="200" w:name="_Toc500410324"/>
      <w:bookmarkStart w:id="201" w:name="_Toc510170418"/>
      <w:r>
        <w:rPr>
          <w:rFonts w:hint="eastAsia" w:ascii="宋体" w:hAnsi="宋体"/>
          <w:sz w:val="21"/>
          <w:highlight w:val="none"/>
        </w:rPr>
        <w:t>8.4 对与评标活动有关的工作人员的纪律要求</w:t>
      </w:r>
      <w:bookmarkEnd w:id="199"/>
      <w:bookmarkEnd w:id="200"/>
      <w:bookmarkEnd w:id="201"/>
    </w:p>
    <w:p w14:paraId="31A5885C">
      <w:pPr>
        <w:spacing w:line="360" w:lineRule="auto"/>
        <w:ind w:firstLine="480"/>
        <w:rPr>
          <w:rFonts w:hint="eastAsia" w:ascii="宋体" w:hAnsi="宋体"/>
          <w:highlight w:val="none"/>
        </w:rPr>
      </w:pPr>
      <w:r>
        <w:rPr>
          <w:rFonts w:ascii="宋体" w:hAnsi="宋体"/>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41C173D">
      <w:pPr>
        <w:pStyle w:val="10"/>
        <w:ind w:firstLine="422"/>
        <w:rPr>
          <w:rFonts w:hint="eastAsia" w:ascii="宋体" w:hAnsi="宋体"/>
          <w:sz w:val="21"/>
          <w:highlight w:val="none"/>
        </w:rPr>
      </w:pPr>
      <w:bookmarkStart w:id="202" w:name="_Toc500409877"/>
      <w:bookmarkStart w:id="203" w:name="_Toc500410325"/>
      <w:bookmarkStart w:id="204" w:name="_Toc510170419"/>
      <w:r>
        <w:rPr>
          <w:rFonts w:hint="eastAsia" w:ascii="宋体" w:hAnsi="宋体"/>
          <w:sz w:val="21"/>
          <w:highlight w:val="none"/>
        </w:rPr>
        <w:t>8.5 投诉</w:t>
      </w:r>
      <w:bookmarkEnd w:id="202"/>
      <w:bookmarkEnd w:id="203"/>
      <w:bookmarkEnd w:id="204"/>
    </w:p>
    <w:p w14:paraId="077EE422">
      <w:pPr>
        <w:spacing w:line="360" w:lineRule="auto"/>
        <w:ind w:firstLine="480"/>
        <w:rPr>
          <w:rFonts w:ascii="宋体" w:hAnsi="宋体"/>
          <w:highlight w:val="none"/>
        </w:rPr>
      </w:pPr>
      <w:r>
        <w:rPr>
          <w:rFonts w:ascii="宋体" w:hAnsi="宋体"/>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14:paraId="77B1F90D">
      <w:pPr>
        <w:spacing w:line="360" w:lineRule="auto"/>
        <w:ind w:firstLine="480"/>
        <w:rPr>
          <w:rFonts w:hint="eastAsia" w:ascii="宋体" w:hAnsi="宋体"/>
          <w:highlight w:val="none"/>
        </w:rPr>
      </w:pPr>
      <w:r>
        <w:rPr>
          <w:rFonts w:ascii="宋体" w:hAnsi="宋体"/>
          <w:highlight w:val="none"/>
        </w:rPr>
        <w:t>8.5.2 投标人或者其他利害关系人对招标文件、开标和评标结果提出投诉的，应当按照投标人须知第 2.4 款、第 5.3 款和第 7.2 款的规定先向招标人提出异议。异议答复期间不计算在第 8.5.1项规定的期限内。</w:t>
      </w:r>
    </w:p>
    <w:p w14:paraId="59742A57">
      <w:pPr>
        <w:pStyle w:val="9"/>
        <w:ind w:firstLine="422"/>
        <w:rPr>
          <w:rFonts w:hint="eastAsia" w:ascii="宋体" w:hAnsi="宋体"/>
          <w:bCs w:val="0"/>
          <w:sz w:val="21"/>
          <w:szCs w:val="21"/>
          <w:highlight w:val="none"/>
        </w:rPr>
      </w:pPr>
      <w:bookmarkStart w:id="205" w:name="_Toc510170420"/>
      <w:bookmarkStart w:id="206" w:name="_Toc500410326"/>
      <w:bookmarkStart w:id="207" w:name="_Toc500409878"/>
      <w:bookmarkStart w:id="208" w:name="_Toc510170255"/>
      <w:r>
        <w:rPr>
          <w:rFonts w:hint="eastAsia" w:ascii="宋体" w:hAnsi="宋体"/>
          <w:bCs w:val="0"/>
          <w:sz w:val="21"/>
          <w:szCs w:val="21"/>
          <w:highlight w:val="none"/>
        </w:rPr>
        <w:t>9.</w:t>
      </w:r>
      <w:r>
        <w:rPr>
          <w:rFonts w:ascii="宋体" w:hAnsi="宋体"/>
          <w:bCs w:val="0"/>
          <w:sz w:val="21"/>
          <w:szCs w:val="21"/>
          <w:highlight w:val="none"/>
        </w:rPr>
        <w:t>是否采用电子招标投标</w:t>
      </w:r>
      <w:bookmarkEnd w:id="205"/>
      <w:bookmarkEnd w:id="206"/>
      <w:bookmarkEnd w:id="207"/>
      <w:bookmarkEnd w:id="208"/>
    </w:p>
    <w:p w14:paraId="651CC54D">
      <w:pPr>
        <w:spacing w:line="360" w:lineRule="auto"/>
        <w:ind w:firstLine="480"/>
        <w:rPr>
          <w:rFonts w:hint="eastAsia" w:ascii="宋体" w:hAnsi="宋体"/>
          <w:highlight w:val="none"/>
        </w:rPr>
      </w:pPr>
      <w:r>
        <w:rPr>
          <w:rFonts w:ascii="宋体" w:hAnsi="宋体"/>
          <w:highlight w:val="none"/>
        </w:rPr>
        <w:t>本招标项目是采用电子招标投标方式，见投标人须知前附表。</w:t>
      </w:r>
    </w:p>
    <w:p w14:paraId="03493A5A">
      <w:pPr>
        <w:pStyle w:val="9"/>
        <w:widowControl/>
        <w:numPr>
          <w:ilvl w:val="0"/>
          <w:numId w:val="3"/>
        </w:numPr>
        <w:ind w:firstLine="422"/>
        <w:jc w:val="left"/>
        <w:rPr>
          <w:rFonts w:ascii="宋体" w:hAnsi="宋体"/>
          <w:bCs w:val="0"/>
          <w:sz w:val="21"/>
          <w:szCs w:val="21"/>
          <w:highlight w:val="none"/>
        </w:rPr>
      </w:pPr>
      <w:bookmarkStart w:id="209" w:name="_Toc510170421"/>
      <w:bookmarkStart w:id="210" w:name="_Toc500409879"/>
      <w:bookmarkStart w:id="211" w:name="_Toc510170256"/>
      <w:bookmarkStart w:id="212" w:name="_Toc500410327"/>
      <w:r>
        <w:rPr>
          <w:rFonts w:ascii="宋体" w:hAnsi="宋体"/>
          <w:bCs w:val="0"/>
          <w:sz w:val="21"/>
          <w:szCs w:val="21"/>
          <w:highlight w:val="none"/>
        </w:rPr>
        <w:t>需要补充的其他内容</w:t>
      </w:r>
      <w:bookmarkEnd w:id="209"/>
      <w:bookmarkEnd w:id="210"/>
      <w:bookmarkEnd w:id="211"/>
      <w:bookmarkEnd w:id="212"/>
    </w:p>
    <w:p w14:paraId="2F4EA5AF">
      <w:pPr>
        <w:pStyle w:val="10"/>
        <w:ind w:firstLine="422"/>
        <w:rPr>
          <w:rFonts w:hint="eastAsia" w:ascii="宋体" w:hAnsi="宋体"/>
          <w:sz w:val="21"/>
          <w:highlight w:val="none"/>
        </w:rPr>
      </w:pPr>
      <w:bookmarkStart w:id="213" w:name="_Toc510170422"/>
      <w:r>
        <w:rPr>
          <w:rFonts w:hint="eastAsia" w:ascii="宋体" w:hAnsi="宋体"/>
          <w:sz w:val="21"/>
          <w:highlight w:val="none"/>
        </w:rPr>
        <w:t>10.1</w:t>
      </w:r>
      <w:bookmarkEnd w:id="213"/>
      <w:r>
        <w:rPr>
          <w:rFonts w:hint="eastAsia" w:ascii="宋体" w:hAnsi="宋体"/>
          <w:sz w:val="21"/>
          <w:highlight w:val="none"/>
        </w:rPr>
        <w:t>发出中标通知书前，中标人未被纳入“信用广州”网站公布的“失信黑名单”，否则招标人将取消其中标资格。中标后，中标人须提供与电子投标文件一致的纸质版投标文件一正三副给招标人。</w:t>
      </w:r>
    </w:p>
    <w:p w14:paraId="31E113AC">
      <w:pPr>
        <w:pStyle w:val="10"/>
        <w:ind w:firstLine="422"/>
        <w:rPr>
          <w:rFonts w:hint="eastAsia" w:ascii="宋体" w:hAnsi="宋体"/>
          <w:sz w:val="21"/>
          <w:highlight w:val="none"/>
          <w:u w:val="single"/>
        </w:rPr>
      </w:pPr>
      <w:r>
        <w:rPr>
          <w:rFonts w:hint="eastAsia" w:ascii="宋体" w:hAnsi="宋体"/>
          <w:sz w:val="21"/>
          <w:highlight w:val="none"/>
        </w:rPr>
        <w:t>10.2交易服务费</w:t>
      </w:r>
    </w:p>
    <w:p w14:paraId="31BA2C5C">
      <w:pPr>
        <w:tabs>
          <w:tab w:val="left" w:pos="720"/>
        </w:tabs>
        <w:snapToGrid w:val="0"/>
        <w:spacing w:line="360" w:lineRule="auto"/>
        <w:ind w:firstLine="480"/>
        <w:rPr>
          <w:rFonts w:hint="eastAsia" w:ascii="宋体" w:hAnsi="宋体"/>
          <w:highlight w:val="none"/>
          <w:u w:val="single"/>
        </w:rPr>
      </w:pPr>
      <w:r>
        <w:rPr>
          <w:rFonts w:hint="eastAsia" w:ascii="宋体" w:hAnsi="宋体"/>
          <w:highlight w:val="none"/>
          <w:u w:val="single"/>
        </w:rPr>
        <w:t>中标人</w:t>
      </w:r>
      <w:r>
        <w:rPr>
          <w:rFonts w:ascii="宋体" w:hAnsi="宋体"/>
          <w:highlight w:val="none"/>
          <w:u w:val="single"/>
        </w:rPr>
        <w:t>应按</w:t>
      </w:r>
      <w:r>
        <w:rPr>
          <w:rFonts w:hint="eastAsia" w:ascii="宋体" w:hAnsi="宋体"/>
          <w:highlight w:val="none"/>
          <w:u w:val="single"/>
        </w:rPr>
        <w:t>招标人</w:t>
      </w:r>
      <w:r>
        <w:rPr>
          <w:rFonts w:ascii="宋体" w:hAnsi="宋体"/>
          <w:highlight w:val="none"/>
          <w:u w:val="single"/>
        </w:rPr>
        <w:t>通知的日期</w:t>
      </w:r>
      <w:r>
        <w:rPr>
          <w:rFonts w:hint="eastAsia" w:ascii="宋体" w:hAnsi="宋体"/>
          <w:highlight w:val="none"/>
          <w:u w:val="single"/>
        </w:rPr>
        <w:t>向广州公共资源交易中心缴纳交易服务费、向广州公共资源交易中心索取发票，并在取得发票后及时告知招标代理。（该交易服务费为中标金额的</w:t>
      </w:r>
      <w:r>
        <w:rPr>
          <w:rFonts w:ascii="宋体" w:hAnsi="宋体"/>
          <w:highlight w:val="none"/>
          <w:u w:val="single"/>
        </w:rPr>
        <w:t>0.9‰</w:t>
      </w:r>
      <w:r>
        <w:rPr>
          <w:rFonts w:hint="eastAsia" w:ascii="宋体" w:hAnsi="宋体"/>
          <w:highlight w:val="none"/>
          <w:u w:val="single"/>
        </w:rPr>
        <w:t>，具体收费标准投标人可以在广州公共资源交易中心网站查阅，如有变更以广州公共资源交易中心最新发布的标准为准）。</w:t>
      </w:r>
    </w:p>
    <w:p w14:paraId="41D69C5E">
      <w:pPr>
        <w:tabs>
          <w:tab w:val="left" w:pos="720"/>
        </w:tabs>
        <w:snapToGrid w:val="0"/>
        <w:spacing w:line="360" w:lineRule="auto"/>
        <w:ind w:firstLine="480"/>
        <w:rPr>
          <w:rFonts w:hint="eastAsia" w:ascii="宋体" w:hAnsi="宋体"/>
          <w:b/>
          <w:highlight w:val="none"/>
          <w:u w:val="single"/>
        </w:rPr>
      </w:pPr>
      <w:r>
        <w:rPr>
          <w:rFonts w:hint="eastAsia" w:ascii="宋体" w:hAnsi="宋体"/>
          <w:b/>
          <w:highlight w:val="none"/>
          <w:u w:val="single"/>
        </w:rPr>
        <w:t>10.3招标代理费</w:t>
      </w:r>
    </w:p>
    <w:p w14:paraId="3AA583FD">
      <w:pPr>
        <w:tabs>
          <w:tab w:val="left" w:pos="720"/>
        </w:tabs>
        <w:snapToGrid w:val="0"/>
        <w:spacing w:line="360" w:lineRule="auto"/>
        <w:ind w:firstLine="480"/>
        <w:rPr>
          <w:rFonts w:hint="eastAsia" w:ascii="宋体" w:hAnsi="宋体"/>
          <w:highlight w:val="none"/>
          <w:u w:val="single"/>
        </w:rPr>
      </w:pPr>
      <w:r>
        <w:rPr>
          <w:rFonts w:hint="eastAsia" w:ascii="宋体" w:hAnsi="宋体" w:cs="宋体"/>
          <w:highlight w:val="none"/>
          <w:u w:val="single"/>
        </w:rPr>
        <w:t>本项目招标代理服务费由中标人支付，金额以招标人与招标代理机构签订的招标代理合同为准。招标代理服务费用在中标人领取本项目中标通知书前一次性向招标代理单位交纳。</w:t>
      </w:r>
    </w:p>
    <w:p w14:paraId="69C79FD6">
      <w:pPr>
        <w:tabs>
          <w:tab w:val="left" w:pos="720"/>
        </w:tabs>
        <w:snapToGrid w:val="0"/>
        <w:spacing w:line="360" w:lineRule="auto"/>
        <w:ind w:left="420" w:leftChars="200" w:firstLine="480"/>
        <w:rPr>
          <w:rFonts w:hint="eastAsia" w:ascii="宋体" w:hAnsi="宋体"/>
          <w:highlight w:val="none"/>
        </w:rPr>
      </w:pPr>
      <w:r>
        <w:rPr>
          <w:rFonts w:ascii="宋体" w:hAnsi="宋体"/>
          <w:highlight w:val="none"/>
        </w:rPr>
        <w:br w:type="page"/>
      </w:r>
    </w:p>
    <w:p w14:paraId="09CA48DC">
      <w:pPr>
        <w:pStyle w:val="8"/>
        <w:ind w:firstLine="643"/>
        <w:jc w:val="center"/>
        <w:rPr>
          <w:rFonts w:hint="eastAsia" w:ascii="宋体" w:hAnsi="宋体" w:eastAsia="宋体"/>
          <w:highlight w:val="none"/>
        </w:rPr>
      </w:pPr>
      <w:bookmarkStart w:id="214" w:name="page39"/>
      <w:bookmarkEnd w:id="214"/>
      <w:bookmarkStart w:id="215" w:name="page41"/>
      <w:bookmarkEnd w:id="215"/>
      <w:bookmarkStart w:id="216" w:name="_Toc510170423"/>
      <w:bookmarkStart w:id="217" w:name="_Toc536628929"/>
      <w:bookmarkStart w:id="218" w:name="_Toc500409880"/>
      <w:bookmarkStart w:id="219" w:name="_Toc536824381"/>
      <w:bookmarkStart w:id="220" w:name="_Toc500410328"/>
      <w:bookmarkStart w:id="221" w:name="_Toc16441"/>
      <w:bookmarkStart w:id="222" w:name="_Toc510170257"/>
      <w:bookmarkStart w:id="223" w:name="_Toc24227"/>
      <w:bookmarkStart w:id="224" w:name="_Toc18134"/>
      <w:bookmarkStart w:id="225" w:name="_Toc21536"/>
      <w:r>
        <w:rPr>
          <w:rFonts w:ascii="宋体" w:hAnsi="宋体" w:eastAsia="宋体"/>
          <w:highlight w:val="none"/>
        </w:rPr>
        <w:t>第三章</w:t>
      </w:r>
      <w:r>
        <w:rPr>
          <w:rFonts w:hint="eastAsia" w:ascii="宋体" w:hAnsi="宋体" w:eastAsia="宋体"/>
          <w:highlight w:val="none"/>
        </w:rPr>
        <w:t xml:space="preserve">  </w:t>
      </w:r>
      <w:r>
        <w:rPr>
          <w:rFonts w:ascii="宋体" w:hAnsi="宋体" w:eastAsia="宋体"/>
          <w:highlight w:val="none"/>
        </w:rPr>
        <w:t>评标办法（综合评估法）</w:t>
      </w:r>
      <w:bookmarkEnd w:id="216"/>
      <w:bookmarkEnd w:id="217"/>
      <w:bookmarkEnd w:id="218"/>
      <w:bookmarkEnd w:id="219"/>
      <w:bookmarkEnd w:id="220"/>
      <w:bookmarkEnd w:id="221"/>
      <w:bookmarkEnd w:id="222"/>
      <w:bookmarkEnd w:id="223"/>
      <w:bookmarkEnd w:id="224"/>
      <w:bookmarkEnd w:id="225"/>
    </w:p>
    <w:p w14:paraId="0C1392AA">
      <w:pPr>
        <w:pStyle w:val="9"/>
        <w:spacing w:after="120" w:afterLines="50" w:line="240" w:lineRule="auto"/>
        <w:ind w:firstLine="562"/>
        <w:jc w:val="center"/>
        <w:rPr>
          <w:rFonts w:hint="eastAsia" w:ascii="宋体" w:hAnsi="宋体"/>
          <w:sz w:val="28"/>
          <w:szCs w:val="28"/>
          <w:highlight w:val="none"/>
        </w:rPr>
      </w:pPr>
      <w:bookmarkStart w:id="226" w:name="_Toc510170424"/>
      <w:bookmarkStart w:id="227" w:name="_Toc536628930"/>
      <w:bookmarkStart w:id="228" w:name="_Toc504393863"/>
      <w:bookmarkStart w:id="229" w:name="_Toc536628699"/>
      <w:bookmarkStart w:id="230" w:name="_Toc510170258"/>
      <w:r>
        <w:rPr>
          <w:rFonts w:ascii="宋体" w:hAnsi="宋体"/>
          <w:sz w:val="28"/>
          <w:szCs w:val="28"/>
          <w:highlight w:val="none"/>
        </w:rPr>
        <w:t>评标办法前附表</w:t>
      </w:r>
      <w:bookmarkEnd w:id="226"/>
      <w:bookmarkEnd w:id="227"/>
      <w:bookmarkEnd w:id="228"/>
      <w:bookmarkEnd w:id="229"/>
      <w:bookmarkEnd w:id="230"/>
    </w:p>
    <w:tbl>
      <w:tblPr>
        <w:tblStyle w:val="36"/>
        <w:tblW w:w="9649" w:type="dxa"/>
        <w:tblInd w:w="0" w:type="dxa"/>
        <w:tblLayout w:type="fixed"/>
        <w:tblCellMar>
          <w:top w:w="0" w:type="dxa"/>
          <w:left w:w="0" w:type="dxa"/>
          <w:bottom w:w="0" w:type="dxa"/>
          <w:right w:w="0" w:type="dxa"/>
        </w:tblCellMar>
      </w:tblPr>
      <w:tblGrid>
        <w:gridCol w:w="774"/>
        <w:gridCol w:w="1134"/>
        <w:gridCol w:w="2065"/>
        <w:gridCol w:w="5676"/>
      </w:tblGrid>
      <w:tr w14:paraId="308A774B">
        <w:tblPrEx>
          <w:tblCellMar>
            <w:top w:w="0" w:type="dxa"/>
            <w:left w:w="0" w:type="dxa"/>
            <w:bottom w:w="0" w:type="dxa"/>
            <w:right w:w="0" w:type="dxa"/>
          </w:tblCellMar>
        </w:tblPrEx>
        <w:trPr>
          <w:trHeight w:val="543" w:hRule="atLeast"/>
        </w:trPr>
        <w:tc>
          <w:tcPr>
            <w:tcW w:w="1908" w:type="dxa"/>
            <w:gridSpan w:val="2"/>
            <w:tcBorders>
              <w:top w:val="single" w:color="auto" w:sz="8" w:space="0"/>
              <w:left w:val="single" w:color="auto" w:sz="8" w:space="0"/>
              <w:bottom w:val="single" w:color="auto" w:sz="4" w:space="0"/>
              <w:right w:val="single" w:color="auto" w:sz="8" w:space="0"/>
            </w:tcBorders>
            <w:noWrap w:val="0"/>
            <w:vAlign w:val="center"/>
          </w:tcPr>
          <w:p w14:paraId="48724750">
            <w:pPr>
              <w:spacing w:line="276" w:lineRule="auto"/>
              <w:jc w:val="center"/>
              <w:rPr>
                <w:rFonts w:ascii="宋体" w:hAnsi="宋体"/>
                <w:b/>
                <w:highlight w:val="none"/>
              </w:rPr>
            </w:pPr>
            <w:r>
              <w:rPr>
                <w:rFonts w:ascii="宋体" w:hAnsi="宋体"/>
                <w:b/>
                <w:highlight w:val="none"/>
              </w:rPr>
              <w:t>条款号</w:t>
            </w:r>
          </w:p>
        </w:tc>
        <w:tc>
          <w:tcPr>
            <w:tcW w:w="2065" w:type="dxa"/>
            <w:tcBorders>
              <w:top w:val="single" w:color="auto" w:sz="4" w:space="0"/>
              <w:bottom w:val="single" w:color="auto" w:sz="4" w:space="0"/>
              <w:right w:val="single" w:color="auto" w:sz="4" w:space="0"/>
            </w:tcBorders>
            <w:noWrap w:val="0"/>
            <w:vAlign w:val="center"/>
          </w:tcPr>
          <w:p w14:paraId="14F363F7">
            <w:pPr>
              <w:spacing w:line="276" w:lineRule="auto"/>
              <w:jc w:val="center"/>
              <w:rPr>
                <w:rFonts w:ascii="宋体" w:hAnsi="宋体"/>
                <w:b/>
                <w:w w:val="99"/>
                <w:highlight w:val="none"/>
              </w:rPr>
            </w:pPr>
            <w:r>
              <w:rPr>
                <w:rFonts w:ascii="宋体" w:hAnsi="宋体"/>
                <w:b/>
                <w:highlight w:val="none"/>
              </w:rPr>
              <w:t>评审因素</w:t>
            </w:r>
          </w:p>
        </w:tc>
        <w:tc>
          <w:tcPr>
            <w:tcW w:w="5676" w:type="dxa"/>
            <w:tcBorders>
              <w:top w:val="single" w:color="auto" w:sz="4" w:space="0"/>
              <w:bottom w:val="single" w:color="auto" w:sz="4" w:space="0"/>
              <w:right w:val="single" w:color="auto" w:sz="4" w:space="0"/>
            </w:tcBorders>
            <w:noWrap w:val="0"/>
            <w:vAlign w:val="center"/>
          </w:tcPr>
          <w:p w14:paraId="76A90EAA">
            <w:pPr>
              <w:spacing w:line="276" w:lineRule="auto"/>
              <w:jc w:val="center"/>
              <w:rPr>
                <w:rFonts w:ascii="宋体" w:hAnsi="宋体"/>
                <w:b/>
                <w:w w:val="99"/>
                <w:highlight w:val="none"/>
              </w:rPr>
            </w:pPr>
            <w:r>
              <w:rPr>
                <w:rFonts w:hint="eastAsia" w:ascii="宋体" w:hAnsi="宋体"/>
                <w:b/>
                <w:highlight w:val="none"/>
              </w:rPr>
              <w:t>评审标准</w:t>
            </w:r>
          </w:p>
        </w:tc>
      </w:tr>
      <w:tr w14:paraId="728EFA2F">
        <w:tblPrEx>
          <w:tblCellMar>
            <w:top w:w="0" w:type="dxa"/>
            <w:left w:w="0" w:type="dxa"/>
            <w:bottom w:w="0" w:type="dxa"/>
            <w:right w:w="0" w:type="dxa"/>
          </w:tblCellMar>
        </w:tblPrEx>
        <w:trPr>
          <w:trHeight w:val="538" w:hRule="atLeast"/>
        </w:trPr>
        <w:tc>
          <w:tcPr>
            <w:tcW w:w="774" w:type="dxa"/>
            <w:tcBorders>
              <w:top w:val="single" w:color="auto" w:sz="8" w:space="0"/>
              <w:left w:val="single" w:color="auto" w:sz="8" w:space="0"/>
              <w:bottom w:val="single" w:color="auto" w:sz="4" w:space="0"/>
              <w:right w:val="single" w:color="auto" w:sz="8" w:space="0"/>
            </w:tcBorders>
            <w:noWrap w:val="0"/>
            <w:vAlign w:val="center"/>
          </w:tcPr>
          <w:p w14:paraId="15984588">
            <w:pPr>
              <w:spacing w:line="276" w:lineRule="auto"/>
              <w:ind w:left="702" w:hanging="702" w:hangingChars="333"/>
              <w:jc w:val="center"/>
              <w:rPr>
                <w:rFonts w:ascii="宋体" w:hAnsi="宋体"/>
                <w:b/>
                <w:highlight w:val="none"/>
              </w:rPr>
            </w:pPr>
            <w:r>
              <w:rPr>
                <w:rFonts w:hint="eastAsia" w:ascii="宋体" w:hAnsi="宋体"/>
                <w:b/>
                <w:highlight w:val="none"/>
              </w:rPr>
              <w:t>1</w:t>
            </w:r>
          </w:p>
        </w:tc>
        <w:tc>
          <w:tcPr>
            <w:tcW w:w="1134" w:type="dxa"/>
            <w:tcBorders>
              <w:top w:val="single" w:color="auto" w:sz="8" w:space="0"/>
              <w:left w:val="single" w:color="auto" w:sz="8" w:space="0"/>
              <w:bottom w:val="single" w:color="auto" w:sz="4" w:space="0"/>
              <w:right w:val="single" w:color="auto" w:sz="8" w:space="0"/>
            </w:tcBorders>
            <w:noWrap w:val="0"/>
            <w:vAlign w:val="center"/>
          </w:tcPr>
          <w:p w14:paraId="15DDA144">
            <w:pPr>
              <w:spacing w:line="276" w:lineRule="auto"/>
              <w:ind w:left="139" w:hanging="139" w:hangingChars="66"/>
              <w:jc w:val="center"/>
              <w:rPr>
                <w:rFonts w:ascii="宋体" w:hAnsi="宋体"/>
                <w:b/>
                <w:highlight w:val="none"/>
              </w:rPr>
            </w:pPr>
            <w:r>
              <w:rPr>
                <w:rFonts w:hint="eastAsia" w:ascii="宋体" w:hAnsi="宋体"/>
                <w:b/>
                <w:highlight w:val="none"/>
              </w:rPr>
              <w:t>评标方法</w:t>
            </w:r>
          </w:p>
        </w:tc>
        <w:tc>
          <w:tcPr>
            <w:tcW w:w="2065" w:type="dxa"/>
            <w:tcBorders>
              <w:top w:val="single" w:color="auto" w:sz="8" w:space="0"/>
              <w:bottom w:val="single" w:color="auto" w:sz="4" w:space="0"/>
              <w:right w:val="single" w:color="auto" w:sz="4" w:space="0"/>
            </w:tcBorders>
            <w:noWrap w:val="0"/>
            <w:vAlign w:val="center"/>
          </w:tcPr>
          <w:p w14:paraId="02F4B7FC">
            <w:pPr>
              <w:spacing w:line="276" w:lineRule="auto"/>
              <w:jc w:val="center"/>
              <w:rPr>
                <w:rFonts w:ascii="宋体" w:hAnsi="宋体"/>
                <w:b/>
                <w:w w:val="99"/>
                <w:highlight w:val="none"/>
              </w:rPr>
            </w:pPr>
            <w:r>
              <w:rPr>
                <w:rFonts w:hint="eastAsia" w:ascii="宋体" w:hAnsi="宋体"/>
                <w:b/>
                <w:highlight w:val="none"/>
              </w:rPr>
              <w:t>中标候选人排序方法</w:t>
            </w:r>
          </w:p>
        </w:tc>
        <w:tc>
          <w:tcPr>
            <w:tcW w:w="5676" w:type="dxa"/>
            <w:tcBorders>
              <w:top w:val="single" w:color="auto" w:sz="8" w:space="0"/>
              <w:bottom w:val="single" w:color="auto" w:sz="4" w:space="0"/>
              <w:right w:val="single" w:color="auto" w:sz="4" w:space="0"/>
            </w:tcBorders>
            <w:noWrap w:val="0"/>
            <w:vAlign w:val="center"/>
          </w:tcPr>
          <w:p w14:paraId="250E4587">
            <w:pPr>
              <w:spacing w:line="276" w:lineRule="auto"/>
              <w:ind w:left="136" w:leftChars="65"/>
              <w:jc w:val="left"/>
              <w:rPr>
                <w:rFonts w:ascii="宋体" w:hAnsi="宋体"/>
                <w:b/>
                <w:w w:val="99"/>
                <w:highlight w:val="none"/>
              </w:rPr>
            </w:pPr>
            <w:r>
              <w:rPr>
                <w:rFonts w:ascii="宋体" w:hAnsi="宋体"/>
                <w:highlight w:val="none"/>
              </w:rPr>
              <w:t>本次评标采用综合评估法。评标委员会对满足招标文件实质性要求的投标文件，按照招标文件的评分标准进行打分，并按得分由高到低顺序推荐三名中标候选人。若综合评分相等时，以投标报价低的优先；若投标报价也相等的，以监理大纲得分高的优先；若监理大纲得分也相等，</w:t>
            </w:r>
            <w:r>
              <w:rPr>
                <w:rFonts w:hint="eastAsia" w:ascii="宋体" w:hAnsi="宋体" w:cs="宋体"/>
                <w:highlight w:val="none"/>
              </w:rPr>
              <w:t>则按评标委员会采用记名投票方式，以得票多的优先确定中标候选人的排序</w:t>
            </w:r>
            <w:r>
              <w:rPr>
                <w:rFonts w:ascii="宋体" w:hAnsi="宋体"/>
                <w:highlight w:val="none"/>
              </w:rPr>
              <w:t>。</w:t>
            </w:r>
          </w:p>
        </w:tc>
      </w:tr>
      <w:tr w14:paraId="14C81581">
        <w:tblPrEx>
          <w:tblCellMar>
            <w:top w:w="0" w:type="dxa"/>
            <w:left w:w="0" w:type="dxa"/>
            <w:bottom w:w="0" w:type="dxa"/>
            <w:right w:w="0" w:type="dxa"/>
          </w:tblCellMar>
        </w:tblPrEx>
        <w:trPr>
          <w:trHeight w:val="717" w:hRule="atLeast"/>
        </w:trPr>
        <w:tc>
          <w:tcPr>
            <w:tcW w:w="774" w:type="dxa"/>
            <w:vMerge w:val="restart"/>
            <w:tcBorders>
              <w:top w:val="single" w:color="auto" w:sz="4" w:space="0"/>
              <w:left w:val="single" w:color="auto" w:sz="8" w:space="0"/>
              <w:right w:val="single" w:color="auto" w:sz="8" w:space="0"/>
            </w:tcBorders>
            <w:noWrap w:val="0"/>
            <w:vAlign w:val="center"/>
          </w:tcPr>
          <w:p w14:paraId="48C9C9EF">
            <w:pPr>
              <w:spacing w:line="276" w:lineRule="auto"/>
              <w:jc w:val="center"/>
              <w:rPr>
                <w:rFonts w:hint="eastAsia" w:ascii="宋体" w:hAnsi="宋体"/>
                <w:highlight w:val="none"/>
              </w:rPr>
            </w:pPr>
            <w:r>
              <w:rPr>
                <w:rFonts w:hint="eastAsia" w:ascii="宋体" w:hAnsi="宋体"/>
                <w:highlight w:val="none"/>
              </w:rPr>
              <w:t>2.1.1</w:t>
            </w:r>
          </w:p>
        </w:tc>
        <w:tc>
          <w:tcPr>
            <w:tcW w:w="1134" w:type="dxa"/>
            <w:vMerge w:val="restart"/>
            <w:tcBorders>
              <w:top w:val="single" w:color="auto" w:sz="4" w:space="0"/>
              <w:right w:val="single" w:color="auto" w:sz="8" w:space="0"/>
            </w:tcBorders>
            <w:noWrap w:val="0"/>
            <w:vAlign w:val="center"/>
          </w:tcPr>
          <w:p w14:paraId="6D3A780A">
            <w:pPr>
              <w:spacing w:line="276" w:lineRule="auto"/>
              <w:jc w:val="center"/>
              <w:rPr>
                <w:rFonts w:hint="eastAsia" w:ascii="宋体" w:hAnsi="宋体"/>
                <w:highlight w:val="none"/>
              </w:rPr>
            </w:pPr>
            <w:r>
              <w:rPr>
                <w:rFonts w:hint="eastAsia" w:ascii="宋体" w:hAnsi="宋体"/>
                <w:highlight w:val="none"/>
              </w:rPr>
              <w:t>形式评审</w:t>
            </w:r>
          </w:p>
          <w:p w14:paraId="530E2356">
            <w:pPr>
              <w:spacing w:line="276" w:lineRule="auto"/>
              <w:jc w:val="center"/>
              <w:rPr>
                <w:rFonts w:hint="eastAsia" w:ascii="宋体" w:hAnsi="宋体"/>
                <w:highlight w:val="none"/>
              </w:rPr>
            </w:pPr>
            <w:r>
              <w:rPr>
                <w:rFonts w:hint="eastAsia" w:ascii="宋体" w:hAnsi="宋体"/>
                <w:highlight w:val="none"/>
              </w:rPr>
              <w:t>标准</w:t>
            </w:r>
          </w:p>
        </w:tc>
        <w:tc>
          <w:tcPr>
            <w:tcW w:w="2065" w:type="dxa"/>
            <w:tcBorders>
              <w:top w:val="single" w:color="auto" w:sz="4" w:space="0"/>
              <w:right w:val="single" w:color="auto" w:sz="4" w:space="0"/>
            </w:tcBorders>
            <w:noWrap w:val="0"/>
            <w:vAlign w:val="center"/>
          </w:tcPr>
          <w:p w14:paraId="1CB28CA3">
            <w:pPr>
              <w:spacing w:line="276" w:lineRule="auto"/>
              <w:jc w:val="center"/>
              <w:rPr>
                <w:rFonts w:ascii="宋体" w:hAnsi="宋体"/>
                <w:highlight w:val="none"/>
              </w:rPr>
            </w:pPr>
            <w:r>
              <w:rPr>
                <w:rFonts w:ascii="宋体" w:hAnsi="宋体"/>
                <w:highlight w:val="none"/>
              </w:rPr>
              <w:t>投标人名称</w:t>
            </w:r>
          </w:p>
        </w:tc>
        <w:tc>
          <w:tcPr>
            <w:tcW w:w="5676" w:type="dxa"/>
            <w:tcBorders>
              <w:top w:val="single" w:color="auto" w:sz="4" w:space="0"/>
              <w:left w:val="single" w:color="auto" w:sz="4" w:space="0"/>
              <w:right w:val="single" w:color="auto" w:sz="8" w:space="0"/>
            </w:tcBorders>
            <w:noWrap w:val="0"/>
            <w:vAlign w:val="center"/>
          </w:tcPr>
          <w:p w14:paraId="36EA6FD8">
            <w:pPr>
              <w:spacing w:line="276" w:lineRule="auto"/>
              <w:jc w:val="left"/>
              <w:rPr>
                <w:rFonts w:ascii="宋体" w:hAnsi="宋体"/>
                <w:highlight w:val="none"/>
              </w:rPr>
            </w:pPr>
            <w:r>
              <w:rPr>
                <w:rFonts w:ascii="宋体" w:hAnsi="宋体"/>
                <w:highlight w:val="none"/>
              </w:rPr>
              <w:t>与营业执照、资质证书一致</w:t>
            </w:r>
          </w:p>
        </w:tc>
      </w:tr>
      <w:tr w14:paraId="5B6C4CAD">
        <w:tblPrEx>
          <w:tblCellMar>
            <w:top w:w="0" w:type="dxa"/>
            <w:left w:w="0" w:type="dxa"/>
            <w:bottom w:w="0" w:type="dxa"/>
            <w:right w:w="0" w:type="dxa"/>
          </w:tblCellMar>
        </w:tblPrEx>
        <w:trPr>
          <w:trHeight w:val="1883" w:hRule="atLeast"/>
        </w:trPr>
        <w:tc>
          <w:tcPr>
            <w:tcW w:w="774" w:type="dxa"/>
            <w:vMerge w:val="continue"/>
            <w:tcBorders>
              <w:left w:val="single" w:color="auto" w:sz="8" w:space="0"/>
              <w:right w:val="single" w:color="auto" w:sz="8" w:space="0"/>
            </w:tcBorders>
            <w:noWrap w:val="0"/>
            <w:vAlign w:val="bottom"/>
          </w:tcPr>
          <w:p w14:paraId="6A019ADF">
            <w:pPr>
              <w:spacing w:line="276" w:lineRule="auto"/>
              <w:jc w:val="center"/>
              <w:rPr>
                <w:rFonts w:hint="eastAsia" w:ascii="宋体" w:hAnsi="宋体"/>
                <w:highlight w:val="none"/>
              </w:rPr>
            </w:pPr>
          </w:p>
        </w:tc>
        <w:tc>
          <w:tcPr>
            <w:tcW w:w="1134" w:type="dxa"/>
            <w:vMerge w:val="continue"/>
            <w:tcBorders>
              <w:right w:val="single" w:color="auto" w:sz="8" w:space="0"/>
            </w:tcBorders>
            <w:noWrap w:val="0"/>
            <w:vAlign w:val="bottom"/>
          </w:tcPr>
          <w:p w14:paraId="397FDF48">
            <w:pPr>
              <w:spacing w:line="276" w:lineRule="auto"/>
              <w:rPr>
                <w:rFonts w:ascii="宋体" w:hAnsi="宋体"/>
                <w:highlight w:val="none"/>
              </w:rPr>
            </w:pPr>
          </w:p>
        </w:tc>
        <w:tc>
          <w:tcPr>
            <w:tcW w:w="2065" w:type="dxa"/>
            <w:tcBorders>
              <w:top w:val="single" w:color="auto" w:sz="4" w:space="0"/>
              <w:right w:val="single" w:color="auto" w:sz="4" w:space="0"/>
            </w:tcBorders>
            <w:noWrap w:val="0"/>
            <w:vAlign w:val="center"/>
          </w:tcPr>
          <w:p w14:paraId="0CBF21F2">
            <w:pPr>
              <w:spacing w:line="276" w:lineRule="auto"/>
              <w:jc w:val="center"/>
              <w:rPr>
                <w:rFonts w:hint="eastAsia" w:ascii="宋体" w:hAnsi="宋体"/>
                <w:highlight w:val="none"/>
              </w:rPr>
            </w:pPr>
            <w:r>
              <w:rPr>
                <w:rFonts w:ascii="宋体" w:hAnsi="宋体"/>
                <w:highlight w:val="none"/>
              </w:rPr>
              <w:t>投标函及投标函附录签字盖章</w:t>
            </w:r>
          </w:p>
        </w:tc>
        <w:tc>
          <w:tcPr>
            <w:tcW w:w="5676" w:type="dxa"/>
            <w:tcBorders>
              <w:top w:val="single" w:color="auto" w:sz="4" w:space="0"/>
              <w:left w:val="single" w:color="auto" w:sz="4" w:space="0"/>
              <w:right w:val="single" w:color="auto" w:sz="8" w:space="0"/>
            </w:tcBorders>
            <w:noWrap w:val="0"/>
            <w:vAlign w:val="center"/>
          </w:tcPr>
          <w:p w14:paraId="29387DD8">
            <w:pPr>
              <w:spacing w:line="300" w:lineRule="auto"/>
              <w:ind w:left="136" w:leftChars="65"/>
              <w:rPr>
                <w:rFonts w:hint="eastAsia" w:ascii="宋体" w:hAnsi="宋体"/>
                <w:highlight w:val="none"/>
              </w:rPr>
            </w:pPr>
            <w:r>
              <w:rPr>
                <w:rFonts w:hint="eastAsia" w:ascii="宋体" w:hAnsi="宋体"/>
                <w:highlight w:val="none"/>
              </w:rPr>
              <w:t>1.投标人应使用依法设立的电子认证服务机构签发的电子签名认证证书对电子投标文件进行电子签名及电子签章。该电子签名及电子签章与手写签名或者盖章具有同等的法律效力。</w:t>
            </w:r>
          </w:p>
          <w:p w14:paraId="102782EB">
            <w:pPr>
              <w:spacing w:line="300" w:lineRule="auto"/>
              <w:ind w:left="136" w:leftChars="65"/>
              <w:rPr>
                <w:rFonts w:hint="eastAsia" w:ascii="宋体" w:hAnsi="宋体"/>
                <w:highlight w:val="none"/>
              </w:rPr>
            </w:pPr>
            <w:r>
              <w:rPr>
                <w:rFonts w:hint="eastAsia" w:ascii="宋体" w:hAnsi="宋体"/>
                <w:highlight w:val="none"/>
              </w:rPr>
              <w:t>2. 投标文件中须完成盖章签名后扫描上传的部分，应按以下要求盖章签字后扫描上传：</w:t>
            </w:r>
          </w:p>
          <w:p w14:paraId="54F9EC33">
            <w:pPr>
              <w:spacing w:line="300" w:lineRule="auto"/>
              <w:ind w:left="136" w:leftChars="65"/>
              <w:rPr>
                <w:rFonts w:hint="eastAsia" w:ascii="宋体" w:hAnsi="宋体"/>
                <w:highlight w:val="none"/>
              </w:rPr>
            </w:pPr>
            <w:r>
              <w:rPr>
                <w:rFonts w:hint="eastAsia" w:ascii="宋体" w:hAnsi="宋体"/>
                <w:highlight w:val="none"/>
              </w:rPr>
              <w:t>（1）投标文件格式规定盖单位章的地方必须盖单位章或电子签章。</w:t>
            </w:r>
          </w:p>
          <w:p w14:paraId="7FBD4397">
            <w:pPr>
              <w:spacing w:line="300" w:lineRule="auto"/>
              <w:ind w:left="136" w:leftChars="65"/>
              <w:rPr>
                <w:rFonts w:hint="eastAsia" w:ascii="宋体" w:hAnsi="宋体"/>
                <w:highlight w:val="none"/>
              </w:rPr>
            </w:pPr>
            <w:r>
              <w:rPr>
                <w:rFonts w:hint="eastAsia" w:ascii="宋体" w:hAnsi="宋体"/>
                <w:highlight w:val="none"/>
              </w:rPr>
              <w:t>（2）投标文件格式规定签章的地方必须手写姓名或盖私章，由法定代表人签字的，应附法定代表人（单位负责人）身份证明，由代理人签字的，应附法定代表人（单位负责人）身份证明和授权委托</w:t>
            </w:r>
            <w:r>
              <w:rPr>
                <w:rFonts w:hint="eastAsia" w:ascii="宋体" w:hAnsi="宋体"/>
                <w:highlight w:val="none"/>
                <w:lang w:eastAsia="zh-CN"/>
              </w:rPr>
              <w:t>证明</w:t>
            </w:r>
            <w:r>
              <w:rPr>
                <w:rFonts w:hint="eastAsia" w:ascii="宋体" w:hAnsi="宋体"/>
                <w:highlight w:val="none"/>
              </w:rPr>
              <w:t>书。法定代表人（单位负责人）身份证明和授权委托</w:t>
            </w:r>
            <w:r>
              <w:rPr>
                <w:rFonts w:hint="eastAsia" w:ascii="宋体" w:hAnsi="宋体"/>
                <w:highlight w:val="none"/>
                <w:lang w:eastAsia="zh-CN"/>
              </w:rPr>
              <w:t>证明</w:t>
            </w:r>
            <w:r>
              <w:rPr>
                <w:rFonts w:hint="eastAsia" w:ascii="宋体" w:hAnsi="宋体"/>
                <w:highlight w:val="none"/>
              </w:rPr>
              <w:t>书应符合“第六章 投标文件格式”的规定。</w:t>
            </w:r>
          </w:p>
        </w:tc>
      </w:tr>
      <w:tr w14:paraId="65FACB18">
        <w:tblPrEx>
          <w:tblCellMar>
            <w:top w:w="0" w:type="dxa"/>
            <w:left w:w="0" w:type="dxa"/>
            <w:bottom w:w="0" w:type="dxa"/>
            <w:right w:w="0" w:type="dxa"/>
          </w:tblCellMar>
        </w:tblPrEx>
        <w:trPr>
          <w:trHeight w:val="778" w:hRule="atLeast"/>
        </w:trPr>
        <w:tc>
          <w:tcPr>
            <w:tcW w:w="774" w:type="dxa"/>
            <w:vMerge w:val="continue"/>
            <w:tcBorders>
              <w:left w:val="single" w:color="auto" w:sz="8" w:space="0"/>
              <w:right w:val="single" w:color="auto" w:sz="8" w:space="0"/>
            </w:tcBorders>
            <w:noWrap w:val="0"/>
            <w:vAlign w:val="bottom"/>
          </w:tcPr>
          <w:p w14:paraId="509ADE78">
            <w:pPr>
              <w:spacing w:line="276" w:lineRule="auto"/>
              <w:jc w:val="center"/>
              <w:rPr>
                <w:rFonts w:hint="eastAsia" w:ascii="宋体" w:hAnsi="宋体"/>
                <w:highlight w:val="none"/>
              </w:rPr>
            </w:pPr>
          </w:p>
        </w:tc>
        <w:tc>
          <w:tcPr>
            <w:tcW w:w="1134" w:type="dxa"/>
            <w:vMerge w:val="continue"/>
            <w:tcBorders>
              <w:right w:val="single" w:color="auto" w:sz="8" w:space="0"/>
            </w:tcBorders>
            <w:noWrap w:val="0"/>
            <w:vAlign w:val="bottom"/>
          </w:tcPr>
          <w:p w14:paraId="0EE32A4D">
            <w:pPr>
              <w:spacing w:line="276" w:lineRule="auto"/>
              <w:rPr>
                <w:rFonts w:ascii="宋体" w:hAnsi="宋体"/>
                <w:highlight w:val="none"/>
              </w:rPr>
            </w:pPr>
          </w:p>
        </w:tc>
        <w:tc>
          <w:tcPr>
            <w:tcW w:w="2065" w:type="dxa"/>
            <w:tcBorders>
              <w:top w:val="single" w:color="auto" w:sz="4" w:space="0"/>
              <w:right w:val="single" w:color="auto" w:sz="4" w:space="0"/>
            </w:tcBorders>
            <w:noWrap w:val="0"/>
            <w:vAlign w:val="center"/>
          </w:tcPr>
          <w:p w14:paraId="01A8FCCE">
            <w:pPr>
              <w:spacing w:line="276" w:lineRule="auto"/>
              <w:jc w:val="center"/>
              <w:rPr>
                <w:rFonts w:ascii="宋体" w:hAnsi="宋体"/>
                <w:w w:val="99"/>
                <w:highlight w:val="none"/>
              </w:rPr>
            </w:pPr>
            <w:r>
              <w:rPr>
                <w:rFonts w:ascii="宋体" w:hAnsi="宋体"/>
                <w:highlight w:val="none"/>
              </w:rPr>
              <w:t>投标文件格式</w:t>
            </w:r>
          </w:p>
        </w:tc>
        <w:tc>
          <w:tcPr>
            <w:tcW w:w="5676" w:type="dxa"/>
            <w:tcBorders>
              <w:top w:val="single" w:color="auto" w:sz="4" w:space="0"/>
              <w:left w:val="single" w:color="auto" w:sz="4" w:space="0"/>
              <w:right w:val="single" w:color="auto" w:sz="8" w:space="0"/>
            </w:tcBorders>
            <w:noWrap w:val="0"/>
            <w:vAlign w:val="center"/>
          </w:tcPr>
          <w:p w14:paraId="2C9B398E">
            <w:pPr>
              <w:spacing w:line="276" w:lineRule="auto"/>
              <w:ind w:left="136" w:leftChars="65"/>
              <w:rPr>
                <w:rFonts w:ascii="宋体" w:hAnsi="宋体"/>
                <w:highlight w:val="none"/>
              </w:rPr>
            </w:pPr>
            <w:r>
              <w:rPr>
                <w:rFonts w:ascii="宋体" w:hAnsi="宋体"/>
                <w:highlight w:val="none"/>
              </w:rPr>
              <w:t>符合第六章“投标文件格式”的规定</w:t>
            </w:r>
          </w:p>
        </w:tc>
      </w:tr>
      <w:tr w14:paraId="04615A25">
        <w:tblPrEx>
          <w:tblCellMar>
            <w:top w:w="0" w:type="dxa"/>
            <w:left w:w="0" w:type="dxa"/>
            <w:bottom w:w="0" w:type="dxa"/>
            <w:right w:w="0" w:type="dxa"/>
          </w:tblCellMar>
        </w:tblPrEx>
        <w:trPr>
          <w:trHeight w:val="778" w:hRule="atLeast"/>
        </w:trPr>
        <w:tc>
          <w:tcPr>
            <w:tcW w:w="774" w:type="dxa"/>
            <w:vMerge w:val="continue"/>
            <w:tcBorders>
              <w:left w:val="single" w:color="auto" w:sz="8" w:space="0"/>
              <w:right w:val="single" w:color="auto" w:sz="8" w:space="0"/>
            </w:tcBorders>
            <w:noWrap w:val="0"/>
            <w:vAlign w:val="bottom"/>
          </w:tcPr>
          <w:p w14:paraId="505AEBD8">
            <w:pPr>
              <w:spacing w:line="276" w:lineRule="auto"/>
              <w:jc w:val="center"/>
              <w:rPr>
                <w:rFonts w:hint="eastAsia" w:ascii="宋体" w:hAnsi="宋体"/>
                <w:highlight w:val="none"/>
              </w:rPr>
            </w:pPr>
          </w:p>
        </w:tc>
        <w:tc>
          <w:tcPr>
            <w:tcW w:w="1134" w:type="dxa"/>
            <w:vMerge w:val="continue"/>
            <w:tcBorders>
              <w:right w:val="single" w:color="auto" w:sz="8" w:space="0"/>
            </w:tcBorders>
            <w:noWrap w:val="0"/>
            <w:vAlign w:val="bottom"/>
          </w:tcPr>
          <w:p w14:paraId="75080CD9">
            <w:pPr>
              <w:spacing w:line="276" w:lineRule="auto"/>
              <w:rPr>
                <w:rFonts w:ascii="宋体" w:hAnsi="宋体"/>
                <w:highlight w:val="none"/>
              </w:rPr>
            </w:pPr>
          </w:p>
        </w:tc>
        <w:tc>
          <w:tcPr>
            <w:tcW w:w="2065" w:type="dxa"/>
            <w:tcBorders>
              <w:top w:val="single" w:color="auto" w:sz="4" w:space="0"/>
              <w:right w:val="single" w:color="auto" w:sz="4" w:space="0"/>
            </w:tcBorders>
            <w:noWrap w:val="0"/>
            <w:vAlign w:val="center"/>
          </w:tcPr>
          <w:p w14:paraId="538B1119">
            <w:pPr>
              <w:spacing w:line="276" w:lineRule="auto"/>
              <w:jc w:val="center"/>
              <w:rPr>
                <w:rFonts w:ascii="宋体" w:hAnsi="宋体"/>
                <w:highlight w:val="none"/>
              </w:rPr>
            </w:pPr>
            <w:r>
              <w:rPr>
                <w:rFonts w:hint="eastAsia" w:ascii="宋体" w:hAnsi="宋体"/>
                <w:highlight w:val="none"/>
              </w:rPr>
              <w:t>联合体投标人</w:t>
            </w:r>
          </w:p>
        </w:tc>
        <w:tc>
          <w:tcPr>
            <w:tcW w:w="5676" w:type="dxa"/>
            <w:tcBorders>
              <w:top w:val="single" w:color="auto" w:sz="4" w:space="0"/>
              <w:left w:val="single" w:color="auto" w:sz="4" w:space="0"/>
              <w:right w:val="single" w:color="auto" w:sz="8" w:space="0"/>
            </w:tcBorders>
            <w:noWrap w:val="0"/>
            <w:vAlign w:val="center"/>
          </w:tcPr>
          <w:p w14:paraId="4543761E">
            <w:pPr>
              <w:spacing w:line="276" w:lineRule="auto"/>
              <w:ind w:left="136" w:leftChars="65"/>
              <w:rPr>
                <w:rFonts w:hint="eastAsia" w:ascii="宋体" w:hAnsi="宋体"/>
                <w:highlight w:val="none"/>
              </w:rPr>
            </w:pPr>
            <w:r>
              <w:rPr>
                <w:rFonts w:hint="eastAsia" w:ascii="宋体" w:hAnsi="宋体"/>
                <w:highlight w:val="none"/>
              </w:rPr>
              <w:t>本项目不接受联合体投标</w:t>
            </w:r>
          </w:p>
        </w:tc>
      </w:tr>
      <w:tr w14:paraId="548A1744">
        <w:tblPrEx>
          <w:tblCellMar>
            <w:top w:w="0" w:type="dxa"/>
            <w:left w:w="0" w:type="dxa"/>
            <w:bottom w:w="0" w:type="dxa"/>
            <w:right w:w="0" w:type="dxa"/>
          </w:tblCellMar>
        </w:tblPrEx>
        <w:trPr>
          <w:trHeight w:val="454" w:hRule="atLeast"/>
        </w:trPr>
        <w:tc>
          <w:tcPr>
            <w:tcW w:w="774" w:type="dxa"/>
            <w:vMerge w:val="continue"/>
            <w:tcBorders>
              <w:left w:val="single" w:color="auto" w:sz="8" w:space="0"/>
              <w:right w:val="single" w:color="auto" w:sz="8" w:space="0"/>
            </w:tcBorders>
            <w:noWrap w:val="0"/>
            <w:vAlign w:val="bottom"/>
          </w:tcPr>
          <w:p w14:paraId="0BAF65D7">
            <w:pPr>
              <w:spacing w:line="276" w:lineRule="auto"/>
              <w:jc w:val="center"/>
              <w:rPr>
                <w:rFonts w:hint="eastAsia" w:ascii="宋体" w:hAnsi="宋体"/>
                <w:highlight w:val="none"/>
              </w:rPr>
            </w:pPr>
          </w:p>
        </w:tc>
        <w:tc>
          <w:tcPr>
            <w:tcW w:w="1134" w:type="dxa"/>
            <w:vMerge w:val="continue"/>
            <w:tcBorders>
              <w:right w:val="single" w:color="auto" w:sz="8" w:space="0"/>
            </w:tcBorders>
            <w:noWrap w:val="0"/>
            <w:vAlign w:val="bottom"/>
          </w:tcPr>
          <w:p w14:paraId="1E61DFBE">
            <w:pPr>
              <w:spacing w:line="276" w:lineRule="auto"/>
              <w:rPr>
                <w:rFonts w:ascii="宋体" w:hAnsi="宋体"/>
                <w:highlight w:val="none"/>
              </w:rPr>
            </w:pPr>
          </w:p>
        </w:tc>
        <w:tc>
          <w:tcPr>
            <w:tcW w:w="2065" w:type="dxa"/>
            <w:tcBorders>
              <w:top w:val="single" w:color="auto" w:sz="4" w:space="0"/>
              <w:bottom w:val="single" w:color="auto" w:sz="4" w:space="0"/>
              <w:right w:val="single" w:color="auto" w:sz="4" w:space="0"/>
            </w:tcBorders>
            <w:noWrap w:val="0"/>
            <w:vAlign w:val="center"/>
          </w:tcPr>
          <w:p w14:paraId="79EA31CD">
            <w:pPr>
              <w:spacing w:line="276" w:lineRule="auto"/>
              <w:jc w:val="center"/>
              <w:rPr>
                <w:rFonts w:ascii="宋体" w:hAnsi="宋体"/>
                <w:w w:val="99"/>
                <w:highlight w:val="none"/>
              </w:rPr>
            </w:pPr>
            <w:r>
              <w:rPr>
                <w:rFonts w:hint="eastAsia" w:ascii="宋体" w:hAnsi="宋体"/>
                <w:highlight w:val="none"/>
              </w:rPr>
              <w:t>投标人机器码</w:t>
            </w:r>
          </w:p>
        </w:tc>
        <w:tc>
          <w:tcPr>
            <w:tcW w:w="5676" w:type="dxa"/>
            <w:tcBorders>
              <w:top w:val="single" w:color="auto" w:sz="4" w:space="0"/>
              <w:left w:val="single" w:color="auto" w:sz="4" w:space="0"/>
              <w:bottom w:val="single" w:color="auto" w:sz="4" w:space="0"/>
              <w:right w:val="single" w:color="auto" w:sz="8" w:space="0"/>
            </w:tcBorders>
            <w:noWrap w:val="0"/>
            <w:vAlign w:val="center"/>
          </w:tcPr>
          <w:p w14:paraId="41338311">
            <w:pPr>
              <w:spacing w:line="276" w:lineRule="auto"/>
              <w:ind w:left="136" w:leftChars="65"/>
              <w:rPr>
                <w:rFonts w:ascii="宋体" w:hAnsi="宋体"/>
                <w:highlight w:val="none"/>
              </w:rPr>
            </w:pPr>
            <w:r>
              <w:rPr>
                <w:rFonts w:hint="eastAsia" w:ascii="宋体" w:hAnsi="宋体"/>
                <w:highlight w:val="none"/>
              </w:rPr>
              <w:t>不同投标人机器码相同，视为不合格（以广州公共资源交易中心评标系统的检索信息为准）</w:t>
            </w:r>
          </w:p>
        </w:tc>
      </w:tr>
      <w:tr w14:paraId="4183C0BC">
        <w:tblPrEx>
          <w:tblCellMar>
            <w:top w:w="0" w:type="dxa"/>
            <w:left w:w="0" w:type="dxa"/>
            <w:bottom w:w="0" w:type="dxa"/>
            <w:right w:w="0" w:type="dxa"/>
          </w:tblCellMar>
        </w:tblPrEx>
        <w:trPr>
          <w:trHeight w:val="454" w:hRule="atLeast"/>
        </w:trPr>
        <w:tc>
          <w:tcPr>
            <w:tcW w:w="774" w:type="dxa"/>
            <w:tcBorders>
              <w:left w:val="single" w:color="auto" w:sz="8" w:space="0"/>
              <w:right w:val="single" w:color="auto" w:sz="8" w:space="0"/>
            </w:tcBorders>
            <w:noWrap w:val="0"/>
            <w:vAlign w:val="bottom"/>
          </w:tcPr>
          <w:p w14:paraId="29E5191C">
            <w:pPr>
              <w:spacing w:line="276" w:lineRule="auto"/>
              <w:jc w:val="center"/>
              <w:rPr>
                <w:rFonts w:hint="eastAsia" w:ascii="宋体" w:hAnsi="宋体"/>
                <w:highlight w:val="none"/>
              </w:rPr>
            </w:pPr>
          </w:p>
        </w:tc>
        <w:tc>
          <w:tcPr>
            <w:tcW w:w="1134" w:type="dxa"/>
            <w:tcBorders>
              <w:right w:val="single" w:color="auto" w:sz="8" w:space="0"/>
            </w:tcBorders>
            <w:noWrap w:val="0"/>
            <w:vAlign w:val="bottom"/>
          </w:tcPr>
          <w:p w14:paraId="72A9BCFC">
            <w:pPr>
              <w:spacing w:line="276" w:lineRule="auto"/>
              <w:rPr>
                <w:rFonts w:ascii="宋体" w:hAnsi="宋体"/>
                <w:highlight w:val="none"/>
              </w:rPr>
            </w:pPr>
          </w:p>
        </w:tc>
        <w:tc>
          <w:tcPr>
            <w:tcW w:w="2065" w:type="dxa"/>
            <w:tcBorders>
              <w:top w:val="single" w:color="auto" w:sz="4" w:space="0"/>
              <w:bottom w:val="single" w:color="auto" w:sz="4" w:space="0"/>
              <w:right w:val="single" w:color="auto" w:sz="4" w:space="0"/>
            </w:tcBorders>
            <w:noWrap w:val="0"/>
            <w:vAlign w:val="center"/>
          </w:tcPr>
          <w:p w14:paraId="396F4886">
            <w:pPr>
              <w:spacing w:line="276" w:lineRule="auto"/>
              <w:jc w:val="center"/>
              <w:rPr>
                <w:rFonts w:hint="eastAsia" w:ascii="宋体" w:hAnsi="宋体"/>
                <w:highlight w:val="none"/>
              </w:rPr>
            </w:pPr>
            <w:r>
              <w:rPr>
                <w:rFonts w:hint="eastAsia" w:ascii="宋体" w:hAnsi="宋体"/>
                <w:highlight w:val="none"/>
              </w:rPr>
              <w:t>备选投标方案</w:t>
            </w:r>
          </w:p>
        </w:tc>
        <w:tc>
          <w:tcPr>
            <w:tcW w:w="5676" w:type="dxa"/>
            <w:tcBorders>
              <w:top w:val="single" w:color="auto" w:sz="4" w:space="0"/>
              <w:left w:val="single" w:color="auto" w:sz="4" w:space="0"/>
              <w:bottom w:val="single" w:color="auto" w:sz="4" w:space="0"/>
              <w:right w:val="single" w:color="auto" w:sz="8" w:space="0"/>
            </w:tcBorders>
            <w:noWrap w:val="0"/>
            <w:vAlign w:val="center"/>
          </w:tcPr>
          <w:p w14:paraId="07EFDDC1">
            <w:pPr>
              <w:spacing w:line="276" w:lineRule="auto"/>
              <w:ind w:left="136" w:leftChars="65"/>
              <w:rPr>
                <w:rFonts w:hint="eastAsia" w:ascii="宋体" w:hAnsi="宋体"/>
                <w:highlight w:val="none"/>
              </w:rPr>
            </w:pPr>
            <w:r>
              <w:rPr>
                <w:rFonts w:hint="eastAsia" w:ascii="宋体" w:hAnsi="宋体"/>
                <w:highlight w:val="none"/>
              </w:rPr>
              <w:t>不允许</w:t>
            </w:r>
          </w:p>
        </w:tc>
      </w:tr>
      <w:tr w14:paraId="3F3D9B45">
        <w:tblPrEx>
          <w:tblCellMar>
            <w:top w:w="0" w:type="dxa"/>
            <w:left w:w="0" w:type="dxa"/>
            <w:bottom w:w="0" w:type="dxa"/>
            <w:right w:w="0" w:type="dxa"/>
          </w:tblCellMar>
        </w:tblPrEx>
        <w:trPr>
          <w:trHeight w:val="387" w:hRule="atLeast"/>
        </w:trPr>
        <w:tc>
          <w:tcPr>
            <w:tcW w:w="774" w:type="dxa"/>
            <w:vMerge w:val="restart"/>
            <w:tcBorders>
              <w:top w:val="single" w:color="auto" w:sz="4" w:space="0"/>
              <w:left w:val="single" w:color="auto" w:sz="8" w:space="0"/>
              <w:right w:val="single" w:color="auto" w:sz="8" w:space="0"/>
            </w:tcBorders>
            <w:noWrap w:val="0"/>
            <w:vAlign w:val="center"/>
          </w:tcPr>
          <w:p w14:paraId="3E2A515B">
            <w:pPr>
              <w:spacing w:line="276" w:lineRule="auto"/>
              <w:jc w:val="center"/>
              <w:rPr>
                <w:rFonts w:hint="eastAsia" w:ascii="宋体" w:hAnsi="宋体"/>
                <w:highlight w:val="none"/>
              </w:rPr>
            </w:pPr>
            <w:r>
              <w:rPr>
                <w:rFonts w:hint="eastAsia" w:ascii="宋体" w:hAnsi="宋体"/>
                <w:highlight w:val="none"/>
              </w:rPr>
              <w:t>2.1.2</w:t>
            </w:r>
          </w:p>
        </w:tc>
        <w:tc>
          <w:tcPr>
            <w:tcW w:w="1134" w:type="dxa"/>
            <w:vMerge w:val="restart"/>
            <w:tcBorders>
              <w:top w:val="single" w:color="auto" w:sz="4" w:space="0"/>
              <w:right w:val="single" w:color="auto" w:sz="8" w:space="0"/>
            </w:tcBorders>
            <w:noWrap w:val="0"/>
            <w:vAlign w:val="center"/>
          </w:tcPr>
          <w:p w14:paraId="4B72B079">
            <w:pPr>
              <w:spacing w:line="276" w:lineRule="auto"/>
              <w:rPr>
                <w:rFonts w:hint="eastAsia" w:ascii="宋体" w:hAnsi="宋体"/>
                <w:highlight w:val="none"/>
              </w:rPr>
            </w:pPr>
            <w:r>
              <w:rPr>
                <w:rFonts w:hint="eastAsia" w:ascii="宋体" w:hAnsi="宋体"/>
                <w:highlight w:val="none"/>
              </w:rPr>
              <w:t>资格评审标准</w:t>
            </w:r>
          </w:p>
        </w:tc>
        <w:tc>
          <w:tcPr>
            <w:tcW w:w="2065" w:type="dxa"/>
            <w:tcBorders>
              <w:bottom w:val="single" w:color="auto" w:sz="4" w:space="0"/>
              <w:right w:val="single" w:color="auto" w:sz="4" w:space="0"/>
            </w:tcBorders>
            <w:noWrap w:val="0"/>
            <w:vAlign w:val="center"/>
          </w:tcPr>
          <w:p w14:paraId="0100FC3B">
            <w:pPr>
              <w:snapToGrid w:val="0"/>
              <w:spacing w:line="276" w:lineRule="auto"/>
              <w:jc w:val="center"/>
              <w:rPr>
                <w:rFonts w:hint="eastAsia" w:ascii="宋体" w:hAnsi="宋体"/>
                <w:highlight w:val="none"/>
              </w:rPr>
            </w:pPr>
            <w:r>
              <w:rPr>
                <w:rFonts w:hint="eastAsia" w:ascii="宋体" w:hAnsi="宋体"/>
                <w:highlight w:val="none"/>
              </w:rPr>
              <w:t>营业执照和组织机构代码证</w:t>
            </w:r>
          </w:p>
        </w:tc>
        <w:tc>
          <w:tcPr>
            <w:tcW w:w="5676" w:type="dxa"/>
            <w:tcBorders>
              <w:left w:val="single" w:color="auto" w:sz="4" w:space="0"/>
              <w:bottom w:val="single" w:color="auto" w:sz="4" w:space="0"/>
              <w:right w:val="single" w:color="auto" w:sz="8" w:space="0"/>
            </w:tcBorders>
            <w:noWrap w:val="0"/>
            <w:vAlign w:val="center"/>
          </w:tcPr>
          <w:p w14:paraId="52050404">
            <w:pPr>
              <w:snapToGrid w:val="0"/>
              <w:spacing w:line="300" w:lineRule="auto"/>
              <w:ind w:left="136" w:leftChars="65"/>
              <w:rPr>
                <w:rFonts w:hint="eastAsia" w:ascii="宋体" w:hAnsi="宋体"/>
                <w:highlight w:val="none"/>
              </w:rPr>
            </w:pPr>
            <w:r>
              <w:rPr>
                <w:rFonts w:ascii="宋体" w:hAnsi="宋体"/>
                <w:highlight w:val="none"/>
              </w:rPr>
              <w:t>符合第二章“投标人须知”第 3.5.1 项规定</w:t>
            </w:r>
          </w:p>
        </w:tc>
      </w:tr>
      <w:tr w14:paraId="7EC88F3B">
        <w:tblPrEx>
          <w:tblCellMar>
            <w:top w:w="0" w:type="dxa"/>
            <w:left w:w="0" w:type="dxa"/>
            <w:bottom w:w="0" w:type="dxa"/>
            <w:right w:w="0" w:type="dxa"/>
          </w:tblCellMar>
        </w:tblPrEx>
        <w:trPr>
          <w:trHeight w:val="454" w:hRule="atLeast"/>
        </w:trPr>
        <w:tc>
          <w:tcPr>
            <w:tcW w:w="774" w:type="dxa"/>
            <w:vMerge w:val="continue"/>
            <w:tcBorders>
              <w:left w:val="single" w:color="auto" w:sz="8" w:space="0"/>
              <w:right w:val="single" w:color="auto" w:sz="8" w:space="0"/>
            </w:tcBorders>
            <w:noWrap w:val="0"/>
            <w:vAlign w:val="bottom"/>
          </w:tcPr>
          <w:p w14:paraId="4059D661">
            <w:pPr>
              <w:spacing w:line="276" w:lineRule="auto"/>
              <w:rPr>
                <w:rFonts w:ascii="宋体" w:hAnsi="宋体"/>
                <w:highlight w:val="none"/>
              </w:rPr>
            </w:pPr>
          </w:p>
        </w:tc>
        <w:tc>
          <w:tcPr>
            <w:tcW w:w="1134" w:type="dxa"/>
            <w:vMerge w:val="continue"/>
            <w:tcBorders>
              <w:right w:val="single" w:color="auto" w:sz="8" w:space="0"/>
            </w:tcBorders>
            <w:noWrap w:val="0"/>
            <w:vAlign w:val="bottom"/>
          </w:tcPr>
          <w:p w14:paraId="761CD7FB">
            <w:pPr>
              <w:spacing w:line="276" w:lineRule="auto"/>
              <w:rPr>
                <w:rFonts w:ascii="宋体" w:hAnsi="宋体"/>
                <w:highlight w:val="none"/>
              </w:rPr>
            </w:pPr>
          </w:p>
        </w:tc>
        <w:tc>
          <w:tcPr>
            <w:tcW w:w="2065" w:type="dxa"/>
            <w:tcBorders>
              <w:top w:val="single" w:color="auto" w:sz="4" w:space="0"/>
              <w:bottom w:val="single" w:color="auto" w:sz="4" w:space="0"/>
              <w:right w:val="single" w:color="auto" w:sz="4" w:space="0"/>
            </w:tcBorders>
            <w:noWrap w:val="0"/>
            <w:vAlign w:val="center"/>
          </w:tcPr>
          <w:p w14:paraId="5DA68077">
            <w:pPr>
              <w:spacing w:line="276" w:lineRule="auto"/>
              <w:jc w:val="center"/>
              <w:rPr>
                <w:rFonts w:ascii="宋体" w:hAnsi="宋体"/>
                <w:w w:val="99"/>
                <w:highlight w:val="none"/>
              </w:rPr>
            </w:pPr>
            <w:r>
              <w:rPr>
                <w:rFonts w:ascii="宋体" w:hAnsi="宋体"/>
                <w:highlight w:val="none"/>
              </w:rPr>
              <w:t>资质要求</w:t>
            </w:r>
          </w:p>
        </w:tc>
        <w:tc>
          <w:tcPr>
            <w:tcW w:w="5676" w:type="dxa"/>
            <w:tcBorders>
              <w:top w:val="single" w:color="auto" w:sz="4" w:space="0"/>
              <w:left w:val="single" w:color="auto" w:sz="4" w:space="0"/>
              <w:bottom w:val="single" w:color="auto" w:sz="4" w:space="0"/>
              <w:right w:val="single" w:color="auto" w:sz="8" w:space="0"/>
            </w:tcBorders>
            <w:noWrap w:val="0"/>
            <w:vAlign w:val="center"/>
          </w:tcPr>
          <w:p w14:paraId="1D881CF3">
            <w:pPr>
              <w:spacing w:line="276" w:lineRule="auto"/>
              <w:ind w:left="136" w:leftChars="65"/>
              <w:rPr>
                <w:rFonts w:ascii="宋体" w:hAnsi="宋体"/>
                <w:highlight w:val="none"/>
              </w:rPr>
            </w:pPr>
            <w:r>
              <w:rPr>
                <w:rFonts w:ascii="宋体" w:hAnsi="宋体"/>
                <w:highlight w:val="none"/>
              </w:rPr>
              <w:t>符合第二章“投标人须知”第 1.4.1 项规定</w:t>
            </w:r>
          </w:p>
        </w:tc>
      </w:tr>
      <w:tr w14:paraId="4E12D40A">
        <w:tblPrEx>
          <w:tblCellMar>
            <w:top w:w="0" w:type="dxa"/>
            <w:left w:w="0" w:type="dxa"/>
            <w:bottom w:w="0" w:type="dxa"/>
            <w:right w:w="0" w:type="dxa"/>
          </w:tblCellMar>
        </w:tblPrEx>
        <w:trPr>
          <w:trHeight w:val="454" w:hRule="atLeast"/>
        </w:trPr>
        <w:tc>
          <w:tcPr>
            <w:tcW w:w="774" w:type="dxa"/>
            <w:vMerge w:val="continue"/>
            <w:tcBorders>
              <w:left w:val="single" w:color="auto" w:sz="8" w:space="0"/>
              <w:right w:val="single" w:color="auto" w:sz="8" w:space="0"/>
            </w:tcBorders>
            <w:noWrap w:val="0"/>
            <w:vAlign w:val="bottom"/>
          </w:tcPr>
          <w:p w14:paraId="1CC92A71">
            <w:pPr>
              <w:spacing w:line="276" w:lineRule="auto"/>
              <w:rPr>
                <w:rFonts w:ascii="宋体" w:hAnsi="宋体"/>
                <w:highlight w:val="none"/>
              </w:rPr>
            </w:pPr>
          </w:p>
        </w:tc>
        <w:tc>
          <w:tcPr>
            <w:tcW w:w="1134" w:type="dxa"/>
            <w:vMerge w:val="continue"/>
            <w:tcBorders>
              <w:right w:val="single" w:color="auto" w:sz="8" w:space="0"/>
            </w:tcBorders>
            <w:noWrap w:val="0"/>
            <w:vAlign w:val="bottom"/>
          </w:tcPr>
          <w:p w14:paraId="4808D1C6">
            <w:pPr>
              <w:spacing w:line="276" w:lineRule="auto"/>
              <w:rPr>
                <w:rFonts w:ascii="宋体" w:hAnsi="宋体"/>
                <w:highlight w:val="none"/>
              </w:rPr>
            </w:pPr>
          </w:p>
        </w:tc>
        <w:tc>
          <w:tcPr>
            <w:tcW w:w="2065" w:type="dxa"/>
            <w:tcBorders>
              <w:top w:val="single" w:color="auto" w:sz="4" w:space="0"/>
              <w:bottom w:val="single" w:color="auto" w:sz="4" w:space="0"/>
              <w:right w:val="single" w:color="auto" w:sz="4" w:space="0"/>
            </w:tcBorders>
            <w:noWrap w:val="0"/>
            <w:vAlign w:val="center"/>
          </w:tcPr>
          <w:p w14:paraId="09AD1131">
            <w:pPr>
              <w:spacing w:line="276" w:lineRule="auto"/>
              <w:jc w:val="center"/>
              <w:rPr>
                <w:rFonts w:ascii="宋体" w:hAnsi="宋体"/>
                <w:highlight w:val="none"/>
              </w:rPr>
            </w:pPr>
            <w:r>
              <w:rPr>
                <w:rFonts w:hint="eastAsia" w:ascii="宋体" w:hAnsi="宋体"/>
                <w:highlight w:val="none"/>
              </w:rPr>
              <w:t>财务要求</w:t>
            </w:r>
          </w:p>
        </w:tc>
        <w:tc>
          <w:tcPr>
            <w:tcW w:w="5676" w:type="dxa"/>
            <w:tcBorders>
              <w:top w:val="single" w:color="auto" w:sz="4" w:space="0"/>
              <w:left w:val="single" w:color="auto" w:sz="4" w:space="0"/>
              <w:bottom w:val="single" w:color="auto" w:sz="4" w:space="0"/>
              <w:right w:val="single" w:color="auto" w:sz="8" w:space="0"/>
            </w:tcBorders>
            <w:noWrap w:val="0"/>
            <w:vAlign w:val="center"/>
          </w:tcPr>
          <w:p w14:paraId="7DE15F27">
            <w:pPr>
              <w:spacing w:line="276" w:lineRule="auto"/>
              <w:rPr>
                <w:rFonts w:ascii="宋体" w:hAnsi="宋体"/>
                <w:highlight w:val="none"/>
              </w:rPr>
            </w:pPr>
            <w:r>
              <w:rPr>
                <w:rFonts w:hint="eastAsia" w:ascii="宋体" w:hAnsi="宋体"/>
                <w:highlight w:val="none"/>
              </w:rPr>
              <w:t xml:space="preserve"> /</w:t>
            </w:r>
          </w:p>
        </w:tc>
      </w:tr>
      <w:tr w14:paraId="1CC86A98">
        <w:tblPrEx>
          <w:tblCellMar>
            <w:top w:w="0" w:type="dxa"/>
            <w:left w:w="0" w:type="dxa"/>
            <w:bottom w:w="0" w:type="dxa"/>
            <w:right w:w="0" w:type="dxa"/>
          </w:tblCellMar>
        </w:tblPrEx>
        <w:trPr>
          <w:trHeight w:val="454" w:hRule="atLeast"/>
        </w:trPr>
        <w:tc>
          <w:tcPr>
            <w:tcW w:w="774" w:type="dxa"/>
            <w:vMerge w:val="continue"/>
            <w:tcBorders>
              <w:left w:val="single" w:color="auto" w:sz="8" w:space="0"/>
              <w:right w:val="single" w:color="auto" w:sz="8" w:space="0"/>
            </w:tcBorders>
            <w:noWrap w:val="0"/>
            <w:vAlign w:val="bottom"/>
          </w:tcPr>
          <w:p w14:paraId="76C2524B">
            <w:pPr>
              <w:spacing w:line="276" w:lineRule="auto"/>
              <w:rPr>
                <w:rFonts w:ascii="宋体" w:hAnsi="宋体"/>
                <w:highlight w:val="none"/>
              </w:rPr>
            </w:pPr>
          </w:p>
        </w:tc>
        <w:tc>
          <w:tcPr>
            <w:tcW w:w="1134" w:type="dxa"/>
            <w:vMerge w:val="continue"/>
            <w:tcBorders>
              <w:right w:val="single" w:color="auto" w:sz="8" w:space="0"/>
            </w:tcBorders>
            <w:noWrap w:val="0"/>
            <w:vAlign w:val="bottom"/>
          </w:tcPr>
          <w:p w14:paraId="611CE628">
            <w:pPr>
              <w:spacing w:line="276" w:lineRule="auto"/>
              <w:rPr>
                <w:rFonts w:ascii="宋体" w:hAnsi="宋体"/>
                <w:highlight w:val="none"/>
              </w:rPr>
            </w:pPr>
          </w:p>
        </w:tc>
        <w:tc>
          <w:tcPr>
            <w:tcW w:w="2065" w:type="dxa"/>
            <w:tcBorders>
              <w:top w:val="single" w:color="auto" w:sz="4" w:space="0"/>
              <w:bottom w:val="single" w:color="auto" w:sz="4" w:space="0"/>
              <w:right w:val="single" w:color="auto" w:sz="4" w:space="0"/>
            </w:tcBorders>
            <w:noWrap w:val="0"/>
            <w:vAlign w:val="center"/>
          </w:tcPr>
          <w:p w14:paraId="769548BD">
            <w:pPr>
              <w:spacing w:line="276" w:lineRule="auto"/>
              <w:jc w:val="center"/>
              <w:rPr>
                <w:rFonts w:hint="eastAsia" w:ascii="宋体" w:hAnsi="宋体"/>
                <w:highlight w:val="none"/>
              </w:rPr>
            </w:pPr>
            <w:r>
              <w:rPr>
                <w:rFonts w:hint="eastAsia" w:ascii="宋体" w:hAnsi="宋体"/>
                <w:highlight w:val="none"/>
              </w:rPr>
              <w:t>业绩要求</w:t>
            </w:r>
          </w:p>
        </w:tc>
        <w:tc>
          <w:tcPr>
            <w:tcW w:w="5676" w:type="dxa"/>
            <w:tcBorders>
              <w:top w:val="single" w:color="auto" w:sz="4" w:space="0"/>
              <w:left w:val="single" w:color="auto" w:sz="4" w:space="0"/>
              <w:bottom w:val="single" w:color="auto" w:sz="4" w:space="0"/>
              <w:right w:val="single" w:color="auto" w:sz="8" w:space="0"/>
            </w:tcBorders>
            <w:noWrap w:val="0"/>
            <w:vAlign w:val="center"/>
          </w:tcPr>
          <w:p w14:paraId="100882C8">
            <w:pPr>
              <w:spacing w:line="276" w:lineRule="auto"/>
              <w:ind w:firstLine="105" w:firstLineChars="50"/>
              <w:rPr>
                <w:rFonts w:hint="eastAsia" w:ascii="宋体" w:hAnsi="宋体"/>
                <w:highlight w:val="none"/>
              </w:rPr>
            </w:pPr>
            <w:r>
              <w:rPr>
                <w:rFonts w:hint="eastAsia" w:ascii="宋体" w:hAnsi="宋体"/>
                <w:highlight w:val="none"/>
              </w:rPr>
              <w:t>/</w:t>
            </w:r>
          </w:p>
        </w:tc>
      </w:tr>
      <w:tr w14:paraId="0586580C">
        <w:tblPrEx>
          <w:tblCellMar>
            <w:top w:w="0" w:type="dxa"/>
            <w:left w:w="0" w:type="dxa"/>
            <w:bottom w:w="0" w:type="dxa"/>
            <w:right w:w="0" w:type="dxa"/>
          </w:tblCellMar>
        </w:tblPrEx>
        <w:trPr>
          <w:trHeight w:val="454" w:hRule="atLeast"/>
        </w:trPr>
        <w:tc>
          <w:tcPr>
            <w:tcW w:w="774" w:type="dxa"/>
            <w:vMerge w:val="continue"/>
            <w:tcBorders>
              <w:left w:val="single" w:color="auto" w:sz="8" w:space="0"/>
              <w:right w:val="single" w:color="auto" w:sz="8" w:space="0"/>
            </w:tcBorders>
            <w:noWrap w:val="0"/>
            <w:vAlign w:val="bottom"/>
          </w:tcPr>
          <w:p w14:paraId="0CB3FE31">
            <w:pPr>
              <w:spacing w:line="276" w:lineRule="auto"/>
              <w:rPr>
                <w:rFonts w:ascii="宋体" w:hAnsi="宋体"/>
                <w:highlight w:val="none"/>
              </w:rPr>
            </w:pPr>
          </w:p>
        </w:tc>
        <w:tc>
          <w:tcPr>
            <w:tcW w:w="1134" w:type="dxa"/>
            <w:vMerge w:val="continue"/>
            <w:tcBorders>
              <w:right w:val="single" w:color="auto" w:sz="8" w:space="0"/>
            </w:tcBorders>
            <w:noWrap w:val="0"/>
            <w:vAlign w:val="bottom"/>
          </w:tcPr>
          <w:p w14:paraId="3EA458ED">
            <w:pPr>
              <w:spacing w:line="276" w:lineRule="auto"/>
              <w:rPr>
                <w:rFonts w:ascii="宋体" w:hAnsi="宋体"/>
                <w:highlight w:val="none"/>
              </w:rPr>
            </w:pPr>
          </w:p>
        </w:tc>
        <w:tc>
          <w:tcPr>
            <w:tcW w:w="2065" w:type="dxa"/>
            <w:tcBorders>
              <w:top w:val="single" w:color="auto" w:sz="4" w:space="0"/>
              <w:bottom w:val="single" w:color="auto" w:sz="4" w:space="0"/>
              <w:right w:val="single" w:color="auto" w:sz="4" w:space="0"/>
            </w:tcBorders>
            <w:noWrap w:val="0"/>
            <w:vAlign w:val="center"/>
          </w:tcPr>
          <w:p w14:paraId="4E95EF75">
            <w:pPr>
              <w:spacing w:line="276" w:lineRule="auto"/>
              <w:jc w:val="center"/>
              <w:rPr>
                <w:rFonts w:ascii="宋体" w:hAnsi="宋体"/>
                <w:highlight w:val="none"/>
              </w:rPr>
            </w:pPr>
            <w:r>
              <w:rPr>
                <w:rFonts w:hint="eastAsia" w:ascii="宋体" w:hAnsi="宋体"/>
                <w:highlight w:val="none"/>
              </w:rPr>
              <w:t>信誉要求</w:t>
            </w:r>
          </w:p>
        </w:tc>
        <w:tc>
          <w:tcPr>
            <w:tcW w:w="5676" w:type="dxa"/>
            <w:tcBorders>
              <w:top w:val="single" w:color="auto" w:sz="4" w:space="0"/>
              <w:left w:val="single" w:color="auto" w:sz="4" w:space="0"/>
              <w:bottom w:val="single" w:color="auto" w:sz="4" w:space="0"/>
              <w:right w:val="single" w:color="auto" w:sz="8" w:space="0"/>
            </w:tcBorders>
            <w:noWrap w:val="0"/>
            <w:vAlign w:val="center"/>
          </w:tcPr>
          <w:p w14:paraId="0D0A606F">
            <w:pPr>
              <w:spacing w:line="276" w:lineRule="auto"/>
              <w:rPr>
                <w:rFonts w:ascii="宋体" w:hAnsi="宋体"/>
                <w:highlight w:val="none"/>
              </w:rPr>
            </w:pPr>
            <w:r>
              <w:rPr>
                <w:rFonts w:hint="eastAsia" w:ascii="宋体" w:hAnsi="宋体"/>
                <w:highlight w:val="none"/>
              </w:rPr>
              <w:t xml:space="preserve"> /</w:t>
            </w:r>
          </w:p>
        </w:tc>
      </w:tr>
      <w:tr w14:paraId="174FB202">
        <w:tblPrEx>
          <w:tblCellMar>
            <w:top w:w="0" w:type="dxa"/>
            <w:left w:w="0" w:type="dxa"/>
            <w:bottom w:w="0" w:type="dxa"/>
            <w:right w:w="0" w:type="dxa"/>
          </w:tblCellMar>
        </w:tblPrEx>
        <w:trPr>
          <w:trHeight w:val="454" w:hRule="atLeast"/>
        </w:trPr>
        <w:tc>
          <w:tcPr>
            <w:tcW w:w="774" w:type="dxa"/>
            <w:vMerge w:val="continue"/>
            <w:tcBorders>
              <w:left w:val="single" w:color="auto" w:sz="8" w:space="0"/>
              <w:right w:val="single" w:color="auto" w:sz="8" w:space="0"/>
            </w:tcBorders>
            <w:noWrap w:val="0"/>
            <w:vAlign w:val="bottom"/>
          </w:tcPr>
          <w:p w14:paraId="20C183E3">
            <w:pPr>
              <w:spacing w:line="276" w:lineRule="auto"/>
              <w:rPr>
                <w:rFonts w:ascii="宋体" w:hAnsi="宋体"/>
                <w:highlight w:val="none"/>
              </w:rPr>
            </w:pPr>
          </w:p>
        </w:tc>
        <w:tc>
          <w:tcPr>
            <w:tcW w:w="1134" w:type="dxa"/>
            <w:vMerge w:val="continue"/>
            <w:tcBorders>
              <w:right w:val="single" w:color="auto" w:sz="8" w:space="0"/>
            </w:tcBorders>
            <w:noWrap w:val="0"/>
            <w:vAlign w:val="bottom"/>
          </w:tcPr>
          <w:p w14:paraId="3DB13681">
            <w:pPr>
              <w:spacing w:line="276" w:lineRule="auto"/>
              <w:rPr>
                <w:rFonts w:ascii="宋体" w:hAnsi="宋体"/>
                <w:highlight w:val="none"/>
              </w:rPr>
            </w:pPr>
          </w:p>
        </w:tc>
        <w:tc>
          <w:tcPr>
            <w:tcW w:w="2065" w:type="dxa"/>
            <w:tcBorders>
              <w:top w:val="single" w:color="auto" w:sz="4" w:space="0"/>
              <w:bottom w:val="single" w:color="auto" w:sz="4" w:space="0"/>
              <w:right w:val="single" w:color="auto" w:sz="4" w:space="0"/>
            </w:tcBorders>
            <w:noWrap w:val="0"/>
            <w:vAlign w:val="center"/>
          </w:tcPr>
          <w:p w14:paraId="6FB3B7A4">
            <w:pPr>
              <w:spacing w:line="276" w:lineRule="auto"/>
              <w:jc w:val="center"/>
              <w:rPr>
                <w:rFonts w:ascii="宋体" w:hAnsi="宋体"/>
                <w:highlight w:val="none"/>
              </w:rPr>
            </w:pPr>
            <w:r>
              <w:rPr>
                <w:rFonts w:hint="eastAsia" w:ascii="宋体" w:hAnsi="宋体"/>
                <w:highlight w:val="none"/>
              </w:rPr>
              <w:t>总监理工程师</w:t>
            </w:r>
          </w:p>
        </w:tc>
        <w:tc>
          <w:tcPr>
            <w:tcW w:w="5676" w:type="dxa"/>
            <w:tcBorders>
              <w:top w:val="single" w:color="auto" w:sz="4" w:space="0"/>
              <w:left w:val="single" w:color="auto" w:sz="4" w:space="0"/>
              <w:bottom w:val="single" w:color="auto" w:sz="4" w:space="0"/>
              <w:right w:val="single" w:color="auto" w:sz="8" w:space="0"/>
            </w:tcBorders>
            <w:noWrap w:val="0"/>
            <w:vAlign w:val="center"/>
          </w:tcPr>
          <w:p w14:paraId="0D0A2839">
            <w:pPr>
              <w:spacing w:line="276" w:lineRule="auto"/>
              <w:ind w:left="136" w:leftChars="65"/>
              <w:rPr>
                <w:rFonts w:ascii="宋体" w:hAnsi="宋体"/>
                <w:highlight w:val="none"/>
              </w:rPr>
            </w:pPr>
            <w:r>
              <w:rPr>
                <w:rFonts w:ascii="宋体" w:hAnsi="宋体"/>
                <w:highlight w:val="none"/>
              </w:rPr>
              <w:t>符合第二章“投标人须知”第 1.4.1 项规定</w:t>
            </w:r>
          </w:p>
        </w:tc>
      </w:tr>
      <w:tr w14:paraId="59D435AE">
        <w:tblPrEx>
          <w:tblCellMar>
            <w:top w:w="0" w:type="dxa"/>
            <w:left w:w="0" w:type="dxa"/>
            <w:bottom w:w="0" w:type="dxa"/>
            <w:right w:w="0" w:type="dxa"/>
          </w:tblCellMar>
        </w:tblPrEx>
        <w:trPr>
          <w:trHeight w:val="500" w:hRule="atLeast"/>
        </w:trPr>
        <w:tc>
          <w:tcPr>
            <w:tcW w:w="774" w:type="dxa"/>
            <w:vMerge w:val="continue"/>
            <w:tcBorders>
              <w:left w:val="single" w:color="auto" w:sz="8" w:space="0"/>
              <w:right w:val="single" w:color="auto" w:sz="8" w:space="0"/>
            </w:tcBorders>
            <w:noWrap w:val="0"/>
            <w:vAlign w:val="bottom"/>
          </w:tcPr>
          <w:p w14:paraId="5FCE03B5">
            <w:pPr>
              <w:spacing w:line="276" w:lineRule="auto"/>
              <w:rPr>
                <w:rFonts w:ascii="宋体" w:hAnsi="宋体"/>
                <w:highlight w:val="none"/>
              </w:rPr>
            </w:pPr>
          </w:p>
        </w:tc>
        <w:tc>
          <w:tcPr>
            <w:tcW w:w="1134" w:type="dxa"/>
            <w:vMerge w:val="continue"/>
            <w:tcBorders>
              <w:right w:val="single" w:color="auto" w:sz="8" w:space="0"/>
            </w:tcBorders>
            <w:noWrap w:val="0"/>
            <w:vAlign w:val="bottom"/>
          </w:tcPr>
          <w:p w14:paraId="179E0EB8">
            <w:pPr>
              <w:spacing w:line="276" w:lineRule="auto"/>
              <w:rPr>
                <w:rFonts w:ascii="宋体" w:hAnsi="宋体"/>
                <w:highlight w:val="none"/>
              </w:rPr>
            </w:pPr>
          </w:p>
        </w:tc>
        <w:tc>
          <w:tcPr>
            <w:tcW w:w="2065" w:type="dxa"/>
            <w:tcBorders>
              <w:top w:val="single" w:color="auto" w:sz="4" w:space="0"/>
              <w:bottom w:val="single" w:color="auto" w:sz="8" w:space="0"/>
              <w:right w:val="single" w:color="auto" w:sz="4" w:space="0"/>
            </w:tcBorders>
            <w:noWrap w:val="0"/>
            <w:vAlign w:val="center"/>
          </w:tcPr>
          <w:p w14:paraId="456C0F4F">
            <w:pPr>
              <w:spacing w:line="276" w:lineRule="auto"/>
              <w:jc w:val="center"/>
              <w:rPr>
                <w:rFonts w:hint="eastAsia" w:ascii="宋体" w:hAnsi="宋体"/>
                <w:highlight w:val="none"/>
              </w:rPr>
            </w:pPr>
            <w:r>
              <w:rPr>
                <w:rFonts w:hint="eastAsia" w:ascii="宋体" w:hAnsi="宋体"/>
                <w:highlight w:val="none"/>
              </w:rPr>
              <w:t>其他主要人员</w:t>
            </w:r>
          </w:p>
        </w:tc>
        <w:tc>
          <w:tcPr>
            <w:tcW w:w="5676" w:type="dxa"/>
            <w:tcBorders>
              <w:top w:val="single" w:color="auto" w:sz="4" w:space="0"/>
              <w:left w:val="single" w:color="auto" w:sz="4" w:space="0"/>
              <w:bottom w:val="single" w:color="auto" w:sz="8" w:space="0"/>
              <w:right w:val="single" w:color="auto" w:sz="8" w:space="0"/>
            </w:tcBorders>
            <w:noWrap w:val="0"/>
            <w:vAlign w:val="center"/>
          </w:tcPr>
          <w:p w14:paraId="32472701">
            <w:pPr>
              <w:spacing w:line="276" w:lineRule="auto"/>
              <w:ind w:firstLine="105" w:firstLineChars="50"/>
              <w:rPr>
                <w:rFonts w:ascii="宋体" w:hAnsi="宋体"/>
                <w:highlight w:val="none"/>
              </w:rPr>
            </w:pPr>
            <w:r>
              <w:rPr>
                <w:rFonts w:hint="eastAsia" w:ascii="宋体" w:hAnsi="宋体"/>
                <w:highlight w:val="none"/>
              </w:rPr>
              <w:t>/</w:t>
            </w:r>
          </w:p>
        </w:tc>
      </w:tr>
      <w:tr w14:paraId="0449340E">
        <w:tblPrEx>
          <w:tblCellMar>
            <w:top w:w="0" w:type="dxa"/>
            <w:left w:w="0" w:type="dxa"/>
            <w:bottom w:w="0" w:type="dxa"/>
            <w:right w:w="0" w:type="dxa"/>
          </w:tblCellMar>
        </w:tblPrEx>
        <w:trPr>
          <w:trHeight w:val="500" w:hRule="atLeast"/>
        </w:trPr>
        <w:tc>
          <w:tcPr>
            <w:tcW w:w="774" w:type="dxa"/>
            <w:vMerge w:val="continue"/>
            <w:tcBorders>
              <w:left w:val="single" w:color="auto" w:sz="8" w:space="0"/>
              <w:right w:val="single" w:color="auto" w:sz="8" w:space="0"/>
            </w:tcBorders>
            <w:noWrap w:val="0"/>
            <w:vAlign w:val="bottom"/>
          </w:tcPr>
          <w:p w14:paraId="5C6D6C48">
            <w:pPr>
              <w:spacing w:line="276" w:lineRule="auto"/>
              <w:rPr>
                <w:rFonts w:ascii="宋体" w:hAnsi="宋体"/>
                <w:highlight w:val="none"/>
              </w:rPr>
            </w:pPr>
          </w:p>
        </w:tc>
        <w:tc>
          <w:tcPr>
            <w:tcW w:w="1134" w:type="dxa"/>
            <w:vMerge w:val="continue"/>
            <w:tcBorders>
              <w:right w:val="single" w:color="auto" w:sz="8" w:space="0"/>
            </w:tcBorders>
            <w:noWrap w:val="0"/>
            <w:vAlign w:val="bottom"/>
          </w:tcPr>
          <w:p w14:paraId="0DD48ADE">
            <w:pPr>
              <w:spacing w:line="276" w:lineRule="auto"/>
              <w:rPr>
                <w:rFonts w:ascii="宋体" w:hAnsi="宋体"/>
                <w:highlight w:val="none"/>
              </w:rPr>
            </w:pPr>
          </w:p>
        </w:tc>
        <w:tc>
          <w:tcPr>
            <w:tcW w:w="2065" w:type="dxa"/>
            <w:tcBorders>
              <w:top w:val="single" w:color="auto" w:sz="4" w:space="0"/>
              <w:bottom w:val="single" w:color="auto" w:sz="8" w:space="0"/>
              <w:right w:val="single" w:color="auto" w:sz="4" w:space="0"/>
            </w:tcBorders>
            <w:noWrap w:val="0"/>
            <w:vAlign w:val="center"/>
          </w:tcPr>
          <w:p w14:paraId="6D939192">
            <w:pPr>
              <w:spacing w:line="276" w:lineRule="auto"/>
              <w:jc w:val="center"/>
              <w:rPr>
                <w:rFonts w:hint="eastAsia" w:ascii="宋体" w:hAnsi="宋体"/>
                <w:highlight w:val="none"/>
              </w:rPr>
            </w:pPr>
            <w:r>
              <w:rPr>
                <w:rFonts w:hint="eastAsia" w:ascii="宋体" w:hAnsi="宋体"/>
                <w:highlight w:val="none"/>
              </w:rPr>
              <w:t>试验检测仪器设备</w:t>
            </w:r>
          </w:p>
        </w:tc>
        <w:tc>
          <w:tcPr>
            <w:tcW w:w="5676" w:type="dxa"/>
            <w:tcBorders>
              <w:top w:val="single" w:color="auto" w:sz="4" w:space="0"/>
              <w:left w:val="single" w:color="auto" w:sz="4" w:space="0"/>
              <w:bottom w:val="single" w:color="auto" w:sz="8" w:space="0"/>
              <w:right w:val="single" w:color="auto" w:sz="8" w:space="0"/>
            </w:tcBorders>
            <w:noWrap w:val="0"/>
            <w:vAlign w:val="center"/>
          </w:tcPr>
          <w:p w14:paraId="01569EFB">
            <w:pPr>
              <w:spacing w:line="276" w:lineRule="auto"/>
              <w:ind w:firstLine="105" w:firstLineChars="50"/>
              <w:rPr>
                <w:rFonts w:hint="eastAsia" w:ascii="宋体" w:hAnsi="宋体"/>
                <w:highlight w:val="none"/>
              </w:rPr>
            </w:pPr>
            <w:r>
              <w:rPr>
                <w:rFonts w:hint="eastAsia" w:ascii="宋体" w:hAnsi="宋体"/>
                <w:highlight w:val="none"/>
              </w:rPr>
              <w:t>/</w:t>
            </w:r>
          </w:p>
        </w:tc>
      </w:tr>
      <w:tr w14:paraId="535F7CB8">
        <w:tblPrEx>
          <w:tblCellMar>
            <w:top w:w="0" w:type="dxa"/>
            <w:left w:w="0" w:type="dxa"/>
            <w:bottom w:w="0" w:type="dxa"/>
            <w:right w:w="0" w:type="dxa"/>
          </w:tblCellMar>
        </w:tblPrEx>
        <w:trPr>
          <w:trHeight w:val="500" w:hRule="atLeast"/>
        </w:trPr>
        <w:tc>
          <w:tcPr>
            <w:tcW w:w="774" w:type="dxa"/>
            <w:vMerge w:val="continue"/>
            <w:tcBorders>
              <w:left w:val="single" w:color="auto" w:sz="8" w:space="0"/>
              <w:right w:val="single" w:color="auto" w:sz="8" w:space="0"/>
            </w:tcBorders>
            <w:noWrap w:val="0"/>
            <w:vAlign w:val="bottom"/>
          </w:tcPr>
          <w:p w14:paraId="46F2CCBF">
            <w:pPr>
              <w:spacing w:line="276" w:lineRule="auto"/>
              <w:rPr>
                <w:rFonts w:ascii="宋体" w:hAnsi="宋体"/>
                <w:highlight w:val="none"/>
              </w:rPr>
            </w:pPr>
          </w:p>
        </w:tc>
        <w:tc>
          <w:tcPr>
            <w:tcW w:w="1134" w:type="dxa"/>
            <w:vMerge w:val="continue"/>
            <w:tcBorders>
              <w:right w:val="single" w:color="auto" w:sz="8" w:space="0"/>
            </w:tcBorders>
            <w:noWrap w:val="0"/>
            <w:vAlign w:val="bottom"/>
          </w:tcPr>
          <w:p w14:paraId="71D868AB">
            <w:pPr>
              <w:spacing w:line="276" w:lineRule="auto"/>
              <w:rPr>
                <w:rFonts w:ascii="宋体" w:hAnsi="宋体"/>
                <w:highlight w:val="none"/>
              </w:rPr>
            </w:pPr>
          </w:p>
        </w:tc>
        <w:tc>
          <w:tcPr>
            <w:tcW w:w="2065" w:type="dxa"/>
            <w:tcBorders>
              <w:top w:val="single" w:color="auto" w:sz="4" w:space="0"/>
              <w:bottom w:val="single" w:color="auto" w:sz="8" w:space="0"/>
              <w:right w:val="single" w:color="auto" w:sz="4" w:space="0"/>
            </w:tcBorders>
            <w:noWrap w:val="0"/>
            <w:vAlign w:val="center"/>
          </w:tcPr>
          <w:p w14:paraId="463C830A">
            <w:pPr>
              <w:spacing w:line="276" w:lineRule="auto"/>
              <w:jc w:val="center"/>
              <w:rPr>
                <w:rFonts w:hint="eastAsia" w:ascii="宋体" w:hAnsi="宋体"/>
                <w:highlight w:val="none"/>
              </w:rPr>
            </w:pPr>
            <w:r>
              <w:rPr>
                <w:rFonts w:hint="eastAsia" w:ascii="宋体" w:hAnsi="宋体"/>
                <w:highlight w:val="none"/>
              </w:rPr>
              <w:t>其他要求</w:t>
            </w:r>
          </w:p>
        </w:tc>
        <w:tc>
          <w:tcPr>
            <w:tcW w:w="5676" w:type="dxa"/>
            <w:tcBorders>
              <w:top w:val="single" w:color="auto" w:sz="4" w:space="0"/>
              <w:left w:val="single" w:color="auto" w:sz="4" w:space="0"/>
              <w:bottom w:val="single" w:color="auto" w:sz="8" w:space="0"/>
              <w:right w:val="single" w:color="auto" w:sz="8" w:space="0"/>
            </w:tcBorders>
            <w:noWrap w:val="0"/>
            <w:vAlign w:val="center"/>
          </w:tcPr>
          <w:p w14:paraId="38C85B4E">
            <w:pPr>
              <w:spacing w:line="276" w:lineRule="auto"/>
              <w:ind w:left="136" w:leftChars="65"/>
              <w:rPr>
                <w:rFonts w:ascii="宋体" w:hAnsi="宋体"/>
                <w:highlight w:val="none"/>
              </w:rPr>
            </w:pPr>
            <w:r>
              <w:rPr>
                <w:rFonts w:hint="eastAsia" w:ascii="宋体" w:hAnsi="宋体"/>
                <w:highlight w:val="none"/>
              </w:rPr>
              <w:t>符合第二章</w:t>
            </w:r>
            <w:r>
              <w:rPr>
                <w:rFonts w:ascii="宋体" w:hAnsi="宋体"/>
                <w:highlight w:val="none"/>
              </w:rPr>
              <w:t>“</w:t>
            </w:r>
            <w:r>
              <w:rPr>
                <w:rFonts w:hint="eastAsia" w:ascii="宋体" w:hAnsi="宋体"/>
                <w:highlight w:val="none"/>
              </w:rPr>
              <w:t>投标人须知</w:t>
            </w:r>
            <w:r>
              <w:rPr>
                <w:rFonts w:ascii="宋体" w:hAnsi="宋体"/>
                <w:highlight w:val="none"/>
              </w:rPr>
              <w:t>”</w:t>
            </w:r>
            <w:r>
              <w:rPr>
                <w:rFonts w:hint="eastAsia" w:ascii="宋体" w:hAnsi="宋体"/>
                <w:highlight w:val="none"/>
              </w:rPr>
              <w:t>第</w:t>
            </w:r>
            <w:r>
              <w:rPr>
                <w:rFonts w:ascii="宋体" w:hAnsi="宋体"/>
                <w:highlight w:val="none"/>
              </w:rPr>
              <w:t>1.4.1</w:t>
            </w:r>
            <w:r>
              <w:rPr>
                <w:rFonts w:hint="eastAsia" w:ascii="宋体" w:hAnsi="宋体"/>
                <w:highlight w:val="none"/>
              </w:rPr>
              <w:t>项规定</w:t>
            </w:r>
          </w:p>
        </w:tc>
      </w:tr>
      <w:tr w14:paraId="46E53436">
        <w:tblPrEx>
          <w:tblCellMar>
            <w:top w:w="0" w:type="dxa"/>
            <w:left w:w="0" w:type="dxa"/>
            <w:bottom w:w="0" w:type="dxa"/>
            <w:right w:w="0" w:type="dxa"/>
          </w:tblCellMar>
        </w:tblPrEx>
        <w:trPr>
          <w:trHeight w:val="259" w:hRule="atLeast"/>
        </w:trPr>
        <w:tc>
          <w:tcPr>
            <w:tcW w:w="774" w:type="dxa"/>
            <w:vMerge w:val="continue"/>
            <w:tcBorders>
              <w:left w:val="single" w:color="auto" w:sz="8" w:space="0"/>
              <w:right w:val="single" w:color="auto" w:sz="8" w:space="0"/>
            </w:tcBorders>
            <w:noWrap w:val="0"/>
            <w:vAlign w:val="bottom"/>
          </w:tcPr>
          <w:p w14:paraId="39A73471">
            <w:pPr>
              <w:spacing w:line="276" w:lineRule="auto"/>
              <w:rPr>
                <w:rFonts w:ascii="宋体" w:hAnsi="宋体"/>
                <w:highlight w:val="none"/>
              </w:rPr>
            </w:pPr>
          </w:p>
        </w:tc>
        <w:tc>
          <w:tcPr>
            <w:tcW w:w="1134" w:type="dxa"/>
            <w:vMerge w:val="continue"/>
            <w:tcBorders>
              <w:right w:val="single" w:color="auto" w:sz="8" w:space="0"/>
            </w:tcBorders>
            <w:noWrap w:val="0"/>
            <w:vAlign w:val="bottom"/>
          </w:tcPr>
          <w:p w14:paraId="761199A8">
            <w:pPr>
              <w:spacing w:line="276" w:lineRule="auto"/>
              <w:rPr>
                <w:rFonts w:ascii="宋体" w:hAnsi="宋体"/>
                <w:highlight w:val="none"/>
              </w:rPr>
            </w:pPr>
          </w:p>
        </w:tc>
        <w:tc>
          <w:tcPr>
            <w:tcW w:w="2065" w:type="dxa"/>
            <w:tcBorders>
              <w:top w:val="single" w:color="auto" w:sz="4" w:space="0"/>
              <w:bottom w:val="single" w:color="auto" w:sz="8" w:space="0"/>
              <w:right w:val="single" w:color="auto" w:sz="4" w:space="0"/>
            </w:tcBorders>
            <w:noWrap w:val="0"/>
            <w:vAlign w:val="top"/>
          </w:tcPr>
          <w:p w14:paraId="5C9DC511">
            <w:pPr>
              <w:spacing w:line="276" w:lineRule="auto"/>
              <w:jc w:val="center"/>
              <w:rPr>
                <w:rFonts w:hint="eastAsia" w:ascii="宋体" w:hAnsi="宋体"/>
                <w:highlight w:val="none"/>
              </w:rPr>
            </w:pPr>
            <w:r>
              <w:rPr>
                <w:rFonts w:hint="eastAsia"/>
                <w:highlight w:val="none"/>
              </w:rPr>
              <w:t>联合体投标人</w:t>
            </w:r>
          </w:p>
        </w:tc>
        <w:tc>
          <w:tcPr>
            <w:tcW w:w="5676" w:type="dxa"/>
            <w:tcBorders>
              <w:top w:val="single" w:color="auto" w:sz="4" w:space="0"/>
              <w:left w:val="single" w:color="auto" w:sz="4" w:space="0"/>
              <w:bottom w:val="single" w:color="auto" w:sz="8" w:space="0"/>
              <w:right w:val="single" w:color="auto" w:sz="8" w:space="0"/>
            </w:tcBorders>
            <w:noWrap w:val="0"/>
            <w:vAlign w:val="top"/>
          </w:tcPr>
          <w:p w14:paraId="26A998A4">
            <w:pPr>
              <w:spacing w:line="300" w:lineRule="auto"/>
              <w:ind w:left="136" w:leftChars="65"/>
              <w:rPr>
                <w:rFonts w:ascii="宋体" w:hAnsi="宋体"/>
                <w:highlight w:val="none"/>
              </w:rPr>
            </w:pPr>
            <w:r>
              <w:rPr>
                <w:rFonts w:hint="eastAsia"/>
                <w:highlight w:val="none"/>
              </w:rPr>
              <w:t>符合第二章“投标人须知”第1.4.2项规定，没有以联合体投标</w:t>
            </w:r>
          </w:p>
        </w:tc>
      </w:tr>
      <w:tr w14:paraId="3212ACB9">
        <w:tblPrEx>
          <w:tblCellMar>
            <w:top w:w="0" w:type="dxa"/>
            <w:left w:w="0" w:type="dxa"/>
            <w:bottom w:w="0" w:type="dxa"/>
            <w:right w:w="0" w:type="dxa"/>
          </w:tblCellMar>
        </w:tblPrEx>
        <w:trPr>
          <w:trHeight w:val="259" w:hRule="atLeast"/>
        </w:trPr>
        <w:tc>
          <w:tcPr>
            <w:tcW w:w="774" w:type="dxa"/>
            <w:vMerge w:val="continue"/>
            <w:tcBorders>
              <w:left w:val="single" w:color="auto" w:sz="8" w:space="0"/>
              <w:right w:val="single" w:color="auto" w:sz="8" w:space="0"/>
            </w:tcBorders>
            <w:noWrap w:val="0"/>
            <w:vAlign w:val="bottom"/>
          </w:tcPr>
          <w:p w14:paraId="4A352312">
            <w:pPr>
              <w:spacing w:line="276" w:lineRule="auto"/>
              <w:rPr>
                <w:rFonts w:ascii="宋体" w:hAnsi="宋体"/>
                <w:highlight w:val="none"/>
              </w:rPr>
            </w:pPr>
          </w:p>
        </w:tc>
        <w:tc>
          <w:tcPr>
            <w:tcW w:w="1134" w:type="dxa"/>
            <w:vMerge w:val="continue"/>
            <w:tcBorders>
              <w:right w:val="single" w:color="auto" w:sz="8" w:space="0"/>
            </w:tcBorders>
            <w:noWrap w:val="0"/>
            <w:vAlign w:val="bottom"/>
          </w:tcPr>
          <w:p w14:paraId="7A16262F">
            <w:pPr>
              <w:spacing w:line="276" w:lineRule="auto"/>
              <w:rPr>
                <w:rFonts w:ascii="宋体" w:hAnsi="宋体"/>
                <w:highlight w:val="none"/>
              </w:rPr>
            </w:pPr>
          </w:p>
        </w:tc>
        <w:tc>
          <w:tcPr>
            <w:tcW w:w="2065" w:type="dxa"/>
            <w:tcBorders>
              <w:top w:val="single" w:color="auto" w:sz="4" w:space="0"/>
              <w:bottom w:val="single" w:color="auto" w:sz="8" w:space="0"/>
              <w:right w:val="single" w:color="auto" w:sz="4" w:space="0"/>
            </w:tcBorders>
            <w:noWrap w:val="0"/>
            <w:vAlign w:val="center"/>
          </w:tcPr>
          <w:p w14:paraId="6CDCC808">
            <w:pPr>
              <w:spacing w:line="276" w:lineRule="auto"/>
              <w:jc w:val="center"/>
              <w:rPr>
                <w:rFonts w:ascii="宋体" w:hAnsi="宋体"/>
                <w:highlight w:val="none"/>
              </w:rPr>
            </w:pPr>
            <w:r>
              <w:rPr>
                <w:rFonts w:hint="eastAsia" w:ascii="宋体" w:hAnsi="宋体"/>
                <w:highlight w:val="none"/>
              </w:rPr>
              <w:t>不存在禁止投标的情形</w:t>
            </w:r>
          </w:p>
        </w:tc>
        <w:tc>
          <w:tcPr>
            <w:tcW w:w="5676" w:type="dxa"/>
            <w:tcBorders>
              <w:top w:val="single" w:color="auto" w:sz="4" w:space="0"/>
              <w:left w:val="single" w:color="auto" w:sz="4" w:space="0"/>
              <w:bottom w:val="single" w:color="auto" w:sz="8" w:space="0"/>
              <w:right w:val="single" w:color="auto" w:sz="8" w:space="0"/>
            </w:tcBorders>
            <w:noWrap w:val="0"/>
            <w:vAlign w:val="bottom"/>
          </w:tcPr>
          <w:p w14:paraId="09F7D853">
            <w:pPr>
              <w:spacing w:line="300" w:lineRule="auto"/>
              <w:ind w:left="136" w:leftChars="65"/>
              <w:rPr>
                <w:rFonts w:ascii="宋体" w:hAnsi="宋体"/>
                <w:highlight w:val="none"/>
              </w:rPr>
            </w:pPr>
            <w:r>
              <w:rPr>
                <w:rFonts w:ascii="宋体" w:hAnsi="宋体"/>
                <w:highlight w:val="none"/>
              </w:rPr>
              <w:t>不存在第二章“投标人须知”第 1.4.3 项规定的任何一种情形</w:t>
            </w:r>
          </w:p>
        </w:tc>
      </w:tr>
      <w:tr w14:paraId="0F7E84CD">
        <w:tblPrEx>
          <w:tblCellMar>
            <w:top w:w="0" w:type="dxa"/>
            <w:left w:w="0" w:type="dxa"/>
            <w:bottom w:w="0" w:type="dxa"/>
            <w:right w:w="0" w:type="dxa"/>
          </w:tblCellMar>
        </w:tblPrEx>
        <w:trPr>
          <w:trHeight w:val="567" w:hRule="atLeast"/>
        </w:trPr>
        <w:tc>
          <w:tcPr>
            <w:tcW w:w="774" w:type="dxa"/>
            <w:vMerge w:val="restart"/>
            <w:tcBorders>
              <w:top w:val="single" w:color="auto" w:sz="4" w:space="0"/>
              <w:left w:val="single" w:color="auto" w:sz="8" w:space="0"/>
              <w:bottom w:val="single" w:color="auto" w:sz="4" w:space="0"/>
              <w:right w:val="single" w:color="auto" w:sz="8" w:space="0"/>
            </w:tcBorders>
            <w:noWrap w:val="0"/>
            <w:vAlign w:val="center"/>
          </w:tcPr>
          <w:p w14:paraId="0F69D438">
            <w:pPr>
              <w:spacing w:line="276" w:lineRule="auto"/>
              <w:jc w:val="center"/>
              <w:rPr>
                <w:rFonts w:hint="eastAsia" w:ascii="宋体" w:hAnsi="宋体"/>
                <w:highlight w:val="none"/>
              </w:rPr>
            </w:pPr>
            <w:r>
              <w:rPr>
                <w:rFonts w:ascii="宋体" w:hAnsi="宋体"/>
                <w:highlight w:val="none"/>
              </w:rPr>
              <w:t>2.1.3</w:t>
            </w:r>
          </w:p>
          <w:p w14:paraId="02EAB769">
            <w:pPr>
              <w:spacing w:line="276" w:lineRule="auto"/>
              <w:jc w:val="center"/>
              <w:rPr>
                <w:rFonts w:hint="eastAsia" w:ascii="宋体" w:hAnsi="宋体"/>
                <w:highlight w:val="none"/>
              </w:rPr>
            </w:pPr>
          </w:p>
        </w:tc>
        <w:tc>
          <w:tcPr>
            <w:tcW w:w="1134" w:type="dxa"/>
            <w:vMerge w:val="restart"/>
            <w:tcBorders>
              <w:top w:val="single" w:color="auto" w:sz="4" w:space="0"/>
              <w:bottom w:val="single" w:color="auto" w:sz="4" w:space="0"/>
              <w:right w:val="single" w:color="auto" w:sz="8" w:space="0"/>
            </w:tcBorders>
            <w:noWrap w:val="0"/>
            <w:vAlign w:val="center"/>
          </w:tcPr>
          <w:p w14:paraId="4B053DFF">
            <w:pPr>
              <w:spacing w:line="276" w:lineRule="auto"/>
              <w:jc w:val="center"/>
              <w:rPr>
                <w:rFonts w:ascii="宋体" w:hAnsi="宋体"/>
                <w:highlight w:val="none"/>
              </w:rPr>
            </w:pPr>
            <w:r>
              <w:rPr>
                <w:rFonts w:ascii="宋体" w:hAnsi="宋体"/>
                <w:highlight w:val="none"/>
              </w:rPr>
              <w:t>响应性评</w:t>
            </w:r>
            <w:r>
              <w:rPr>
                <w:rFonts w:hint="eastAsia" w:ascii="宋体" w:hAnsi="宋体"/>
                <w:highlight w:val="none"/>
              </w:rPr>
              <w:t>审标准</w:t>
            </w:r>
          </w:p>
        </w:tc>
        <w:tc>
          <w:tcPr>
            <w:tcW w:w="2065" w:type="dxa"/>
            <w:tcBorders>
              <w:top w:val="single" w:color="auto" w:sz="4" w:space="0"/>
              <w:bottom w:val="single" w:color="auto" w:sz="8" w:space="0"/>
              <w:right w:val="single" w:color="auto" w:sz="4" w:space="0"/>
            </w:tcBorders>
            <w:noWrap w:val="0"/>
            <w:vAlign w:val="center"/>
          </w:tcPr>
          <w:p w14:paraId="18C6214C">
            <w:pPr>
              <w:spacing w:line="276" w:lineRule="auto"/>
              <w:jc w:val="center"/>
              <w:rPr>
                <w:rFonts w:ascii="宋体" w:hAnsi="宋体"/>
                <w:highlight w:val="none"/>
              </w:rPr>
            </w:pPr>
            <w:r>
              <w:rPr>
                <w:rFonts w:ascii="宋体" w:hAnsi="宋体"/>
                <w:highlight w:val="none"/>
              </w:rPr>
              <w:t>投标报价</w:t>
            </w:r>
          </w:p>
        </w:tc>
        <w:tc>
          <w:tcPr>
            <w:tcW w:w="5676" w:type="dxa"/>
            <w:tcBorders>
              <w:top w:val="single" w:color="auto" w:sz="4" w:space="0"/>
              <w:left w:val="single" w:color="auto" w:sz="4" w:space="0"/>
              <w:bottom w:val="single" w:color="auto" w:sz="8" w:space="0"/>
              <w:right w:val="single" w:color="auto" w:sz="8" w:space="0"/>
            </w:tcBorders>
            <w:noWrap w:val="0"/>
            <w:vAlign w:val="center"/>
          </w:tcPr>
          <w:p w14:paraId="531BCC39">
            <w:pPr>
              <w:spacing w:line="276" w:lineRule="auto"/>
              <w:ind w:left="136" w:leftChars="65"/>
              <w:rPr>
                <w:rFonts w:ascii="宋体" w:hAnsi="宋体"/>
                <w:highlight w:val="none"/>
              </w:rPr>
            </w:pPr>
            <w:r>
              <w:rPr>
                <w:rFonts w:ascii="宋体" w:hAnsi="宋体"/>
                <w:highlight w:val="none"/>
              </w:rPr>
              <w:t>符合第二章“投标人须知”第 3.2 款规定</w:t>
            </w:r>
          </w:p>
        </w:tc>
      </w:tr>
      <w:tr w14:paraId="6F5101F9">
        <w:tblPrEx>
          <w:tblCellMar>
            <w:top w:w="0" w:type="dxa"/>
            <w:left w:w="0" w:type="dxa"/>
            <w:bottom w:w="0" w:type="dxa"/>
            <w:right w:w="0" w:type="dxa"/>
          </w:tblCellMar>
        </w:tblPrEx>
        <w:trPr>
          <w:trHeight w:val="567" w:hRule="atLeast"/>
        </w:trPr>
        <w:tc>
          <w:tcPr>
            <w:tcW w:w="774" w:type="dxa"/>
            <w:vMerge w:val="continue"/>
            <w:tcBorders>
              <w:top w:val="single" w:color="auto" w:sz="8" w:space="0"/>
              <w:left w:val="single" w:color="auto" w:sz="8" w:space="0"/>
              <w:bottom w:val="single" w:color="auto" w:sz="4" w:space="0"/>
              <w:right w:val="single" w:color="auto" w:sz="8" w:space="0"/>
            </w:tcBorders>
            <w:noWrap w:val="0"/>
            <w:vAlign w:val="bottom"/>
          </w:tcPr>
          <w:p w14:paraId="40220716">
            <w:pPr>
              <w:spacing w:line="276" w:lineRule="auto"/>
              <w:rPr>
                <w:rFonts w:ascii="宋体" w:hAnsi="宋体"/>
                <w:highlight w:val="none"/>
              </w:rPr>
            </w:pPr>
          </w:p>
        </w:tc>
        <w:tc>
          <w:tcPr>
            <w:tcW w:w="1134" w:type="dxa"/>
            <w:vMerge w:val="continue"/>
            <w:tcBorders>
              <w:top w:val="single" w:color="auto" w:sz="8" w:space="0"/>
              <w:bottom w:val="single" w:color="auto" w:sz="4" w:space="0"/>
              <w:right w:val="single" w:color="auto" w:sz="8" w:space="0"/>
            </w:tcBorders>
            <w:noWrap w:val="0"/>
            <w:vAlign w:val="bottom"/>
          </w:tcPr>
          <w:p w14:paraId="331F0269">
            <w:pPr>
              <w:spacing w:line="276" w:lineRule="auto"/>
              <w:rPr>
                <w:rFonts w:ascii="宋体" w:hAnsi="宋体"/>
                <w:highlight w:val="none"/>
              </w:rPr>
            </w:pPr>
          </w:p>
        </w:tc>
        <w:tc>
          <w:tcPr>
            <w:tcW w:w="2065" w:type="dxa"/>
            <w:tcBorders>
              <w:top w:val="single" w:color="auto" w:sz="4" w:space="0"/>
              <w:bottom w:val="single" w:color="auto" w:sz="8" w:space="0"/>
              <w:right w:val="single" w:color="auto" w:sz="4" w:space="0"/>
            </w:tcBorders>
            <w:noWrap w:val="0"/>
            <w:vAlign w:val="center"/>
          </w:tcPr>
          <w:p w14:paraId="7154A5C7">
            <w:pPr>
              <w:spacing w:line="276" w:lineRule="auto"/>
              <w:jc w:val="center"/>
              <w:rPr>
                <w:rFonts w:ascii="宋体" w:hAnsi="宋体"/>
                <w:highlight w:val="none"/>
              </w:rPr>
            </w:pPr>
            <w:r>
              <w:rPr>
                <w:rFonts w:ascii="宋体" w:hAnsi="宋体"/>
                <w:highlight w:val="none"/>
              </w:rPr>
              <w:t>投标内容</w:t>
            </w:r>
          </w:p>
        </w:tc>
        <w:tc>
          <w:tcPr>
            <w:tcW w:w="5676" w:type="dxa"/>
            <w:tcBorders>
              <w:top w:val="single" w:color="auto" w:sz="4" w:space="0"/>
              <w:left w:val="single" w:color="auto" w:sz="4" w:space="0"/>
              <w:bottom w:val="single" w:color="auto" w:sz="8" w:space="0"/>
              <w:right w:val="single" w:color="auto" w:sz="8" w:space="0"/>
            </w:tcBorders>
            <w:noWrap w:val="0"/>
            <w:vAlign w:val="center"/>
          </w:tcPr>
          <w:p w14:paraId="7B1A37AD">
            <w:pPr>
              <w:spacing w:line="276" w:lineRule="auto"/>
              <w:ind w:left="136" w:leftChars="65"/>
              <w:rPr>
                <w:rFonts w:ascii="宋体" w:hAnsi="宋体"/>
                <w:highlight w:val="none"/>
              </w:rPr>
            </w:pPr>
            <w:r>
              <w:rPr>
                <w:rFonts w:ascii="宋体" w:hAnsi="宋体"/>
                <w:highlight w:val="none"/>
              </w:rPr>
              <w:t>符合第二章“投标人须知”第 1.3.1 项规定</w:t>
            </w:r>
          </w:p>
        </w:tc>
      </w:tr>
      <w:tr w14:paraId="7E1E4870">
        <w:tblPrEx>
          <w:tblCellMar>
            <w:top w:w="0" w:type="dxa"/>
            <w:left w:w="0" w:type="dxa"/>
            <w:bottom w:w="0" w:type="dxa"/>
            <w:right w:w="0" w:type="dxa"/>
          </w:tblCellMar>
        </w:tblPrEx>
        <w:trPr>
          <w:trHeight w:val="567" w:hRule="atLeast"/>
        </w:trPr>
        <w:tc>
          <w:tcPr>
            <w:tcW w:w="774" w:type="dxa"/>
            <w:vMerge w:val="continue"/>
            <w:tcBorders>
              <w:top w:val="single" w:color="auto" w:sz="8" w:space="0"/>
              <w:left w:val="single" w:color="auto" w:sz="8" w:space="0"/>
              <w:bottom w:val="single" w:color="auto" w:sz="4" w:space="0"/>
              <w:right w:val="single" w:color="auto" w:sz="8" w:space="0"/>
            </w:tcBorders>
            <w:noWrap w:val="0"/>
            <w:vAlign w:val="bottom"/>
          </w:tcPr>
          <w:p w14:paraId="711DB770">
            <w:pPr>
              <w:spacing w:line="276" w:lineRule="auto"/>
              <w:rPr>
                <w:rFonts w:ascii="宋体" w:hAnsi="宋体"/>
                <w:highlight w:val="none"/>
              </w:rPr>
            </w:pPr>
          </w:p>
        </w:tc>
        <w:tc>
          <w:tcPr>
            <w:tcW w:w="1134" w:type="dxa"/>
            <w:vMerge w:val="continue"/>
            <w:tcBorders>
              <w:top w:val="single" w:color="auto" w:sz="8" w:space="0"/>
              <w:bottom w:val="single" w:color="auto" w:sz="4" w:space="0"/>
              <w:right w:val="single" w:color="auto" w:sz="8" w:space="0"/>
            </w:tcBorders>
            <w:noWrap w:val="0"/>
            <w:vAlign w:val="bottom"/>
          </w:tcPr>
          <w:p w14:paraId="556ED918">
            <w:pPr>
              <w:spacing w:line="276" w:lineRule="auto"/>
              <w:rPr>
                <w:rFonts w:ascii="宋体" w:hAnsi="宋体"/>
                <w:highlight w:val="none"/>
              </w:rPr>
            </w:pPr>
          </w:p>
        </w:tc>
        <w:tc>
          <w:tcPr>
            <w:tcW w:w="2065" w:type="dxa"/>
            <w:tcBorders>
              <w:top w:val="single" w:color="auto" w:sz="4" w:space="0"/>
              <w:bottom w:val="single" w:color="auto" w:sz="8" w:space="0"/>
              <w:right w:val="single" w:color="auto" w:sz="4" w:space="0"/>
            </w:tcBorders>
            <w:noWrap w:val="0"/>
            <w:vAlign w:val="center"/>
          </w:tcPr>
          <w:p w14:paraId="57ADC29B">
            <w:pPr>
              <w:spacing w:line="276" w:lineRule="auto"/>
              <w:jc w:val="center"/>
              <w:rPr>
                <w:rFonts w:ascii="宋体" w:hAnsi="宋体"/>
                <w:highlight w:val="none"/>
              </w:rPr>
            </w:pPr>
            <w:r>
              <w:rPr>
                <w:rFonts w:ascii="宋体" w:hAnsi="宋体"/>
                <w:highlight w:val="none"/>
              </w:rPr>
              <w:t>监理服务期限</w:t>
            </w:r>
          </w:p>
        </w:tc>
        <w:tc>
          <w:tcPr>
            <w:tcW w:w="5676" w:type="dxa"/>
            <w:tcBorders>
              <w:top w:val="single" w:color="auto" w:sz="4" w:space="0"/>
              <w:left w:val="single" w:color="auto" w:sz="4" w:space="0"/>
              <w:bottom w:val="single" w:color="auto" w:sz="8" w:space="0"/>
              <w:right w:val="single" w:color="auto" w:sz="8" w:space="0"/>
            </w:tcBorders>
            <w:noWrap w:val="0"/>
            <w:vAlign w:val="center"/>
          </w:tcPr>
          <w:p w14:paraId="11CC77E2">
            <w:pPr>
              <w:spacing w:line="276" w:lineRule="auto"/>
              <w:ind w:left="136" w:leftChars="65"/>
              <w:rPr>
                <w:rFonts w:ascii="宋体" w:hAnsi="宋体"/>
                <w:highlight w:val="none"/>
              </w:rPr>
            </w:pPr>
            <w:r>
              <w:rPr>
                <w:rFonts w:ascii="宋体" w:hAnsi="宋体"/>
                <w:highlight w:val="none"/>
              </w:rPr>
              <w:t>符合第二章“投标人须知”第 1.3.2 项规定</w:t>
            </w:r>
          </w:p>
        </w:tc>
      </w:tr>
      <w:tr w14:paraId="49000DC2">
        <w:tblPrEx>
          <w:tblCellMar>
            <w:top w:w="0" w:type="dxa"/>
            <w:left w:w="0" w:type="dxa"/>
            <w:bottom w:w="0" w:type="dxa"/>
            <w:right w:w="0" w:type="dxa"/>
          </w:tblCellMar>
        </w:tblPrEx>
        <w:trPr>
          <w:trHeight w:val="567" w:hRule="atLeast"/>
        </w:trPr>
        <w:tc>
          <w:tcPr>
            <w:tcW w:w="774" w:type="dxa"/>
            <w:vMerge w:val="continue"/>
            <w:tcBorders>
              <w:top w:val="single" w:color="auto" w:sz="8" w:space="0"/>
              <w:left w:val="single" w:color="auto" w:sz="8" w:space="0"/>
              <w:bottom w:val="single" w:color="auto" w:sz="4" w:space="0"/>
              <w:right w:val="single" w:color="auto" w:sz="8" w:space="0"/>
            </w:tcBorders>
            <w:noWrap w:val="0"/>
            <w:vAlign w:val="bottom"/>
          </w:tcPr>
          <w:p w14:paraId="2CA8DBB0">
            <w:pPr>
              <w:spacing w:line="276" w:lineRule="auto"/>
              <w:rPr>
                <w:rFonts w:ascii="宋体" w:hAnsi="宋体"/>
                <w:highlight w:val="none"/>
              </w:rPr>
            </w:pPr>
          </w:p>
        </w:tc>
        <w:tc>
          <w:tcPr>
            <w:tcW w:w="1134" w:type="dxa"/>
            <w:vMerge w:val="continue"/>
            <w:tcBorders>
              <w:top w:val="single" w:color="auto" w:sz="8" w:space="0"/>
              <w:bottom w:val="single" w:color="auto" w:sz="4" w:space="0"/>
              <w:right w:val="single" w:color="auto" w:sz="8" w:space="0"/>
            </w:tcBorders>
            <w:noWrap w:val="0"/>
            <w:vAlign w:val="bottom"/>
          </w:tcPr>
          <w:p w14:paraId="0B54EAC0">
            <w:pPr>
              <w:spacing w:line="276" w:lineRule="auto"/>
              <w:rPr>
                <w:rFonts w:ascii="宋体" w:hAnsi="宋体"/>
                <w:highlight w:val="none"/>
              </w:rPr>
            </w:pPr>
          </w:p>
        </w:tc>
        <w:tc>
          <w:tcPr>
            <w:tcW w:w="2065" w:type="dxa"/>
            <w:tcBorders>
              <w:top w:val="single" w:color="auto" w:sz="4" w:space="0"/>
              <w:bottom w:val="single" w:color="auto" w:sz="8" w:space="0"/>
              <w:right w:val="single" w:color="auto" w:sz="4" w:space="0"/>
            </w:tcBorders>
            <w:noWrap w:val="0"/>
            <w:vAlign w:val="center"/>
          </w:tcPr>
          <w:p w14:paraId="56B55D55">
            <w:pPr>
              <w:spacing w:line="276" w:lineRule="auto"/>
              <w:jc w:val="center"/>
              <w:rPr>
                <w:rFonts w:ascii="宋体" w:hAnsi="宋体"/>
                <w:highlight w:val="none"/>
              </w:rPr>
            </w:pPr>
            <w:r>
              <w:rPr>
                <w:rFonts w:ascii="宋体" w:hAnsi="宋体"/>
                <w:highlight w:val="none"/>
              </w:rPr>
              <w:t>质量标准</w:t>
            </w:r>
          </w:p>
        </w:tc>
        <w:tc>
          <w:tcPr>
            <w:tcW w:w="5676" w:type="dxa"/>
            <w:tcBorders>
              <w:top w:val="single" w:color="auto" w:sz="4" w:space="0"/>
              <w:left w:val="single" w:color="auto" w:sz="4" w:space="0"/>
              <w:bottom w:val="single" w:color="auto" w:sz="8" w:space="0"/>
              <w:right w:val="single" w:color="auto" w:sz="8" w:space="0"/>
            </w:tcBorders>
            <w:noWrap w:val="0"/>
            <w:vAlign w:val="center"/>
          </w:tcPr>
          <w:p w14:paraId="23AB4D95">
            <w:pPr>
              <w:spacing w:line="276" w:lineRule="auto"/>
              <w:ind w:left="136" w:leftChars="65"/>
              <w:rPr>
                <w:rFonts w:ascii="宋体" w:hAnsi="宋体"/>
                <w:highlight w:val="none"/>
              </w:rPr>
            </w:pPr>
            <w:r>
              <w:rPr>
                <w:rFonts w:ascii="宋体" w:hAnsi="宋体"/>
                <w:highlight w:val="none"/>
              </w:rPr>
              <w:t>符合第二章“投标人须知”第 1.3.3 项规定</w:t>
            </w:r>
          </w:p>
        </w:tc>
      </w:tr>
      <w:tr w14:paraId="7D56B330">
        <w:tblPrEx>
          <w:tblCellMar>
            <w:top w:w="0" w:type="dxa"/>
            <w:left w:w="0" w:type="dxa"/>
            <w:bottom w:w="0" w:type="dxa"/>
            <w:right w:w="0" w:type="dxa"/>
          </w:tblCellMar>
        </w:tblPrEx>
        <w:trPr>
          <w:trHeight w:val="567" w:hRule="atLeast"/>
        </w:trPr>
        <w:tc>
          <w:tcPr>
            <w:tcW w:w="774" w:type="dxa"/>
            <w:vMerge w:val="continue"/>
            <w:tcBorders>
              <w:top w:val="single" w:color="auto" w:sz="8" w:space="0"/>
              <w:left w:val="single" w:color="auto" w:sz="8" w:space="0"/>
              <w:bottom w:val="single" w:color="auto" w:sz="4" w:space="0"/>
              <w:right w:val="single" w:color="auto" w:sz="8" w:space="0"/>
            </w:tcBorders>
            <w:noWrap w:val="0"/>
            <w:vAlign w:val="bottom"/>
          </w:tcPr>
          <w:p w14:paraId="13A11C74">
            <w:pPr>
              <w:spacing w:line="276" w:lineRule="auto"/>
              <w:rPr>
                <w:rFonts w:ascii="宋体" w:hAnsi="宋体"/>
                <w:highlight w:val="none"/>
              </w:rPr>
            </w:pPr>
          </w:p>
        </w:tc>
        <w:tc>
          <w:tcPr>
            <w:tcW w:w="1134" w:type="dxa"/>
            <w:vMerge w:val="continue"/>
            <w:tcBorders>
              <w:top w:val="single" w:color="auto" w:sz="8" w:space="0"/>
              <w:bottom w:val="single" w:color="auto" w:sz="4" w:space="0"/>
              <w:right w:val="single" w:color="auto" w:sz="8" w:space="0"/>
            </w:tcBorders>
            <w:noWrap w:val="0"/>
            <w:vAlign w:val="bottom"/>
          </w:tcPr>
          <w:p w14:paraId="797A97D9">
            <w:pPr>
              <w:spacing w:line="276" w:lineRule="auto"/>
              <w:rPr>
                <w:rFonts w:ascii="宋体" w:hAnsi="宋体"/>
                <w:highlight w:val="none"/>
              </w:rPr>
            </w:pPr>
          </w:p>
        </w:tc>
        <w:tc>
          <w:tcPr>
            <w:tcW w:w="2065" w:type="dxa"/>
            <w:tcBorders>
              <w:top w:val="single" w:color="auto" w:sz="4" w:space="0"/>
              <w:bottom w:val="single" w:color="auto" w:sz="8" w:space="0"/>
              <w:right w:val="single" w:color="auto" w:sz="4" w:space="0"/>
            </w:tcBorders>
            <w:noWrap w:val="0"/>
            <w:vAlign w:val="center"/>
          </w:tcPr>
          <w:p w14:paraId="735D455F">
            <w:pPr>
              <w:spacing w:line="276" w:lineRule="auto"/>
              <w:jc w:val="center"/>
              <w:rPr>
                <w:rFonts w:ascii="宋体" w:hAnsi="宋体"/>
                <w:highlight w:val="none"/>
              </w:rPr>
            </w:pPr>
            <w:r>
              <w:rPr>
                <w:rFonts w:ascii="宋体" w:hAnsi="宋体"/>
                <w:highlight w:val="none"/>
              </w:rPr>
              <w:t>投标有效期</w:t>
            </w:r>
          </w:p>
        </w:tc>
        <w:tc>
          <w:tcPr>
            <w:tcW w:w="5676" w:type="dxa"/>
            <w:tcBorders>
              <w:top w:val="single" w:color="auto" w:sz="4" w:space="0"/>
              <w:left w:val="single" w:color="auto" w:sz="4" w:space="0"/>
              <w:bottom w:val="single" w:color="auto" w:sz="8" w:space="0"/>
              <w:right w:val="single" w:color="auto" w:sz="8" w:space="0"/>
            </w:tcBorders>
            <w:noWrap w:val="0"/>
            <w:vAlign w:val="center"/>
          </w:tcPr>
          <w:p w14:paraId="7F29F831">
            <w:pPr>
              <w:spacing w:line="276" w:lineRule="auto"/>
              <w:ind w:left="136" w:leftChars="65"/>
              <w:rPr>
                <w:rFonts w:ascii="宋体" w:hAnsi="宋体"/>
                <w:highlight w:val="none"/>
              </w:rPr>
            </w:pPr>
            <w:r>
              <w:rPr>
                <w:rFonts w:ascii="宋体" w:hAnsi="宋体"/>
                <w:highlight w:val="none"/>
              </w:rPr>
              <w:t>符合第二章“投标人须知”第 3.3.1 项规定</w:t>
            </w:r>
          </w:p>
        </w:tc>
      </w:tr>
      <w:tr w14:paraId="256D4467">
        <w:tblPrEx>
          <w:tblCellMar>
            <w:top w:w="0" w:type="dxa"/>
            <w:left w:w="0" w:type="dxa"/>
            <w:bottom w:w="0" w:type="dxa"/>
            <w:right w:w="0" w:type="dxa"/>
          </w:tblCellMar>
        </w:tblPrEx>
        <w:trPr>
          <w:trHeight w:val="567" w:hRule="atLeast"/>
        </w:trPr>
        <w:tc>
          <w:tcPr>
            <w:tcW w:w="774" w:type="dxa"/>
            <w:vMerge w:val="continue"/>
            <w:tcBorders>
              <w:top w:val="single" w:color="auto" w:sz="8" w:space="0"/>
              <w:left w:val="single" w:color="auto" w:sz="8" w:space="0"/>
              <w:bottom w:val="single" w:color="auto" w:sz="4" w:space="0"/>
              <w:right w:val="single" w:color="auto" w:sz="8" w:space="0"/>
            </w:tcBorders>
            <w:noWrap w:val="0"/>
            <w:vAlign w:val="bottom"/>
          </w:tcPr>
          <w:p w14:paraId="10C929C0">
            <w:pPr>
              <w:spacing w:line="276" w:lineRule="auto"/>
              <w:rPr>
                <w:rFonts w:ascii="宋体" w:hAnsi="宋体"/>
                <w:highlight w:val="none"/>
              </w:rPr>
            </w:pPr>
          </w:p>
        </w:tc>
        <w:tc>
          <w:tcPr>
            <w:tcW w:w="1134" w:type="dxa"/>
            <w:vMerge w:val="continue"/>
            <w:tcBorders>
              <w:top w:val="single" w:color="auto" w:sz="8" w:space="0"/>
              <w:bottom w:val="single" w:color="auto" w:sz="4" w:space="0"/>
              <w:right w:val="single" w:color="auto" w:sz="8" w:space="0"/>
            </w:tcBorders>
            <w:noWrap w:val="0"/>
            <w:vAlign w:val="bottom"/>
          </w:tcPr>
          <w:p w14:paraId="1F6688EA">
            <w:pPr>
              <w:spacing w:line="276" w:lineRule="auto"/>
              <w:rPr>
                <w:rFonts w:ascii="宋体" w:hAnsi="宋体"/>
                <w:highlight w:val="none"/>
              </w:rPr>
            </w:pPr>
          </w:p>
        </w:tc>
        <w:tc>
          <w:tcPr>
            <w:tcW w:w="2065" w:type="dxa"/>
            <w:tcBorders>
              <w:top w:val="single" w:color="auto" w:sz="4" w:space="0"/>
              <w:bottom w:val="single" w:color="auto" w:sz="8" w:space="0"/>
              <w:right w:val="single" w:color="auto" w:sz="4" w:space="0"/>
            </w:tcBorders>
            <w:noWrap w:val="0"/>
            <w:vAlign w:val="center"/>
          </w:tcPr>
          <w:p w14:paraId="5598B8B7">
            <w:pPr>
              <w:spacing w:line="276" w:lineRule="auto"/>
              <w:jc w:val="center"/>
              <w:rPr>
                <w:rFonts w:ascii="宋体" w:hAnsi="宋体"/>
                <w:strike/>
                <w:highlight w:val="none"/>
              </w:rPr>
            </w:pPr>
            <w:r>
              <w:rPr>
                <w:rFonts w:ascii="宋体" w:hAnsi="宋体"/>
                <w:strike/>
                <w:highlight w:val="none"/>
              </w:rPr>
              <w:t>投标保证金</w:t>
            </w:r>
          </w:p>
        </w:tc>
        <w:tc>
          <w:tcPr>
            <w:tcW w:w="5676" w:type="dxa"/>
            <w:tcBorders>
              <w:top w:val="single" w:color="auto" w:sz="4" w:space="0"/>
              <w:left w:val="single" w:color="auto" w:sz="4" w:space="0"/>
              <w:bottom w:val="single" w:color="auto" w:sz="8" w:space="0"/>
              <w:right w:val="single" w:color="auto" w:sz="8" w:space="0"/>
            </w:tcBorders>
            <w:noWrap w:val="0"/>
            <w:vAlign w:val="center"/>
          </w:tcPr>
          <w:p w14:paraId="4551BB03">
            <w:pPr>
              <w:spacing w:line="276" w:lineRule="auto"/>
              <w:ind w:left="136" w:leftChars="65"/>
              <w:rPr>
                <w:rFonts w:ascii="宋体" w:hAnsi="宋体"/>
                <w:strike/>
                <w:highlight w:val="none"/>
              </w:rPr>
            </w:pPr>
            <w:r>
              <w:rPr>
                <w:rFonts w:ascii="宋体" w:hAnsi="宋体"/>
                <w:strike/>
                <w:highlight w:val="none"/>
              </w:rPr>
              <w:t>符合第二章“投标人须知”第 3.4.1 项规定</w:t>
            </w:r>
          </w:p>
        </w:tc>
      </w:tr>
      <w:tr w14:paraId="7FED2065">
        <w:tblPrEx>
          <w:tblCellMar>
            <w:top w:w="0" w:type="dxa"/>
            <w:left w:w="0" w:type="dxa"/>
            <w:bottom w:w="0" w:type="dxa"/>
            <w:right w:w="0" w:type="dxa"/>
          </w:tblCellMar>
        </w:tblPrEx>
        <w:trPr>
          <w:trHeight w:val="1539" w:hRule="atLeast"/>
        </w:trPr>
        <w:tc>
          <w:tcPr>
            <w:tcW w:w="774" w:type="dxa"/>
            <w:vMerge w:val="continue"/>
            <w:tcBorders>
              <w:top w:val="single" w:color="auto" w:sz="8" w:space="0"/>
              <w:left w:val="single" w:color="auto" w:sz="8" w:space="0"/>
              <w:bottom w:val="single" w:color="auto" w:sz="4" w:space="0"/>
              <w:right w:val="single" w:color="auto" w:sz="8" w:space="0"/>
            </w:tcBorders>
            <w:noWrap w:val="0"/>
            <w:vAlign w:val="bottom"/>
          </w:tcPr>
          <w:p w14:paraId="262C78FE">
            <w:pPr>
              <w:spacing w:line="276" w:lineRule="auto"/>
              <w:rPr>
                <w:rFonts w:ascii="宋体" w:hAnsi="宋体"/>
                <w:highlight w:val="none"/>
              </w:rPr>
            </w:pPr>
          </w:p>
        </w:tc>
        <w:tc>
          <w:tcPr>
            <w:tcW w:w="1134" w:type="dxa"/>
            <w:vMerge w:val="continue"/>
            <w:tcBorders>
              <w:top w:val="single" w:color="auto" w:sz="8" w:space="0"/>
              <w:bottom w:val="single" w:color="auto" w:sz="4" w:space="0"/>
              <w:right w:val="single" w:color="auto" w:sz="8" w:space="0"/>
            </w:tcBorders>
            <w:noWrap w:val="0"/>
            <w:vAlign w:val="bottom"/>
          </w:tcPr>
          <w:p w14:paraId="4CB4048B">
            <w:pPr>
              <w:spacing w:line="276" w:lineRule="auto"/>
              <w:rPr>
                <w:rFonts w:ascii="宋体" w:hAnsi="宋体"/>
                <w:highlight w:val="none"/>
              </w:rPr>
            </w:pPr>
          </w:p>
        </w:tc>
        <w:tc>
          <w:tcPr>
            <w:tcW w:w="2065" w:type="dxa"/>
            <w:tcBorders>
              <w:top w:val="single" w:color="auto" w:sz="4" w:space="0"/>
              <w:bottom w:val="single" w:color="auto" w:sz="8" w:space="0"/>
              <w:right w:val="single" w:color="auto" w:sz="4" w:space="0"/>
            </w:tcBorders>
            <w:noWrap w:val="0"/>
            <w:vAlign w:val="center"/>
          </w:tcPr>
          <w:p w14:paraId="71B6679D">
            <w:pPr>
              <w:spacing w:line="276" w:lineRule="auto"/>
              <w:jc w:val="center"/>
              <w:rPr>
                <w:rFonts w:ascii="宋体" w:hAnsi="宋体"/>
                <w:highlight w:val="none"/>
              </w:rPr>
            </w:pPr>
            <w:r>
              <w:rPr>
                <w:rFonts w:hint="eastAsia" w:ascii="宋体" w:hAnsi="宋体"/>
                <w:highlight w:val="none"/>
              </w:rPr>
              <w:t>权利义务</w:t>
            </w:r>
          </w:p>
        </w:tc>
        <w:tc>
          <w:tcPr>
            <w:tcW w:w="5676" w:type="dxa"/>
            <w:tcBorders>
              <w:top w:val="single" w:color="auto" w:sz="4" w:space="0"/>
              <w:left w:val="single" w:color="auto" w:sz="4" w:space="0"/>
              <w:bottom w:val="single" w:color="auto" w:sz="8" w:space="0"/>
              <w:right w:val="single" w:color="auto" w:sz="8" w:space="0"/>
            </w:tcBorders>
            <w:noWrap w:val="0"/>
            <w:vAlign w:val="center"/>
          </w:tcPr>
          <w:p w14:paraId="2C2FEACB">
            <w:pPr>
              <w:widowControl/>
              <w:spacing w:line="300" w:lineRule="auto"/>
              <w:ind w:left="136" w:leftChars="65"/>
              <w:rPr>
                <w:rFonts w:ascii="宋体" w:hAnsi="宋体"/>
                <w:highlight w:val="none"/>
              </w:rPr>
            </w:pPr>
            <w:r>
              <w:rPr>
                <w:rFonts w:ascii="宋体" w:hAnsi="宋体"/>
                <w:highlight w:val="none"/>
              </w:rPr>
              <w:t>符合第二章“投标人须知”第1.12.1 项规定和第四章“合同条款及格式”中的实质性要求和条件</w:t>
            </w:r>
            <w:r>
              <w:rPr>
                <w:rFonts w:hint="eastAsia" w:ascii="宋体" w:hAnsi="宋体"/>
                <w:highlight w:val="none"/>
              </w:rPr>
              <w:t>。具体评审标准为投标人按照招标文件规定的格式和要求在投标文件中递交了投标函及投标函附录。</w:t>
            </w:r>
          </w:p>
        </w:tc>
      </w:tr>
      <w:tr w14:paraId="551E45B2">
        <w:tblPrEx>
          <w:tblCellMar>
            <w:top w:w="0" w:type="dxa"/>
            <w:left w:w="0" w:type="dxa"/>
            <w:bottom w:w="0" w:type="dxa"/>
            <w:right w:w="0" w:type="dxa"/>
          </w:tblCellMar>
        </w:tblPrEx>
        <w:trPr>
          <w:trHeight w:val="623" w:hRule="atLeast"/>
        </w:trPr>
        <w:tc>
          <w:tcPr>
            <w:tcW w:w="1908" w:type="dxa"/>
            <w:gridSpan w:val="2"/>
            <w:tcBorders>
              <w:top w:val="single" w:color="auto" w:sz="4" w:space="0"/>
              <w:left w:val="single" w:color="auto" w:sz="8" w:space="0"/>
              <w:bottom w:val="single" w:color="auto" w:sz="4" w:space="0"/>
              <w:right w:val="single" w:color="auto" w:sz="8" w:space="0"/>
            </w:tcBorders>
            <w:noWrap w:val="0"/>
            <w:vAlign w:val="center"/>
          </w:tcPr>
          <w:p w14:paraId="68F115D5">
            <w:pPr>
              <w:spacing w:line="276" w:lineRule="auto"/>
              <w:jc w:val="center"/>
              <w:rPr>
                <w:rFonts w:ascii="宋体" w:hAnsi="宋体"/>
                <w:b/>
                <w:w w:val="98"/>
                <w:highlight w:val="none"/>
              </w:rPr>
            </w:pPr>
            <w:r>
              <w:rPr>
                <w:rFonts w:hint="eastAsia" w:ascii="宋体" w:hAnsi="宋体"/>
                <w:b/>
                <w:highlight w:val="none"/>
              </w:rPr>
              <w:t>条款号</w:t>
            </w:r>
          </w:p>
        </w:tc>
        <w:tc>
          <w:tcPr>
            <w:tcW w:w="2065" w:type="dxa"/>
            <w:tcBorders>
              <w:top w:val="single" w:color="auto" w:sz="4" w:space="0"/>
              <w:bottom w:val="single" w:color="auto" w:sz="4" w:space="0"/>
              <w:right w:val="single" w:color="auto" w:sz="8" w:space="0"/>
            </w:tcBorders>
            <w:noWrap w:val="0"/>
            <w:vAlign w:val="center"/>
          </w:tcPr>
          <w:p w14:paraId="22602680">
            <w:pPr>
              <w:spacing w:line="276" w:lineRule="auto"/>
              <w:jc w:val="center"/>
              <w:rPr>
                <w:rFonts w:ascii="宋体" w:hAnsi="宋体"/>
                <w:b/>
                <w:w w:val="99"/>
                <w:highlight w:val="none"/>
              </w:rPr>
            </w:pPr>
            <w:r>
              <w:rPr>
                <w:rFonts w:hint="eastAsia" w:ascii="宋体" w:hAnsi="宋体"/>
                <w:b/>
                <w:highlight w:val="none"/>
              </w:rPr>
              <w:t>条款内容</w:t>
            </w:r>
          </w:p>
        </w:tc>
        <w:tc>
          <w:tcPr>
            <w:tcW w:w="5676" w:type="dxa"/>
            <w:tcBorders>
              <w:top w:val="single" w:color="auto" w:sz="4" w:space="0"/>
              <w:bottom w:val="single" w:color="auto" w:sz="4" w:space="0"/>
              <w:right w:val="single" w:color="auto" w:sz="4" w:space="0"/>
            </w:tcBorders>
            <w:noWrap w:val="0"/>
            <w:vAlign w:val="center"/>
          </w:tcPr>
          <w:p w14:paraId="30C1FAC6">
            <w:pPr>
              <w:spacing w:line="276" w:lineRule="auto"/>
              <w:jc w:val="center"/>
              <w:rPr>
                <w:rFonts w:hint="eastAsia" w:ascii="宋体" w:hAnsi="宋体"/>
                <w:highlight w:val="none"/>
              </w:rPr>
            </w:pPr>
            <w:r>
              <w:rPr>
                <w:rFonts w:hint="eastAsia" w:ascii="宋体" w:hAnsi="宋体"/>
                <w:b/>
                <w:highlight w:val="none"/>
              </w:rPr>
              <w:t>编列内容</w:t>
            </w:r>
          </w:p>
        </w:tc>
      </w:tr>
      <w:tr w14:paraId="546F5869">
        <w:tblPrEx>
          <w:tblCellMar>
            <w:top w:w="0" w:type="dxa"/>
            <w:left w:w="0" w:type="dxa"/>
            <w:bottom w:w="0" w:type="dxa"/>
            <w:right w:w="0" w:type="dxa"/>
          </w:tblCellMar>
        </w:tblPrEx>
        <w:trPr>
          <w:trHeight w:val="1266" w:hRule="atLeast"/>
        </w:trPr>
        <w:tc>
          <w:tcPr>
            <w:tcW w:w="1908" w:type="dxa"/>
            <w:gridSpan w:val="2"/>
            <w:tcBorders>
              <w:top w:val="single" w:color="auto" w:sz="4" w:space="0"/>
              <w:left w:val="single" w:color="auto" w:sz="8" w:space="0"/>
              <w:bottom w:val="single" w:color="auto" w:sz="4" w:space="0"/>
              <w:right w:val="single" w:color="auto" w:sz="8" w:space="0"/>
            </w:tcBorders>
            <w:noWrap w:val="0"/>
            <w:vAlign w:val="center"/>
          </w:tcPr>
          <w:p w14:paraId="4C8AD575">
            <w:pPr>
              <w:spacing w:line="276" w:lineRule="auto"/>
              <w:jc w:val="center"/>
              <w:rPr>
                <w:rFonts w:ascii="宋体" w:hAnsi="宋体"/>
                <w:highlight w:val="none"/>
              </w:rPr>
            </w:pPr>
            <w:r>
              <w:rPr>
                <w:rFonts w:hint="eastAsia" w:ascii="宋体" w:hAnsi="宋体"/>
                <w:highlight w:val="none"/>
              </w:rPr>
              <w:t>2.2.1</w:t>
            </w:r>
          </w:p>
        </w:tc>
        <w:tc>
          <w:tcPr>
            <w:tcW w:w="2065" w:type="dxa"/>
            <w:tcBorders>
              <w:top w:val="single" w:color="auto" w:sz="4" w:space="0"/>
              <w:left w:val="single" w:color="auto" w:sz="8" w:space="0"/>
              <w:right w:val="single" w:color="auto" w:sz="8" w:space="0"/>
            </w:tcBorders>
            <w:noWrap w:val="0"/>
            <w:vAlign w:val="center"/>
          </w:tcPr>
          <w:p w14:paraId="7FB5DD40">
            <w:pPr>
              <w:spacing w:line="276" w:lineRule="auto"/>
              <w:jc w:val="center"/>
              <w:rPr>
                <w:rFonts w:hint="eastAsia" w:ascii="宋体" w:hAnsi="宋体"/>
                <w:highlight w:val="none"/>
              </w:rPr>
            </w:pPr>
            <w:r>
              <w:rPr>
                <w:rFonts w:ascii="宋体" w:hAnsi="宋体"/>
                <w:highlight w:val="none"/>
              </w:rPr>
              <w:t>分值构成</w:t>
            </w:r>
          </w:p>
          <w:p w14:paraId="62388F1C">
            <w:pPr>
              <w:spacing w:line="276" w:lineRule="auto"/>
              <w:jc w:val="center"/>
              <w:rPr>
                <w:rFonts w:ascii="宋体" w:hAnsi="宋体"/>
                <w:highlight w:val="none"/>
              </w:rPr>
            </w:pPr>
            <w:r>
              <w:rPr>
                <w:rFonts w:ascii="宋体" w:hAnsi="宋体"/>
                <w:highlight w:val="none"/>
              </w:rPr>
              <w:t>(总分 100 分)</w:t>
            </w:r>
          </w:p>
        </w:tc>
        <w:tc>
          <w:tcPr>
            <w:tcW w:w="5676" w:type="dxa"/>
            <w:tcBorders>
              <w:top w:val="single" w:color="auto" w:sz="4" w:space="0"/>
              <w:left w:val="single" w:color="auto" w:sz="8" w:space="0"/>
              <w:bottom w:val="nil"/>
              <w:right w:val="single" w:color="auto" w:sz="8" w:space="0"/>
            </w:tcBorders>
            <w:noWrap w:val="0"/>
            <w:vAlign w:val="center"/>
          </w:tcPr>
          <w:p w14:paraId="1099B588">
            <w:pPr>
              <w:spacing w:line="312" w:lineRule="auto"/>
              <w:ind w:left="136" w:leftChars="65"/>
              <w:rPr>
                <w:rFonts w:hint="eastAsia" w:ascii="宋体" w:hAnsi="宋体"/>
                <w:color w:val="auto"/>
                <w:highlight w:val="none"/>
              </w:rPr>
            </w:pPr>
            <w:r>
              <w:rPr>
                <w:rFonts w:hint="eastAsia" w:ascii="宋体" w:hAnsi="宋体"/>
                <w:highlight w:val="none"/>
              </w:rPr>
              <w:t>1</w:t>
            </w:r>
            <w:r>
              <w:rPr>
                <w:rFonts w:ascii="宋体" w:hAnsi="宋体"/>
                <w:highlight w:val="none"/>
              </w:rPr>
              <w:t>.资信业绩</w:t>
            </w:r>
            <w:r>
              <w:rPr>
                <w:rFonts w:ascii="宋体" w:hAnsi="宋体"/>
                <w:color w:val="auto"/>
                <w:highlight w:val="none"/>
              </w:rPr>
              <w:t>部分：</w:t>
            </w:r>
            <w:r>
              <w:rPr>
                <w:rFonts w:hint="eastAsia" w:ascii="宋体" w:hAnsi="宋体"/>
                <w:color w:val="auto"/>
                <w:highlight w:val="none"/>
                <w:u w:val="single"/>
                <w:lang w:val="en-US" w:eastAsia="zh-CN"/>
              </w:rPr>
              <w:t>35</w:t>
            </w:r>
            <w:r>
              <w:rPr>
                <w:rFonts w:hint="eastAsia" w:ascii="宋体" w:hAnsi="宋体"/>
                <w:color w:val="auto"/>
                <w:highlight w:val="none"/>
              </w:rPr>
              <w:t>分</w:t>
            </w:r>
          </w:p>
          <w:p w14:paraId="7425CCED">
            <w:pPr>
              <w:spacing w:line="312" w:lineRule="auto"/>
              <w:ind w:left="136" w:leftChars="65"/>
              <w:rPr>
                <w:rFonts w:hint="eastAsia" w:ascii="宋体" w:hAnsi="宋体"/>
                <w:color w:val="auto"/>
                <w:highlight w:val="none"/>
              </w:rPr>
            </w:pPr>
            <w:r>
              <w:rPr>
                <w:rFonts w:hint="eastAsia" w:ascii="宋体" w:hAnsi="宋体"/>
                <w:color w:val="auto"/>
                <w:highlight w:val="none"/>
              </w:rPr>
              <w:t>2</w:t>
            </w:r>
            <w:r>
              <w:rPr>
                <w:rFonts w:ascii="宋体" w:hAnsi="宋体"/>
                <w:color w:val="auto"/>
                <w:highlight w:val="none"/>
              </w:rPr>
              <w:t>.监理大纲部分：</w:t>
            </w:r>
            <w:r>
              <w:rPr>
                <w:rFonts w:hint="eastAsia" w:ascii="宋体" w:hAnsi="宋体"/>
                <w:color w:val="auto"/>
                <w:highlight w:val="none"/>
                <w:u w:val="single"/>
                <w:lang w:val="en-US" w:eastAsia="zh-CN"/>
              </w:rPr>
              <w:t>35</w:t>
            </w:r>
            <w:r>
              <w:rPr>
                <w:rFonts w:hint="eastAsia" w:ascii="宋体" w:hAnsi="宋体"/>
                <w:color w:val="auto"/>
                <w:highlight w:val="none"/>
              </w:rPr>
              <w:t>分</w:t>
            </w:r>
          </w:p>
          <w:p w14:paraId="282ED330">
            <w:pPr>
              <w:spacing w:line="312" w:lineRule="auto"/>
              <w:ind w:left="136" w:leftChars="65"/>
              <w:rPr>
                <w:rFonts w:hint="eastAsia" w:ascii="宋体" w:hAnsi="宋体"/>
                <w:color w:val="auto"/>
                <w:highlight w:val="none"/>
              </w:rPr>
            </w:pPr>
            <w:r>
              <w:rPr>
                <w:rFonts w:hint="eastAsia" w:ascii="宋体" w:hAnsi="宋体"/>
                <w:color w:val="auto"/>
                <w:highlight w:val="none"/>
              </w:rPr>
              <w:t>3</w:t>
            </w:r>
            <w:r>
              <w:rPr>
                <w:rFonts w:ascii="宋体" w:hAnsi="宋体"/>
                <w:color w:val="auto"/>
                <w:highlight w:val="none"/>
              </w:rPr>
              <w:t>.投标报价：</w:t>
            </w:r>
            <w:r>
              <w:rPr>
                <w:rFonts w:hint="eastAsia" w:ascii="宋体" w:hAnsi="宋体"/>
                <w:color w:val="auto"/>
                <w:highlight w:val="none"/>
                <w:u w:val="single"/>
              </w:rPr>
              <w:t>10</w:t>
            </w:r>
            <w:r>
              <w:rPr>
                <w:rFonts w:hint="eastAsia" w:ascii="宋体" w:hAnsi="宋体"/>
                <w:color w:val="auto"/>
                <w:highlight w:val="none"/>
              </w:rPr>
              <w:t>分</w:t>
            </w:r>
          </w:p>
          <w:p w14:paraId="0AA16874">
            <w:pPr>
              <w:spacing w:line="312" w:lineRule="auto"/>
              <w:ind w:left="136" w:leftChars="65"/>
              <w:rPr>
                <w:rFonts w:hint="eastAsia" w:ascii="宋体" w:hAnsi="宋体"/>
                <w:color w:val="auto"/>
                <w:highlight w:val="none"/>
              </w:rPr>
            </w:pPr>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其他评分因素：</w:t>
            </w:r>
            <w:r>
              <w:rPr>
                <w:rFonts w:hint="eastAsia" w:ascii="宋体" w:hAnsi="宋体"/>
                <w:color w:val="auto"/>
                <w:highlight w:val="none"/>
                <w:u w:val="single"/>
                <w:lang w:val="en-US" w:eastAsia="zh-CN"/>
              </w:rPr>
              <w:t>2</w:t>
            </w:r>
            <w:r>
              <w:rPr>
                <w:rFonts w:hint="eastAsia" w:ascii="宋体" w:hAnsi="宋体"/>
                <w:color w:val="auto"/>
                <w:highlight w:val="none"/>
                <w:u w:val="single"/>
              </w:rPr>
              <w:t>0</w:t>
            </w:r>
            <w:r>
              <w:rPr>
                <w:rFonts w:hint="eastAsia" w:ascii="宋体" w:hAnsi="宋体"/>
                <w:color w:val="auto"/>
                <w:highlight w:val="none"/>
              </w:rPr>
              <w:t>分（诚信综合评价）</w:t>
            </w:r>
          </w:p>
          <w:p w14:paraId="177190E8">
            <w:pPr>
              <w:spacing w:line="312" w:lineRule="auto"/>
              <w:ind w:left="136" w:leftChars="65"/>
              <w:rPr>
                <w:rFonts w:hint="eastAsia" w:ascii="宋体" w:hAnsi="宋体"/>
                <w:highlight w:val="none"/>
              </w:rPr>
            </w:pPr>
            <w:r>
              <w:rPr>
                <w:rFonts w:hint="eastAsia" w:ascii="宋体" w:hAnsi="宋体"/>
                <w:color w:val="auto"/>
                <w:highlight w:val="none"/>
              </w:rPr>
              <w:t>注：</w:t>
            </w:r>
            <w:r>
              <w:rPr>
                <w:rFonts w:hint="eastAsia" w:ascii="宋体" w:hAnsi="宋体"/>
                <w:color w:val="auto"/>
                <w:highlight w:val="none"/>
                <w:u w:val="single"/>
              </w:rPr>
              <w:t xml:space="preserve"> 1+2+3+4项为投标人综合</w:t>
            </w:r>
            <w:r>
              <w:rPr>
                <w:rFonts w:hint="eastAsia" w:ascii="宋体" w:hAnsi="宋体"/>
                <w:highlight w:val="none"/>
                <w:u w:val="single"/>
              </w:rPr>
              <w:t>得分。</w:t>
            </w:r>
          </w:p>
        </w:tc>
      </w:tr>
      <w:tr w14:paraId="093CAE75">
        <w:tblPrEx>
          <w:tblCellMar>
            <w:top w:w="0" w:type="dxa"/>
            <w:left w:w="0" w:type="dxa"/>
            <w:bottom w:w="0" w:type="dxa"/>
            <w:right w:w="0" w:type="dxa"/>
          </w:tblCellMar>
        </w:tblPrEx>
        <w:trPr>
          <w:trHeight w:val="2261" w:hRule="atLeast"/>
        </w:trPr>
        <w:tc>
          <w:tcPr>
            <w:tcW w:w="1908" w:type="dxa"/>
            <w:gridSpan w:val="2"/>
            <w:tcBorders>
              <w:top w:val="single" w:color="auto" w:sz="4" w:space="0"/>
              <w:left w:val="single" w:color="auto" w:sz="8" w:space="0"/>
              <w:bottom w:val="single" w:color="auto" w:sz="4" w:space="0"/>
              <w:right w:val="single" w:color="auto" w:sz="8" w:space="0"/>
            </w:tcBorders>
            <w:noWrap w:val="0"/>
            <w:vAlign w:val="center"/>
          </w:tcPr>
          <w:p w14:paraId="372CA8C1">
            <w:pPr>
              <w:spacing w:line="276" w:lineRule="auto"/>
              <w:jc w:val="center"/>
              <w:rPr>
                <w:rFonts w:ascii="宋体" w:hAnsi="宋体"/>
                <w:w w:val="99"/>
                <w:highlight w:val="none"/>
              </w:rPr>
            </w:pPr>
            <w:r>
              <w:rPr>
                <w:rFonts w:ascii="宋体" w:hAnsi="宋体"/>
                <w:highlight w:val="none"/>
              </w:rPr>
              <w:t>2.2.2</w:t>
            </w:r>
          </w:p>
        </w:tc>
        <w:tc>
          <w:tcPr>
            <w:tcW w:w="2065" w:type="dxa"/>
            <w:tcBorders>
              <w:top w:val="single" w:color="auto" w:sz="4" w:space="0"/>
              <w:bottom w:val="single" w:color="auto" w:sz="4" w:space="0"/>
              <w:right w:val="single" w:color="auto" w:sz="8" w:space="0"/>
            </w:tcBorders>
            <w:noWrap w:val="0"/>
            <w:vAlign w:val="center"/>
          </w:tcPr>
          <w:p w14:paraId="43A6C066">
            <w:pPr>
              <w:spacing w:line="276" w:lineRule="auto"/>
              <w:jc w:val="center"/>
              <w:rPr>
                <w:rFonts w:ascii="宋体" w:hAnsi="宋体"/>
                <w:highlight w:val="none"/>
              </w:rPr>
            </w:pPr>
            <w:r>
              <w:rPr>
                <w:rFonts w:ascii="宋体" w:hAnsi="宋体"/>
                <w:highlight w:val="none"/>
              </w:rPr>
              <w:t>评标基准价计算方法</w:t>
            </w:r>
          </w:p>
        </w:tc>
        <w:tc>
          <w:tcPr>
            <w:tcW w:w="5676" w:type="dxa"/>
            <w:tcBorders>
              <w:top w:val="single" w:color="auto" w:sz="4" w:space="0"/>
              <w:bottom w:val="single" w:color="auto" w:sz="4" w:space="0"/>
              <w:right w:val="single" w:color="auto" w:sz="8" w:space="0"/>
            </w:tcBorders>
            <w:noWrap w:val="0"/>
            <w:vAlign w:val="center"/>
          </w:tcPr>
          <w:p w14:paraId="5B24BC57">
            <w:pPr>
              <w:spacing w:line="312" w:lineRule="auto"/>
              <w:ind w:left="136" w:leftChars="65"/>
              <w:rPr>
                <w:rFonts w:ascii="宋体" w:hAnsi="宋体"/>
                <w:highlight w:val="none"/>
              </w:rPr>
            </w:pPr>
            <w:r>
              <w:rPr>
                <w:rFonts w:hint="eastAsia" w:ascii="宋体" w:hAnsi="宋体"/>
                <w:highlight w:val="none"/>
              </w:rPr>
              <w:t>当通过形式评审、资格评审和响应性评审的有效投标人大于5名时，去掉一个最高价和一个最低价，取余下有效投标价的算术平均值的作为评标参考价（即评标基准价）。当通过形式评审、资格评审和响应性评审的有效投标人小于等于5名且大于等于</w:t>
            </w:r>
            <w:r>
              <w:rPr>
                <w:rFonts w:ascii="宋体" w:hAnsi="宋体"/>
                <w:highlight w:val="none"/>
              </w:rPr>
              <w:t>3</w:t>
            </w:r>
            <w:r>
              <w:rPr>
                <w:rFonts w:hint="eastAsia" w:ascii="宋体" w:hAnsi="宋体"/>
                <w:highlight w:val="none"/>
              </w:rPr>
              <w:t>名时，取所有入围的有效投标价的算术平均值作为评标基准价（有效报价范围为最高投标限价以内的，超过此范围的报价不参与评标基准价的）。</w:t>
            </w:r>
          </w:p>
        </w:tc>
      </w:tr>
      <w:tr w14:paraId="1D71E0A4">
        <w:tblPrEx>
          <w:tblCellMar>
            <w:top w:w="0" w:type="dxa"/>
            <w:left w:w="0" w:type="dxa"/>
            <w:bottom w:w="0" w:type="dxa"/>
            <w:right w:w="0" w:type="dxa"/>
          </w:tblCellMar>
        </w:tblPrEx>
        <w:trPr>
          <w:trHeight w:val="679" w:hRule="atLeast"/>
        </w:trPr>
        <w:tc>
          <w:tcPr>
            <w:tcW w:w="1908" w:type="dxa"/>
            <w:gridSpan w:val="2"/>
            <w:tcBorders>
              <w:top w:val="single" w:color="auto" w:sz="4" w:space="0"/>
              <w:left w:val="single" w:color="auto" w:sz="8" w:space="0"/>
              <w:bottom w:val="single" w:color="auto" w:sz="4" w:space="0"/>
              <w:right w:val="single" w:color="auto" w:sz="8" w:space="0"/>
            </w:tcBorders>
            <w:noWrap w:val="0"/>
            <w:vAlign w:val="center"/>
          </w:tcPr>
          <w:p w14:paraId="40869013">
            <w:pPr>
              <w:spacing w:line="276" w:lineRule="auto"/>
              <w:jc w:val="center"/>
              <w:rPr>
                <w:rFonts w:ascii="宋体" w:hAnsi="宋体"/>
                <w:highlight w:val="none"/>
              </w:rPr>
            </w:pPr>
            <w:r>
              <w:rPr>
                <w:rFonts w:ascii="宋体" w:hAnsi="宋体"/>
                <w:highlight w:val="none"/>
              </w:rPr>
              <w:t>2.2.3</w:t>
            </w:r>
          </w:p>
        </w:tc>
        <w:tc>
          <w:tcPr>
            <w:tcW w:w="2065" w:type="dxa"/>
            <w:tcBorders>
              <w:top w:val="single" w:color="auto" w:sz="4" w:space="0"/>
              <w:left w:val="single" w:color="auto" w:sz="8" w:space="0"/>
              <w:bottom w:val="single" w:color="auto" w:sz="4" w:space="0"/>
              <w:right w:val="single" w:color="auto" w:sz="8" w:space="0"/>
            </w:tcBorders>
            <w:noWrap w:val="0"/>
            <w:vAlign w:val="center"/>
          </w:tcPr>
          <w:p w14:paraId="71F9F59F">
            <w:pPr>
              <w:spacing w:line="276" w:lineRule="auto"/>
              <w:jc w:val="center"/>
              <w:rPr>
                <w:rFonts w:ascii="宋体" w:hAnsi="宋体"/>
                <w:highlight w:val="none"/>
              </w:rPr>
            </w:pPr>
            <w:r>
              <w:rPr>
                <w:rFonts w:ascii="宋体" w:hAnsi="宋体"/>
                <w:highlight w:val="none"/>
              </w:rPr>
              <w:t>投标报价的偏差率</w:t>
            </w:r>
          </w:p>
          <w:p w14:paraId="7FA594B7">
            <w:pPr>
              <w:spacing w:line="276" w:lineRule="auto"/>
              <w:jc w:val="center"/>
              <w:rPr>
                <w:rFonts w:ascii="宋体" w:hAnsi="宋体"/>
                <w:highlight w:val="none"/>
              </w:rPr>
            </w:pPr>
            <w:r>
              <w:rPr>
                <w:rFonts w:ascii="宋体" w:hAnsi="宋体"/>
                <w:highlight w:val="none"/>
              </w:rPr>
              <w:t>计算公式</w:t>
            </w:r>
          </w:p>
        </w:tc>
        <w:tc>
          <w:tcPr>
            <w:tcW w:w="5676" w:type="dxa"/>
            <w:tcBorders>
              <w:top w:val="single" w:color="auto" w:sz="4" w:space="0"/>
              <w:bottom w:val="single" w:color="auto" w:sz="4" w:space="0"/>
              <w:right w:val="single" w:color="auto" w:sz="8" w:space="0"/>
            </w:tcBorders>
            <w:noWrap w:val="0"/>
            <w:vAlign w:val="center"/>
          </w:tcPr>
          <w:p w14:paraId="00A64EA3">
            <w:pPr>
              <w:spacing w:line="312" w:lineRule="auto"/>
              <w:ind w:left="136" w:leftChars="65"/>
              <w:rPr>
                <w:rFonts w:hint="eastAsia" w:ascii="宋体" w:hAnsi="宋体"/>
                <w:highlight w:val="none"/>
              </w:rPr>
            </w:pPr>
            <w:r>
              <w:rPr>
                <w:rFonts w:ascii="宋体" w:hAnsi="宋体"/>
                <w:highlight w:val="none"/>
              </w:rPr>
              <w:t>投标报价的偏差率</w:t>
            </w:r>
            <w:r>
              <w:rPr>
                <w:rFonts w:hint="eastAsia" w:ascii="宋体" w:hAnsi="宋体"/>
                <w:highlight w:val="none"/>
              </w:rPr>
              <w:t>=</w:t>
            </w:r>
            <w:r>
              <w:rPr>
                <w:rFonts w:ascii="宋体" w:hAnsi="宋体"/>
                <w:highlight w:val="none"/>
              </w:rPr>
              <w:t>[</w:t>
            </w:r>
            <w:r>
              <w:rPr>
                <w:rFonts w:hint="eastAsia" w:ascii="宋体" w:hAnsi="宋体"/>
                <w:highlight w:val="none"/>
              </w:rPr>
              <w:t>有效投标价（PT）-评标基准价（PC）</w:t>
            </w:r>
            <w:r>
              <w:rPr>
                <w:rFonts w:ascii="宋体" w:hAnsi="宋体"/>
                <w:highlight w:val="none"/>
              </w:rPr>
              <w:t xml:space="preserve">] </w:t>
            </w:r>
            <w:r>
              <w:rPr>
                <w:rFonts w:hint="eastAsia" w:ascii="宋体" w:hAnsi="宋体"/>
                <w:highlight w:val="none"/>
              </w:rPr>
              <w:t>/评标基准价（PC）X100%</w:t>
            </w:r>
          </w:p>
        </w:tc>
      </w:tr>
    </w:tbl>
    <w:p w14:paraId="2B79FE3D">
      <w:pPr>
        <w:rPr>
          <w:rFonts w:hint="eastAsia" w:ascii="宋体" w:hAnsi="宋体"/>
          <w:sz w:val="18"/>
          <w:szCs w:val="18"/>
          <w:highlight w:val="none"/>
        </w:rPr>
      </w:pPr>
      <w:r>
        <w:rPr>
          <w:rFonts w:hint="eastAsia" w:ascii="宋体" w:hAnsi="宋体"/>
          <w:sz w:val="18"/>
          <w:szCs w:val="18"/>
          <w:highlight w:val="none"/>
        </w:rPr>
        <w:br w:type="page"/>
      </w:r>
    </w:p>
    <w:tbl>
      <w:tblPr>
        <w:tblStyle w:val="36"/>
        <w:tblW w:w="9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9"/>
        <w:gridCol w:w="1060"/>
        <w:gridCol w:w="1190"/>
        <w:gridCol w:w="6638"/>
      </w:tblGrid>
      <w:tr w14:paraId="0FE53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819" w:type="dxa"/>
            <w:gridSpan w:val="2"/>
            <w:noWrap w:val="0"/>
            <w:vAlign w:val="center"/>
          </w:tcPr>
          <w:p w14:paraId="598CB665">
            <w:pPr>
              <w:jc w:val="center"/>
              <w:rPr>
                <w:rFonts w:hint="eastAsia" w:ascii="宋体" w:hAnsi="宋体"/>
                <w:sz w:val="18"/>
                <w:szCs w:val="18"/>
                <w:highlight w:val="none"/>
              </w:rPr>
            </w:pPr>
            <w:r>
              <w:rPr>
                <w:rFonts w:ascii="宋体" w:hAnsi="宋体"/>
                <w:b/>
                <w:sz w:val="18"/>
                <w:szCs w:val="18"/>
                <w:highlight w:val="none"/>
              </w:rPr>
              <w:t>条款号</w:t>
            </w:r>
          </w:p>
        </w:tc>
        <w:tc>
          <w:tcPr>
            <w:tcW w:w="1190" w:type="dxa"/>
            <w:noWrap w:val="0"/>
            <w:vAlign w:val="center"/>
          </w:tcPr>
          <w:p w14:paraId="0E53087A">
            <w:pPr>
              <w:jc w:val="center"/>
              <w:rPr>
                <w:rFonts w:hint="eastAsia" w:ascii="宋体" w:hAnsi="宋体"/>
                <w:sz w:val="18"/>
                <w:szCs w:val="18"/>
                <w:highlight w:val="none"/>
              </w:rPr>
            </w:pPr>
            <w:r>
              <w:rPr>
                <w:rFonts w:ascii="宋体" w:hAnsi="宋体"/>
                <w:b/>
                <w:sz w:val="18"/>
                <w:szCs w:val="18"/>
                <w:highlight w:val="none"/>
              </w:rPr>
              <w:t>评</w:t>
            </w:r>
            <w:r>
              <w:rPr>
                <w:rFonts w:hint="eastAsia" w:ascii="宋体" w:hAnsi="宋体"/>
                <w:b/>
                <w:sz w:val="18"/>
                <w:szCs w:val="18"/>
                <w:highlight w:val="none"/>
              </w:rPr>
              <w:t>审</w:t>
            </w:r>
            <w:r>
              <w:rPr>
                <w:rFonts w:ascii="宋体" w:hAnsi="宋体"/>
                <w:b/>
                <w:sz w:val="18"/>
                <w:szCs w:val="18"/>
                <w:highlight w:val="none"/>
              </w:rPr>
              <w:t>因素</w:t>
            </w:r>
          </w:p>
        </w:tc>
        <w:tc>
          <w:tcPr>
            <w:tcW w:w="6638" w:type="dxa"/>
            <w:noWrap w:val="0"/>
            <w:vAlign w:val="center"/>
          </w:tcPr>
          <w:p w14:paraId="4AF4ED73">
            <w:pPr>
              <w:ind w:firstLine="14"/>
              <w:jc w:val="center"/>
              <w:rPr>
                <w:rFonts w:hint="eastAsia" w:ascii="宋体" w:hAnsi="宋体"/>
                <w:sz w:val="18"/>
                <w:szCs w:val="18"/>
                <w:highlight w:val="none"/>
              </w:rPr>
            </w:pPr>
            <w:r>
              <w:rPr>
                <w:rFonts w:ascii="宋体" w:hAnsi="宋体"/>
                <w:b/>
                <w:sz w:val="18"/>
                <w:szCs w:val="18"/>
                <w:highlight w:val="none"/>
              </w:rPr>
              <w:t>评分标准</w:t>
            </w:r>
          </w:p>
        </w:tc>
      </w:tr>
      <w:tr w14:paraId="4B2B2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jc w:val="center"/>
        </w:trPr>
        <w:tc>
          <w:tcPr>
            <w:tcW w:w="759" w:type="dxa"/>
            <w:vMerge w:val="restart"/>
            <w:noWrap w:val="0"/>
            <w:vAlign w:val="center"/>
          </w:tcPr>
          <w:p w14:paraId="15B6D759">
            <w:pPr>
              <w:jc w:val="center"/>
              <w:rPr>
                <w:rFonts w:hint="eastAsia" w:ascii="宋体" w:hAnsi="宋体" w:cs="宋体"/>
                <w:highlight w:val="none"/>
              </w:rPr>
            </w:pPr>
            <w:r>
              <w:rPr>
                <w:rFonts w:hint="eastAsia" w:ascii="宋体" w:hAnsi="宋体" w:cs="宋体"/>
                <w:highlight w:val="none"/>
              </w:rPr>
              <w:t>2.2.4（1）</w:t>
            </w:r>
          </w:p>
        </w:tc>
        <w:tc>
          <w:tcPr>
            <w:tcW w:w="1060" w:type="dxa"/>
            <w:vMerge w:val="restart"/>
            <w:noWrap w:val="0"/>
            <w:vAlign w:val="center"/>
          </w:tcPr>
          <w:p w14:paraId="3E333C29">
            <w:pPr>
              <w:jc w:val="center"/>
              <w:rPr>
                <w:rFonts w:hint="eastAsia" w:ascii="宋体" w:hAnsi="宋体" w:cs="宋体"/>
                <w:highlight w:val="none"/>
              </w:rPr>
            </w:pPr>
            <w:r>
              <w:rPr>
                <w:rFonts w:hint="eastAsia" w:ascii="宋体" w:hAnsi="宋体" w:cs="宋体"/>
                <w:highlight w:val="none"/>
              </w:rPr>
              <w:t>资信业绩评分标准</w:t>
            </w:r>
          </w:p>
          <w:p w14:paraId="5C3FDB06">
            <w:pPr>
              <w:jc w:val="center"/>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35</w:t>
            </w:r>
            <w:r>
              <w:rPr>
                <w:rFonts w:hint="eastAsia" w:ascii="宋体" w:hAnsi="宋体" w:cs="宋体"/>
                <w:highlight w:val="none"/>
              </w:rPr>
              <w:t>分）</w:t>
            </w:r>
          </w:p>
        </w:tc>
        <w:tc>
          <w:tcPr>
            <w:tcW w:w="1190" w:type="dxa"/>
            <w:noWrap w:val="0"/>
            <w:vAlign w:val="center"/>
          </w:tcPr>
          <w:p w14:paraId="734A8775">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类似监理项目业绩</w:t>
            </w:r>
          </w:p>
          <w:p w14:paraId="3F710B65">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（6分）</w:t>
            </w:r>
          </w:p>
        </w:tc>
        <w:tc>
          <w:tcPr>
            <w:tcW w:w="6638" w:type="dxa"/>
            <w:noWrap w:val="0"/>
            <w:vAlign w:val="top"/>
          </w:tcPr>
          <w:p w14:paraId="7E9B14D8">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投标人自2021年1月1日至今承接过类似监理项目业绩，每一项得1分，最多得6分。</w:t>
            </w:r>
          </w:p>
          <w:p w14:paraId="05E3561D">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注：1）须同时提供中标通知书或免招标的相关证明、监理合同，时间以监理合同签订日期为依据。</w:t>
            </w:r>
          </w:p>
          <w:p w14:paraId="4EFFDCF2">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以上资料提供的复印件资料均加盖单位公章。</w:t>
            </w:r>
          </w:p>
          <w:p w14:paraId="512FA500">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2）同一个项目不重复计分。</w:t>
            </w:r>
          </w:p>
        </w:tc>
      </w:tr>
      <w:tr w14:paraId="659EE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jc w:val="center"/>
        </w:trPr>
        <w:tc>
          <w:tcPr>
            <w:tcW w:w="759" w:type="dxa"/>
            <w:vMerge w:val="continue"/>
            <w:noWrap w:val="0"/>
            <w:vAlign w:val="center"/>
          </w:tcPr>
          <w:p w14:paraId="21710F38">
            <w:pPr>
              <w:jc w:val="center"/>
              <w:rPr>
                <w:rFonts w:hint="eastAsia" w:ascii="宋体" w:hAnsi="宋体" w:cs="宋体"/>
                <w:highlight w:val="none"/>
              </w:rPr>
            </w:pPr>
          </w:p>
        </w:tc>
        <w:tc>
          <w:tcPr>
            <w:tcW w:w="1060" w:type="dxa"/>
            <w:vMerge w:val="continue"/>
            <w:noWrap w:val="0"/>
            <w:vAlign w:val="center"/>
          </w:tcPr>
          <w:p w14:paraId="67A44DA8">
            <w:pPr>
              <w:jc w:val="center"/>
              <w:rPr>
                <w:rFonts w:hint="eastAsia" w:ascii="宋体" w:hAnsi="宋体" w:cs="宋体"/>
                <w:highlight w:val="none"/>
              </w:rPr>
            </w:pPr>
          </w:p>
        </w:tc>
        <w:tc>
          <w:tcPr>
            <w:tcW w:w="1190" w:type="dxa"/>
            <w:noWrap w:val="0"/>
            <w:vAlign w:val="center"/>
          </w:tcPr>
          <w:p w14:paraId="443C8B65">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获奖监理项目业绩</w:t>
            </w:r>
          </w:p>
          <w:p w14:paraId="020CD819">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（10分）</w:t>
            </w:r>
          </w:p>
        </w:tc>
        <w:tc>
          <w:tcPr>
            <w:tcW w:w="6638" w:type="dxa"/>
            <w:noWrap w:val="0"/>
            <w:vAlign w:val="top"/>
          </w:tcPr>
          <w:p w14:paraId="5A1017CC">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投标人自2021年1月1日至今承接的类似监理项目：</w:t>
            </w:r>
          </w:p>
          <w:p w14:paraId="0F4E3A08">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获得国家级奖项，每项得3分</w:t>
            </w:r>
          </w:p>
          <w:p w14:paraId="44EF1412">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获得省级奖项，每项得2分；</w:t>
            </w:r>
          </w:p>
          <w:p w14:paraId="2CBEE849">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获得市级奖项的，每项得1分；</w:t>
            </w:r>
          </w:p>
          <w:p w14:paraId="3FACEACF">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无或其它不得分。</w:t>
            </w:r>
          </w:p>
          <w:p w14:paraId="77292CC3">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注：1.本项最多得10分。同一项目获多个奖项按最高获奖等级计算一次，不累计、不重复计分。</w:t>
            </w:r>
          </w:p>
          <w:p w14:paraId="56CEB861">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2.时间以获奖证书颁发日期为准，需提供获奖证书复印件并加盖公章，否则不得分。</w:t>
            </w:r>
          </w:p>
        </w:tc>
      </w:tr>
      <w:tr w14:paraId="0B2B8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759" w:type="dxa"/>
            <w:vMerge w:val="continue"/>
            <w:noWrap w:val="0"/>
            <w:vAlign w:val="center"/>
          </w:tcPr>
          <w:p w14:paraId="2424343A">
            <w:pPr>
              <w:jc w:val="center"/>
              <w:rPr>
                <w:rFonts w:hint="eastAsia" w:ascii="宋体" w:hAnsi="宋体" w:cs="宋体"/>
                <w:highlight w:val="none"/>
              </w:rPr>
            </w:pPr>
          </w:p>
        </w:tc>
        <w:tc>
          <w:tcPr>
            <w:tcW w:w="1060" w:type="dxa"/>
            <w:vMerge w:val="continue"/>
            <w:noWrap w:val="0"/>
            <w:vAlign w:val="center"/>
          </w:tcPr>
          <w:p w14:paraId="16FC2934">
            <w:pPr>
              <w:jc w:val="center"/>
              <w:rPr>
                <w:rFonts w:hint="eastAsia" w:ascii="宋体" w:hAnsi="宋体" w:cs="宋体"/>
                <w:highlight w:val="none"/>
              </w:rPr>
            </w:pPr>
          </w:p>
        </w:tc>
        <w:tc>
          <w:tcPr>
            <w:tcW w:w="1190" w:type="dxa"/>
            <w:noWrap w:val="0"/>
            <w:vAlign w:val="center"/>
          </w:tcPr>
          <w:p w14:paraId="2C7314C2">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项目总监</w:t>
            </w:r>
          </w:p>
          <w:p w14:paraId="7DCBBEB0">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（4分）</w:t>
            </w:r>
          </w:p>
        </w:tc>
        <w:tc>
          <w:tcPr>
            <w:tcW w:w="6638" w:type="dxa"/>
            <w:noWrap w:val="0"/>
            <w:vAlign w:val="top"/>
          </w:tcPr>
          <w:p w14:paraId="72B5FEF2">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1.满足招标公告要求，具有高级技术职称的得3分，工程师职称的得2分。最多得3分。</w:t>
            </w:r>
          </w:p>
          <w:p w14:paraId="55F97818">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注：1）以上资料提供的复印件资料均加盖单位公章。</w:t>
            </w:r>
          </w:p>
          <w:p w14:paraId="2D8C49F9">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需提供在投标人本单位缴交的近1个月（2024年</w:t>
            </w: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月）社保证明及相应证书复印件等证明材料，否则不得分。</w:t>
            </w:r>
          </w:p>
          <w:p w14:paraId="54066012">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2.自2021年1月1日至今作为项目总监承接过类似监理项目业绩，每一项得1分，最多得1分。</w:t>
            </w:r>
          </w:p>
          <w:p w14:paraId="37DB9AA9">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注：1）须同时提供中标通知书或免招标的相关证明、监理合同，时间以监理合同签订日期为依据。</w:t>
            </w:r>
          </w:p>
          <w:p w14:paraId="55CEB33D">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以上资料提供的复印件资料均加盖单位公章。</w:t>
            </w:r>
          </w:p>
        </w:tc>
      </w:tr>
      <w:tr w14:paraId="525EA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759" w:type="dxa"/>
            <w:vMerge w:val="continue"/>
            <w:noWrap w:val="0"/>
            <w:vAlign w:val="center"/>
          </w:tcPr>
          <w:p w14:paraId="28C214FF">
            <w:pPr>
              <w:jc w:val="center"/>
              <w:rPr>
                <w:rFonts w:hint="eastAsia" w:ascii="宋体" w:hAnsi="宋体" w:cs="宋体"/>
                <w:highlight w:val="none"/>
              </w:rPr>
            </w:pPr>
          </w:p>
        </w:tc>
        <w:tc>
          <w:tcPr>
            <w:tcW w:w="1060" w:type="dxa"/>
            <w:vMerge w:val="continue"/>
            <w:noWrap w:val="0"/>
            <w:vAlign w:val="center"/>
          </w:tcPr>
          <w:p w14:paraId="4F588E9F">
            <w:pPr>
              <w:jc w:val="center"/>
              <w:rPr>
                <w:rFonts w:hint="eastAsia" w:ascii="宋体" w:hAnsi="宋体" w:cs="宋体"/>
                <w:highlight w:val="none"/>
              </w:rPr>
            </w:pPr>
          </w:p>
        </w:tc>
        <w:tc>
          <w:tcPr>
            <w:tcW w:w="1190" w:type="dxa"/>
            <w:noWrap w:val="0"/>
            <w:vAlign w:val="center"/>
          </w:tcPr>
          <w:p w14:paraId="6A87620B">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拟投入其他主要人员（5分）</w:t>
            </w:r>
          </w:p>
        </w:tc>
        <w:tc>
          <w:tcPr>
            <w:tcW w:w="6638" w:type="dxa"/>
            <w:noWrap w:val="0"/>
            <w:vAlign w:val="center"/>
          </w:tcPr>
          <w:p w14:paraId="3843AAE2">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监理机构（项目总监理工程师除外）满足本项目各专业（土建、市政、造价、给排水、测量、安全）要求，拟投入人员每满足一个专业得0.5分，最多得3分。同一专业不重复计分。</w:t>
            </w:r>
          </w:p>
          <w:p w14:paraId="71F8F282">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以上专业人员中具有高级或以上职称或具有注册监理工程师的每人得1分，最多得2分。同一人不重复计分。</w:t>
            </w:r>
          </w:p>
          <w:p w14:paraId="3BD5E146">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注：1）所有监理人员资格证书执业单位必须为投标人本单位。</w:t>
            </w:r>
          </w:p>
          <w:p w14:paraId="7514BB68">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2）需提供在投标人本单位缴交的近1个月（2024年</w:t>
            </w: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月）社保证明及相应证书复印件等证明材料，无提供不得分。</w:t>
            </w:r>
          </w:p>
        </w:tc>
      </w:tr>
      <w:tr w14:paraId="6C7CC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759" w:type="dxa"/>
            <w:vMerge w:val="continue"/>
            <w:noWrap w:val="0"/>
            <w:vAlign w:val="center"/>
          </w:tcPr>
          <w:p w14:paraId="7832E15A">
            <w:pPr>
              <w:jc w:val="center"/>
              <w:rPr>
                <w:rFonts w:hint="eastAsia" w:ascii="宋体" w:hAnsi="宋体" w:cs="宋体"/>
                <w:highlight w:val="none"/>
              </w:rPr>
            </w:pPr>
          </w:p>
        </w:tc>
        <w:tc>
          <w:tcPr>
            <w:tcW w:w="1060" w:type="dxa"/>
            <w:vMerge w:val="continue"/>
            <w:noWrap w:val="0"/>
            <w:vAlign w:val="center"/>
          </w:tcPr>
          <w:p w14:paraId="730996BC">
            <w:pPr>
              <w:jc w:val="center"/>
              <w:rPr>
                <w:rFonts w:hint="eastAsia" w:ascii="宋体" w:hAnsi="宋体" w:cs="宋体"/>
                <w:highlight w:val="none"/>
              </w:rPr>
            </w:pPr>
          </w:p>
        </w:tc>
        <w:tc>
          <w:tcPr>
            <w:tcW w:w="1190" w:type="dxa"/>
            <w:noWrap w:val="0"/>
            <w:vAlign w:val="center"/>
          </w:tcPr>
          <w:p w14:paraId="35B9F74D">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信誉</w:t>
            </w:r>
          </w:p>
          <w:p w14:paraId="191C9B99">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（10分）</w:t>
            </w:r>
          </w:p>
        </w:tc>
        <w:tc>
          <w:tcPr>
            <w:tcW w:w="6638" w:type="dxa"/>
            <w:noWrap w:val="0"/>
            <w:vAlign w:val="top"/>
          </w:tcPr>
          <w:p w14:paraId="29F055A2">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标人同时具备质量管理体系、环境管理体系、职业健康安全管理体系的得3分；具备其中两个体系认证证书的得2分；具备其中一个体系认证证书的得1分；无或其他不得分。（认证证书须在有效期内）。最多得3分。</w:t>
            </w:r>
          </w:p>
          <w:p w14:paraId="0416DBAD">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2、投标人（含最近2023年份）获得“A级纳税人”称号情况：</w:t>
            </w:r>
          </w:p>
          <w:p w14:paraId="630AB5CF">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连续5次或以上获得纳税信用等级A级纳税人荣誉的得7分；</w:t>
            </w:r>
          </w:p>
          <w:p w14:paraId="604ED011">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连续4年获得纳税信用等级A级纳税人荣誉的得5分；</w:t>
            </w:r>
          </w:p>
          <w:p w14:paraId="0D497425">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连续3年及以下获得过纳税信用等级A级纳税人荣誉的得3分；</w:t>
            </w:r>
          </w:p>
          <w:p w14:paraId="118ADF7C">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没获得过的不得分。</w:t>
            </w:r>
          </w:p>
          <w:p w14:paraId="7A916979">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注：本项最多得7分</w:t>
            </w:r>
          </w:p>
        </w:tc>
      </w:tr>
      <w:tr w14:paraId="6EF67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9" w:type="dxa"/>
            <w:vMerge w:val="restart"/>
            <w:noWrap w:val="0"/>
            <w:vAlign w:val="center"/>
          </w:tcPr>
          <w:p w14:paraId="11B69211">
            <w:pPr>
              <w:pStyle w:val="33"/>
              <w:spacing w:before="0" w:beforeAutospacing="0" w:after="0" w:afterAutospacing="0"/>
              <w:ind w:left="15"/>
              <w:jc w:val="center"/>
              <w:rPr>
                <w:rFonts w:hint="eastAsia" w:cs="宋体"/>
                <w:sz w:val="21"/>
                <w:szCs w:val="21"/>
                <w:highlight w:val="none"/>
              </w:rPr>
            </w:pPr>
            <w:r>
              <w:rPr>
                <w:rFonts w:hint="eastAsia" w:cs="宋体"/>
                <w:sz w:val="21"/>
                <w:szCs w:val="21"/>
                <w:highlight w:val="none"/>
              </w:rPr>
              <w:t>2.2.4（2）</w:t>
            </w:r>
          </w:p>
        </w:tc>
        <w:tc>
          <w:tcPr>
            <w:tcW w:w="1060" w:type="dxa"/>
            <w:vMerge w:val="restart"/>
            <w:noWrap w:val="0"/>
            <w:vAlign w:val="center"/>
          </w:tcPr>
          <w:p w14:paraId="2C7683F9">
            <w:pPr>
              <w:pStyle w:val="33"/>
              <w:spacing w:before="0" w:beforeAutospacing="0" w:after="0" w:afterAutospacing="0"/>
              <w:ind w:left="15"/>
              <w:jc w:val="center"/>
              <w:rPr>
                <w:rFonts w:hint="eastAsia" w:cs="宋体"/>
                <w:sz w:val="21"/>
                <w:szCs w:val="21"/>
                <w:highlight w:val="none"/>
              </w:rPr>
            </w:pPr>
            <w:r>
              <w:rPr>
                <w:rFonts w:hint="eastAsia" w:cs="宋体"/>
                <w:sz w:val="21"/>
                <w:szCs w:val="21"/>
                <w:highlight w:val="none"/>
              </w:rPr>
              <w:t>监理大纲评分标准</w:t>
            </w:r>
          </w:p>
          <w:p w14:paraId="0208A7C1">
            <w:pPr>
              <w:pStyle w:val="33"/>
              <w:spacing w:before="0" w:beforeAutospacing="0" w:after="0" w:afterAutospacing="0"/>
              <w:ind w:left="15"/>
              <w:jc w:val="center"/>
              <w:rPr>
                <w:rFonts w:hint="eastAsia" w:cs="宋体"/>
                <w:sz w:val="21"/>
                <w:szCs w:val="21"/>
                <w:highlight w:val="none"/>
              </w:rPr>
            </w:pPr>
            <w:r>
              <w:rPr>
                <w:rFonts w:hint="eastAsia" w:cs="宋体"/>
                <w:sz w:val="21"/>
                <w:szCs w:val="21"/>
                <w:highlight w:val="none"/>
              </w:rPr>
              <w:t>（</w:t>
            </w:r>
            <w:r>
              <w:rPr>
                <w:rFonts w:hint="eastAsia" w:cs="宋体"/>
                <w:sz w:val="21"/>
                <w:szCs w:val="21"/>
                <w:highlight w:val="none"/>
                <w:lang w:val="en-US" w:eastAsia="zh-CN"/>
              </w:rPr>
              <w:t>35</w:t>
            </w:r>
            <w:r>
              <w:rPr>
                <w:rFonts w:hint="eastAsia" w:cs="宋体"/>
                <w:sz w:val="21"/>
                <w:szCs w:val="21"/>
                <w:highlight w:val="none"/>
              </w:rPr>
              <w:t>分）</w:t>
            </w:r>
          </w:p>
        </w:tc>
        <w:tc>
          <w:tcPr>
            <w:tcW w:w="1190" w:type="dxa"/>
            <w:noWrap w:val="0"/>
            <w:vAlign w:val="center"/>
          </w:tcPr>
          <w:p w14:paraId="7ED58B65">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监理工作</w:t>
            </w:r>
          </w:p>
          <w:p w14:paraId="12B429B5">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程序</w:t>
            </w:r>
          </w:p>
          <w:p w14:paraId="6D77C3B7">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（3分）</w:t>
            </w:r>
          </w:p>
        </w:tc>
        <w:tc>
          <w:tcPr>
            <w:tcW w:w="6638" w:type="dxa"/>
            <w:noWrap w:val="0"/>
            <w:vAlign w:val="center"/>
          </w:tcPr>
          <w:p w14:paraId="373616DA">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监理工作程序有清晰及合理的工作流程图、工作准则、满足要求的。</w:t>
            </w:r>
          </w:p>
          <w:p w14:paraId="648E9167">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优：3分；良：2分；差：1分；无不得分。</w:t>
            </w:r>
          </w:p>
        </w:tc>
      </w:tr>
      <w:tr w14:paraId="2883B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9" w:type="dxa"/>
            <w:vMerge w:val="continue"/>
            <w:noWrap w:val="0"/>
            <w:vAlign w:val="center"/>
          </w:tcPr>
          <w:p w14:paraId="441D9D8E">
            <w:pPr>
              <w:rPr>
                <w:rFonts w:hint="eastAsia" w:ascii="宋体" w:hAnsi="宋体" w:cs="宋体"/>
                <w:highlight w:val="none"/>
              </w:rPr>
            </w:pPr>
          </w:p>
        </w:tc>
        <w:tc>
          <w:tcPr>
            <w:tcW w:w="1060" w:type="dxa"/>
            <w:vMerge w:val="continue"/>
            <w:noWrap w:val="0"/>
            <w:vAlign w:val="center"/>
          </w:tcPr>
          <w:p w14:paraId="1AABEB41">
            <w:pPr>
              <w:rPr>
                <w:rFonts w:hint="eastAsia" w:ascii="宋体" w:hAnsi="宋体" w:cs="宋体"/>
                <w:highlight w:val="none"/>
              </w:rPr>
            </w:pPr>
          </w:p>
        </w:tc>
        <w:tc>
          <w:tcPr>
            <w:tcW w:w="1190" w:type="dxa"/>
            <w:noWrap w:val="0"/>
            <w:vAlign w:val="center"/>
          </w:tcPr>
          <w:p w14:paraId="67204B44">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质量控制</w:t>
            </w:r>
          </w:p>
          <w:p w14:paraId="65F7E838">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措施</w:t>
            </w:r>
          </w:p>
          <w:p w14:paraId="38B8D63C">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（5分）</w:t>
            </w:r>
          </w:p>
        </w:tc>
        <w:tc>
          <w:tcPr>
            <w:tcW w:w="6638" w:type="dxa"/>
            <w:noWrap w:val="0"/>
            <w:vAlign w:val="center"/>
          </w:tcPr>
          <w:p w14:paraId="56A78C0F">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质量控制措施要求目标明确、方法合理可行、措施具体、针对性强。</w:t>
            </w:r>
          </w:p>
          <w:p w14:paraId="15ACD14C">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优：5分；良：3分；差：1分；无不得分。</w:t>
            </w:r>
          </w:p>
        </w:tc>
      </w:tr>
      <w:tr w14:paraId="11528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9" w:type="dxa"/>
            <w:vMerge w:val="continue"/>
            <w:noWrap w:val="0"/>
            <w:vAlign w:val="center"/>
          </w:tcPr>
          <w:p w14:paraId="2AF5FCCD">
            <w:pPr>
              <w:rPr>
                <w:rFonts w:hint="eastAsia" w:ascii="宋体" w:hAnsi="宋体" w:cs="宋体"/>
                <w:highlight w:val="none"/>
              </w:rPr>
            </w:pPr>
          </w:p>
        </w:tc>
        <w:tc>
          <w:tcPr>
            <w:tcW w:w="1060" w:type="dxa"/>
            <w:vMerge w:val="continue"/>
            <w:noWrap w:val="0"/>
            <w:vAlign w:val="center"/>
          </w:tcPr>
          <w:p w14:paraId="703951B2">
            <w:pPr>
              <w:rPr>
                <w:rFonts w:hint="eastAsia" w:ascii="宋体" w:hAnsi="宋体" w:cs="宋体"/>
                <w:highlight w:val="none"/>
              </w:rPr>
            </w:pPr>
          </w:p>
        </w:tc>
        <w:tc>
          <w:tcPr>
            <w:tcW w:w="1190" w:type="dxa"/>
            <w:noWrap w:val="0"/>
            <w:vAlign w:val="center"/>
          </w:tcPr>
          <w:p w14:paraId="3602116A">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进度控制</w:t>
            </w:r>
          </w:p>
          <w:p w14:paraId="27C63442">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措施</w:t>
            </w:r>
          </w:p>
          <w:p w14:paraId="53585CC7">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（5分）</w:t>
            </w:r>
          </w:p>
        </w:tc>
        <w:tc>
          <w:tcPr>
            <w:tcW w:w="6638" w:type="dxa"/>
            <w:noWrap w:val="0"/>
            <w:vAlign w:val="center"/>
          </w:tcPr>
          <w:p w14:paraId="713A49C6">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进度控制措施要求目标明确、方法合理可行、措施具体、针对性强。</w:t>
            </w:r>
          </w:p>
          <w:p w14:paraId="5F1BB851">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优：5分；良：3分；差：1分；无不得分。</w:t>
            </w:r>
          </w:p>
        </w:tc>
      </w:tr>
      <w:tr w14:paraId="43E3E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9" w:type="dxa"/>
            <w:vMerge w:val="continue"/>
            <w:noWrap w:val="0"/>
            <w:vAlign w:val="center"/>
          </w:tcPr>
          <w:p w14:paraId="4031D169">
            <w:pPr>
              <w:rPr>
                <w:rFonts w:hint="eastAsia" w:ascii="宋体" w:hAnsi="宋体" w:cs="宋体"/>
                <w:highlight w:val="none"/>
              </w:rPr>
            </w:pPr>
          </w:p>
        </w:tc>
        <w:tc>
          <w:tcPr>
            <w:tcW w:w="1060" w:type="dxa"/>
            <w:vMerge w:val="continue"/>
            <w:noWrap w:val="0"/>
            <w:vAlign w:val="center"/>
          </w:tcPr>
          <w:p w14:paraId="3BFB1BA4">
            <w:pPr>
              <w:rPr>
                <w:rFonts w:hint="eastAsia" w:ascii="宋体" w:hAnsi="宋体" w:cs="宋体"/>
                <w:highlight w:val="none"/>
              </w:rPr>
            </w:pPr>
          </w:p>
        </w:tc>
        <w:tc>
          <w:tcPr>
            <w:tcW w:w="1190" w:type="dxa"/>
            <w:noWrap w:val="0"/>
            <w:vAlign w:val="center"/>
          </w:tcPr>
          <w:p w14:paraId="7169AEF9">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安全、文明施工管理</w:t>
            </w:r>
          </w:p>
          <w:p w14:paraId="3D9045BA">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（3分）</w:t>
            </w:r>
          </w:p>
        </w:tc>
        <w:tc>
          <w:tcPr>
            <w:tcW w:w="6638" w:type="dxa"/>
            <w:noWrap w:val="0"/>
            <w:vAlign w:val="center"/>
          </w:tcPr>
          <w:p w14:paraId="35711A01">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安全、文明施工管理目标明确，措施具体得力，能满足招标文件要求的。</w:t>
            </w:r>
          </w:p>
          <w:p w14:paraId="3CC76242">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优：3分；良：2分；差：1分；无不得分。</w:t>
            </w:r>
          </w:p>
        </w:tc>
      </w:tr>
      <w:tr w14:paraId="7BB5E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9" w:type="dxa"/>
            <w:vMerge w:val="continue"/>
            <w:noWrap w:val="0"/>
            <w:vAlign w:val="center"/>
          </w:tcPr>
          <w:p w14:paraId="65B8440D">
            <w:pPr>
              <w:rPr>
                <w:rFonts w:hint="eastAsia" w:ascii="宋体" w:hAnsi="宋体" w:cs="宋体"/>
                <w:highlight w:val="none"/>
              </w:rPr>
            </w:pPr>
          </w:p>
        </w:tc>
        <w:tc>
          <w:tcPr>
            <w:tcW w:w="1060" w:type="dxa"/>
            <w:vMerge w:val="continue"/>
            <w:noWrap w:val="0"/>
            <w:vAlign w:val="center"/>
          </w:tcPr>
          <w:p w14:paraId="40A647BE">
            <w:pPr>
              <w:rPr>
                <w:rFonts w:hint="eastAsia" w:ascii="宋体" w:hAnsi="宋体" w:cs="宋体"/>
                <w:highlight w:val="none"/>
              </w:rPr>
            </w:pPr>
          </w:p>
        </w:tc>
        <w:tc>
          <w:tcPr>
            <w:tcW w:w="1190" w:type="dxa"/>
            <w:noWrap w:val="0"/>
            <w:vAlign w:val="center"/>
          </w:tcPr>
          <w:p w14:paraId="68A397A4">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合同管理信息管理</w:t>
            </w:r>
          </w:p>
          <w:p w14:paraId="79104D13">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（3分）</w:t>
            </w:r>
          </w:p>
        </w:tc>
        <w:tc>
          <w:tcPr>
            <w:tcW w:w="6638" w:type="dxa"/>
            <w:noWrap w:val="0"/>
            <w:vAlign w:val="center"/>
          </w:tcPr>
          <w:p w14:paraId="114764A3">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合同管理明确、方法合理可行、措施具体、针对性强。</w:t>
            </w:r>
          </w:p>
          <w:p w14:paraId="3F993658">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优：3分；良：2分；差：1分；无不得分。</w:t>
            </w:r>
          </w:p>
        </w:tc>
      </w:tr>
      <w:tr w14:paraId="162CA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9" w:type="dxa"/>
            <w:vMerge w:val="continue"/>
            <w:noWrap w:val="0"/>
            <w:vAlign w:val="center"/>
          </w:tcPr>
          <w:p w14:paraId="618CD845">
            <w:pPr>
              <w:rPr>
                <w:rFonts w:hint="eastAsia" w:ascii="宋体" w:hAnsi="宋体" w:cs="宋体"/>
                <w:highlight w:val="none"/>
              </w:rPr>
            </w:pPr>
          </w:p>
        </w:tc>
        <w:tc>
          <w:tcPr>
            <w:tcW w:w="1060" w:type="dxa"/>
            <w:vMerge w:val="continue"/>
            <w:noWrap w:val="0"/>
            <w:vAlign w:val="center"/>
          </w:tcPr>
          <w:p w14:paraId="7ECDCDBB">
            <w:pPr>
              <w:rPr>
                <w:rFonts w:hint="eastAsia" w:ascii="宋体" w:hAnsi="宋体" w:cs="宋体"/>
                <w:highlight w:val="none"/>
              </w:rPr>
            </w:pPr>
          </w:p>
        </w:tc>
        <w:tc>
          <w:tcPr>
            <w:tcW w:w="1190" w:type="dxa"/>
            <w:noWrap w:val="0"/>
            <w:vAlign w:val="center"/>
          </w:tcPr>
          <w:p w14:paraId="1275EFCC">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投资控制</w:t>
            </w:r>
          </w:p>
          <w:p w14:paraId="679ECEA9">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措施</w:t>
            </w:r>
          </w:p>
          <w:p w14:paraId="13E04489">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（5分）</w:t>
            </w:r>
          </w:p>
        </w:tc>
        <w:tc>
          <w:tcPr>
            <w:tcW w:w="6638" w:type="dxa"/>
            <w:noWrap w:val="0"/>
            <w:vAlign w:val="center"/>
          </w:tcPr>
          <w:p w14:paraId="10D117D5">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要求目标明确、方法合理可行、措施具体、针对性强。</w:t>
            </w:r>
          </w:p>
          <w:p w14:paraId="3A680523">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优：5分；良：3分；差：1分；无不得分。</w:t>
            </w:r>
          </w:p>
        </w:tc>
      </w:tr>
      <w:tr w14:paraId="72243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9" w:type="dxa"/>
            <w:vMerge w:val="continue"/>
            <w:noWrap w:val="0"/>
            <w:vAlign w:val="center"/>
          </w:tcPr>
          <w:p w14:paraId="10FF7FC9">
            <w:pPr>
              <w:rPr>
                <w:rFonts w:hint="eastAsia" w:ascii="宋体" w:hAnsi="宋体" w:cs="宋体"/>
                <w:highlight w:val="none"/>
              </w:rPr>
            </w:pPr>
          </w:p>
        </w:tc>
        <w:tc>
          <w:tcPr>
            <w:tcW w:w="1060" w:type="dxa"/>
            <w:vMerge w:val="continue"/>
            <w:noWrap w:val="0"/>
            <w:vAlign w:val="center"/>
          </w:tcPr>
          <w:p w14:paraId="2E77D6A7">
            <w:pPr>
              <w:rPr>
                <w:rFonts w:hint="eastAsia" w:ascii="宋体" w:hAnsi="宋体" w:cs="宋体"/>
                <w:highlight w:val="none"/>
              </w:rPr>
            </w:pPr>
          </w:p>
        </w:tc>
        <w:tc>
          <w:tcPr>
            <w:tcW w:w="1190" w:type="dxa"/>
            <w:noWrap w:val="0"/>
            <w:vAlign w:val="center"/>
          </w:tcPr>
          <w:p w14:paraId="51A9E472">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组织协调</w:t>
            </w:r>
          </w:p>
          <w:p w14:paraId="21D1994E">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（3分）</w:t>
            </w:r>
          </w:p>
        </w:tc>
        <w:tc>
          <w:tcPr>
            <w:tcW w:w="6638" w:type="dxa"/>
            <w:noWrap w:val="0"/>
            <w:vAlign w:val="center"/>
          </w:tcPr>
          <w:p w14:paraId="6A8947CB">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方法措施合理可行。优：3分；良：2分；差：1分；无不得分。</w:t>
            </w:r>
          </w:p>
        </w:tc>
      </w:tr>
      <w:tr w14:paraId="5A6F9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9" w:type="dxa"/>
            <w:vMerge w:val="continue"/>
            <w:noWrap w:val="0"/>
            <w:vAlign w:val="center"/>
          </w:tcPr>
          <w:p w14:paraId="5E1803E9">
            <w:pPr>
              <w:rPr>
                <w:rFonts w:hint="eastAsia" w:ascii="宋体" w:hAnsi="宋体" w:cs="宋体"/>
                <w:highlight w:val="none"/>
              </w:rPr>
            </w:pPr>
          </w:p>
        </w:tc>
        <w:tc>
          <w:tcPr>
            <w:tcW w:w="1060" w:type="dxa"/>
            <w:vMerge w:val="continue"/>
            <w:noWrap w:val="0"/>
            <w:vAlign w:val="center"/>
          </w:tcPr>
          <w:p w14:paraId="1347D02F">
            <w:pPr>
              <w:rPr>
                <w:rFonts w:hint="eastAsia" w:ascii="宋体" w:hAnsi="宋体" w:cs="宋体"/>
                <w:highlight w:val="none"/>
              </w:rPr>
            </w:pPr>
          </w:p>
        </w:tc>
        <w:tc>
          <w:tcPr>
            <w:tcW w:w="1190" w:type="dxa"/>
            <w:noWrap w:val="0"/>
            <w:vAlign w:val="center"/>
          </w:tcPr>
          <w:p w14:paraId="75E0081A">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重点难点监控措施</w:t>
            </w:r>
          </w:p>
          <w:p w14:paraId="2D5D4A01">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（5分）</w:t>
            </w:r>
          </w:p>
        </w:tc>
        <w:tc>
          <w:tcPr>
            <w:tcW w:w="6638" w:type="dxa"/>
            <w:noWrap w:val="0"/>
            <w:vAlign w:val="center"/>
          </w:tcPr>
          <w:p w14:paraId="610C928E">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重点难点分析针对性强、措施具体方法措施合理可行。</w:t>
            </w:r>
          </w:p>
          <w:p w14:paraId="07997458">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优：5分；良：3分；差：1分；无不得分。</w:t>
            </w:r>
          </w:p>
        </w:tc>
      </w:tr>
      <w:tr w14:paraId="2323C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9" w:type="dxa"/>
            <w:vMerge w:val="continue"/>
            <w:noWrap w:val="0"/>
            <w:vAlign w:val="center"/>
          </w:tcPr>
          <w:p w14:paraId="1B379613">
            <w:pPr>
              <w:rPr>
                <w:rFonts w:hint="eastAsia" w:ascii="宋体" w:hAnsi="宋体" w:cs="宋体"/>
                <w:highlight w:val="none"/>
              </w:rPr>
            </w:pPr>
          </w:p>
        </w:tc>
        <w:tc>
          <w:tcPr>
            <w:tcW w:w="1060" w:type="dxa"/>
            <w:vMerge w:val="continue"/>
            <w:noWrap w:val="0"/>
            <w:vAlign w:val="center"/>
          </w:tcPr>
          <w:p w14:paraId="0D2C85A3">
            <w:pPr>
              <w:rPr>
                <w:rFonts w:hint="eastAsia" w:ascii="宋体" w:hAnsi="宋体" w:cs="宋体"/>
                <w:highlight w:val="none"/>
              </w:rPr>
            </w:pPr>
          </w:p>
        </w:tc>
        <w:tc>
          <w:tcPr>
            <w:tcW w:w="1190" w:type="dxa"/>
            <w:noWrap w:val="0"/>
            <w:vAlign w:val="center"/>
          </w:tcPr>
          <w:p w14:paraId="54F57B01">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工程进度款、工程结算的管理</w:t>
            </w:r>
          </w:p>
          <w:p w14:paraId="37BFBD0E">
            <w:pPr>
              <w:ind w:firstLine="14" w:firstLineChars="7"/>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（3分）</w:t>
            </w:r>
          </w:p>
        </w:tc>
        <w:tc>
          <w:tcPr>
            <w:tcW w:w="6638" w:type="dxa"/>
            <w:noWrap w:val="0"/>
            <w:vAlign w:val="center"/>
          </w:tcPr>
          <w:p w14:paraId="4E860F84">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方法措施合理可行。</w:t>
            </w:r>
          </w:p>
          <w:p w14:paraId="3E63EA3B">
            <w:pPr>
              <w:ind w:firstLine="14" w:firstLineChars="7"/>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优：3分；良：2分；差：1分；无不得分。</w:t>
            </w:r>
          </w:p>
        </w:tc>
      </w:tr>
      <w:tr w14:paraId="711A6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9" w:type="dxa"/>
            <w:noWrap w:val="0"/>
            <w:vAlign w:val="center"/>
          </w:tcPr>
          <w:p w14:paraId="5AE504E7">
            <w:pPr>
              <w:jc w:val="center"/>
              <w:rPr>
                <w:rFonts w:hint="eastAsia" w:ascii="宋体" w:hAnsi="宋体" w:cs="宋体"/>
                <w:kern w:val="0"/>
                <w:highlight w:val="none"/>
              </w:rPr>
            </w:pPr>
            <w:r>
              <w:rPr>
                <w:rFonts w:hint="eastAsia" w:ascii="宋体" w:hAnsi="宋体" w:cs="宋体"/>
                <w:kern w:val="0"/>
                <w:highlight w:val="none"/>
              </w:rPr>
              <w:t>2.2.4（3）</w:t>
            </w:r>
          </w:p>
        </w:tc>
        <w:tc>
          <w:tcPr>
            <w:tcW w:w="1060" w:type="dxa"/>
            <w:noWrap w:val="0"/>
            <w:vAlign w:val="center"/>
          </w:tcPr>
          <w:p w14:paraId="58060167">
            <w:pPr>
              <w:jc w:val="center"/>
              <w:rPr>
                <w:rFonts w:hint="eastAsia" w:ascii="宋体" w:hAnsi="宋体" w:cs="宋体"/>
                <w:kern w:val="0"/>
                <w:highlight w:val="none"/>
              </w:rPr>
            </w:pPr>
            <w:r>
              <w:rPr>
                <w:rFonts w:hint="eastAsia" w:ascii="宋体" w:hAnsi="宋体" w:cs="宋体"/>
                <w:kern w:val="0"/>
                <w:highlight w:val="none"/>
              </w:rPr>
              <w:t>投标报价评分标准</w:t>
            </w:r>
          </w:p>
          <w:p w14:paraId="1C9D270C">
            <w:pPr>
              <w:jc w:val="center"/>
              <w:rPr>
                <w:rFonts w:hint="eastAsia" w:ascii="宋体" w:hAnsi="宋体" w:cs="宋体"/>
                <w:kern w:val="0"/>
                <w:highlight w:val="none"/>
              </w:rPr>
            </w:pPr>
            <w:r>
              <w:rPr>
                <w:rFonts w:hint="eastAsia" w:ascii="宋体" w:hAnsi="宋体" w:cs="宋体"/>
                <w:kern w:val="0"/>
                <w:highlight w:val="none"/>
              </w:rPr>
              <w:t>(10分)</w:t>
            </w:r>
          </w:p>
        </w:tc>
        <w:tc>
          <w:tcPr>
            <w:tcW w:w="1190" w:type="dxa"/>
            <w:noWrap w:val="0"/>
            <w:vAlign w:val="center"/>
          </w:tcPr>
          <w:p w14:paraId="5C65720C">
            <w:pPr>
              <w:pStyle w:val="33"/>
              <w:spacing w:before="0" w:beforeAutospacing="0" w:after="0" w:afterAutospacing="0"/>
              <w:ind w:left="15"/>
              <w:jc w:val="center"/>
              <w:rPr>
                <w:rFonts w:hint="eastAsia" w:cs="宋体"/>
                <w:sz w:val="21"/>
                <w:szCs w:val="21"/>
                <w:highlight w:val="none"/>
              </w:rPr>
            </w:pPr>
            <w:r>
              <w:rPr>
                <w:rFonts w:hint="eastAsia" w:cs="宋体"/>
                <w:sz w:val="21"/>
                <w:szCs w:val="21"/>
                <w:highlight w:val="none"/>
              </w:rPr>
              <w:t>投标报价（10分）</w:t>
            </w:r>
          </w:p>
        </w:tc>
        <w:tc>
          <w:tcPr>
            <w:tcW w:w="6638" w:type="dxa"/>
            <w:noWrap w:val="0"/>
            <w:vAlign w:val="top"/>
          </w:tcPr>
          <w:p w14:paraId="23909425">
            <w:pPr>
              <w:pStyle w:val="33"/>
              <w:spacing w:before="0" w:beforeAutospacing="0" w:after="0" w:afterAutospacing="0"/>
              <w:ind w:left="15"/>
              <w:rPr>
                <w:rFonts w:hint="eastAsia" w:cs="宋体"/>
                <w:sz w:val="21"/>
                <w:szCs w:val="21"/>
                <w:highlight w:val="none"/>
              </w:rPr>
            </w:pPr>
            <w:r>
              <w:rPr>
                <w:rFonts w:hint="eastAsia" w:ascii="宋体" w:hAnsi="宋体" w:eastAsia="宋体" w:cs="宋体"/>
                <w:kern w:val="0"/>
                <w:sz w:val="21"/>
                <w:szCs w:val="21"/>
                <w:highlight w:val="none"/>
                <w:lang w:val="en-US" w:eastAsia="zh-CN" w:bidi="ar-SA"/>
              </w:rPr>
              <w:t>投标报价以竞争性报价形式的，投标报价得分以评标参考价作为计算各有效投标报价得分的基础，当有效投标报价等于评标参考价时得10分；投标有效投价与评标参考价相比，每上偏1%扣0.3分、下偏1%扣0.2分，中间分值采用插值计算，保留小数点后两位，小数点后第三位采用四舍五入方式计算，最多扣10分。</w:t>
            </w:r>
          </w:p>
        </w:tc>
      </w:tr>
      <w:tr w14:paraId="257B6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9" w:type="dxa"/>
            <w:noWrap w:val="0"/>
            <w:vAlign w:val="center"/>
          </w:tcPr>
          <w:p w14:paraId="4CB082B8">
            <w:pPr>
              <w:jc w:val="center"/>
              <w:rPr>
                <w:rFonts w:hint="eastAsia" w:ascii="宋体" w:hAnsi="宋体" w:cs="宋体"/>
                <w:color w:val="auto"/>
                <w:kern w:val="0"/>
                <w:highlight w:val="none"/>
              </w:rPr>
            </w:pPr>
            <w:r>
              <w:rPr>
                <w:rFonts w:hint="eastAsia" w:ascii="宋体" w:hAnsi="宋体" w:cs="宋体"/>
                <w:color w:val="auto"/>
                <w:kern w:val="0"/>
                <w:highlight w:val="none"/>
              </w:rPr>
              <w:t>2.2.4（4）</w:t>
            </w:r>
          </w:p>
        </w:tc>
        <w:tc>
          <w:tcPr>
            <w:tcW w:w="1060" w:type="dxa"/>
            <w:noWrap w:val="0"/>
            <w:vAlign w:val="center"/>
          </w:tcPr>
          <w:p w14:paraId="68085828">
            <w:pPr>
              <w:jc w:val="center"/>
              <w:rPr>
                <w:rFonts w:hint="eastAsia" w:ascii="宋体" w:hAnsi="宋体" w:cs="宋体"/>
                <w:color w:val="auto"/>
                <w:kern w:val="0"/>
                <w:highlight w:val="none"/>
              </w:rPr>
            </w:pPr>
            <w:r>
              <w:rPr>
                <w:rFonts w:hint="eastAsia" w:ascii="宋体" w:hAnsi="宋体" w:cs="宋体"/>
                <w:color w:val="auto"/>
                <w:kern w:val="0"/>
                <w:highlight w:val="none"/>
              </w:rPr>
              <w:t>其他因素评分标准</w:t>
            </w:r>
          </w:p>
          <w:p w14:paraId="75F4A6E2">
            <w:pPr>
              <w:jc w:val="center"/>
              <w:rPr>
                <w:rFonts w:hint="eastAsia" w:ascii="宋体" w:hAnsi="宋体" w:cs="宋体"/>
                <w:color w:val="auto"/>
                <w:kern w:val="0"/>
                <w:highlight w:val="none"/>
              </w:rPr>
            </w:pPr>
            <w:r>
              <w:rPr>
                <w:rFonts w:hint="eastAsia" w:ascii="宋体" w:hAnsi="宋体" w:cs="宋体"/>
                <w:color w:val="auto"/>
                <w:kern w:val="0"/>
                <w:highlight w:val="none"/>
              </w:rPr>
              <w:t>（</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0分）</w:t>
            </w:r>
          </w:p>
        </w:tc>
        <w:tc>
          <w:tcPr>
            <w:tcW w:w="1190" w:type="dxa"/>
            <w:noWrap w:val="0"/>
            <w:vAlign w:val="center"/>
          </w:tcPr>
          <w:p w14:paraId="3C482A92">
            <w:pPr>
              <w:pStyle w:val="33"/>
              <w:spacing w:before="0" w:beforeAutospacing="0" w:after="0" w:afterAutospacing="0"/>
              <w:ind w:left="15"/>
              <w:jc w:val="center"/>
              <w:rPr>
                <w:rFonts w:hint="eastAsia" w:cs="宋体"/>
                <w:color w:val="auto"/>
                <w:sz w:val="21"/>
                <w:szCs w:val="21"/>
                <w:highlight w:val="none"/>
              </w:rPr>
            </w:pPr>
            <w:r>
              <w:rPr>
                <w:rFonts w:hint="eastAsia" w:cs="宋体"/>
                <w:color w:val="auto"/>
                <w:sz w:val="21"/>
                <w:szCs w:val="21"/>
                <w:highlight w:val="none"/>
              </w:rPr>
              <w:t>诚信综合</w:t>
            </w:r>
          </w:p>
          <w:p w14:paraId="579B75CB">
            <w:pPr>
              <w:pStyle w:val="33"/>
              <w:spacing w:before="0" w:beforeAutospacing="0" w:after="0" w:afterAutospacing="0"/>
              <w:ind w:left="15"/>
              <w:jc w:val="center"/>
              <w:rPr>
                <w:rFonts w:hint="eastAsia" w:cs="宋体"/>
                <w:color w:val="auto"/>
                <w:sz w:val="21"/>
                <w:szCs w:val="21"/>
                <w:highlight w:val="none"/>
              </w:rPr>
            </w:pPr>
            <w:r>
              <w:rPr>
                <w:rFonts w:hint="eastAsia" w:cs="宋体"/>
                <w:color w:val="auto"/>
                <w:sz w:val="21"/>
                <w:szCs w:val="21"/>
                <w:highlight w:val="none"/>
              </w:rPr>
              <w:t>评价</w:t>
            </w:r>
          </w:p>
        </w:tc>
        <w:tc>
          <w:tcPr>
            <w:tcW w:w="6638" w:type="dxa"/>
            <w:noWrap w:val="0"/>
            <w:vAlign w:val="center"/>
          </w:tcPr>
          <w:p w14:paraId="2E7BFF9C">
            <w:pPr>
              <w:pStyle w:val="33"/>
              <w:spacing w:before="0" w:beforeAutospacing="0" w:after="0" w:afterAutospacing="0"/>
              <w:ind w:left="15"/>
              <w:rPr>
                <w:rFonts w:hint="eastAsia" w:cs="宋体"/>
                <w:color w:val="auto"/>
                <w:sz w:val="21"/>
                <w:szCs w:val="21"/>
                <w:highlight w:val="none"/>
              </w:rPr>
            </w:pPr>
            <w:r>
              <w:rPr>
                <w:rFonts w:hint="eastAsia" w:cs="宋体"/>
                <w:color w:val="auto"/>
                <w:sz w:val="21"/>
                <w:szCs w:val="21"/>
                <w:highlight w:val="none"/>
                <w:lang w:eastAsia="zh-CN"/>
              </w:rPr>
              <w:t>诚信评价总分采用诚信评价信息系统在投标登记第1天（无纸化招标资格后审项目招标公告发布第一天视同为投标登记第1天）所在季度的上一季度公布的分数，以广州市水务工程企业信息库及诚信中心网站（http://120.236.111.11:8001/#/website）中的“诚信排名&gt;&gt;监理—给排水”诚信综合评价分为准。按《广州市水务工程施工和监理企业诚信评价管理办法》规定，凡未在“诚信管理系统”录入企业信息的企业，其诚信综合评价总分按《广州市水务局关于调整水务工程诚信评价部分评分项的通知》，其诚信评价分按80分计算。</w:t>
            </w:r>
            <w:r>
              <w:rPr>
                <w:rFonts w:hint="eastAsia" w:cs="宋体"/>
                <w:color w:val="auto"/>
                <w:sz w:val="21"/>
                <w:szCs w:val="21"/>
                <w:highlight w:val="none"/>
              </w:rPr>
              <w:t>本项目诚信评价得分=水务诚信综合评价分×</w:t>
            </w:r>
            <w:r>
              <w:rPr>
                <w:rFonts w:hint="eastAsia" w:cs="宋体"/>
                <w:color w:val="auto"/>
                <w:sz w:val="21"/>
                <w:szCs w:val="21"/>
                <w:highlight w:val="none"/>
                <w:lang w:val="en-US" w:eastAsia="zh-CN"/>
              </w:rPr>
              <w:t>2</w:t>
            </w:r>
            <w:r>
              <w:rPr>
                <w:rFonts w:hint="eastAsia" w:cs="宋体"/>
                <w:color w:val="auto"/>
                <w:sz w:val="21"/>
                <w:szCs w:val="21"/>
                <w:highlight w:val="none"/>
              </w:rPr>
              <w:t>0%。</w:t>
            </w:r>
          </w:p>
        </w:tc>
      </w:tr>
    </w:tbl>
    <w:p w14:paraId="4B5A4584">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说明：</w:t>
      </w:r>
    </w:p>
    <w:p w14:paraId="0F56A72F">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1.类似监理项目指：本项目招标公告中投标人资格要求3.1所述资质方能承接的</w:t>
      </w:r>
      <w:r>
        <w:rPr>
          <w:rFonts w:hint="eastAsia" w:ascii="宋体" w:hAnsi="宋体" w:cs="宋体"/>
          <w:color w:val="auto"/>
          <w:kern w:val="0"/>
          <w:highlight w:val="none"/>
          <w:u w:val="single"/>
        </w:rPr>
        <w:t>市政公用工程</w:t>
      </w:r>
      <w:r>
        <w:rPr>
          <w:rFonts w:hint="eastAsia" w:ascii="宋体" w:hAnsi="宋体" w:cs="宋体"/>
          <w:color w:val="auto"/>
          <w:kern w:val="0"/>
          <w:highlight w:val="none"/>
        </w:rPr>
        <w:t>，监理业绩需同时提供中标通知书或免招标的相关证明、监理合同，时间以监理合同签订日期为准。</w:t>
      </w:r>
    </w:p>
    <w:p w14:paraId="17BF2D83">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2.获奖业绩：获奖业绩以获奖证书为准，时间以获奖证书的颁发日期为准。国家级奖项是指鲁班奖、詹天佑奖、国家优质工程金质奖、国家优质工程奖，省级或市级奖项是指建设行政主管部门或行业协会颁发的工程奖项。①以投标单位的获奖证书为准。②获奖时间以获奖证书发证日期为准。③“子项”中的各奖项对同一工程项目按最高奖项计取，不重复计算。</w:t>
      </w:r>
    </w:p>
    <w:p w14:paraId="3F2B9DEB">
      <w:pPr>
        <w:spacing w:line="360" w:lineRule="auto"/>
        <w:rPr>
          <w:rFonts w:hint="eastAsia" w:ascii="宋体" w:hAnsi="宋体" w:cs="宋体"/>
          <w:color w:val="auto"/>
          <w:kern w:val="0"/>
          <w:highlight w:val="none"/>
        </w:rPr>
      </w:pP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纳税信用等级以“国家税务总局”官网的纳税信用A级纳税人名单公布栏（https://www.chinatax.gov.cn/chinatax/n810346/c102299/index.html）查询结果为准，纳税人登记只计算投标人自身（不计算投标人的分公司和子公司）。投标人须提供由税务监督部门颁发的证书或出具的相关说明以及在上述官网的查询结果网页信息截图，不符合条件或无提交上述证明材料的不计分。时间以国家税务总局官网公布的获奖年度（评价年度）为准。</w:t>
      </w:r>
    </w:p>
    <w:p w14:paraId="0395A721">
      <w:pPr>
        <w:spacing w:line="360" w:lineRule="auto"/>
        <w:rPr>
          <w:rFonts w:hint="eastAsia" w:ascii="宋体" w:hAnsi="宋体" w:cs="宋体"/>
          <w:color w:val="auto"/>
          <w:kern w:val="0"/>
          <w:highlight w:val="none"/>
        </w:rPr>
      </w:pP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.投标人至今受到的表彰或者综合实力情况只评审投标人本身的情况，投标人分公司或子公司获得的不予评分。</w:t>
      </w:r>
    </w:p>
    <w:p w14:paraId="224255E8">
      <w:pPr>
        <w:spacing w:line="360" w:lineRule="auto"/>
        <w:rPr>
          <w:rFonts w:hint="eastAsia" w:ascii="宋体" w:hAnsi="宋体" w:cs="宋体"/>
          <w:color w:val="auto"/>
          <w:kern w:val="0"/>
          <w:highlight w:val="none"/>
        </w:rPr>
      </w:pP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.投标人应保证各项资料的真实性，一经查实存在弄虚作假行为，招标人将取消其报名资格(或投标资格或中标资格)，并上报上级主管部门和在广州公共资源交易中心通报。</w:t>
      </w:r>
    </w:p>
    <w:p w14:paraId="76E9E3E7">
      <w:pPr>
        <w:spacing w:line="360" w:lineRule="auto"/>
        <w:rPr>
          <w:rFonts w:hint="eastAsia" w:ascii="宋体" w:hAnsi="宋体" w:cs="宋体"/>
          <w:color w:val="auto"/>
          <w:kern w:val="0"/>
          <w:highlight w:val="none"/>
        </w:rPr>
      </w:pP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.上述拟投入项目监理人员（含项目总监）必须提供近1个月（202</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7</w:t>
      </w:r>
      <w:r>
        <w:rPr>
          <w:rFonts w:hint="eastAsia" w:ascii="宋体" w:hAnsi="宋体" w:cs="宋体"/>
          <w:color w:val="auto"/>
          <w:kern w:val="0"/>
          <w:highlight w:val="none"/>
        </w:rPr>
        <w:t>月）投标人为其购买的社保证明。社保缴纳期限包含疫情防控期的，若当地政府部门允许企业在疫情防控期间缓缴社会保险费的，投标人可提供当地政府部门允许缓缴社保的相关文件作为缴纳社保的证明。确定中标人后，招标人将采取有效措施，核实后续中标人拟投入人员的社保补缴情况。</w:t>
      </w:r>
    </w:p>
    <w:p w14:paraId="468B2672">
      <w:pPr>
        <w:spacing w:line="360" w:lineRule="auto"/>
        <w:rPr>
          <w:rFonts w:hint="eastAsia" w:ascii="宋体" w:hAnsi="宋体" w:cs="宋体"/>
          <w:highlight w:val="none"/>
        </w:rPr>
      </w:pPr>
      <w:r>
        <w:rPr>
          <w:rFonts w:hint="eastAsia" w:ascii="宋体" w:hAnsi="宋体" w:cs="宋体"/>
          <w:color w:val="auto"/>
          <w:kern w:val="0"/>
          <w:highlight w:val="none"/>
          <w:lang w:val="en-US" w:eastAsia="zh-CN"/>
        </w:rPr>
        <w:t>7</w:t>
      </w:r>
      <w:r>
        <w:rPr>
          <w:rFonts w:hint="eastAsia" w:ascii="宋体" w:hAnsi="宋体" w:cs="宋体"/>
          <w:color w:val="auto"/>
          <w:kern w:val="0"/>
          <w:highlight w:val="none"/>
        </w:rPr>
        <w:t>.投标人的综合得分为全部评委评分的算术平均分（分数出现小数点时，保留小数点后二位，第三位小数四舍五入）。</w:t>
      </w:r>
    </w:p>
    <w:p w14:paraId="6EC1A4AD">
      <w:pPr>
        <w:spacing w:line="360" w:lineRule="auto"/>
        <w:ind w:left="374" w:leftChars="178" w:firstLine="316" w:firstLineChars="176"/>
        <w:rPr>
          <w:rFonts w:ascii="宋体" w:hAnsi="宋体"/>
          <w:sz w:val="18"/>
          <w:szCs w:val="18"/>
          <w:highlight w:val="none"/>
        </w:rPr>
        <w:sectPr>
          <w:pgSz w:w="11849" w:h="16781"/>
          <w:pgMar w:top="1134" w:right="1134" w:bottom="1134" w:left="1134" w:header="0" w:footer="559" w:gutter="0"/>
          <w:cols w:space="720" w:num="1"/>
          <w:docGrid w:linePitch="360" w:charSpace="0"/>
        </w:sectPr>
      </w:pPr>
    </w:p>
    <w:p w14:paraId="611F064B">
      <w:pPr>
        <w:pStyle w:val="9"/>
        <w:ind w:firstLine="424" w:firstLineChars="176"/>
        <w:rPr>
          <w:rFonts w:hint="eastAsia" w:ascii="宋体" w:hAnsi="宋体"/>
          <w:highlight w:val="none"/>
        </w:rPr>
      </w:pPr>
      <w:bookmarkStart w:id="231" w:name="_Toc510170425"/>
      <w:bookmarkStart w:id="232" w:name="_Toc510170259"/>
      <w:bookmarkStart w:id="233" w:name="_Toc500409881"/>
      <w:r>
        <w:rPr>
          <w:rFonts w:hint="eastAsia" w:ascii="宋体" w:hAnsi="宋体"/>
          <w:bCs w:val="0"/>
          <w:szCs w:val="20"/>
          <w:highlight w:val="none"/>
        </w:rPr>
        <w:t>1.</w:t>
      </w:r>
      <w:r>
        <w:rPr>
          <w:rFonts w:ascii="宋体" w:hAnsi="宋体"/>
          <w:bCs w:val="0"/>
          <w:sz w:val="21"/>
          <w:szCs w:val="21"/>
          <w:highlight w:val="none"/>
        </w:rPr>
        <w:t>评标方法</w:t>
      </w:r>
      <w:bookmarkEnd w:id="231"/>
      <w:bookmarkEnd w:id="232"/>
      <w:bookmarkEnd w:id="233"/>
    </w:p>
    <w:p w14:paraId="20153F8A">
      <w:pPr>
        <w:tabs>
          <w:tab w:val="left" w:pos="665"/>
        </w:tabs>
        <w:spacing w:line="360" w:lineRule="auto"/>
        <w:ind w:right="83" w:firstLine="369" w:firstLineChars="176"/>
        <w:rPr>
          <w:rFonts w:hint="eastAsia" w:ascii="宋体" w:hAnsi="宋体"/>
          <w:highlight w:val="none"/>
        </w:rPr>
      </w:pPr>
      <w:r>
        <w:rPr>
          <w:rFonts w:ascii="宋体" w:hAnsi="宋体"/>
          <w:highlight w:val="none"/>
        </w:rPr>
        <w:t>本次评标采用综合评估法。评标委员会对满足招标文件实质性要求的投标文件，按照本章2.2 款规定的评分标准进行打分，并按得分由高到低顺序推荐中标候选人，但投标报价低于其成本的除外。综合评分相等时，以投标报价低的优先；投标报价也相等的，以监理大纲得分高的优先；如果监理大纲得分也相等，按照评标办法前附表的规定确定中标候选人顺序。</w:t>
      </w:r>
    </w:p>
    <w:p w14:paraId="71B177B3">
      <w:pPr>
        <w:pStyle w:val="9"/>
        <w:ind w:firstLine="371" w:firstLineChars="176"/>
        <w:rPr>
          <w:rFonts w:hint="eastAsia" w:ascii="宋体" w:hAnsi="宋体"/>
          <w:bCs w:val="0"/>
          <w:sz w:val="21"/>
          <w:szCs w:val="21"/>
          <w:highlight w:val="none"/>
        </w:rPr>
      </w:pPr>
      <w:bookmarkStart w:id="234" w:name="_Toc510170426"/>
      <w:bookmarkStart w:id="235" w:name="_Toc510170260"/>
      <w:bookmarkStart w:id="236" w:name="_Toc500409882"/>
      <w:r>
        <w:rPr>
          <w:rFonts w:hint="eastAsia" w:ascii="宋体" w:hAnsi="宋体"/>
          <w:bCs w:val="0"/>
          <w:sz w:val="21"/>
          <w:szCs w:val="21"/>
          <w:highlight w:val="none"/>
        </w:rPr>
        <w:t>2.</w:t>
      </w:r>
      <w:r>
        <w:rPr>
          <w:rFonts w:ascii="宋体" w:hAnsi="宋体"/>
          <w:bCs w:val="0"/>
          <w:sz w:val="21"/>
          <w:szCs w:val="21"/>
          <w:highlight w:val="none"/>
        </w:rPr>
        <w:t>评审标准</w:t>
      </w:r>
      <w:bookmarkEnd w:id="234"/>
      <w:bookmarkEnd w:id="235"/>
      <w:bookmarkEnd w:id="236"/>
    </w:p>
    <w:p w14:paraId="42C3152C">
      <w:pPr>
        <w:pStyle w:val="10"/>
        <w:ind w:firstLine="353" w:firstLineChars="176"/>
        <w:rPr>
          <w:rFonts w:hint="eastAsia" w:ascii="宋体" w:hAnsi="宋体"/>
          <w:highlight w:val="none"/>
        </w:rPr>
      </w:pPr>
      <w:bookmarkStart w:id="237" w:name="_Toc500410329"/>
      <w:bookmarkStart w:id="238" w:name="_Toc500409883"/>
      <w:bookmarkStart w:id="239" w:name="_Toc510170427"/>
      <w:r>
        <w:rPr>
          <w:rFonts w:ascii="宋体" w:hAnsi="宋体"/>
          <w:highlight w:val="none"/>
        </w:rPr>
        <w:t>2.1 初步评审标准</w:t>
      </w:r>
      <w:bookmarkEnd w:id="237"/>
      <w:bookmarkEnd w:id="238"/>
      <w:bookmarkEnd w:id="239"/>
    </w:p>
    <w:p w14:paraId="24BFCC55">
      <w:pPr>
        <w:spacing w:line="360" w:lineRule="auto"/>
        <w:ind w:firstLine="369" w:firstLineChars="176"/>
        <w:rPr>
          <w:rFonts w:hint="eastAsia" w:ascii="宋体" w:hAnsi="宋体" w:cs="宋体"/>
          <w:highlight w:val="none"/>
        </w:rPr>
      </w:pPr>
      <w:r>
        <w:rPr>
          <w:rFonts w:hint="eastAsia" w:ascii="宋体" w:hAnsi="宋体" w:cs="宋体"/>
          <w:highlight w:val="none"/>
        </w:rPr>
        <w:t>2.1.1 形式评审标准：见评标办法前附表。</w:t>
      </w:r>
    </w:p>
    <w:p w14:paraId="3188D3A2">
      <w:pPr>
        <w:spacing w:line="360" w:lineRule="auto"/>
        <w:ind w:firstLine="369" w:firstLineChars="176"/>
        <w:rPr>
          <w:rFonts w:hint="eastAsia" w:ascii="宋体" w:hAnsi="宋体" w:cs="宋体"/>
          <w:highlight w:val="none"/>
        </w:rPr>
      </w:pPr>
      <w:r>
        <w:rPr>
          <w:rFonts w:hint="eastAsia" w:ascii="宋体" w:hAnsi="宋体" w:cs="宋体"/>
          <w:highlight w:val="none"/>
        </w:rPr>
        <w:t>2.1.2 资格评审标准：见评标办法前附表。</w:t>
      </w:r>
    </w:p>
    <w:p w14:paraId="44B0A602">
      <w:pPr>
        <w:spacing w:line="360" w:lineRule="auto"/>
        <w:ind w:firstLine="369" w:firstLineChars="176"/>
        <w:rPr>
          <w:rFonts w:hint="eastAsia" w:ascii="宋体" w:hAnsi="宋体" w:cs="宋体"/>
          <w:highlight w:val="none"/>
        </w:rPr>
      </w:pPr>
      <w:r>
        <w:rPr>
          <w:rFonts w:hint="eastAsia" w:ascii="宋体" w:hAnsi="宋体" w:cs="宋体"/>
          <w:highlight w:val="none"/>
        </w:rPr>
        <w:t>2.1.3 响应性评审标准：见评标办法前附表。</w:t>
      </w:r>
    </w:p>
    <w:p w14:paraId="4CF5AA3F">
      <w:pPr>
        <w:pStyle w:val="10"/>
        <w:ind w:firstLine="371" w:firstLineChars="176"/>
        <w:rPr>
          <w:rFonts w:ascii="宋体" w:hAnsi="宋体"/>
          <w:sz w:val="21"/>
          <w:highlight w:val="none"/>
        </w:rPr>
      </w:pPr>
      <w:bookmarkStart w:id="240" w:name="_Toc500410330"/>
      <w:bookmarkStart w:id="241" w:name="_Toc500409884"/>
      <w:bookmarkStart w:id="242" w:name="_Toc510170428"/>
      <w:r>
        <w:rPr>
          <w:rFonts w:ascii="宋体" w:hAnsi="宋体"/>
          <w:sz w:val="21"/>
          <w:highlight w:val="none"/>
        </w:rPr>
        <w:t>2.2 分值构成与评分标准</w:t>
      </w:r>
      <w:bookmarkEnd w:id="240"/>
      <w:bookmarkEnd w:id="241"/>
      <w:bookmarkEnd w:id="242"/>
    </w:p>
    <w:p w14:paraId="1CDE195C">
      <w:pPr>
        <w:spacing w:line="360" w:lineRule="auto"/>
        <w:ind w:firstLine="369" w:firstLineChars="176"/>
        <w:rPr>
          <w:rFonts w:hint="eastAsia" w:ascii="宋体" w:hAnsi="宋体" w:cs="宋体"/>
          <w:highlight w:val="none"/>
        </w:rPr>
      </w:pPr>
      <w:r>
        <w:rPr>
          <w:rFonts w:hint="eastAsia" w:ascii="宋体" w:hAnsi="宋体" w:cs="宋体"/>
          <w:highlight w:val="none"/>
        </w:rPr>
        <w:t>2.2.1 分值构成：</w:t>
      </w:r>
    </w:p>
    <w:p w14:paraId="3D492DC0">
      <w:pPr>
        <w:spacing w:line="360" w:lineRule="auto"/>
        <w:ind w:firstLine="369" w:firstLineChars="176"/>
        <w:rPr>
          <w:rFonts w:hint="eastAsia" w:ascii="宋体" w:hAnsi="宋体" w:cs="宋体"/>
          <w:highlight w:val="none"/>
        </w:rPr>
      </w:pPr>
      <w:r>
        <w:rPr>
          <w:rFonts w:hint="eastAsia" w:ascii="宋体" w:hAnsi="宋体" w:cs="宋体"/>
          <w:highlight w:val="none"/>
        </w:rPr>
        <w:t>（1）资信业绩部分：见评标办法前附表；</w:t>
      </w:r>
    </w:p>
    <w:p w14:paraId="344AA270">
      <w:pPr>
        <w:spacing w:line="360" w:lineRule="auto"/>
        <w:ind w:firstLine="369" w:firstLineChars="176"/>
        <w:rPr>
          <w:rFonts w:hint="eastAsia" w:ascii="宋体" w:hAnsi="宋体" w:cs="宋体"/>
          <w:highlight w:val="none"/>
        </w:rPr>
      </w:pPr>
      <w:r>
        <w:rPr>
          <w:rFonts w:hint="eastAsia" w:ascii="宋体" w:hAnsi="宋体" w:cs="宋体"/>
          <w:highlight w:val="none"/>
        </w:rPr>
        <w:t>（2）监理大纲部分：见评标办法前附表；</w:t>
      </w:r>
    </w:p>
    <w:p w14:paraId="01A5F413">
      <w:pPr>
        <w:spacing w:line="360" w:lineRule="auto"/>
        <w:ind w:firstLine="369" w:firstLineChars="176"/>
        <w:rPr>
          <w:rFonts w:hint="eastAsia" w:ascii="宋体" w:hAnsi="宋体" w:cs="宋体"/>
          <w:highlight w:val="none"/>
        </w:rPr>
      </w:pPr>
      <w:r>
        <w:rPr>
          <w:rFonts w:hint="eastAsia" w:ascii="宋体" w:hAnsi="宋体" w:cs="宋体"/>
          <w:highlight w:val="none"/>
        </w:rPr>
        <w:t>（3）投标报价：见评标办法前附表；</w:t>
      </w:r>
    </w:p>
    <w:p w14:paraId="76A34332">
      <w:pPr>
        <w:spacing w:line="360" w:lineRule="auto"/>
        <w:ind w:firstLine="369" w:firstLineChars="176"/>
        <w:rPr>
          <w:rFonts w:hint="eastAsia" w:ascii="宋体" w:hAnsi="宋体" w:cs="宋体"/>
          <w:highlight w:val="none"/>
        </w:rPr>
      </w:pPr>
      <w:r>
        <w:rPr>
          <w:rFonts w:hint="eastAsia" w:ascii="宋体" w:hAnsi="宋体" w:cs="宋体"/>
          <w:highlight w:val="none"/>
        </w:rPr>
        <w:t>（4）其他评分因素：见评标办法前附表。</w:t>
      </w:r>
    </w:p>
    <w:p w14:paraId="6251B0F1">
      <w:pPr>
        <w:spacing w:line="360" w:lineRule="auto"/>
        <w:ind w:firstLine="369" w:firstLineChars="176"/>
        <w:rPr>
          <w:rFonts w:ascii="宋体" w:hAnsi="宋体"/>
          <w:highlight w:val="none"/>
        </w:rPr>
      </w:pPr>
      <w:r>
        <w:rPr>
          <w:rFonts w:ascii="宋体" w:hAnsi="宋体"/>
          <w:highlight w:val="none"/>
        </w:rPr>
        <w:t>2.2.2 评标基准价计算</w:t>
      </w:r>
    </w:p>
    <w:p w14:paraId="3778C10C">
      <w:pPr>
        <w:spacing w:line="360" w:lineRule="auto"/>
        <w:ind w:firstLine="369" w:firstLineChars="176"/>
        <w:rPr>
          <w:rFonts w:ascii="宋体" w:hAnsi="宋体"/>
          <w:highlight w:val="none"/>
        </w:rPr>
      </w:pPr>
      <w:r>
        <w:rPr>
          <w:rFonts w:ascii="宋体" w:hAnsi="宋体"/>
          <w:highlight w:val="none"/>
        </w:rPr>
        <w:t>评标基准价计算方法：见评标办法前附表。</w:t>
      </w:r>
    </w:p>
    <w:p w14:paraId="25161E02">
      <w:pPr>
        <w:spacing w:line="360" w:lineRule="auto"/>
        <w:ind w:firstLine="369" w:firstLineChars="176"/>
        <w:rPr>
          <w:rFonts w:ascii="宋体" w:hAnsi="宋体"/>
          <w:highlight w:val="none"/>
        </w:rPr>
      </w:pPr>
      <w:r>
        <w:rPr>
          <w:rFonts w:ascii="宋体" w:hAnsi="宋体"/>
          <w:highlight w:val="none"/>
        </w:rPr>
        <w:t>2.2.3 投标报价的偏差率计算</w:t>
      </w:r>
    </w:p>
    <w:p w14:paraId="336ACD1F">
      <w:pPr>
        <w:spacing w:line="360" w:lineRule="auto"/>
        <w:ind w:firstLine="369" w:firstLineChars="176"/>
        <w:rPr>
          <w:rFonts w:ascii="宋体" w:hAnsi="宋体"/>
          <w:highlight w:val="none"/>
        </w:rPr>
      </w:pPr>
      <w:r>
        <w:rPr>
          <w:rFonts w:ascii="宋体" w:hAnsi="宋体"/>
          <w:highlight w:val="none"/>
        </w:rPr>
        <w:t>投标报价的偏差率计算公式：见评标办法前附表。</w:t>
      </w:r>
    </w:p>
    <w:p w14:paraId="53B938BF">
      <w:pPr>
        <w:spacing w:line="360" w:lineRule="auto"/>
        <w:ind w:firstLine="369" w:firstLineChars="176"/>
        <w:rPr>
          <w:rFonts w:ascii="宋体" w:hAnsi="宋体"/>
          <w:highlight w:val="none"/>
        </w:rPr>
      </w:pPr>
      <w:r>
        <w:rPr>
          <w:rFonts w:ascii="宋体" w:hAnsi="宋体"/>
          <w:highlight w:val="none"/>
        </w:rPr>
        <w:t>2.2.4 评分标准</w:t>
      </w:r>
    </w:p>
    <w:p w14:paraId="4F4E7BFF">
      <w:pPr>
        <w:spacing w:line="360" w:lineRule="auto"/>
        <w:ind w:firstLine="369" w:firstLineChars="176"/>
        <w:rPr>
          <w:rFonts w:ascii="宋体" w:hAnsi="宋体"/>
          <w:highlight w:val="none"/>
        </w:rPr>
      </w:pPr>
      <w:r>
        <w:rPr>
          <w:rFonts w:ascii="宋体" w:hAnsi="宋体"/>
          <w:highlight w:val="none"/>
        </w:rPr>
        <w:t>（1）资信业绩评分标准：见评标办法前附表；</w:t>
      </w:r>
    </w:p>
    <w:p w14:paraId="39F9B417">
      <w:pPr>
        <w:spacing w:line="360" w:lineRule="auto"/>
        <w:ind w:firstLine="369" w:firstLineChars="176"/>
        <w:rPr>
          <w:rFonts w:ascii="宋体" w:hAnsi="宋体"/>
          <w:highlight w:val="none"/>
        </w:rPr>
      </w:pPr>
      <w:r>
        <w:rPr>
          <w:rFonts w:ascii="宋体" w:hAnsi="宋体"/>
          <w:highlight w:val="none"/>
        </w:rPr>
        <w:t>（2）监理大纲评分标准：见评标办法前附表；</w:t>
      </w:r>
    </w:p>
    <w:p w14:paraId="1A87E71B">
      <w:pPr>
        <w:spacing w:line="360" w:lineRule="auto"/>
        <w:ind w:firstLine="369" w:firstLineChars="176"/>
        <w:rPr>
          <w:rFonts w:ascii="宋体" w:hAnsi="宋体"/>
          <w:highlight w:val="none"/>
        </w:rPr>
      </w:pPr>
      <w:r>
        <w:rPr>
          <w:rFonts w:ascii="宋体" w:hAnsi="宋体"/>
          <w:highlight w:val="none"/>
        </w:rPr>
        <w:t>（3）投标报价评分标准：见评标办法前附表；</w:t>
      </w:r>
    </w:p>
    <w:p w14:paraId="3B554E70">
      <w:pPr>
        <w:spacing w:line="360" w:lineRule="auto"/>
        <w:ind w:firstLine="369" w:firstLineChars="176"/>
        <w:rPr>
          <w:rFonts w:ascii="宋体" w:hAnsi="宋体"/>
          <w:highlight w:val="none"/>
        </w:rPr>
      </w:pPr>
      <w:r>
        <w:rPr>
          <w:rFonts w:ascii="宋体" w:hAnsi="宋体"/>
          <w:highlight w:val="none"/>
        </w:rPr>
        <w:t>（4）其他因素评分标准：见评标办法前附表。</w:t>
      </w:r>
    </w:p>
    <w:p w14:paraId="391D6ADE">
      <w:pPr>
        <w:pStyle w:val="9"/>
        <w:ind w:firstLine="371" w:firstLineChars="176"/>
        <w:rPr>
          <w:rFonts w:hint="eastAsia" w:ascii="宋体" w:hAnsi="宋体"/>
          <w:bCs w:val="0"/>
          <w:sz w:val="21"/>
          <w:szCs w:val="21"/>
          <w:highlight w:val="none"/>
        </w:rPr>
      </w:pPr>
      <w:bookmarkStart w:id="243" w:name="page45"/>
      <w:bookmarkEnd w:id="243"/>
      <w:bookmarkStart w:id="244" w:name="_Toc500409885"/>
      <w:bookmarkStart w:id="245" w:name="_Toc510170429"/>
      <w:bookmarkStart w:id="246" w:name="_Toc510170261"/>
      <w:r>
        <w:rPr>
          <w:rFonts w:hint="eastAsia" w:ascii="宋体" w:hAnsi="宋体"/>
          <w:bCs w:val="0"/>
          <w:sz w:val="21"/>
          <w:szCs w:val="21"/>
          <w:highlight w:val="none"/>
        </w:rPr>
        <w:t>3.</w:t>
      </w:r>
      <w:r>
        <w:rPr>
          <w:rFonts w:ascii="宋体" w:hAnsi="宋体"/>
          <w:bCs w:val="0"/>
          <w:sz w:val="21"/>
          <w:szCs w:val="21"/>
          <w:highlight w:val="none"/>
        </w:rPr>
        <w:t>评标程序</w:t>
      </w:r>
      <w:bookmarkEnd w:id="244"/>
      <w:bookmarkEnd w:id="245"/>
      <w:bookmarkEnd w:id="246"/>
    </w:p>
    <w:p w14:paraId="246DBA5B">
      <w:pPr>
        <w:pStyle w:val="10"/>
        <w:ind w:firstLine="371" w:firstLineChars="176"/>
        <w:rPr>
          <w:rFonts w:hint="eastAsia" w:ascii="宋体" w:hAnsi="宋体"/>
          <w:sz w:val="21"/>
          <w:highlight w:val="none"/>
        </w:rPr>
      </w:pPr>
      <w:bookmarkStart w:id="247" w:name="_Toc510170430"/>
      <w:bookmarkStart w:id="248" w:name="_Toc500409886"/>
      <w:bookmarkStart w:id="249" w:name="_Toc500410331"/>
      <w:r>
        <w:rPr>
          <w:rFonts w:ascii="宋体" w:hAnsi="宋体"/>
          <w:sz w:val="21"/>
          <w:highlight w:val="none"/>
        </w:rPr>
        <w:t>3.1 初步评审</w:t>
      </w:r>
      <w:bookmarkEnd w:id="247"/>
      <w:bookmarkEnd w:id="248"/>
      <w:bookmarkEnd w:id="249"/>
    </w:p>
    <w:p w14:paraId="1A13E116">
      <w:pPr>
        <w:spacing w:line="360" w:lineRule="auto"/>
        <w:ind w:right="83" w:firstLine="369" w:firstLineChars="176"/>
        <w:rPr>
          <w:rFonts w:hint="eastAsia" w:ascii="宋体" w:hAnsi="宋体"/>
          <w:highlight w:val="none"/>
        </w:rPr>
      </w:pPr>
      <w:r>
        <w:rPr>
          <w:rFonts w:ascii="宋体" w:hAnsi="宋体"/>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r>
        <w:rPr>
          <w:rFonts w:hint="eastAsia" w:ascii="宋体" w:hAnsi="宋体"/>
          <w:highlight w:val="none"/>
          <w:u w:val="single"/>
        </w:rPr>
        <w:t>评委发现投标文件中含义不明确、对同类问题表述不一致、有明显文字和计算错误的，应当要求投标人作必要的澄清、说明后再判定投标人是否通过初步评审，不得直接认定其不通过初步评审。</w:t>
      </w:r>
    </w:p>
    <w:p w14:paraId="50989C3A">
      <w:pPr>
        <w:spacing w:line="360" w:lineRule="auto"/>
        <w:ind w:right="83" w:firstLine="369" w:firstLineChars="176"/>
        <w:rPr>
          <w:rFonts w:ascii="宋体" w:hAnsi="宋体"/>
          <w:highlight w:val="none"/>
        </w:rPr>
      </w:pPr>
      <w:r>
        <w:rPr>
          <w:rFonts w:ascii="宋体" w:hAnsi="宋体"/>
          <w:highlight w:val="none"/>
        </w:rPr>
        <w:t>3.1.2 投标人有以下情形之一的，评标委员会应当否决其投标：</w:t>
      </w:r>
    </w:p>
    <w:p w14:paraId="59E100EB">
      <w:pPr>
        <w:spacing w:line="360" w:lineRule="auto"/>
        <w:ind w:right="83" w:firstLine="369" w:firstLineChars="176"/>
        <w:rPr>
          <w:rFonts w:ascii="宋体" w:hAnsi="宋体"/>
          <w:highlight w:val="none"/>
        </w:rPr>
      </w:pPr>
      <w:r>
        <w:rPr>
          <w:rFonts w:ascii="宋体" w:hAnsi="宋体"/>
          <w:highlight w:val="none"/>
        </w:rPr>
        <w:t>（1）投标文件没有对招标文件的实质性要求和条件作出响应，或者对招标文件的偏差超出招标文件规定的偏差范围或最高项数；</w:t>
      </w:r>
    </w:p>
    <w:p w14:paraId="6E13420C">
      <w:pPr>
        <w:spacing w:line="360" w:lineRule="auto"/>
        <w:ind w:right="83" w:firstLine="369" w:firstLineChars="176"/>
        <w:rPr>
          <w:rFonts w:ascii="宋体" w:hAnsi="宋体"/>
          <w:highlight w:val="none"/>
        </w:rPr>
      </w:pPr>
      <w:r>
        <w:rPr>
          <w:rFonts w:ascii="宋体" w:hAnsi="宋体"/>
          <w:highlight w:val="none"/>
        </w:rPr>
        <w:t>（2）有串通投标、弄虚作假、行贿等违法行为。</w:t>
      </w:r>
    </w:p>
    <w:p w14:paraId="24013D48">
      <w:pPr>
        <w:spacing w:line="360" w:lineRule="auto"/>
        <w:ind w:firstLine="369" w:firstLineChars="176"/>
        <w:rPr>
          <w:rFonts w:ascii="宋体" w:hAnsi="宋体"/>
          <w:highlight w:val="none"/>
        </w:rPr>
      </w:pPr>
      <w:r>
        <w:rPr>
          <w:rFonts w:ascii="宋体" w:hAnsi="宋体"/>
          <w:highlight w:val="none"/>
        </w:rPr>
        <w:t>3.1.3 投标报价有算术错误及其他错误的，评标委员会按以下原则要求投标人对投标报价进行修正，并要求投标人书面澄清确认。投标人拒不澄清确认的，评标委员会应当否决其投标：</w:t>
      </w:r>
    </w:p>
    <w:p w14:paraId="08E35237">
      <w:pPr>
        <w:spacing w:line="360" w:lineRule="auto"/>
        <w:ind w:firstLine="369" w:firstLineChars="176"/>
        <w:rPr>
          <w:rFonts w:ascii="宋体" w:hAnsi="宋体"/>
          <w:highlight w:val="none"/>
        </w:rPr>
      </w:pPr>
      <w:r>
        <w:rPr>
          <w:rFonts w:ascii="宋体" w:hAnsi="宋体"/>
          <w:highlight w:val="none"/>
        </w:rPr>
        <w:t>（1）投标文件中的大写金额与小写金额不一致的，以大写金额为准；</w:t>
      </w:r>
    </w:p>
    <w:p w14:paraId="4F02C14D">
      <w:pPr>
        <w:spacing w:line="360" w:lineRule="auto"/>
        <w:ind w:firstLine="369" w:firstLineChars="176"/>
        <w:rPr>
          <w:rFonts w:ascii="宋体" w:hAnsi="宋体"/>
          <w:highlight w:val="none"/>
        </w:rPr>
      </w:pPr>
      <w:r>
        <w:rPr>
          <w:rFonts w:ascii="宋体" w:hAnsi="宋体"/>
          <w:highlight w:val="none"/>
        </w:rPr>
        <w:t>（2）</w:t>
      </w:r>
      <w:r>
        <w:rPr>
          <w:rFonts w:hint="eastAsia" w:ascii="宋体" w:hAnsi="宋体"/>
          <w:highlight w:val="none"/>
        </w:rPr>
        <w:t>投标总报价</w:t>
      </w:r>
      <w:r>
        <w:rPr>
          <w:rFonts w:ascii="宋体" w:hAnsi="宋体"/>
          <w:highlight w:val="none"/>
        </w:rPr>
        <w:t>与</w:t>
      </w:r>
      <w:r>
        <w:rPr>
          <w:rFonts w:hint="eastAsia" w:ascii="宋体" w:hAnsi="宋体"/>
          <w:highlight w:val="none"/>
        </w:rPr>
        <w:t>投标下浮率核算后</w:t>
      </w:r>
      <w:r>
        <w:rPr>
          <w:rFonts w:ascii="宋体" w:hAnsi="宋体"/>
          <w:highlight w:val="none"/>
        </w:rPr>
        <w:t>不一致的，以</w:t>
      </w:r>
      <w:r>
        <w:rPr>
          <w:rFonts w:hint="eastAsia" w:ascii="宋体" w:hAnsi="宋体"/>
          <w:highlight w:val="none"/>
        </w:rPr>
        <w:t>投标下浮率核算后的金额</w:t>
      </w:r>
      <w:r>
        <w:rPr>
          <w:rFonts w:ascii="宋体" w:hAnsi="宋体"/>
          <w:highlight w:val="none"/>
        </w:rPr>
        <w:t>为准，但</w:t>
      </w:r>
      <w:r>
        <w:rPr>
          <w:rFonts w:hint="eastAsia" w:ascii="宋体" w:hAnsi="宋体"/>
          <w:highlight w:val="none"/>
        </w:rPr>
        <w:t>下浮率</w:t>
      </w:r>
      <w:r>
        <w:rPr>
          <w:rFonts w:ascii="宋体" w:hAnsi="宋体"/>
          <w:highlight w:val="none"/>
        </w:rPr>
        <w:t>小数点有明显错误的除外。</w:t>
      </w:r>
    </w:p>
    <w:p w14:paraId="7FE46597">
      <w:pPr>
        <w:tabs>
          <w:tab w:val="left" w:pos="200"/>
        </w:tabs>
        <w:spacing w:line="360" w:lineRule="auto"/>
        <w:ind w:firstLine="369" w:firstLineChars="176"/>
        <w:rPr>
          <w:rFonts w:hint="eastAsia" w:ascii="宋体" w:hAnsi="宋体" w:cs="Arial"/>
          <w:highlight w:val="none"/>
          <w:lang w:bidi="ar"/>
        </w:rPr>
      </w:pPr>
      <w:r>
        <w:rPr>
          <w:rFonts w:hint="eastAsia" w:ascii="宋体" w:hAnsi="宋体" w:cs="Arial"/>
          <w:highlight w:val="none"/>
          <w:lang w:bidi="ar"/>
        </w:rPr>
        <w:t>3.1.4 招标人需将开标异议提交给评标委员会的评审确认时，评标委员会须进行评审确认，不得以任何理由拒绝。</w:t>
      </w:r>
    </w:p>
    <w:p w14:paraId="577336B5">
      <w:pPr>
        <w:tabs>
          <w:tab w:val="left" w:pos="200"/>
        </w:tabs>
        <w:spacing w:line="360" w:lineRule="auto"/>
        <w:ind w:firstLine="369" w:firstLineChars="176"/>
        <w:rPr>
          <w:rFonts w:hint="eastAsia" w:ascii="宋体" w:hAnsi="宋体" w:cs="Arial"/>
          <w:highlight w:val="none"/>
          <w:lang w:bidi="ar"/>
        </w:rPr>
      </w:pPr>
      <w:r>
        <w:rPr>
          <w:rFonts w:hint="eastAsia" w:ascii="宋体" w:hAnsi="宋体" w:cs="Arial"/>
          <w:highlight w:val="none"/>
          <w:u w:val="single"/>
          <w:lang w:bidi="ar"/>
        </w:rPr>
        <w:t>3.1.5 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w:t>
      </w:r>
    </w:p>
    <w:p w14:paraId="79A4AF4B">
      <w:pPr>
        <w:pStyle w:val="10"/>
        <w:ind w:firstLine="371" w:firstLineChars="176"/>
        <w:rPr>
          <w:rFonts w:hint="eastAsia" w:ascii="宋体" w:hAnsi="宋体"/>
          <w:sz w:val="21"/>
          <w:highlight w:val="none"/>
        </w:rPr>
      </w:pPr>
      <w:bookmarkStart w:id="250" w:name="_Toc500410332"/>
      <w:bookmarkStart w:id="251" w:name="_Toc510170431"/>
      <w:bookmarkStart w:id="252" w:name="_Toc500409887"/>
      <w:r>
        <w:rPr>
          <w:rFonts w:ascii="宋体" w:hAnsi="宋体"/>
          <w:sz w:val="21"/>
          <w:highlight w:val="none"/>
        </w:rPr>
        <w:t>3.2 详细评审</w:t>
      </w:r>
      <w:bookmarkEnd w:id="250"/>
      <w:bookmarkEnd w:id="251"/>
      <w:bookmarkEnd w:id="252"/>
    </w:p>
    <w:p w14:paraId="3A67B372">
      <w:pPr>
        <w:spacing w:line="360" w:lineRule="auto"/>
        <w:ind w:firstLine="369" w:firstLineChars="176"/>
        <w:rPr>
          <w:rFonts w:ascii="宋体" w:hAnsi="宋体"/>
          <w:highlight w:val="none"/>
        </w:rPr>
      </w:pPr>
      <w:r>
        <w:rPr>
          <w:rFonts w:ascii="宋体" w:hAnsi="宋体"/>
          <w:highlight w:val="none"/>
        </w:rPr>
        <w:t>3.2.1 评标委员会按本章第 2.2 款规定的量化因素和分值进行打分，并计算出综合得分</w:t>
      </w:r>
      <w:r>
        <w:rPr>
          <w:rFonts w:hint="eastAsia" w:ascii="宋体" w:hAnsi="宋体"/>
          <w:highlight w:val="none"/>
        </w:rPr>
        <w:t>，各评委的综合得分分值的算术平均值为最终得分。</w:t>
      </w:r>
    </w:p>
    <w:p w14:paraId="2A28A9E2">
      <w:pPr>
        <w:spacing w:line="360" w:lineRule="auto"/>
        <w:ind w:firstLine="369" w:firstLineChars="176"/>
        <w:rPr>
          <w:rFonts w:ascii="宋体" w:hAnsi="宋体"/>
          <w:highlight w:val="none"/>
        </w:rPr>
      </w:pPr>
      <w:r>
        <w:rPr>
          <w:rFonts w:ascii="宋体" w:hAnsi="宋体"/>
          <w:highlight w:val="none"/>
        </w:rPr>
        <w:t>（1）按本章第 2.2.4（1）目规定的评审因素和分值对资信业绩部分计算出得分 A；</w:t>
      </w:r>
    </w:p>
    <w:p w14:paraId="76FE914F">
      <w:pPr>
        <w:spacing w:line="360" w:lineRule="auto"/>
        <w:ind w:firstLine="369" w:firstLineChars="176"/>
        <w:rPr>
          <w:rFonts w:ascii="宋体" w:hAnsi="宋体"/>
          <w:highlight w:val="none"/>
        </w:rPr>
      </w:pPr>
      <w:r>
        <w:rPr>
          <w:rFonts w:ascii="宋体" w:hAnsi="宋体"/>
          <w:highlight w:val="none"/>
        </w:rPr>
        <w:t>（2）按本章第 2.2.4（2）目规定的评审因素和分值对监理大纲部分计算出得分 B；</w:t>
      </w:r>
    </w:p>
    <w:p w14:paraId="57BCC4E7">
      <w:pPr>
        <w:spacing w:line="360" w:lineRule="auto"/>
        <w:ind w:firstLine="369" w:firstLineChars="176"/>
        <w:rPr>
          <w:rFonts w:hint="eastAsia" w:ascii="宋体" w:hAnsi="宋体"/>
          <w:highlight w:val="none"/>
        </w:rPr>
      </w:pPr>
      <w:r>
        <w:rPr>
          <w:rFonts w:ascii="宋体" w:hAnsi="宋体"/>
          <w:highlight w:val="none"/>
        </w:rPr>
        <w:t>（3）按本章第 2.2.4（3）目规定的评审因素和分值对投标报价计算出得分 C；</w:t>
      </w:r>
    </w:p>
    <w:p w14:paraId="4B30AEDE">
      <w:pPr>
        <w:spacing w:line="360" w:lineRule="auto"/>
        <w:ind w:firstLine="369" w:firstLineChars="176"/>
        <w:rPr>
          <w:rFonts w:hint="eastAsia" w:ascii="宋体" w:hAnsi="宋体"/>
          <w:highlight w:val="none"/>
        </w:rPr>
      </w:pPr>
      <w:r>
        <w:rPr>
          <w:rFonts w:hint="eastAsia" w:ascii="宋体" w:hAnsi="宋体"/>
          <w:highlight w:val="none"/>
        </w:rPr>
        <w:t>（4）按本章第 2.2.4（4）目规定的评审因素和分值对其他部分计算出得分 D。</w:t>
      </w:r>
    </w:p>
    <w:p w14:paraId="07CC9EE8">
      <w:pPr>
        <w:spacing w:line="360" w:lineRule="auto"/>
        <w:ind w:firstLine="369" w:firstLineChars="176"/>
        <w:rPr>
          <w:rFonts w:ascii="宋体" w:hAnsi="宋体"/>
          <w:highlight w:val="none"/>
        </w:rPr>
      </w:pPr>
      <w:r>
        <w:rPr>
          <w:rFonts w:ascii="宋体" w:hAnsi="宋体"/>
          <w:highlight w:val="none"/>
        </w:rPr>
        <w:t>3.2.2 评分分值计算保留小数点后两位，小数点后第三位“四舍五入”。</w:t>
      </w:r>
    </w:p>
    <w:p w14:paraId="7E984173">
      <w:pPr>
        <w:spacing w:line="360" w:lineRule="auto"/>
        <w:ind w:firstLine="369" w:firstLineChars="176"/>
        <w:rPr>
          <w:rFonts w:hint="eastAsia" w:ascii="宋体" w:hAnsi="宋体"/>
          <w:highlight w:val="none"/>
        </w:rPr>
      </w:pPr>
      <w:r>
        <w:rPr>
          <w:rFonts w:ascii="宋体" w:hAnsi="宋体"/>
          <w:highlight w:val="none"/>
        </w:rPr>
        <w:t>3.2.3 投标人</w:t>
      </w:r>
      <w:r>
        <w:rPr>
          <w:rFonts w:hint="eastAsia" w:ascii="宋体" w:hAnsi="宋体"/>
          <w:highlight w:val="none"/>
        </w:rPr>
        <w:t>综合</w:t>
      </w:r>
      <w:r>
        <w:rPr>
          <w:rFonts w:ascii="宋体" w:hAnsi="宋体"/>
          <w:highlight w:val="none"/>
        </w:rPr>
        <w:t>得分=A+B+C</w:t>
      </w:r>
      <w:r>
        <w:rPr>
          <w:rFonts w:hint="eastAsia" w:ascii="宋体" w:hAnsi="宋体"/>
          <w:highlight w:val="none"/>
        </w:rPr>
        <w:t>+D</w:t>
      </w:r>
      <w:r>
        <w:rPr>
          <w:rFonts w:ascii="宋体" w:hAnsi="宋体"/>
          <w:highlight w:val="none"/>
        </w:rPr>
        <w:t>。</w:t>
      </w:r>
    </w:p>
    <w:p w14:paraId="31E8BB4A">
      <w:pPr>
        <w:spacing w:line="360" w:lineRule="auto"/>
        <w:ind w:firstLine="369" w:firstLineChars="176"/>
        <w:rPr>
          <w:rFonts w:hint="eastAsia" w:ascii="宋体" w:hAnsi="宋体"/>
          <w:highlight w:val="none"/>
        </w:rPr>
      </w:pPr>
      <w:r>
        <w:rPr>
          <w:rFonts w:ascii="宋体" w:hAnsi="宋体"/>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6240151">
      <w:pPr>
        <w:pStyle w:val="10"/>
        <w:ind w:firstLine="371" w:firstLineChars="176"/>
        <w:rPr>
          <w:rFonts w:hint="eastAsia" w:ascii="宋体" w:hAnsi="宋体"/>
          <w:sz w:val="21"/>
          <w:highlight w:val="none"/>
        </w:rPr>
      </w:pPr>
      <w:bookmarkStart w:id="253" w:name="_Toc500409888"/>
      <w:bookmarkStart w:id="254" w:name="_Toc510170432"/>
      <w:bookmarkStart w:id="255" w:name="_Toc500410333"/>
      <w:r>
        <w:rPr>
          <w:rFonts w:ascii="宋体" w:hAnsi="宋体"/>
          <w:sz w:val="21"/>
          <w:highlight w:val="none"/>
        </w:rPr>
        <w:t>3.3 投标文件的澄清</w:t>
      </w:r>
      <w:bookmarkEnd w:id="253"/>
      <w:bookmarkEnd w:id="254"/>
      <w:bookmarkEnd w:id="255"/>
    </w:p>
    <w:p w14:paraId="16B9616D">
      <w:pPr>
        <w:spacing w:line="360" w:lineRule="auto"/>
        <w:ind w:firstLine="369" w:firstLineChars="176"/>
        <w:rPr>
          <w:rFonts w:ascii="宋体" w:hAnsi="宋体"/>
          <w:highlight w:val="none"/>
        </w:rPr>
      </w:pPr>
      <w:r>
        <w:rPr>
          <w:rFonts w:ascii="宋体" w:hAnsi="宋体"/>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70E3D27">
      <w:pPr>
        <w:spacing w:line="360" w:lineRule="auto"/>
        <w:ind w:firstLine="369" w:firstLineChars="176"/>
        <w:rPr>
          <w:rFonts w:hint="eastAsia" w:ascii="宋体" w:hAnsi="宋体"/>
          <w:highlight w:val="none"/>
        </w:rPr>
      </w:pPr>
      <w:r>
        <w:rPr>
          <w:rFonts w:ascii="宋体" w:hAnsi="宋体"/>
          <w:highlight w:val="none"/>
        </w:rPr>
        <w:t>3.3.2 澄清、说明或补正不得超出投标文件的范围且不得改变投标文件的实质性内容，并构成投标文件的组成部分。</w:t>
      </w:r>
    </w:p>
    <w:p w14:paraId="624D2061">
      <w:pPr>
        <w:spacing w:line="360" w:lineRule="auto"/>
        <w:ind w:firstLine="369" w:firstLineChars="176"/>
        <w:rPr>
          <w:rFonts w:hint="eastAsia" w:ascii="宋体" w:hAnsi="宋体"/>
          <w:highlight w:val="none"/>
        </w:rPr>
      </w:pPr>
      <w:r>
        <w:rPr>
          <w:rFonts w:ascii="宋体" w:hAnsi="宋体"/>
          <w:highlight w:val="none"/>
        </w:rPr>
        <w:t>3.3.3 评标委员会对投标人提交的澄清、说明或补正有疑问的，可以要求投标人进一步澄清、说明或补正，直至满足评标委员会的要求。</w:t>
      </w:r>
    </w:p>
    <w:p w14:paraId="1D4BB01A">
      <w:pPr>
        <w:pStyle w:val="10"/>
        <w:ind w:firstLine="371" w:firstLineChars="176"/>
        <w:rPr>
          <w:rFonts w:hint="eastAsia" w:ascii="宋体" w:hAnsi="宋体"/>
          <w:sz w:val="21"/>
          <w:highlight w:val="none"/>
        </w:rPr>
      </w:pPr>
      <w:bookmarkStart w:id="256" w:name="_Toc510170433"/>
      <w:bookmarkStart w:id="257" w:name="_Toc500410334"/>
      <w:bookmarkStart w:id="258" w:name="_Toc500409889"/>
      <w:r>
        <w:rPr>
          <w:rFonts w:ascii="宋体" w:hAnsi="宋体"/>
          <w:sz w:val="21"/>
          <w:highlight w:val="none"/>
        </w:rPr>
        <w:t>3.4 评标结果</w:t>
      </w:r>
      <w:bookmarkEnd w:id="256"/>
      <w:bookmarkEnd w:id="257"/>
      <w:bookmarkEnd w:id="258"/>
    </w:p>
    <w:p w14:paraId="4C8B8958">
      <w:pPr>
        <w:spacing w:line="360" w:lineRule="auto"/>
        <w:ind w:firstLine="369" w:firstLineChars="176"/>
        <w:rPr>
          <w:rFonts w:hint="eastAsia" w:ascii="宋体" w:hAnsi="宋体"/>
          <w:highlight w:val="none"/>
        </w:rPr>
      </w:pPr>
      <w:r>
        <w:rPr>
          <w:rFonts w:ascii="宋体" w:hAnsi="宋体"/>
          <w:highlight w:val="none"/>
        </w:rPr>
        <w:t>3.4.1 除第二章“投标人须知”前附表授权直接确定中标人外，评标委员会按照得分由高到低的顺序推荐中标候选人，并标明排序。</w:t>
      </w:r>
    </w:p>
    <w:p w14:paraId="2C462BDC">
      <w:pPr>
        <w:spacing w:line="360" w:lineRule="auto"/>
        <w:ind w:firstLine="369" w:firstLineChars="176"/>
        <w:rPr>
          <w:rFonts w:ascii="宋体" w:hAnsi="宋体"/>
          <w:highlight w:val="none"/>
        </w:rPr>
      </w:pPr>
      <w:r>
        <w:rPr>
          <w:rFonts w:ascii="宋体" w:hAnsi="宋体"/>
          <w:highlight w:val="none"/>
        </w:rPr>
        <w:t>3.4.2 评标委员会完成评标后，应当向招标人提交书面评标报告和中标候选人名单</w:t>
      </w:r>
      <w:r>
        <w:rPr>
          <w:rFonts w:hint="eastAsia" w:ascii="宋体" w:hAnsi="宋体"/>
          <w:highlight w:val="none"/>
        </w:rPr>
        <w:t>。</w:t>
      </w:r>
    </w:p>
    <w:p w14:paraId="2D39FF1D">
      <w:pPr>
        <w:spacing w:line="360" w:lineRule="auto"/>
        <w:ind w:firstLine="480"/>
        <w:rPr>
          <w:rFonts w:hint="eastAsia" w:ascii="宋体" w:hAnsi="宋体"/>
          <w:highlight w:val="none"/>
        </w:rPr>
        <w:sectPr>
          <w:pgSz w:w="11849" w:h="16781"/>
          <w:pgMar w:top="1134" w:right="1134" w:bottom="1134" w:left="1134" w:header="0" w:footer="559" w:gutter="0"/>
          <w:cols w:space="720" w:num="1"/>
          <w:docGrid w:linePitch="360" w:charSpace="0"/>
        </w:sectPr>
      </w:pPr>
    </w:p>
    <w:p w14:paraId="55235DFE">
      <w:pPr>
        <w:pStyle w:val="8"/>
        <w:ind w:firstLine="643"/>
        <w:jc w:val="center"/>
        <w:rPr>
          <w:rFonts w:ascii="宋体" w:hAnsi="宋体" w:eastAsia="宋体"/>
          <w:highlight w:val="none"/>
        </w:rPr>
      </w:pPr>
      <w:bookmarkStart w:id="259" w:name="page47"/>
      <w:bookmarkEnd w:id="259"/>
      <w:bookmarkStart w:id="260" w:name="page46"/>
      <w:bookmarkEnd w:id="260"/>
      <w:bookmarkStart w:id="261" w:name="_Toc510170434"/>
      <w:bookmarkStart w:id="262" w:name="_Toc500410335"/>
      <w:bookmarkStart w:id="263" w:name="_Toc510170262"/>
      <w:bookmarkStart w:id="264" w:name="_Toc536824382"/>
      <w:bookmarkStart w:id="265" w:name="_Toc31363"/>
      <w:bookmarkStart w:id="266" w:name="_Toc500409890"/>
      <w:bookmarkStart w:id="267" w:name="_Toc6692"/>
      <w:bookmarkStart w:id="268" w:name="_Toc8329"/>
      <w:bookmarkStart w:id="269" w:name="_Toc27332"/>
      <w:r>
        <w:rPr>
          <w:rFonts w:ascii="宋体" w:hAnsi="宋体" w:eastAsia="宋体"/>
          <w:highlight w:val="none"/>
        </w:rPr>
        <w:t>第四章</w:t>
      </w:r>
      <w:r>
        <w:rPr>
          <w:rFonts w:hint="eastAsia" w:ascii="宋体" w:hAnsi="宋体" w:eastAsia="宋体"/>
          <w:highlight w:val="none"/>
        </w:rPr>
        <w:t xml:space="preserve">  </w:t>
      </w:r>
      <w:r>
        <w:rPr>
          <w:rFonts w:ascii="宋体" w:hAnsi="宋体" w:eastAsia="宋体"/>
          <w:highlight w:val="none"/>
        </w:rPr>
        <w:t>合同条款及格式</w:t>
      </w:r>
      <w:bookmarkEnd w:id="261"/>
      <w:bookmarkEnd w:id="262"/>
      <w:bookmarkEnd w:id="263"/>
      <w:bookmarkEnd w:id="264"/>
      <w:bookmarkEnd w:id="265"/>
      <w:bookmarkEnd w:id="266"/>
      <w:bookmarkEnd w:id="267"/>
      <w:bookmarkEnd w:id="268"/>
      <w:bookmarkEnd w:id="269"/>
    </w:p>
    <w:p w14:paraId="742284E7">
      <w:pPr>
        <w:spacing w:line="240" w:lineRule="atLeast"/>
        <w:ind w:left="645" w:firstLine="562"/>
        <w:jc w:val="center"/>
        <w:rPr>
          <w:rFonts w:hint="eastAsia"/>
          <w:b/>
          <w:sz w:val="28"/>
          <w:highlight w:val="none"/>
        </w:rPr>
      </w:pPr>
      <w:bookmarkStart w:id="270" w:name="_Toc510170435"/>
      <w:bookmarkStart w:id="271" w:name="_Toc510170263"/>
    </w:p>
    <w:p w14:paraId="1B72C362">
      <w:pPr>
        <w:spacing w:line="240" w:lineRule="atLeast"/>
        <w:ind w:left="645" w:firstLine="562"/>
        <w:jc w:val="center"/>
        <w:rPr>
          <w:rFonts w:hint="eastAsia"/>
          <w:b/>
          <w:sz w:val="28"/>
          <w:highlight w:val="none"/>
        </w:rPr>
      </w:pPr>
      <w:r>
        <w:rPr>
          <w:rFonts w:hint="eastAsia"/>
          <w:b/>
          <w:sz w:val="28"/>
          <w:highlight w:val="none"/>
        </w:rPr>
        <w:t>（另册）</w:t>
      </w:r>
    </w:p>
    <w:p w14:paraId="2B60801C">
      <w:pPr>
        <w:spacing w:line="240" w:lineRule="atLeast"/>
        <w:ind w:left="645" w:firstLine="562"/>
        <w:jc w:val="center"/>
        <w:rPr>
          <w:rFonts w:hint="eastAsia"/>
          <w:b/>
          <w:sz w:val="28"/>
          <w:highlight w:val="none"/>
        </w:rPr>
      </w:pPr>
    </w:p>
    <w:p w14:paraId="23B410FC">
      <w:pPr>
        <w:ind w:firstLine="480"/>
        <w:rPr>
          <w:rFonts w:hint="eastAsia"/>
          <w:highlight w:val="none"/>
        </w:rPr>
      </w:pPr>
    </w:p>
    <w:p w14:paraId="2A9E4A4A">
      <w:pPr>
        <w:ind w:firstLine="883"/>
        <w:jc w:val="center"/>
        <w:rPr>
          <w:rFonts w:hint="eastAsia" w:ascii="宋体" w:hAnsi="宋体"/>
          <w:b/>
          <w:sz w:val="44"/>
          <w:szCs w:val="44"/>
          <w:highlight w:val="none"/>
        </w:rPr>
      </w:pPr>
    </w:p>
    <w:p w14:paraId="3C418427">
      <w:pPr>
        <w:spacing w:line="420" w:lineRule="exact"/>
        <w:ind w:firstLine="480"/>
        <w:jc w:val="left"/>
        <w:rPr>
          <w:rFonts w:hint="eastAsia" w:ascii="宋体" w:hAnsi="宋体"/>
          <w:sz w:val="24"/>
          <w:highlight w:val="none"/>
        </w:rPr>
      </w:pPr>
    </w:p>
    <w:p w14:paraId="0DCC7852">
      <w:pPr>
        <w:spacing w:line="420" w:lineRule="exact"/>
        <w:ind w:firstLine="480"/>
        <w:jc w:val="left"/>
        <w:rPr>
          <w:rFonts w:hint="eastAsia" w:ascii="宋体" w:hAnsi="宋体"/>
          <w:sz w:val="24"/>
          <w:highlight w:val="none"/>
        </w:rPr>
      </w:pPr>
    </w:p>
    <w:p w14:paraId="6ADC0285">
      <w:pPr>
        <w:spacing w:line="420" w:lineRule="exact"/>
        <w:ind w:firstLine="480"/>
        <w:jc w:val="left"/>
        <w:rPr>
          <w:rFonts w:hint="eastAsia" w:ascii="宋体" w:hAnsi="宋体"/>
          <w:sz w:val="24"/>
          <w:highlight w:val="none"/>
        </w:rPr>
      </w:pPr>
    </w:p>
    <w:p w14:paraId="3443E908">
      <w:pPr>
        <w:spacing w:line="420" w:lineRule="exact"/>
        <w:ind w:firstLine="480"/>
        <w:jc w:val="left"/>
        <w:rPr>
          <w:rFonts w:hint="eastAsia" w:ascii="宋体" w:hAnsi="宋体"/>
          <w:sz w:val="24"/>
          <w:highlight w:val="none"/>
        </w:rPr>
      </w:pPr>
    </w:p>
    <w:p w14:paraId="04E6E3E7">
      <w:pPr>
        <w:spacing w:line="420" w:lineRule="exact"/>
        <w:ind w:firstLine="560"/>
        <w:jc w:val="left"/>
        <w:rPr>
          <w:rFonts w:ascii="宋体" w:hAnsi="宋体"/>
          <w:sz w:val="28"/>
          <w:szCs w:val="28"/>
          <w:highlight w:val="none"/>
        </w:rPr>
        <w:sectPr>
          <w:headerReference r:id="rId4" w:type="default"/>
          <w:footerReference r:id="rId5" w:type="default"/>
          <w:pgSz w:w="11907" w:h="16840"/>
          <w:pgMar w:top="1134" w:right="1134" w:bottom="1134" w:left="1134" w:header="0" w:footer="357" w:gutter="0"/>
          <w:cols w:space="720" w:num="1"/>
          <w:docGrid w:linePitch="360" w:charSpace="0"/>
        </w:sectPr>
      </w:pPr>
    </w:p>
    <w:p w14:paraId="64623C7B">
      <w:pPr>
        <w:spacing w:line="420" w:lineRule="exact"/>
        <w:ind w:firstLine="560"/>
        <w:jc w:val="left"/>
        <w:rPr>
          <w:rFonts w:hint="eastAsia" w:ascii="宋体" w:hAnsi="宋体"/>
          <w:sz w:val="28"/>
          <w:szCs w:val="28"/>
          <w:highlight w:val="none"/>
        </w:rPr>
      </w:pPr>
    </w:p>
    <w:p w14:paraId="776CEC8B">
      <w:pPr>
        <w:spacing w:line="420" w:lineRule="exact"/>
        <w:ind w:firstLine="560"/>
        <w:jc w:val="left"/>
        <w:rPr>
          <w:rFonts w:hint="eastAsia" w:ascii="宋体" w:hAnsi="宋体"/>
          <w:sz w:val="28"/>
          <w:szCs w:val="28"/>
          <w:highlight w:val="none"/>
        </w:rPr>
      </w:pPr>
    </w:p>
    <w:p w14:paraId="0A020F96">
      <w:pPr>
        <w:spacing w:line="420" w:lineRule="exact"/>
        <w:ind w:firstLine="560"/>
        <w:jc w:val="left"/>
        <w:rPr>
          <w:rFonts w:hint="eastAsia" w:ascii="宋体" w:hAnsi="宋体"/>
          <w:sz w:val="28"/>
          <w:szCs w:val="28"/>
          <w:highlight w:val="none"/>
        </w:rPr>
      </w:pPr>
    </w:p>
    <w:p w14:paraId="043D50B6">
      <w:pPr>
        <w:spacing w:line="420" w:lineRule="exact"/>
        <w:ind w:firstLine="560"/>
        <w:jc w:val="left"/>
        <w:rPr>
          <w:rFonts w:hint="eastAsia" w:ascii="宋体" w:hAnsi="宋体"/>
          <w:sz w:val="28"/>
          <w:szCs w:val="28"/>
          <w:highlight w:val="none"/>
        </w:rPr>
      </w:pPr>
    </w:p>
    <w:p w14:paraId="58FAC0AB">
      <w:pPr>
        <w:spacing w:line="420" w:lineRule="exact"/>
        <w:ind w:firstLine="560"/>
        <w:jc w:val="left"/>
        <w:rPr>
          <w:rFonts w:hint="eastAsia" w:ascii="宋体" w:hAnsi="宋体"/>
          <w:sz w:val="28"/>
          <w:szCs w:val="28"/>
          <w:highlight w:val="none"/>
        </w:rPr>
      </w:pPr>
    </w:p>
    <w:p w14:paraId="2B7E58B6">
      <w:pPr>
        <w:spacing w:line="420" w:lineRule="exact"/>
        <w:ind w:firstLine="560"/>
        <w:jc w:val="left"/>
        <w:rPr>
          <w:rFonts w:hint="eastAsia" w:ascii="宋体" w:hAnsi="宋体"/>
          <w:sz w:val="28"/>
          <w:szCs w:val="28"/>
          <w:highlight w:val="none"/>
        </w:rPr>
      </w:pPr>
    </w:p>
    <w:p w14:paraId="32BD077C">
      <w:pPr>
        <w:spacing w:line="420" w:lineRule="exact"/>
        <w:ind w:firstLine="560"/>
        <w:jc w:val="left"/>
        <w:rPr>
          <w:rFonts w:hint="eastAsia" w:ascii="宋体" w:hAnsi="宋体"/>
          <w:sz w:val="28"/>
          <w:szCs w:val="28"/>
          <w:highlight w:val="none"/>
        </w:rPr>
      </w:pPr>
    </w:p>
    <w:p w14:paraId="10CDC524">
      <w:pPr>
        <w:spacing w:line="420" w:lineRule="exact"/>
        <w:ind w:firstLine="560"/>
        <w:jc w:val="left"/>
        <w:rPr>
          <w:rFonts w:hint="eastAsia" w:ascii="宋体" w:hAnsi="宋体"/>
          <w:sz w:val="28"/>
          <w:szCs w:val="28"/>
          <w:highlight w:val="none"/>
        </w:rPr>
      </w:pPr>
    </w:p>
    <w:p w14:paraId="1E89F194">
      <w:pPr>
        <w:pStyle w:val="4"/>
        <w:rPr>
          <w:rFonts w:ascii="宋体" w:hAnsi="宋体"/>
          <w:sz w:val="43"/>
          <w:highlight w:val="none"/>
        </w:rPr>
        <w:sectPr>
          <w:pgSz w:w="11907" w:h="16840"/>
          <w:pgMar w:top="1134" w:right="1134" w:bottom="1134" w:left="1134" w:header="0" w:footer="357" w:gutter="0"/>
          <w:cols w:space="720" w:num="1"/>
          <w:docGrid w:linePitch="360" w:charSpace="0"/>
        </w:sectPr>
      </w:pPr>
      <w:bookmarkStart w:id="272" w:name="_Toc536824393"/>
      <w:bookmarkStart w:id="273" w:name="_Toc353"/>
      <w:bookmarkStart w:id="274" w:name="_Toc24773"/>
      <w:bookmarkStart w:id="275" w:name="_Toc7575"/>
      <w:bookmarkStart w:id="276" w:name="_Toc17904"/>
      <w:r>
        <w:rPr>
          <w:rFonts w:ascii="宋体" w:hAnsi="宋体"/>
          <w:sz w:val="43"/>
          <w:highlight w:val="none"/>
        </w:rPr>
        <w:t>第二卷</w:t>
      </w:r>
      <w:bookmarkEnd w:id="270"/>
      <w:bookmarkEnd w:id="271"/>
      <w:bookmarkEnd w:id="272"/>
      <w:bookmarkEnd w:id="273"/>
      <w:bookmarkEnd w:id="274"/>
      <w:bookmarkEnd w:id="275"/>
      <w:bookmarkEnd w:id="276"/>
    </w:p>
    <w:p w14:paraId="01CF2931">
      <w:pPr>
        <w:pStyle w:val="8"/>
        <w:ind w:firstLine="643"/>
        <w:jc w:val="center"/>
        <w:rPr>
          <w:rFonts w:hint="eastAsia" w:ascii="宋体" w:hAnsi="宋体" w:eastAsia="宋体"/>
          <w:highlight w:val="none"/>
        </w:rPr>
      </w:pPr>
      <w:bookmarkStart w:id="277" w:name="_Toc510170436"/>
      <w:bookmarkStart w:id="278" w:name="_Toc510170264"/>
      <w:bookmarkStart w:id="279" w:name="_Toc504393875"/>
      <w:bookmarkStart w:id="280" w:name="_Toc96005966"/>
      <w:bookmarkStart w:id="281" w:name="_Toc536824394"/>
      <w:bookmarkStart w:id="282" w:name="_Toc614"/>
      <w:bookmarkStart w:id="283" w:name="_Toc13547"/>
      <w:bookmarkStart w:id="284" w:name="_Toc20174"/>
      <w:r>
        <w:rPr>
          <w:rFonts w:ascii="宋体" w:hAnsi="宋体" w:eastAsia="宋体"/>
          <w:highlight w:val="none"/>
        </w:rPr>
        <w:t>第五章</w:t>
      </w:r>
      <w:r>
        <w:rPr>
          <w:rFonts w:hint="eastAsia" w:ascii="宋体" w:hAnsi="宋体" w:eastAsia="宋体"/>
          <w:highlight w:val="none"/>
        </w:rPr>
        <w:t xml:space="preserve">  </w:t>
      </w:r>
      <w:r>
        <w:rPr>
          <w:rFonts w:ascii="宋体" w:hAnsi="宋体" w:eastAsia="宋体"/>
          <w:highlight w:val="none"/>
        </w:rPr>
        <w:t>委托人要求</w:t>
      </w:r>
      <w:bookmarkEnd w:id="277"/>
      <w:bookmarkEnd w:id="278"/>
      <w:bookmarkEnd w:id="279"/>
      <w:bookmarkEnd w:id="280"/>
      <w:bookmarkEnd w:id="281"/>
      <w:bookmarkEnd w:id="282"/>
      <w:bookmarkEnd w:id="283"/>
      <w:bookmarkEnd w:id="284"/>
    </w:p>
    <w:p w14:paraId="5AFF8B2B">
      <w:pPr>
        <w:spacing w:line="360" w:lineRule="auto"/>
        <w:ind w:firstLine="315" w:firstLineChars="150"/>
        <w:rPr>
          <w:rFonts w:ascii="宋体" w:hAnsi="宋体"/>
          <w:highlight w:val="none"/>
        </w:rPr>
      </w:pPr>
      <w:r>
        <w:rPr>
          <w:rFonts w:ascii="宋体" w:hAnsi="宋体"/>
          <w:highlight w:val="none"/>
        </w:rPr>
        <w:t>委托人要求包括但不限于以下内容：</w:t>
      </w:r>
    </w:p>
    <w:p w14:paraId="2D41F804">
      <w:pPr>
        <w:spacing w:line="360" w:lineRule="auto"/>
        <w:ind w:firstLine="482"/>
        <w:rPr>
          <w:rFonts w:hint="eastAsia" w:ascii="宋体" w:hAnsi="宋体" w:cs="宋体"/>
          <w:b/>
          <w:bCs/>
          <w:highlight w:val="none"/>
        </w:rPr>
      </w:pPr>
      <w:r>
        <w:rPr>
          <w:rFonts w:hint="eastAsia" w:ascii="宋体" w:hAnsi="宋体" w:cs="宋体"/>
          <w:b/>
          <w:bCs/>
          <w:highlight w:val="none"/>
        </w:rPr>
        <w:t>一、监理要求</w:t>
      </w:r>
    </w:p>
    <w:p w14:paraId="648190D8">
      <w:pPr>
        <w:spacing w:line="360" w:lineRule="auto"/>
        <w:ind w:firstLine="420" w:firstLineChars="200"/>
        <w:rPr>
          <w:rFonts w:hint="eastAsia" w:ascii="宋体" w:hAnsi="宋体" w:cs="宋体"/>
          <w:highlight w:val="none"/>
        </w:rPr>
      </w:pPr>
      <w:r>
        <w:rPr>
          <w:rFonts w:hint="eastAsia" w:ascii="宋体" w:hAnsi="宋体" w:cs="宋体"/>
          <w:highlight w:val="none"/>
        </w:rPr>
        <w:t>1. 项目概况</w:t>
      </w:r>
    </w:p>
    <w:p w14:paraId="3E8DC794">
      <w:pPr>
        <w:spacing w:line="360" w:lineRule="auto"/>
        <w:ind w:firstLine="420" w:firstLineChars="200"/>
        <w:rPr>
          <w:rFonts w:hint="eastAsia" w:ascii="宋体" w:hAnsi="宋体" w:cs="宋体"/>
          <w:highlight w:val="none"/>
        </w:rPr>
      </w:pPr>
      <w:r>
        <w:rPr>
          <w:rFonts w:hint="eastAsia" w:ascii="宋体" w:hAnsi="宋体" w:cs="宋体"/>
          <w:highlight w:val="none"/>
        </w:rPr>
        <w:t>详见招标文件；</w:t>
      </w:r>
    </w:p>
    <w:p w14:paraId="0D9EC0D2">
      <w:pPr>
        <w:spacing w:line="360" w:lineRule="auto"/>
        <w:ind w:firstLine="420" w:firstLineChars="200"/>
        <w:rPr>
          <w:rFonts w:hint="eastAsia" w:ascii="宋体" w:hAnsi="宋体" w:cs="宋体"/>
          <w:highlight w:val="none"/>
        </w:rPr>
      </w:pPr>
      <w:r>
        <w:rPr>
          <w:rFonts w:hint="eastAsia" w:ascii="宋体" w:hAnsi="宋体" w:cs="宋体"/>
          <w:highlight w:val="none"/>
        </w:rPr>
        <w:t>2. 监理范围及内容</w:t>
      </w:r>
    </w:p>
    <w:p w14:paraId="1062028D">
      <w:pPr>
        <w:spacing w:line="360" w:lineRule="auto"/>
        <w:ind w:firstLine="420" w:firstLineChars="200"/>
        <w:rPr>
          <w:rFonts w:hint="eastAsia" w:ascii="宋体" w:hAnsi="宋体" w:cs="宋体"/>
          <w:highlight w:val="none"/>
        </w:rPr>
      </w:pPr>
      <w:r>
        <w:rPr>
          <w:rFonts w:hint="eastAsia" w:ascii="宋体" w:hAnsi="宋体" w:cs="宋体"/>
          <w:highlight w:val="none"/>
        </w:rPr>
        <w:t>详见招标文件；</w:t>
      </w:r>
    </w:p>
    <w:p w14:paraId="635F87E6">
      <w:pPr>
        <w:spacing w:line="360" w:lineRule="auto"/>
        <w:ind w:firstLine="420" w:firstLineChars="200"/>
        <w:rPr>
          <w:rFonts w:hint="eastAsia" w:ascii="宋体" w:hAnsi="宋体" w:cs="宋体"/>
          <w:highlight w:val="none"/>
        </w:rPr>
      </w:pPr>
      <w:r>
        <w:rPr>
          <w:rFonts w:hint="eastAsia" w:ascii="宋体" w:hAnsi="宋体" w:cs="宋体"/>
          <w:highlight w:val="none"/>
        </w:rPr>
        <w:t>3. 监理依据</w:t>
      </w:r>
    </w:p>
    <w:p w14:paraId="6303B84A">
      <w:pPr>
        <w:spacing w:line="360" w:lineRule="auto"/>
        <w:ind w:firstLine="420" w:firstLineChars="200"/>
        <w:rPr>
          <w:rFonts w:hint="eastAsia" w:ascii="宋体" w:hAnsi="宋体" w:cs="宋体"/>
          <w:highlight w:val="none"/>
        </w:rPr>
      </w:pPr>
      <w:r>
        <w:rPr>
          <w:rFonts w:hint="eastAsia" w:ascii="宋体" w:hAnsi="宋体" w:cs="宋体"/>
          <w:highlight w:val="none"/>
        </w:rPr>
        <w:t>详见监理合同。</w:t>
      </w:r>
    </w:p>
    <w:p w14:paraId="68AA1478">
      <w:pPr>
        <w:spacing w:line="360" w:lineRule="auto"/>
        <w:ind w:firstLine="420" w:firstLineChars="200"/>
        <w:rPr>
          <w:rFonts w:ascii="宋体" w:hAnsi="宋体"/>
          <w:highlight w:val="none"/>
        </w:rPr>
      </w:pPr>
      <w:r>
        <w:rPr>
          <w:rFonts w:hint="eastAsia" w:ascii="宋体" w:hAnsi="宋体"/>
          <w:highlight w:val="none"/>
        </w:rPr>
        <w:t>4  监理机构及监理人员要求：</w:t>
      </w:r>
    </w:p>
    <w:p w14:paraId="656632CF">
      <w:pPr>
        <w:spacing w:line="360" w:lineRule="auto"/>
        <w:ind w:firstLine="420" w:firstLineChars="200"/>
        <w:rPr>
          <w:rFonts w:ascii="宋体" w:hAnsi="宋体"/>
          <w:highlight w:val="none"/>
        </w:rPr>
      </w:pPr>
      <w:r>
        <w:rPr>
          <w:rFonts w:hint="eastAsia" w:ascii="宋体" w:hAnsi="宋体"/>
          <w:highlight w:val="none"/>
        </w:rPr>
        <w:t>4.1 监理机构</w:t>
      </w:r>
    </w:p>
    <w:p w14:paraId="228E4149">
      <w:pPr>
        <w:spacing w:line="360" w:lineRule="auto"/>
        <w:ind w:firstLine="420" w:firstLineChars="200"/>
        <w:rPr>
          <w:rFonts w:ascii="宋体" w:hAnsi="宋体"/>
          <w:highlight w:val="none"/>
        </w:rPr>
      </w:pPr>
      <w:r>
        <w:rPr>
          <w:rFonts w:hint="eastAsia" w:ascii="宋体" w:hAnsi="宋体"/>
          <w:highlight w:val="none"/>
        </w:rPr>
        <w:t>4.1.1监理机构在履行本合同的义务期间，应遵循监理职业准则和行为规范，应用合理的技能(特别是现场施工缺陷、质量问题、设备材料缺陷与质量问题、安全问题等识别与诊断处理的技能)为委托人提供与其监理人资质水平相适应的服务，通过科学、认真、勤奋与高效工作，帮助委托人实现施工合同预定的目标。</w:t>
      </w:r>
    </w:p>
    <w:p w14:paraId="27344063">
      <w:pPr>
        <w:spacing w:line="360" w:lineRule="auto"/>
        <w:ind w:firstLine="420" w:firstLineChars="200"/>
        <w:rPr>
          <w:rFonts w:ascii="宋体" w:hAnsi="宋体"/>
          <w:highlight w:val="none"/>
        </w:rPr>
      </w:pPr>
      <w:r>
        <w:rPr>
          <w:rFonts w:hint="eastAsia" w:ascii="宋体" w:hAnsi="宋体"/>
          <w:highlight w:val="none"/>
        </w:rPr>
        <w:t>4.1.2 监理机构应按照“公正、独立、自主”的原则开展工程建设监理工作，除规定的具体业务外，还应负责协调及处理本项目执行过程中的，涉及设计、施工、周边工作环境、总体勘测及质量控制、与其它项目的衔接等方面的相关工作。公正地维护委托人的合法权益。</w:t>
      </w:r>
    </w:p>
    <w:p w14:paraId="6300724D">
      <w:pPr>
        <w:spacing w:line="360" w:lineRule="auto"/>
        <w:ind w:firstLine="420" w:firstLineChars="200"/>
        <w:rPr>
          <w:rFonts w:ascii="宋体" w:hAnsi="宋体"/>
          <w:highlight w:val="none"/>
        </w:rPr>
      </w:pPr>
      <w:r>
        <w:rPr>
          <w:rFonts w:hint="eastAsia" w:ascii="宋体" w:hAnsi="宋体"/>
          <w:highlight w:val="none"/>
        </w:rPr>
        <w:t>4.1.3监理机构应根据相关行业的工程监理规范、规定和工程进展情况分专业、分项目编制、修改及完善监理实施细则。</w:t>
      </w:r>
    </w:p>
    <w:p w14:paraId="0988C671">
      <w:pPr>
        <w:spacing w:line="360" w:lineRule="auto"/>
        <w:ind w:firstLine="420" w:firstLineChars="200"/>
        <w:rPr>
          <w:rFonts w:ascii="宋体" w:hAnsi="宋体"/>
          <w:highlight w:val="none"/>
        </w:rPr>
      </w:pPr>
      <w:r>
        <w:rPr>
          <w:rFonts w:hint="eastAsia" w:ascii="宋体" w:hAnsi="宋体"/>
          <w:highlight w:val="none"/>
        </w:rPr>
        <w:t>4.1.4监理机构主要人员的资质应在监理规划中详细描述，并得到委托人的认可。监理人员组成应合理，监理人派驻进场的监理人员的素质、数量、专业配置及层次结构等必须满足工程进展和工程监理工作的需要。总监理工程师、总监代表及监理人员应由监理人企业在职的注册人员承担。</w:t>
      </w:r>
    </w:p>
    <w:p w14:paraId="2816FB38">
      <w:pPr>
        <w:spacing w:line="360" w:lineRule="auto"/>
        <w:ind w:firstLine="420" w:firstLineChars="200"/>
        <w:rPr>
          <w:rFonts w:ascii="宋体" w:hAnsi="宋体"/>
          <w:highlight w:val="none"/>
        </w:rPr>
      </w:pPr>
      <w:r>
        <w:rPr>
          <w:rFonts w:hint="eastAsia" w:ascii="宋体" w:hAnsi="宋体"/>
          <w:highlight w:val="none"/>
        </w:rPr>
        <w:t>4.2 监理人员</w:t>
      </w:r>
    </w:p>
    <w:p w14:paraId="30071AC1">
      <w:pPr>
        <w:spacing w:line="360" w:lineRule="auto"/>
        <w:ind w:firstLine="420" w:firstLineChars="200"/>
        <w:rPr>
          <w:rFonts w:ascii="宋体" w:hAnsi="宋体"/>
          <w:highlight w:val="none"/>
        </w:rPr>
      </w:pPr>
      <w:r>
        <w:rPr>
          <w:rFonts w:hint="eastAsia" w:ascii="宋体" w:hAnsi="宋体"/>
          <w:highlight w:val="none"/>
        </w:rPr>
        <w:t>4.2.1监理人员的资格要求：</w:t>
      </w:r>
    </w:p>
    <w:p w14:paraId="27EAA53B">
      <w:pPr>
        <w:spacing w:line="360" w:lineRule="auto"/>
        <w:ind w:firstLine="420" w:firstLineChars="200"/>
        <w:rPr>
          <w:rFonts w:ascii="宋体" w:hAnsi="宋体"/>
          <w:highlight w:val="none"/>
        </w:rPr>
      </w:pPr>
      <w:r>
        <w:rPr>
          <w:rFonts w:hint="eastAsia" w:ascii="宋体" w:hAnsi="宋体"/>
          <w:highlight w:val="none"/>
        </w:rPr>
        <w:t>监理人驻现场项目总监理工程师1 名、委派总监代表1名，监理工程师需至少配备土建类 1 名、市政1 名、一级注册造价工程师 1 名、给排水 1 名、测量1 名、安全1 名，其它各类监理人员投标人可自行估算但须满足施工实际需要。</w:t>
      </w:r>
    </w:p>
    <w:p w14:paraId="3160E6C0">
      <w:pPr>
        <w:spacing w:line="360" w:lineRule="auto"/>
        <w:ind w:firstLine="420" w:firstLineChars="200"/>
        <w:rPr>
          <w:rFonts w:ascii="宋体" w:hAnsi="宋体"/>
          <w:color w:val="auto"/>
          <w:highlight w:val="none"/>
        </w:rPr>
      </w:pPr>
      <w:r>
        <w:rPr>
          <w:rFonts w:hint="eastAsia" w:ascii="宋体" w:hAnsi="宋体"/>
          <w:color w:val="auto"/>
          <w:highlight w:val="none"/>
        </w:rPr>
        <w:t>A、总监理工程师应具备的基本条件：</w:t>
      </w:r>
    </w:p>
    <w:p w14:paraId="7E8C64A3">
      <w:pPr>
        <w:spacing w:line="360" w:lineRule="auto"/>
        <w:ind w:firstLine="420" w:firstLineChars="200"/>
        <w:rPr>
          <w:rFonts w:hint="eastAsia" w:ascii="宋体" w:hAnsi="宋体"/>
          <w:bCs/>
          <w:highlight w:val="none"/>
        </w:rPr>
      </w:pPr>
      <w:r>
        <w:rPr>
          <w:rFonts w:hint="eastAsia" w:ascii="宋体" w:hAnsi="宋体"/>
          <w:bCs/>
          <w:color w:val="auto"/>
          <w:highlight w:val="none"/>
        </w:rPr>
        <w:t>拟派驻本工程总监理工程师</w:t>
      </w:r>
      <w:r>
        <w:rPr>
          <w:rFonts w:hint="eastAsia" w:ascii="宋体" w:hAnsi="宋体"/>
          <w:color w:val="auto"/>
          <w:highlight w:val="none"/>
        </w:rPr>
        <w:t>必须具有建设部2006年4月1日后颁发的中华人民共和国注册监理工程师注册执业证书，且其注册证书专业市政公用工程，注册执业单位为本</w:t>
      </w:r>
      <w:r>
        <w:rPr>
          <w:rFonts w:hint="eastAsia" w:ascii="宋体" w:hAnsi="宋体"/>
          <w:color w:val="auto"/>
          <w:highlight w:val="none"/>
          <w:lang w:eastAsia="zh-CN"/>
        </w:rPr>
        <w:t>单位</w:t>
      </w:r>
      <w:r>
        <w:rPr>
          <w:rFonts w:hint="eastAsia" w:ascii="宋体" w:hAnsi="宋体"/>
          <w:color w:val="auto"/>
          <w:highlight w:val="none"/>
        </w:rPr>
        <w:t>。投标人需提供近一个月为其购买的有效社保证明相关证明文件。总监理工程师</w:t>
      </w:r>
      <w:r>
        <w:rPr>
          <w:rFonts w:hint="eastAsia" w:ascii="宋体" w:hAnsi="宋体"/>
          <w:bCs/>
          <w:color w:val="auto"/>
          <w:highlight w:val="none"/>
        </w:rPr>
        <w:t>1人：具备本科或以上学历，年龄在60周岁以下，身体健康，具有全面的工程管理经验。同时，具备沟通协调能力、组织能力，</w:t>
      </w:r>
      <w:r>
        <w:rPr>
          <w:rFonts w:hint="eastAsia" w:ascii="宋体" w:hAnsi="宋体" w:cs="Arial"/>
          <w:bCs/>
          <w:color w:val="auto"/>
          <w:highlight w:val="none"/>
        </w:rPr>
        <w:t>并适应现场的工作和生活条件</w:t>
      </w:r>
      <w:r>
        <w:rPr>
          <w:rFonts w:hint="eastAsia" w:ascii="宋体" w:hAnsi="宋体"/>
          <w:bCs/>
          <w:color w:val="auto"/>
          <w:highlight w:val="none"/>
        </w:rPr>
        <w:t>。</w:t>
      </w:r>
    </w:p>
    <w:p w14:paraId="49DB4746">
      <w:pPr>
        <w:spacing w:line="360" w:lineRule="auto"/>
        <w:ind w:firstLine="420" w:firstLineChars="200"/>
        <w:rPr>
          <w:rFonts w:ascii="宋体" w:hAnsi="宋体"/>
          <w:highlight w:val="none"/>
        </w:rPr>
      </w:pPr>
      <w:r>
        <w:rPr>
          <w:rFonts w:hint="eastAsia" w:ascii="宋体" w:hAnsi="宋体"/>
          <w:highlight w:val="none"/>
        </w:rPr>
        <w:t>B、拟派总监代表应具备的基本条件：</w:t>
      </w:r>
    </w:p>
    <w:p w14:paraId="5F4F1C3D">
      <w:pPr>
        <w:spacing w:line="360" w:lineRule="auto"/>
        <w:ind w:firstLine="420" w:firstLineChars="200"/>
        <w:rPr>
          <w:rFonts w:hint="eastAsia" w:ascii="宋体" w:hAnsi="宋体"/>
          <w:bCs/>
          <w:highlight w:val="none"/>
        </w:rPr>
      </w:pPr>
      <w:r>
        <w:rPr>
          <w:rFonts w:hint="eastAsia" w:ascii="宋体" w:hAnsi="宋体"/>
          <w:bCs/>
          <w:highlight w:val="none"/>
        </w:rPr>
        <w:t>拟派</w:t>
      </w:r>
      <w:r>
        <w:rPr>
          <w:rFonts w:hint="eastAsia" w:ascii="宋体" w:hAnsi="宋体"/>
          <w:highlight w:val="none"/>
        </w:rPr>
        <w:t>总监代表必须具有建设部2006年4月1日后颁发的中华人民共和国注册监理工程师注册执业证书，且其注册证书专业市政公用工程，注册执业单位为本公司。投标人需提供近一个月为其购买的有效社保证明相关证明文件。其</w:t>
      </w:r>
      <w:r>
        <w:rPr>
          <w:rFonts w:hint="eastAsia" w:ascii="宋体" w:hAnsi="宋体"/>
          <w:bCs/>
          <w:highlight w:val="none"/>
        </w:rPr>
        <w:t>对工作有控制、协调和组织管理能力，善于合作，并适应现场的工作和生活条件。</w:t>
      </w:r>
    </w:p>
    <w:p w14:paraId="58DD15FA">
      <w:pPr>
        <w:spacing w:line="360" w:lineRule="auto"/>
        <w:ind w:firstLine="420" w:firstLineChars="200"/>
        <w:rPr>
          <w:rFonts w:ascii="宋体" w:hAnsi="宋体"/>
          <w:highlight w:val="none"/>
        </w:rPr>
      </w:pPr>
      <w:r>
        <w:rPr>
          <w:rFonts w:hint="eastAsia" w:ascii="宋体" w:hAnsi="宋体"/>
          <w:highlight w:val="none"/>
        </w:rPr>
        <w:t>C、监理工程师应具备的基本条件：</w:t>
      </w:r>
    </w:p>
    <w:p w14:paraId="1D3D75A1">
      <w:pPr>
        <w:spacing w:line="360" w:lineRule="auto"/>
        <w:ind w:firstLine="420" w:firstLineChars="200"/>
        <w:rPr>
          <w:rFonts w:hint="eastAsia" w:ascii="宋体" w:hAnsi="宋体"/>
          <w:highlight w:val="none"/>
        </w:rPr>
      </w:pPr>
      <w:r>
        <w:rPr>
          <w:rFonts w:hint="eastAsia" w:ascii="宋体" w:hAnsi="宋体"/>
          <w:highlight w:val="none"/>
        </w:rPr>
        <w:t>专业监理工程师具有中级或以上职称，并应取得专业监理工程师</w:t>
      </w:r>
      <w:bookmarkStart w:id="285" w:name="_Hlk63151220"/>
      <w:r>
        <w:rPr>
          <w:rFonts w:hint="eastAsia" w:ascii="宋体" w:hAnsi="宋体"/>
          <w:highlight w:val="none"/>
        </w:rPr>
        <w:t>岗位</w:t>
      </w:r>
      <w:bookmarkEnd w:id="285"/>
      <w:r>
        <w:rPr>
          <w:rFonts w:hint="eastAsia" w:ascii="宋体" w:hAnsi="宋体"/>
          <w:highlight w:val="none"/>
        </w:rPr>
        <w:t>证书或注册监理工程师执业证书,专业以专业监理工程师证书</w:t>
      </w:r>
      <w:bookmarkStart w:id="286" w:name="_Hlk63151233"/>
      <w:r>
        <w:rPr>
          <w:rFonts w:hint="eastAsia" w:ascii="宋体" w:hAnsi="宋体"/>
          <w:highlight w:val="none"/>
        </w:rPr>
        <w:t>或注册监理工程师执业证书</w:t>
      </w:r>
      <w:bookmarkEnd w:id="286"/>
      <w:r>
        <w:rPr>
          <w:rFonts w:hint="eastAsia" w:ascii="宋体" w:hAnsi="宋体"/>
          <w:highlight w:val="none"/>
        </w:rPr>
        <w:t>或上岗证书或职称证上所列的相关专业为准。</w:t>
      </w:r>
    </w:p>
    <w:p w14:paraId="27E8A70F">
      <w:pPr>
        <w:spacing w:line="360" w:lineRule="auto"/>
        <w:ind w:firstLine="420" w:firstLineChars="200"/>
        <w:rPr>
          <w:rFonts w:ascii="宋体" w:hAnsi="宋体"/>
          <w:highlight w:val="none"/>
        </w:rPr>
      </w:pPr>
      <w:r>
        <w:rPr>
          <w:rFonts w:hint="eastAsia" w:ascii="宋体" w:hAnsi="宋体"/>
          <w:highlight w:val="none"/>
        </w:rPr>
        <w:t>D、监理员应具备的基本条件：</w:t>
      </w:r>
    </w:p>
    <w:p w14:paraId="409CE14B">
      <w:pPr>
        <w:spacing w:line="360" w:lineRule="auto"/>
        <w:ind w:firstLine="420" w:firstLineChars="200"/>
        <w:rPr>
          <w:rFonts w:hint="eastAsia" w:ascii="宋体" w:hAnsi="宋体"/>
          <w:color w:val="0000FF"/>
          <w:highlight w:val="none"/>
        </w:rPr>
      </w:pPr>
      <w:r>
        <w:rPr>
          <w:rFonts w:hint="eastAsia" w:ascii="宋体" w:hAnsi="宋体"/>
          <w:highlight w:val="none"/>
        </w:rPr>
        <w:t>相关专业初级或以上职称；取得监理培训证或上岗证。具有相关专业施工监理经验，满足施工监理实际需要。</w:t>
      </w:r>
    </w:p>
    <w:p w14:paraId="1F9F99F6">
      <w:pPr>
        <w:spacing w:line="360" w:lineRule="auto"/>
        <w:ind w:firstLine="420" w:firstLineChars="200"/>
        <w:rPr>
          <w:rFonts w:hint="eastAsia" w:ascii="宋体" w:hAnsi="宋体"/>
          <w:highlight w:val="none"/>
        </w:rPr>
      </w:pPr>
      <w:r>
        <w:rPr>
          <w:rFonts w:hint="eastAsia" w:ascii="宋体" w:hAnsi="宋体"/>
          <w:highlight w:val="none"/>
        </w:rPr>
        <w:t>4.2.2 监理人员的调整</w:t>
      </w:r>
    </w:p>
    <w:p w14:paraId="249700BC">
      <w:pPr>
        <w:spacing w:line="360" w:lineRule="auto"/>
        <w:ind w:firstLine="420" w:firstLineChars="200"/>
        <w:rPr>
          <w:rFonts w:hint="eastAsia" w:ascii="宋体" w:hAnsi="宋体"/>
          <w:highlight w:val="none"/>
        </w:rPr>
      </w:pPr>
      <w:r>
        <w:rPr>
          <w:rFonts w:hint="eastAsia" w:ascii="宋体" w:hAnsi="宋体"/>
          <w:highlight w:val="none"/>
        </w:rPr>
        <w:t>4.2.2.1监理机构进场人员必须相对稳定，其中总监理工程师和总监代表、主要专业监理负责人，在现场的时间不低于24天/月。</w:t>
      </w:r>
    </w:p>
    <w:p w14:paraId="2BFFB0FC">
      <w:pPr>
        <w:spacing w:line="360" w:lineRule="auto"/>
        <w:ind w:firstLine="420" w:firstLineChars="200"/>
        <w:rPr>
          <w:rFonts w:hint="eastAsia" w:ascii="宋体" w:hAnsi="宋体"/>
          <w:highlight w:val="none"/>
        </w:rPr>
      </w:pPr>
      <w:r>
        <w:rPr>
          <w:rFonts w:hint="eastAsia" w:ascii="宋体" w:hAnsi="宋体"/>
          <w:highlight w:val="none"/>
        </w:rPr>
        <w:t>4.2.2.2 更换现场人员，应代以相当资质与技能的人员，且必须事先取得委托人同意。</w:t>
      </w:r>
    </w:p>
    <w:p w14:paraId="5C4A84FC">
      <w:pPr>
        <w:spacing w:line="360" w:lineRule="auto"/>
        <w:ind w:firstLine="420" w:firstLineChars="200"/>
        <w:rPr>
          <w:rFonts w:hint="eastAsia" w:ascii="宋体" w:hAnsi="宋体"/>
          <w:highlight w:val="none"/>
        </w:rPr>
      </w:pPr>
      <w:r>
        <w:rPr>
          <w:rFonts w:hint="eastAsia" w:ascii="宋体" w:hAnsi="宋体"/>
          <w:highlight w:val="none"/>
        </w:rPr>
        <w:t>4.2.2.3更换总监理工程师和总监代表、部门负责人或主要专业监理负责人，应事先报经委托人同意。总监理工程师、总监代表离开现场必须事先取得委托人同意。总监理工程师与总监代表不得同时离场。</w:t>
      </w:r>
    </w:p>
    <w:p w14:paraId="3278DD91">
      <w:pPr>
        <w:spacing w:line="360" w:lineRule="auto"/>
        <w:ind w:firstLine="420" w:firstLineChars="200"/>
        <w:rPr>
          <w:rFonts w:hint="eastAsia" w:ascii="宋体" w:hAnsi="宋体"/>
          <w:highlight w:val="none"/>
        </w:rPr>
      </w:pPr>
      <w:r>
        <w:rPr>
          <w:rFonts w:hint="eastAsia" w:ascii="宋体" w:hAnsi="宋体"/>
          <w:highlight w:val="none"/>
        </w:rPr>
        <w:t>4.2.3监理人员到场计划</w:t>
      </w:r>
    </w:p>
    <w:p w14:paraId="160FA392">
      <w:pPr>
        <w:spacing w:line="360" w:lineRule="auto"/>
        <w:ind w:firstLine="420" w:firstLineChars="200"/>
        <w:rPr>
          <w:rFonts w:hint="eastAsia" w:ascii="宋体" w:hAnsi="宋体"/>
          <w:highlight w:val="none"/>
        </w:rPr>
      </w:pPr>
      <w:r>
        <w:rPr>
          <w:rFonts w:hint="eastAsia" w:ascii="宋体" w:hAnsi="宋体"/>
          <w:highlight w:val="none"/>
        </w:rPr>
        <w:t>4.2.3.1监理人应根据工程进度的安排，在第一次进场前30天内并于以后每年年初(元月10日前)向委托人代表报送当年监理人员进场计划，于每月末向委托人报送下月人员进场计划，由委托人核定后执行。监理人应按双方共同确认的计划选派监理人员进场。</w:t>
      </w:r>
    </w:p>
    <w:p w14:paraId="4C6BD826">
      <w:pPr>
        <w:spacing w:line="360" w:lineRule="auto"/>
        <w:ind w:firstLine="420" w:firstLineChars="200"/>
        <w:rPr>
          <w:rFonts w:hint="eastAsia" w:ascii="宋体" w:hAnsi="宋体"/>
          <w:highlight w:val="none"/>
        </w:rPr>
      </w:pPr>
      <w:r>
        <w:rPr>
          <w:rFonts w:hint="eastAsia" w:ascii="宋体" w:hAnsi="宋体"/>
          <w:highlight w:val="none"/>
        </w:rPr>
        <w:t>4.2.3.2 监理人在每月末应向委托人报送当月实际进场监理人员考勤表。</w:t>
      </w:r>
    </w:p>
    <w:p w14:paraId="65E76FAC">
      <w:pPr>
        <w:spacing w:line="360" w:lineRule="auto"/>
        <w:ind w:firstLine="420" w:firstLineChars="200"/>
        <w:rPr>
          <w:rFonts w:hint="eastAsia" w:ascii="宋体" w:hAnsi="宋体" w:cs="宋体"/>
          <w:highlight w:val="none"/>
        </w:rPr>
      </w:pPr>
      <w:r>
        <w:rPr>
          <w:rFonts w:hint="eastAsia" w:ascii="宋体" w:hAnsi="宋体" w:cs="宋体"/>
          <w:highlight w:val="none"/>
        </w:rPr>
        <w:t>5. 其他要求</w:t>
      </w:r>
    </w:p>
    <w:p w14:paraId="762F9C14">
      <w:pPr>
        <w:spacing w:line="360" w:lineRule="auto"/>
        <w:ind w:firstLine="420" w:firstLineChars="200"/>
        <w:rPr>
          <w:rFonts w:hint="eastAsia" w:ascii="宋体" w:hAnsi="宋体" w:cs="宋体"/>
          <w:highlight w:val="none"/>
        </w:rPr>
      </w:pPr>
      <w:r>
        <w:rPr>
          <w:rFonts w:hint="eastAsia" w:ascii="宋体" w:hAnsi="宋体" w:cs="宋体"/>
          <w:highlight w:val="none"/>
        </w:rPr>
        <w:t>详见监理合同。</w:t>
      </w:r>
    </w:p>
    <w:p w14:paraId="505C6960">
      <w:pPr>
        <w:spacing w:line="360" w:lineRule="auto"/>
        <w:ind w:firstLine="482"/>
        <w:rPr>
          <w:rFonts w:hint="eastAsia" w:ascii="宋体" w:hAnsi="宋体" w:cs="宋体"/>
          <w:b/>
          <w:bCs/>
          <w:highlight w:val="none"/>
        </w:rPr>
      </w:pPr>
      <w:r>
        <w:rPr>
          <w:rFonts w:hint="eastAsia" w:ascii="宋体" w:hAnsi="宋体" w:cs="宋体"/>
          <w:b/>
          <w:bCs/>
          <w:highlight w:val="none"/>
        </w:rPr>
        <w:t>二、适用规范标准</w:t>
      </w:r>
    </w:p>
    <w:p w14:paraId="19DBB7E7">
      <w:pPr>
        <w:spacing w:line="360" w:lineRule="auto"/>
        <w:ind w:firstLine="420" w:firstLineChars="200"/>
        <w:rPr>
          <w:rFonts w:hint="eastAsia" w:ascii="宋体" w:hAnsi="宋体" w:cs="宋体"/>
          <w:highlight w:val="none"/>
        </w:rPr>
      </w:pPr>
      <w:r>
        <w:rPr>
          <w:rFonts w:hint="eastAsia" w:ascii="宋体" w:hAnsi="宋体" w:cs="宋体"/>
          <w:highlight w:val="none"/>
        </w:rPr>
        <w:t>详见监理合同。</w:t>
      </w:r>
    </w:p>
    <w:p w14:paraId="79AF89A1">
      <w:pPr>
        <w:spacing w:line="360" w:lineRule="auto"/>
        <w:ind w:firstLine="482"/>
        <w:rPr>
          <w:rFonts w:hint="eastAsia" w:ascii="宋体" w:hAnsi="宋体" w:cs="宋体"/>
          <w:b/>
          <w:bCs/>
          <w:highlight w:val="none"/>
        </w:rPr>
      </w:pPr>
      <w:r>
        <w:rPr>
          <w:rFonts w:hint="eastAsia" w:ascii="宋体" w:hAnsi="宋体" w:cs="宋体"/>
          <w:b/>
          <w:bCs/>
          <w:highlight w:val="none"/>
        </w:rPr>
        <w:t>三、成果文件要求</w:t>
      </w:r>
    </w:p>
    <w:p w14:paraId="566872B4">
      <w:pPr>
        <w:spacing w:line="360" w:lineRule="auto"/>
        <w:ind w:firstLine="420" w:firstLineChars="200"/>
        <w:rPr>
          <w:rFonts w:hint="eastAsia" w:ascii="宋体" w:hAnsi="宋体" w:cs="宋体"/>
          <w:highlight w:val="none"/>
        </w:rPr>
      </w:pPr>
      <w:r>
        <w:rPr>
          <w:rFonts w:hint="eastAsia" w:ascii="宋体" w:hAnsi="宋体" w:cs="宋体"/>
          <w:highlight w:val="none"/>
        </w:rPr>
        <w:t>详见监理合同。</w:t>
      </w:r>
    </w:p>
    <w:p w14:paraId="02ED87DD">
      <w:pPr>
        <w:spacing w:line="360" w:lineRule="auto"/>
        <w:ind w:firstLine="482"/>
        <w:rPr>
          <w:rFonts w:hint="eastAsia" w:ascii="宋体" w:hAnsi="宋体" w:cs="宋体"/>
          <w:b/>
          <w:bCs/>
          <w:highlight w:val="none"/>
        </w:rPr>
      </w:pPr>
      <w:r>
        <w:rPr>
          <w:rFonts w:hint="eastAsia" w:ascii="宋体" w:hAnsi="宋体" w:cs="宋体"/>
          <w:b/>
          <w:bCs/>
          <w:highlight w:val="none"/>
        </w:rPr>
        <w:t>四、委托人财产清单</w:t>
      </w:r>
    </w:p>
    <w:p w14:paraId="256431B4">
      <w:pPr>
        <w:spacing w:line="360" w:lineRule="auto"/>
        <w:ind w:firstLine="420" w:firstLineChars="200"/>
        <w:rPr>
          <w:rFonts w:hint="eastAsia" w:ascii="宋体" w:hAnsi="宋体" w:cs="宋体"/>
          <w:highlight w:val="none"/>
        </w:rPr>
      </w:pPr>
      <w:r>
        <w:rPr>
          <w:rFonts w:hint="eastAsia" w:ascii="宋体" w:hAnsi="宋体" w:cs="宋体"/>
          <w:highlight w:val="none"/>
        </w:rPr>
        <w:t>（一）委托人提供的设备、设施</w:t>
      </w:r>
    </w:p>
    <w:p w14:paraId="77E37B69">
      <w:pPr>
        <w:spacing w:line="360" w:lineRule="auto"/>
        <w:ind w:firstLine="420" w:firstLineChars="200"/>
        <w:rPr>
          <w:rFonts w:hint="eastAsia" w:ascii="宋体" w:hAnsi="宋体" w:cs="宋体"/>
          <w:highlight w:val="none"/>
        </w:rPr>
      </w:pPr>
      <w:r>
        <w:rPr>
          <w:rFonts w:hint="eastAsia" w:ascii="宋体" w:hAnsi="宋体" w:cs="宋体"/>
          <w:highlight w:val="none"/>
        </w:rPr>
        <w:t>详见监理合同</w:t>
      </w:r>
    </w:p>
    <w:p w14:paraId="4ABAE81D">
      <w:pPr>
        <w:spacing w:line="360" w:lineRule="auto"/>
        <w:ind w:firstLine="420" w:firstLineChars="200"/>
        <w:rPr>
          <w:rFonts w:hint="eastAsia" w:ascii="宋体" w:hAnsi="宋体" w:cs="宋体"/>
          <w:highlight w:val="none"/>
        </w:rPr>
      </w:pPr>
      <w:r>
        <w:rPr>
          <w:rFonts w:hint="eastAsia" w:ascii="宋体" w:hAnsi="宋体" w:cs="宋体"/>
          <w:highlight w:val="none"/>
        </w:rPr>
        <w:t>（二）委托人提供的资料</w:t>
      </w:r>
    </w:p>
    <w:p w14:paraId="0654E005">
      <w:pPr>
        <w:spacing w:line="360" w:lineRule="auto"/>
        <w:ind w:firstLine="420" w:firstLineChars="200"/>
        <w:rPr>
          <w:rFonts w:hint="eastAsia" w:ascii="宋体" w:hAnsi="宋体" w:cs="宋体"/>
          <w:highlight w:val="none"/>
        </w:rPr>
      </w:pPr>
      <w:r>
        <w:rPr>
          <w:rFonts w:hint="eastAsia" w:ascii="宋体" w:hAnsi="宋体" w:cs="宋体"/>
          <w:highlight w:val="none"/>
        </w:rPr>
        <w:t>详见监理合同。</w:t>
      </w:r>
    </w:p>
    <w:p w14:paraId="3CE4E02F">
      <w:pPr>
        <w:spacing w:line="360" w:lineRule="auto"/>
        <w:ind w:firstLine="480"/>
        <w:rPr>
          <w:rFonts w:hint="eastAsia" w:ascii="宋体" w:hAnsi="宋体" w:cs="宋体"/>
          <w:highlight w:val="none"/>
        </w:rPr>
      </w:pPr>
      <w:r>
        <w:rPr>
          <w:rFonts w:hint="eastAsia" w:ascii="宋体" w:hAnsi="宋体" w:cs="宋体"/>
          <w:highlight w:val="none"/>
        </w:rPr>
        <w:t>（三）委托人财产使用要求及退还要求</w:t>
      </w:r>
    </w:p>
    <w:p w14:paraId="6A9AFB8E">
      <w:pPr>
        <w:spacing w:line="360" w:lineRule="auto"/>
        <w:ind w:firstLine="420" w:firstLineChars="200"/>
        <w:rPr>
          <w:rFonts w:hint="eastAsia" w:ascii="宋体" w:hAnsi="宋体" w:cs="宋体"/>
          <w:highlight w:val="none"/>
        </w:rPr>
      </w:pPr>
      <w:r>
        <w:rPr>
          <w:rFonts w:hint="eastAsia" w:ascii="宋体" w:hAnsi="宋体" w:cs="宋体"/>
          <w:highlight w:val="none"/>
        </w:rPr>
        <w:t>详见监理合同</w:t>
      </w:r>
    </w:p>
    <w:p w14:paraId="2CF5E199">
      <w:pPr>
        <w:spacing w:line="360" w:lineRule="auto"/>
        <w:ind w:firstLine="482"/>
        <w:rPr>
          <w:rFonts w:hint="eastAsia" w:ascii="宋体" w:hAnsi="宋体" w:cs="宋体"/>
          <w:b/>
          <w:bCs/>
          <w:highlight w:val="none"/>
        </w:rPr>
      </w:pPr>
      <w:r>
        <w:rPr>
          <w:rFonts w:hint="eastAsia" w:ascii="宋体" w:hAnsi="宋体" w:cs="宋体"/>
          <w:b/>
          <w:bCs/>
          <w:highlight w:val="none"/>
        </w:rPr>
        <w:t>五、委托人提供的便利条件</w:t>
      </w:r>
    </w:p>
    <w:p w14:paraId="0267A729">
      <w:pPr>
        <w:spacing w:line="360" w:lineRule="auto"/>
        <w:ind w:firstLine="420" w:firstLineChars="200"/>
        <w:rPr>
          <w:rFonts w:hint="eastAsia" w:ascii="宋体" w:hAnsi="宋体" w:cs="宋体"/>
          <w:highlight w:val="none"/>
        </w:rPr>
      </w:pPr>
      <w:r>
        <w:rPr>
          <w:rFonts w:hint="eastAsia" w:ascii="宋体" w:hAnsi="宋体" w:cs="宋体"/>
          <w:highlight w:val="none"/>
        </w:rPr>
        <w:t>详见监理合同</w:t>
      </w:r>
    </w:p>
    <w:p w14:paraId="4B148F3E">
      <w:pPr>
        <w:spacing w:line="360" w:lineRule="auto"/>
        <w:ind w:firstLine="482"/>
        <w:rPr>
          <w:rFonts w:hint="eastAsia" w:ascii="宋体" w:hAnsi="宋体" w:cs="宋体"/>
          <w:b/>
          <w:bCs/>
          <w:highlight w:val="none"/>
        </w:rPr>
      </w:pPr>
      <w:r>
        <w:rPr>
          <w:rFonts w:hint="eastAsia" w:ascii="宋体" w:hAnsi="宋体" w:cs="宋体"/>
          <w:b/>
          <w:bCs/>
          <w:highlight w:val="none"/>
        </w:rPr>
        <w:t>六、监理人需要自备的工作条件</w:t>
      </w:r>
    </w:p>
    <w:p w14:paraId="5A36E606">
      <w:pPr>
        <w:spacing w:line="360" w:lineRule="auto"/>
        <w:ind w:firstLine="420" w:firstLineChars="200"/>
        <w:rPr>
          <w:rFonts w:hint="eastAsia" w:ascii="宋体" w:hAnsi="宋体" w:cs="宋体"/>
          <w:highlight w:val="none"/>
        </w:rPr>
      </w:pPr>
      <w:r>
        <w:rPr>
          <w:rFonts w:hint="eastAsia" w:ascii="宋体" w:hAnsi="宋体" w:cs="宋体"/>
          <w:highlight w:val="none"/>
        </w:rPr>
        <w:t>详见监理合同。</w:t>
      </w:r>
    </w:p>
    <w:p w14:paraId="037B173B">
      <w:pPr>
        <w:spacing w:line="360" w:lineRule="auto"/>
        <w:ind w:firstLine="482"/>
        <w:rPr>
          <w:rFonts w:hint="eastAsia" w:ascii="宋体" w:hAnsi="宋体" w:cs="宋体"/>
          <w:b/>
          <w:bCs/>
          <w:highlight w:val="none"/>
        </w:rPr>
      </w:pPr>
      <w:r>
        <w:rPr>
          <w:rFonts w:hint="eastAsia" w:ascii="宋体" w:hAnsi="宋体" w:cs="宋体"/>
          <w:b/>
          <w:bCs/>
          <w:highlight w:val="none"/>
        </w:rPr>
        <w:t>七、委托人的其他要求</w:t>
      </w:r>
    </w:p>
    <w:p w14:paraId="6815EED1">
      <w:pPr>
        <w:spacing w:line="360" w:lineRule="auto"/>
        <w:ind w:firstLine="420" w:firstLineChars="200"/>
        <w:rPr>
          <w:rFonts w:hint="eastAsia" w:ascii="宋体" w:hAnsi="宋体" w:cs="宋体"/>
          <w:highlight w:val="none"/>
        </w:rPr>
      </w:pPr>
      <w:r>
        <w:rPr>
          <w:rFonts w:hint="eastAsia" w:ascii="宋体" w:hAnsi="宋体" w:cs="宋体"/>
          <w:highlight w:val="none"/>
        </w:rPr>
        <w:t>详见监理合同。</w:t>
      </w:r>
    </w:p>
    <w:p w14:paraId="01475C2B">
      <w:pPr>
        <w:spacing w:line="360" w:lineRule="auto"/>
        <w:ind w:firstLine="482"/>
        <w:rPr>
          <w:rFonts w:hint="eastAsia" w:ascii="宋体" w:hAnsi="宋体" w:cs="宋体"/>
          <w:b/>
          <w:bCs/>
          <w:highlight w:val="none"/>
        </w:rPr>
      </w:pPr>
      <w:r>
        <w:rPr>
          <w:rFonts w:hint="eastAsia" w:ascii="宋体" w:hAnsi="宋体" w:cs="宋体"/>
          <w:b/>
          <w:bCs/>
          <w:highlight w:val="none"/>
        </w:rPr>
        <w:t>八、技术部分</w:t>
      </w:r>
    </w:p>
    <w:p w14:paraId="77045739">
      <w:pPr>
        <w:spacing w:line="360" w:lineRule="auto"/>
        <w:ind w:firstLine="420" w:firstLineChars="200"/>
        <w:rPr>
          <w:rFonts w:hint="eastAsia" w:ascii="宋体" w:hAnsi="宋体" w:cs="宋体"/>
          <w:highlight w:val="none"/>
        </w:rPr>
      </w:pPr>
      <w:r>
        <w:rPr>
          <w:rFonts w:hint="eastAsia" w:ascii="宋体" w:hAnsi="宋体" w:cs="宋体"/>
          <w:highlight w:val="none"/>
        </w:rPr>
        <w:t>工程相关参数详见施工图纸；技术标准执行国家、地区、行业相关规章规范以及施工图中的技术参数要求。</w:t>
      </w:r>
    </w:p>
    <w:p w14:paraId="5D436108">
      <w:pPr>
        <w:spacing w:line="360" w:lineRule="auto"/>
        <w:ind w:firstLine="420" w:firstLineChars="200"/>
        <w:rPr>
          <w:rFonts w:hint="eastAsia" w:ascii="宋体" w:hAnsi="宋体" w:cs="宋体"/>
          <w:highlight w:val="none"/>
        </w:rPr>
      </w:pPr>
    </w:p>
    <w:p w14:paraId="3D48AA42">
      <w:pPr>
        <w:ind w:firstLine="482"/>
        <w:rPr>
          <w:rFonts w:hint="eastAsia" w:ascii="宋体" w:hAnsi="宋体" w:cs="宋体"/>
          <w:b/>
          <w:highlight w:val="none"/>
        </w:rPr>
      </w:pPr>
      <w:r>
        <w:rPr>
          <w:rFonts w:hint="eastAsia" w:ascii="宋体" w:hAnsi="宋体" w:cs="宋体"/>
          <w:b/>
          <w:highlight w:val="none"/>
        </w:rPr>
        <w:br w:type="page"/>
      </w:r>
      <w:bookmarkStart w:id="287" w:name="_Toc510170266"/>
      <w:bookmarkStart w:id="288" w:name="_Toc510170265"/>
      <w:bookmarkStart w:id="289" w:name="_Toc536824395"/>
      <w:bookmarkStart w:id="290" w:name="_Toc510170438"/>
      <w:bookmarkStart w:id="291" w:name="_Toc510170437"/>
    </w:p>
    <w:p w14:paraId="31951B63">
      <w:pPr>
        <w:ind w:firstLine="482"/>
        <w:rPr>
          <w:rFonts w:hint="eastAsia" w:ascii="宋体" w:hAnsi="宋体" w:cs="宋体"/>
          <w:b/>
          <w:highlight w:val="none"/>
        </w:rPr>
      </w:pPr>
    </w:p>
    <w:p w14:paraId="1AE52232">
      <w:pPr>
        <w:ind w:firstLine="482"/>
        <w:rPr>
          <w:rFonts w:hint="eastAsia" w:ascii="宋体" w:hAnsi="宋体" w:cs="宋体"/>
          <w:b/>
          <w:highlight w:val="none"/>
        </w:rPr>
      </w:pPr>
    </w:p>
    <w:p w14:paraId="7CFB18E6">
      <w:pPr>
        <w:rPr>
          <w:rFonts w:hint="eastAsia"/>
          <w:highlight w:val="none"/>
        </w:rPr>
      </w:pPr>
    </w:p>
    <w:p w14:paraId="27751169">
      <w:pPr>
        <w:pStyle w:val="6"/>
        <w:ind w:firstLine="200"/>
        <w:rPr>
          <w:rFonts w:hint="eastAsia"/>
          <w:highlight w:val="none"/>
        </w:rPr>
      </w:pPr>
    </w:p>
    <w:p w14:paraId="7AA0DC77">
      <w:pPr>
        <w:pStyle w:val="6"/>
        <w:ind w:firstLine="200"/>
        <w:rPr>
          <w:rFonts w:hint="eastAsia"/>
          <w:highlight w:val="none"/>
        </w:rPr>
      </w:pPr>
    </w:p>
    <w:p w14:paraId="4A0C212A">
      <w:pPr>
        <w:pStyle w:val="4"/>
        <w:ind w:firstLine="863"/>
        <w:rPr>
          <w:rFonts w:ascii="宋体" w:hAnsi="宋体"/>
          <w:sz w:val="43"/>
          <w:highlight w:val="none"/>
        </w:rPr>
      </w:pPr>
      <w:bookmarkStart w:id="292" w:name="_Toc11550"/>
      <w:bookmarkStart w:id="293" w:name="_Toc23076"/>
      <w:bookmarkStart w:id="294" w:name="_Toc31913"/>
      <w:bookmarkStart w:id="295" w:name="_Toc15872"/>
      <w:r>
        <w:rPr>
          <w:rFonts w:ascii="宋体" w:hAnsi="宋体"/>
          <w:sz w:val="43"/>
          <w:highlight w:val="none"/>
        </w:rPr>
        <w:t>第三卷</w:t>
      </w:r>
      <w:bookmarkEnd w:id="287"/>
      <w:bookmarkEnd w:id="288"/>
      <w:bookmarkEnd w:id="289"/>
      <w:bookmarkEnd w:id="290"/>
      <w:bookmarkEnd w:id="291"/>
      <w:bookmarkEnd w:id="292"/>
      <w:bookmarkEnd w:id="293"/>
      <w:bookmarkEnd w:id="294"/>
      <w:bookmarkEnd w:id="295"/>
    </w:p>
    <w:p w14:paraId="1BF1A4B5">
      <w:pPr>
        <w:spacing w:line="9" w:lineRule="exact"/>
        <w:ind w:firstLine="480"/>
        <w:rPr>
          <w:rFonts w:ascii="宋体" w:hAnsi="宋体"/>
          <w:highlight w:val="none"/>
        </w:rPr>
      </w:pPr>
      <w:bookmarkStart w:id="296" w:name="page75"/>
      <w:bookmarkEnd w:id="296"/>
    </w:p>
    <w:p w14:paraId="126E31B1">
      <w:pPr>
        <w:pStyle w:val="8"/>
        <w:ind w:firstLine="643"/>
        <w:jc w:val="center"/>
        <w:rPr>
          <w:rFonts w:ascii="宋体" w:hAnsi="宋体" w:eastAsia="宋体"/>
          <w:highlight w:val="none"/>
        </w:rPr>
      </w:pPr>
      <w:bookmarkStart w:id="297" w:name="_Toc536824396"/>
      <w:bookmarkStart w:id="298" w:name="_Toc500410337"/>
      <w:bookmarkStart w:id="299" w:name="_Toc29375"/>
      <w:bookmarkStart w:id="300" w:name="_Toc510170267"/>
      <w:bookmarkStart w:id="301" w:name="_Toc510170439"/>
      <w:bookmarkStart w:id="302" w:name="_Toc500409908"/>
      <w:bookmarkStart w:id="303" w:name="_Toc1404"/>
      <w:bookmarkStart w:id="304" w:name="_Toc4272"/>
      <w:bookmarkStart w:id="305" w:name="_Toc2105"/>
      <w:r>
        <w:rPr>
          <w:rFonts w:ascii="宋体" w:hAnsi="宋体" w:eastAsia="宋体"/>
          <w:highlight w:val="none"/>
        </w:rPr>
        <w:t>第六章</w:t>
      </w:r>
      <w:r>
        <w:rPr>
          <w:rFonts w:hint="eastAsia" w:ascii="宋体" w:hAnsi="宋体" w:eastAsia="宋体"/>
          <w:highlight w:val="none"/>
        </w:rPr>
        <w:t xml:space="preserve">  </w:t>
      </w:r>
      <w:r>
        <w:rPr>
          <w:rFonts w:ascii="宋体" w:hAnsi="宋体" w:eastAsia="宋体"/>
          <w:highlight w:val="none"/>
        </w:rPr>
        <w:t>投标文件格式</w:t>
      </w:r>
      <w:bookmarkEnd w:id="297"/>
      <w:bookmarkEnd w:id="298"/>
      <w:bookmarkEnd w:id="299"/>
      <w:bookmarkEnd w:id="300"/>
      <w:bookmarkEnd w:id="301"/>
      <w:bookmarkEnd w:id="302"/>
      <w:bookmarkEnd w:id="303"/>
      <w:bookmarkEnd w:id="304"/>
      <w:bookmarkEnd w:id="305"/>
    </w:p>
    <w:p w14:paraId="57DC1807">
      <w:pPr>
        <w:spacing w:line="491" w:lineRule="exact"/>
        <w:ind w:firstLine="863"/>
        <w:jc w:val="center"/>
        <w:rPr>
          <w:rFonts w:hint="eastAsia" w:ascii="宋体" w:hAnsi="宋体"/>
          <w:b/>
          <w:sz w:val="43"/>
          <w:highlight w:val="none"/>
        </w:rPr>
      </w:pPr>
    </w:p>
    <w:p w14:paraId="7FC83582">
      <w:pPr>
        <w:spacing w:line="360" w:lineRule="auto"/>
        <w:ind w:firstLine="480"/>
        <w:rPr>
          <w:rFonts w:hint="eastAsia" w:ascii="宋体" w:hAnsi="宋体"/>
          <w:bCs/>
          <w:highlight w:val="none"/>
        </w:rPr>
      </w:pPr>
      <w:bookmarkStart w:id="306" w:name="_Toc500409909"/>
    </w:p>
    <w:p w14:paraId="54715218">
      <w:pPr>
        <w:spacing w:line="400" w:lineRule="exact"/>
        <w:ind w:firstLine="562"/>
        <w:jc w:val="right"/>
        <w:rPr>
          <w:rFonts w:hint="eastAsia" w:ascii="宋体" w:hAnsi="宋体"/>
          <w:sz w:val="28"/>
          <w:szCs w:val="28"/>
          <w:highlight w:val="none"/>
        </w:rPr>
      </w:pPr>
      <w:r>
        <w:rPr>
          <w:rFonts w:ascii="宋体" w:hAnsi="宋体"/>
          <w:b/>
          <w:sz w:val="28"/>
          <w:szCs w:val="28"/>
          <w:highlight w:val="none"/>
        </w:rPr>
        <w:br w:type="page"/>
      </w:r>
    </w:p>
    <w:p w14:paraId="6AA3453E">
      <w:pPr>
        <w:spacing w:line="400" w:lineRule="exact"/>
        <w:ind w:firstLine="562"/>
        <w:rPr>
          <w:rFonts w:hint="eastAsia" w:ascii="宋体" w:hAnsi="宋体"/>
          <w:b/>
          <w:sz w:val="28"/>
          <w:szCs w:val="28"/>
          <w:highlight w:val="none"/>
        </w:rPr>
      </w:pPr>
    </w:p>
    <w:p w14:paraId="4D11A0BA">
      <w:pPr>
        <w:spacing w:line="400" w:lineRule="exact"/>
        <w:ind w:firstLine="562"/>
        <w:rPr>
          <w:rFonts w:hint="eastAsia" w:ascii="宋体" w:hAnsi="宋体"/>
          <w:b/>
          <w:sz w:val="28"/>
          <w:szCs w:val="28"/>
          <w:highlight w:val="none"/>
        </w:rPr>
      </w:pPr>
    </w:p>
    <w:p w14:paraId="015E13EE">
      <w:pPr>
        <w:spacing w:line="360" w:lineRule="auto"/>
        <w:jc w:val="center"/>
        <w:rPr>
          <w:rFonts w:hint="eastAsia" w:ascii="宋体" w:hAnsi="宋体" w:eastAsia="宋体"/>
          <w:b/>
          <w:sz w:val="44"/>
          <w:szCs w:val="44"/>
          <w:highlight w:val="none"/>
          <w:lang w:eastAsia="zh-CN"/>
        </w:rPr>
      </w:pPr>
      <w:r>
        <w:rPr>
          <w:rFonts w:hint="eastAsia" w:ascii="宋体" w:hAnsi="宋体"/>
          <w:b/>
          <w:spacing w:val="-4"/>
          <w:sz w:val="44"/>
          <w:szCs w:val="44"/>
          <w:highlight w:val="none"/>
          <w:lang w:eastAsia="zh-CN"/>
        </w:rPr>
        <w:t>花都区农村供水“三同五化”改造提升项目-元岗村供水改造工程市政部分施工监理</w:t>
      </w:r>
    </w:p>
    <w:p w14:paraId="2D94C816">
      <w:pPr>
        <w:spacing w:line="360" w:lineRule="auto"/>
        <w:ind w:firstLine="562"/>
        <w:rPr>
          <w:rFonts w:hint="eastAsia" w:ascii="宋体" w:hAnsi="宋体"/>
          <w:b/>
          <w:sz w:val="28"/>
          <w:szCs w:val="28"/>
          <w:highlight w:val="none"/>
        </w:rPr>
      </w:pPr>
    </w:p>
    <w:p w14:paraId="3DF40F46">
      <w:pPr>
        <w:spacing w:line="360" w:lineRule="auto"/>
        <w:ind w:firstLine="480"/>
        <w:rPr>
          <w:rFonts w:ascii="宋体" w:hAnsi="宋体"/>
          <w:highlight w:val="none"/>
        </w:rPr>
      </w:pPr>
    </w:p>
    <w:p w14:paraId="09D61F28">
      <w:pPr>
        <w:spacing w:line="360" w:lineRule="auto"/>
        <w:ind w:firstLine="480"/>
        <w:rPr>
          <w:rFonts w:ascii="宋体" w:hAnsi="宋体"/>
          <w:highlight w:val="none"/>
        </w:rPr>
      </w:pPr>
    </w:p>
    <w:p w14:paraId="65284616">
      <w:pPr>
        <w:spacing w:line="360" w:lineRule="auto"/>
        <w:jc w:val="center"/>
        <w:rPr>
          <w:rFonts w:ascii="宋体" w:hAnsi="宋体"/>
          <w:b/>
          <w:sz w:val="84"/>
          <w:szCs w:val="84"/>
          <w:highlight w:val="none"/>
        </w:rPr>
      </w:pPr>
      <w:r>
        <w:rPr>
          <w:rFonts w:ascii="宋体" w:hAnsi="宋体"/>
          <w:b/>
          <w:sz w:val="84"/>
          <w:szCs w:val="84"/>
          <w:highlight w:val="none"/>
        </w:rPr>
        <w:t>投 标 文 件</w:t>
      </w:r>
    </w:p>
    <w:p w14:paraId="2AD55B24">
      <w:pPr>
        <w:spacing w:line="360" w:lineRule="auto"/>
        <w:ind w:firstLine="480"/>
        <w:rPr>
          <w:rFonts w:ascii="宋体" w:hAnsi="宋体"/>
          <w:highlight w:val="none"/>
        </w:rPr>
      </w:pPr>
    </w:p>
    <w:p w14:paraId="5A033642">
      <w:pPr>
        <w:spacing w:line="200" w:lineRule="exact"/>
        <w:ind w:firstLine="480"/>
        <w:rPr>
          <w:rFonts w:ascii="宋体" w:hAnsi="宋体"/>
          <w:highlight w:val="none"/>
        </w:rPr>
      </w:pPr>
    </w:p>
    <w:p w14:paraId="363EB9DB">
      <w:pPr>
        <w:spacing w:line="200" w:lineRule="exact"/>
        <w:ind w:firstLine="480"/>
        <w:rPr>
          <w:rFonts w:ascii="宋体" w:hAnsi="宋体"/>
          <w:highlight w:val="none"/>
        </w:rPr>
      </w:pPr>
    </w:p>
    <w:p w14:paraId="141485FD">
      <w:pPr>
        <w:spacing w:line="200" w:lineRule="exact"/>
        <w:ind w:firstLine="480"/>
        <w:rPr>
          <w:rFonts w:ascii="宋体" w:hAnsi="宋体"/>
          <w:highlight w:val="none"/>
        </w:rPr>
      </w:pPr>
    </w:p>
    <w:p w14:paraId="09EADB10">
      <w:pPr>
        <w:spacing w:line="200" w:lineRule="exact"/>
        <w:ind w:firstLine="480"/>
        <w:rPr>
          <w:rFonts w:ascii="宋体" w:hAnsi="宋体"/>
          <w:highlight w:val="none"/>
        </w:rPr>
      </w:pPr>
    </w:p>
    <w:p w14:paraId="3FB46173">
      <w:pPr>
        <w:spacing w:line="200" w:lineRule="exact"/>
        <w:ind w:firstLine="480"/>
        <w:rPr>
          <w:rFonts w:ascii="宋体" w:hAnsi="宋体"/>
          <w:highlight w:val="none"/>
        </w:rPr>
      </w:pPr>
    </w:p>
    <w:p w14:paraId="5DCCCF5D">
      <w:pPr>
        <w:spacing w:line="200" w:lineRule="exact"/>
        <w:ind w:firstLine="480"/>
        <w:rPr>
          <w:rFonts w:ascii="宋体" w:hAnsi="宋体"/>
          <w:highlight w:val="none"/>
        </w:rPr>
      </w:pPr>
    </w:p>
    <w:p w14:paraId="637FD107">
      <w:pPr>
        <w:spacing w:line="200" w:lineRule="exact"/>
        <w:ind w:firstLine="480"/>
        <w:rPr>
          <w:rFonts w:ascii="宋体" w:hAnsi="宋体"/>
          <w:highlight w:val="none"/>
        </w:rPr>
      </w:pPr>
    </w:p>
    <w:p w14:paraId="25131424">
      <w:pPr>
        <w:spacing w:line="200" w:lineRule="exact"/>
        <w:ind w:firstLine="480"/>
        <w:rPr>
          <w:rFonts w:ascii="宋体" w:hAnsi="宋体"/>
          <w:highlight w:val="none"/>
        </w:rPr>
      </w:pPr>
    </w:p>
    <w:p w14:paraId="63395203">
      <w:pPr>
        <w:spacing w:line="200" w:lineRule="exact"/>
        <w:ind w:firstLine="480"/>
        <w:rPr>
          <w:rFonts w:ascii="宋体" w:hAnsi="宋体"/>
          <w:highlight w:val="none"/>
        </w:rPr>
      </w:pPr>
    </w:p>
    <w:p w14:paraId="552DF7BC">
      <w:pPr>
        <w:spacing w:line="200" w:lineRule="exact"/>
        <w:ind w:firstLine="480"/>
        <w:rPr>
          <w:rFonts w:ascii="宋体" w:hAnsi="宋体"/>
          <w:highlight w:val="none"/>
        </w:rPr>
      </w:pPr>
    </w:p>
    <w:p w14:paraId="105F6ED6">
      <w:pPr>
        <w:spacing w:line="200" w:lineRule="exact"/>
        <w:ind w:firstLine="480"/>
        <w:rPr>
          <w:rFonts w:ascii="宋体" w:hAnsi="宋体"/>
          <w:highlight w:val="none"/>
        </w:rPr>
      </w:pPr>
    </w:p>
    <w:p w14:paraId="601E71C5">
      <w:pPr>
        <w:spacing w:line="200" w:lineRule="exact"/>
        <w:ind w:firstLine="480"/>
        <w:rPr>
          <w:rFonts w:ascii="宋体" w:hAnsi="宋体"/>
          <w:highlight w:val="none"/>
        </w:rPr>
      </w:pPr>
    </w:p>
    <w:p w14:paraId="3503657D">
      <w:pPr>
        <w:spacing w:line="200" w:lineRule="exact"/>
        <w:ind w:firstLine="480"/>
        <w:rPr>
          <w:rFonts w:ascii="宋体" w:hAnsi="宋体"/>
          <w:highlight w:val="none"/>
        </w:rPr>
      </w:pPr>
    </w:p>
    <w:p w14:paraId="5E6BB6DC">
      <w:pPr>
        <w:spacing w:line="200" w:lineRule="exact"/>
        <w:ind w:firstLine="480"/>
        <w:rPr>
          <w:rFonts w:ascii="宋体" w:hAnsi="宋体"/>
          <w:highlight w:val="none"/>
        </w:rPr>
      </w:pPr>
    </w:p>
    <w:p w14:paraId="4526757F">
      <w:pPr>
        <w:spacing w:line="200" w:lineRule="exact"/>
        <w:ind w:firstLine="480"/>
        <w:rPr>
          <w:rFonts w:ascii="宋体" w:hAnsi="宋体"/>
          <w:highlight w:val="none"/>
        </w:rPr>
      </w:pPr>
    </w:p>
    <w:p w14:paraId="75D45083">
      <w:pPr>
        <w:spacing w:line="200" w:lineRule="exact"/>
        <w:ind w:firstLine="480"/>
        <w:rPr>
          <w:rFonts w:ascii="宋体" w:hAnsi="宋体"/>
          <w:highlight w:val="none"/>
        </w:rPr>
      </w:pPr>
    </w:p>
    <w:p w14:paraId="49859A5C">
      <w:pPr>
        <w:spacing w:line="200" w:lineRule="exact"/>
        <w:ind w:firstLine="480"/>
        <w:rPr>
          <w:rFonts w:ascii="宋体" w:hAnsi="宋体"/>
          <w:highlight w:val="none"/>
        </w:rPr>
      </w:pPr>
    </w:p>
    <w:p w14:paraId="6929E7B2">
      <w:pPr>
        <w:spacing w:line="200" w:lineRule="exact"/>
        <w:ind w:firstLine="480"/>
        <w:rPr>
          <w:rFonts w:ascii="宋体" w:hAnsi="宋体"/>
          <w:highlight w:val="none"/>
        </w:rPr>
      </w:pPr>
    </w:p>
    <w:p w14:paraId="770B36BA">
      <w:pPr>
        <w:spacing w:line="200" w:lineRule="exact"/>
        <w:ind w:firstLine="480"/>
        <w:rPr>
          <w:rFonts w:ascii="宋体" w:hAnsi="宋体"/>
          <w:highlight w:val="none"/>
        </w:rPr>
      </w:pPr>
    </w:p>
    <w:p w14:paraId="6AC15CF3">
      <w:pPr>
        <w:spacing w:line="200" w:lineRule="exact"/>
        <w:ind w:firstLine="480"/>
        <w:rPr>
          <w:rFonts w:ascii="宋体" w:hAnsi="宋体"/>
          <w:highlight w:val="none"/>
        </w:rPr>
      </w:pPr>
    </w:p>
    <w:p w14:paraId="41EED580">
      <w:pPr>
        <w:spacing w:line="200" w:lineRule="exact"/>
        <w:ind w:firstLine="480"/>
        <w:rPr>
          <w:rFonts w:ascii="宋体" w:hAnsi="宋体"/>
          <w:highlight w:val="none"/>
        </w:rPr>
      </w:pPr>
    </w:p>
    <w:p w14:paraId="6CE2373C">
      <w:pPr>
        <w:spacing w:line="200" w:lineRule="exact"/>
        <w:ind w:firstLine="480"/>
        <w:rPr>
          <w:rFonts w:ascii="宋体" w:hAnsi="宋体"/>
          <w:highlight w:val="none"/>
        </w:rPr>
      </w:pPr>
    </w:p>
    <w:p w14:paraId="50719BA1">
      <w:pPr>
        <w:spacing w:line="200" w:lineRule="exact"/>
        <w:ind w:firstLine="480"/>
        <w:rPr>
          <w:rFonts w:ascii="宋体" w:hAnsi="宋体"/>
          <w:highlight w:val="none"/>
        </w:rPr>
      </w:pPr>
    </w:p>
    <w:p w14:paraId="2FC13867">
      <w:pPr>
        <w:spacing w:line="200" w:lineRule="exact"/>
        <w:ind w:firstLine="480"/>
        <w:rPr>
          <w:rFonts w:ascii="宋体" w:hAnsi="宋体"/>
          <w:highlight w:val="none"/>
        </w:rPr>
      </w:pPr>
    </w:p>
    <w:p w14:paraId="49A5463C">
      <w:pPr>
        <w:spacing w:line="200" w:lineRule="exact"/>
        <w:ind w:firstLine="480"/>
        <w:rPr>
          <w:rFonts w:ascii="宋体" w:hAnsi="宋体"/>
          <w:highlight w:val="none"/>
        </w:rPr>
      </w:pPr>
    </w:p>
    <w:p w14:paraId="56226ED5">
      <w:pPr>
        <w:spacing w:line="308" w:lineRule="exact"/>
        <w:ind w:firstLine="480"/>
        <w:rPr>
          <w:rFonts w:ascii="宋体" w:hAnsi="宋体"/>
          <w:highlight w:val="none"/>
        </w:rPr>
      </w:pPr>
    </w:p>
    <w:p w14:paraId="73E7AED0">
      <w:pPr>
        <w:tabs>
          <w:tab w:val="left" w:pos="7200"/>
        </w:tabs>
        <w:spacing w:line="308" w:lineRule="exact"/>
        <w:ind w:left="1480" w:firstLine="80"/>
        <w:rPr>
          <w:rFonts w:ascii="宋体" w:hAnsi="宋体"/>
          <w:sz w:val="27"/>
          <w:highlight w:val="none"/>
        </w:rPr>
      </w:pPr>
      <w:r>
        <w:rPr>
          <w:rFonts w:ascii="宋体" w:hAnsi="宋体"/>
          <w:sz w:val="27"/>
          <w:highlight w:val="none"/>
        </w:rPr>
        <w:t>投标人：</w:t>
      </w:r>
      <w:r>
        <w:rPr>
          <w:rFonts w:hint="eastAsia" w:ascii="宋体" w:hAnsi="宋体"/>
          <w:sz w:val="27"/>
          <w:highlight w:val="none"/>
          <w:u w:val="single"/>
        </w:rPr>
        <w:t xml:space="preserve">                              </w:t>
      </w:r>
      <w:r>
        <w:rPr>
          <w:rFonts w:ascii="宋体" w:hAnsi="宋体"/>
          <w:sz w:val="27"/>
          <w:highlight w:val="none"/>
        </w:rPr>
        <w:t>（盖单位章）</w:t>
      </w:r>
    </w:p>
    <w:p w14:paraId="45E76248">
      <w:pPr>
        <w:spacing w:line="20" w:lineRule="exact"/>
        <w:ind w:firstLine="80"/>
        <w:rPr>
          <w:rFonts w:ascii="宋体" w:hAnsi="宋体"/>
          <w:highlight w:val="none"/>
        </w:rPr>
      </w:pPr>
    </w:p>
    <w:p w14:paraId="12E78E3C">
      <w:pPr>
        <w:spacing w:line="205" w:lineRule="exact"/>
        <w:ind w:firstLine="80"/>
        <w:rPr>
          <w:rFonts w:ascii="宋体" w:hAnsi="宋体"/>
          <w:highlight w:val="none"/>
        </w:rPr>
      </w:pPr>
    </w:p>
    <w:p w14:paraId="65D5F0B4">
      <w:pPr>
        <w:tabs>
          <w:tab w:val="left" w:pos="5840"/>
        </w:tabs>
        <w:spacing w:line="320" w:lineRule="exact"/>
        <w:ind w:left="1480" w:firstLine="80"/>
        <w:rPr>
          <w:rFonts w:ascii="宋体" w:hAnsi="宋体"/>
          <w:sz w:val="28"/>
          <w:highlight w:val="none"/>
        </w:rPr>
      </w:pPr>
      <w:r>
        <w:rPr>
          <w:rFonts w:ascii="宋体" w:hAnsi="宋体"/>
          <w:sz w:val="28"/>
          <w:highlight w:val="none"/>
        </w:rPr>
        <w:t>法定代表人或其委托代理人：</w:t>
      </w:r>
      <w:r>
        <w:rPr>
          <w:rFonts w:hint="eastAsia" w:ascii="宋体" w:hAnsi="宋体"/>
          <w:highlight w:val="none"/>
          <w:u w:val="single"/>
        </w:rPr>
        <w:t xml:space="preserve">              </w:t>
      </w:r>
      <w:r>
        <w:rPr>
          <w:rFonts w:ascii="宋体" w:hAnsi="宋体"/>
          <w:sz w:val="28"/>
          <w:highlight w:val="none"/>
        </w:rPr>
        <w:t>（签字）</w:t>
      </w:r>
    </w:p>
    <w:p w14:paraId="18BB4259">
      <w:pPr>
        <w:spacing w:line="20" w:lineRule="exact"/>
        <w:ind w:firstLine="480"/>
        <w:rPr>
          <w:rFonts w:ascii="宋体" w:hAnsi="宋体"/>
          <w:highlight w:val="none"/>
        </w:rPr>
      </w:pPr>
    </w:p>
    <w:p w14:paraId="0FFAB8BA">
      <w:pPr>
        <w:spacing w:line="200" w:lineRule="exact"/>
        <w:ind w:firstLine="480"/>
        <w:rPr>
          <w:rFonts w:ascii="宋体" w:hAnsi="宋体"/>
          <w:highlight w:val="none"/>
        </w:rPr>
      </w:pPr>
    </w:p>
    <w:p w14:paraId="5DEFC14E">
      <w:pPr>
        <w:spacing w:line="368" w:lineRule="exact"/>
        <w:ind w:firstLine="1540" w:firstLineChars="550"/>
        <w:rPr>
          <w:rFonts w:ascii="宋体" w:hAnsi="宋体"/>
          <w:sz w:val="28"/>
          <w:highlight w:val="none"/>
        </w:rPr>
      </w:pPr>
      <w:r>
        <w:rPr>
          <w:rFonts w:hint="eastAsia" w:ascii="宋体" w:hAnsi="宋体"/>
          <w:sz w:val="28"/>
          <w:highlight w:val="none"/>
        </w:rPr>
        <w:t>时  间：</w:t>
      </w:r>
      <w:r>
        <w:rPr>
          <w:rFonts w:hint="eastAsia" w:ascii="宋体" w:hAnsi="宋体"/>
          <w:sz w:val="28"/>
          <w:highlight w:val="none"/>
          <w:u w:val="single"/>
        </w:rPr>
        <w:t xml:space="preserve">       </w:t>
      </w:r>
      <w:r>
        <w:rPr>
          <w:rFonts w:hint="eastAsia" w:ascii="宋体" w:hAnsi="宋体"/>
          <w:sz w:val="28"/>
          <w:highlight w:val="none"/>
        </w:rPr>
        <w:t>年</w:t>
      </w:r>
      <w:r>
        <w:rPr>
          <w:rFonts w:hint="eastAsia" w:ascii="宋体" w:hAnsi="宋体"/>
          <w:sz w:val="28"/>
          <w:highlight w:val="none"/>
          <w:u w:val="single"/>
        </w:rPr>
        <w:t xml:space="preserve">      </w:t>
      </w:r>
      <w:r>
        <w:rPr>
          <w:rFonts w:hint="eastAsia" w:ascii="宋体" w:hAnsi="宋体"/>
          <w:sz w:val="28"/>
          <w:highlight w:val="none"/>
        </w:rPr>
        <w:t>月</w:t>
      </w:r>
      <w:r>
        <w:rPr>
          <w:rFonts w:hint="eastAsia" w:ascii="宋体" w:hAnsi="宋体"/>
          <w:sz w:val="28"/>
          <w:highlight w:val="none"/>
          <w:u w:val="single"/>
        </w:rPr>
        <w:t xml:space="preserve">     </w:t>
      </w:r>
      <w:r>
        <w:rPr>
          <w:rFonts w:hint="eastAsia" w:ascii="宋体" w:hAnsi="宋体"/>
          <w:sz w:val="28"/>
          <w:highlight w:val="none"/>
        </w:rPr>
        <w:t>日</w:t>
      </w:r>
    </w:p>
    <w:p w14:paraId="328B36EE">
      <w:pPr>
        <w:tabs>
          <w:tab w:val="left" w:pos="4880"/>
          <w:tab w:val="left" w:pos="5900"/>
        </w:tabs>
        <w:spacing w:line="320" w:lineRule="exact"/>
        <w:ind w:firstLine="560"/>
        <w:rPr>
          <w:rFonts w:ascii="宋体" w:hAnsi="宋体"/>
          <w:sz w:val="28"/>
          <w:highlight w:val="none"/>
        </w:rPr>
      </w:pPr>
    </w:p>
    <w:p w14:paraId="49996C9D">
      <w:pPr>
        <w:spacing w:line="200" w:lineRule="exact"/>
        <w:ind w:firstLine="480"/>
        <w:rPr>
          <w:rFonts w:ascii="宋体" w:hAnsi="宋体"/>
          <w:highlight w:val="none"/>
        </w:rPr>
      </w:pPr>
    </w:p>
    <w:p w14:paraId="7BF19B47">
      <w:pPr>
        <w:spacing w:line="200" w:lineRule="exact"/>
        <w:ind w:firstLine="480"/>
        <w:rPr>
          <w:rFonts w:ascii="宋体" w:hAnsi="宋体"/>
          <w:highlight w:val="none"/>
        </w:rPr>
      </w:pPr>
    </w:p>
    <w:p w14:paraId="448E1374">
      <w:pPr>
        <w:spacing w:line="200" w:lineRule="exact"/>
        <w:ind w:firstLine="480"/>
        <w:rPr>
          <w:rFonts w:ascii="宋体" w:hAnsi="宋体"/>
          <w:highlight w:val="none"/>
        </w:rPr>
      </w:pPr>
    </w:p>
    <w:p w14:paraId="4290D20D">
      <w:pPr>
        <w:spacing w:line="366" w:lineRule="exact"/>
        <w:ind w:firstLine="360"/>
        <w:jc w:val="center"/>
        <w:rPr>
          <w:rFonts w:ascii="宋体" w:hAnsi="宋体"/>
          <w:b/>
          <w:sz w:val="32"/>
          <w:highlight w:val="none"/>
        </w:rPr>
      </w:pPr>
      <w:r>
        <w:rPr>
          <w:rFonts w:ascii="宋体" w:hAnsi="宋体"/>
          <w:sz w:val="18"/>
          <w:highlight w:val="none"/>
        </w:rPr>
        <w:br w:type="page"/>
      </w:r>
      <w:r>
        <w:rPr>
          <w:rFonts w:ascii="宋体" w:hAnsi="宋体"/>
          <w:b/>
          <w:sz w:val="32"/>
          <w:highlight w:val="none"/>
        </w:rPr>
        <w:t>目录</w:t>
      </w:r>
    </w:p>
    <w:p w14:paraId="7F95B1B5">
      <w:pPr>
        <w:spacing w:line="200" w:lineRule="exact"/>
        <w:ind w:firstLine="480"/>
        <w:rPr>
          <w:rFonts w:ascii="宋体" w:hAnsi="宋体"/>
          <w:highlight w:val="none"/>
        </w:rPr>
      </w:pPr>
    </w:p>
    <w:p w14:paraId="3927E672">
      <w:pPr>
        <w:spacing w:line="367" w:lineRule="exact"/>
        <w:ind w:firstLine="480"/>
        <w:rPr>
          <w:rFonts w:hint="eastAsia" w:ascii="宋体" w:hAnsi="宋体"/>
          <w:highlight w:val="none"/>
        </w:rPr>
      </w:pPr>
    </w:p>
    <w:p w14:paraId="09A5F92C">
      <w:pPr>
        <w:spacing w:line="360" w:lineRule="auto"/>
        <w:ind w:firstLine="480"/>
        <w:rPr>
          <w:rFonts w:hint="eastAsia" w:ascii="宋体" w:hAnsi="宋体" w:cs="宋体"/>
          <w:highlight w:val="none"/>
        </w:rPr>
      </w:pPr>
      <w:r>
        <w:rPr>
          <w:rFonts w:hint="eastAsia" w:ascii="宋体" w:hAnsi="宋体" w:cs="宋体"/>
          <w:highlight w:val="none"/>
        </w:rPr>
        <w:t>一、投标函及投标函附录</w:t>
      </w:r>
    </w:p>
    <w:p w14:paraId="66C4F894">
      <w:pPr>
        <w:spacing w:line="360" w:lineRule="auto"/>
        <w:ind w:firstLine="480"/>
        <w:rPr>
          <w:rFonts w:hint="eastAsia" w:ascii="宋体" w:hAnsi="宋体" w:cs="宋体"/>
          <w:highlight w:val="none"/>
        </w:rPr>
      </w:pPr>
      <w:r>
        <w:rPr>
          <w:rFonts w:hint="eastAsia" w:ascii="宋体" w:hAnsi="宋体" w:cs="宋体"/>
          <w:highlight w:val="none"/>
        </w:rPr>
        <w:t>二、法定代表人身份证明</w:t>
      </w:r>
    </w:p>
    <w:p w14:paraId="13602714">
      <w:pPr>
        <w:spacing w:line="360" w:lineRule="auto"/>
        <w:ind w:firstLine="480"/>
        <w:rPr>
          <w:rFonts w:hint="eastAsia" w:ascii="宋体" w:hAnsi="宋体" w:cs="宋体"/>
          <w:highlight w:val="none"/>
        </w:rPr>
      </w:pPr>
      <w:r>
        <w:rPr>
          <w:rFonts w:hint="eastAsia" w:ascii="宋体" w:hAnsi="宋体" w:cs="宋体"/>
          <w:highlight w:val="none"/>
        </w:rPr>
        <w:t>三、授权委托</w:t>
      </w:r>
      <w:r>
        <w:rPr>
          <w:rFonts w:hint="eastAsia" w:ascii="宋体" w:hAnsi="宋体" w:cs="宋体"/>
          <w:highlight w:val="none"/>
          <w:lang w:eastAsia="zh-CN"/>
        </w:rPr>
        <w:t>证明</w:t>
      </w:r>
      <w:r>
        <w:rPr>
          <w:rFonts w:hint="eastAsia" w:ascii="宋体" w:hAnsi="宋体" w:cs="宋体"/>
          <w:highlight w:val="none"/>
        </w:rPr>
        <w:t>书</w:t>
      </w:r>
    </w:p>
    <w:p w14:paraId="522886D7">
      <w:pPr>
        <w:spacing w:line="360" w:lineRule="auto"/>
        <w:ind w:firstLine="480"/>
        <w:rPr>
          <w:rFonts w:hint="eastAsia" w:ascii="宋体" w:hAnsi="宋体" w:cs="宋体"/>
          <w:highlight w:val="none"/>
        </w:rPr>
      </w:pPr>
      <w:r>
        <w:rPr>
          <w:rFonts w:hint="eastAsia" w:ascii="宋体" w:hAnsi="宋体" w:cs="宋体"/>
          <w:highlight w:val="none"/>
        </w:rPr>
        <w:t>四、资格审查资料</w:t>
      </w:r>
    </w:p>
    <w:p w14:paraId="112FA779">
      <w:pPr>
        <w:spacing w:line="360" w:lineRule="auto"/>
        <w:ind w:firstLine="480"/>
        <w:rPr>
          <w:rFonts w:hint="eastAsia" w:ascii="宋体" w:hAnsi="宋体" w:cs="宋体"/>
          <w:highlight w:val="none"/>
        </w:rPr>
      </w:pPr>
      <w:r>
        <w:rPr>
          <w:rFonts w:hint="eastAsia" w:ascii="宋体" w:hAnsi="宋体" w:cs="宋体"/>
          <w:highlight w:val="none"/>
        </w:rPr>
        <w:t>五、资信业绩资料</w:t>
      </w:r>
    </w:p>
    <w:p w14:paraId="09BCF816">
      <w:pPr>
        <w:spacing w:line="360" w:lineRule="auto"/>
        <w:ind w:firstLine="480"/>
        <w:rPr>
          <w:rFonts w:hint="eastAsia" w:ascii="宋体" w:hAnsi="宋体" w:cs="宋体"/>
          <w:highlight w:val="none"/>
        </w:rPr>
      </w:pPr>
      <w:r>
        <w:rPr>
          <w:rFonts w:hint="eastAsia" w:ascii="宋体" w:hAnsi="宋体" w:cs="宋体"/>
          <w:highlight w:val="none"/>
        </w:rPr>
        <w:t>六、监理大纲</w:t>
      </w:r>
    </w:p>
    <w:p w14:paraId="3A7431BC">
      <w:pPr>
        <w:spacing w:line="360" w:lineRule="auto"/>
        <w:ind w:firstLine="480"/>
        <w:rPr>
          <w:rFonts w:hint="eastAsia" w:ascii="宋体" w:hAnsi="宋体" w:cs="宋体"/>
          <w:highlight w:val="none"/>
        </w:rPr>
      </w:pPr>
      <w:r>
        <w:rPr>
          <w:rFonts w:hint="eastAsia" w:ascii="宋体" w:hAnsi="宋体" w:cs="宋体"/>
          <w:highlight w:val="none"/>
        </w:rPr>
        <w:t>七、其他资料</w:t>
      </w:r>
    </w:p>
    <w:p w14:paraId="66472D28">
      <w:pPr>
        <w:pStyle w:val="8"/>
        <w:ind w:firstLine="361"/>
        <w:jc w:val="center"/>
        <w:rPr>
          <w:rFonts w:hint="eastAsia" w:ascii="宋体" w:hAnsi="宋体"/>
          <w:b w:val="0"/>
          <w:highlight w:val="none"/>
        </w:rPr>
      </w:pPr>
      <w:r>
        <w:rPr>
          <w:rFonts w:ascii="宋体" w:hAnsi="宋体"/>
          <w:sz w:val="18"/>
          <w:highlight w:val="none"/>
        </w:rPr>
        <w:br w:type="page"/>
      </w:r>
      <w:bookmarkStart w:id="307" w:name="_Toc95747047"/>
      <w:bookmarkStart w:id="308" w:name="_Toc95747153"/>
      <w:bookmarkStart w:id="309" w:name="_Toc96005969"/>
      <w:bookmarkStart w:id="310" w:name="_Toc9013"/>
      <w:bookmarkStart w:id="311" w:name="_Toc29293"/>
      <w:bookmarkStart w:id="312" w:name="_Toc5513"/>
      <w:bookmarkStart w:id="313" w:name="_Toc662"/>
      <w:r>
        <w:rPr>
          <w:rFonts w:hint="eastAsia" w:ascii="宋体" w:hAnsi="宋体"/>
          <w:b w:val="0"/>
          <w:highlight w:val="none"/>
        </w:rPr>
        <w:t>一、投标函及投标函附录</w:t>
      </w:r>
      <w:bookmarkEnd w:id="307"/>
      <w:bookmarkEnd w:id="308"/>
      <w:bookmarkEnd w:id="309"/>
      <w:bookmarkEnd w:id="310"/>
      <w:bookmarkEnd w:id="311"/>
      <w:bookmarkEnd w:id="312"/>
      <w:bookmarkEnd w:id="313"/>
    </w:p>
    <w:p w14:paraId="6323E907">
      <w:pPr>
        <w:pStyle w:val="9"/>
        <w:ind w:firstLine="562"/>
        <w:jc w:val="center"/>
        <w:rPr>
          <w:rFonts w:ascii="宋体" w:hAnsi="宋体"/>
          <w:sz w:val="28"/>
          <w:highlight w:val="none"/>
        </w:rPr>
      </w:pPr>
      <w:r>
        <w:rPr>
          <w:rFonts w:ascii="宋体" w:hAnsi="宋体"/>
          <w:sz w:val="28"/>
          <w:highlight w:val="none"/>
        </w:rPr>
        <w:t>（一）投标函</w:t>
      </w:r>
    </w:p>
    <w:p w14:paraId="78A9041F">
      <w:pPr>
        <w:spacing w:line="360" w:lineRule="auto"/>
        <w:ind w:firstLine="480"/>
        <w:rPr>
          <w:rFonts w:ascii="宋体" w:hAnsi="宋体"/>
          <w:highlight w:val="none"/>
        </w:rPr>
      </w:pPr>
      <w:r>
        <w:rPr>
          <w:rFonts w:hint="eastAsia" w:ascii="宋体" w:hAnsi="宋体"/>
          <w:highlight w:val="none"/>
          <w:u w:val="single"/>
        </w:rPr>
        <w:t>广州市花都区水务建设管理中心</w:t>
      </w:r>
      <w:r>
        <w:rPr>
          <w:rFonts w:ascii="宋体" w:hAnsi="宋体"/>
          <w:highlight w:val="none"/>
        </w:rPr>
        <w:t>：</w:t>
      </w:r>
    </w:p>
    <w:p w14:paraId="7911D50A">
      <w:pPr>
        <w:tabs>
          <w:tab w:val="left" w:pos="4460"/>
        </w:tabs>
        <w:spacing w:line="360" w:lineRule="auto"/>
        <w:ind w:firstLine="420" w:firstLineChars="200"/>
        <w:rPr>
          <w:rFonts w:ascii="宋体" w:hAnsi="宋体"/>
          <w:highlight w:val="none"/>
        </w:rPr>
      </w:pPr>
      <w:r>
        <w:rPr>
          <w:rFonts w:hint="eastAsia" w:ascii="宋体" w:hAnsi="宋体"/>
          <w:highlight w:val="none"/>
        </w:rPr>
        <w:t>1．我方已仔细研究了</w:t>
      </w:r>
      <w:r>
        <w:rPr>
          <w:rFonts w:hint="eastAsia" w:ascii="宋体" w:hAnsi="宋体"/>
          <w:spacing w:val="-4"/>
          <w:highlight w:val="none"/>
          <w:u w:val="single"/>
          <w:lang w:eastAsia="zh-CN"/>
        </w:rPr>
        <w:t>花都区农村供水“三同五化”改造提升项目-元岗村供水改造工程市政部分施工监理</w:t>
      </w:r>
      <w:r>
        <w:rPr>
          <w:rFonts w:hint="eastAsia" w:ascii="宋体" w:hAnsi="宋体"/>
          <w:highlight w:val="none"/>
        </w:rPr>
        <w:t>（项目名称）监理招标项目招标文件的全部内容，愿意以《开标一览表》中的投标总报价和监理服务期限，按合同约定完成监理工作。</w:t>
      </w:r>
    </w:p>
    <w:p w14:paraId="5F235A72">
      <w:pPr>
        <w:tabs>
          <w:tab w:val="left" w:pos="4460"/>
        </w:tabs>
        <w:spacing w:line="360" w:lineRule="auto"/>
        <w:ind w:firstLine="420" w:firstLineChars="200"/>
        <w:rPr>
          <w:rFonts w:hint="eastAsia" w:ascii="宋体" w:hAnsi="宋体"/>
          <w:highlight w:val="none"/>
        </w:rPr>
      </w:pPr>
      <w:r>
        <w:rPr>
          <w:rFonts w:hint="eastAsia" w:ascii="宋体" w:hAnsi="宋体"/>
          <w:highlight w:val="none"/>
        </w:rPr>
        <w:t>2</w:t>
      </w:r>
      <w:r>
        <w:rPr>
          <w:rFonts w:ascii="宋体" w:hAnsi="宋体"/>
          <w:highlight w:val="none"/>
        </w:rPr>
        <w:t>．我方的投标文件包括下列</w:t>
      </w:r>
      <w:r>
        <w:rPr>
          <w:rFonts w:hint="eastAsia" w:ascii="宋体" w:hAnsi="宋体"/>
          <w:highlight w:val="none"/>
        </w:rPr>
        <w:t>内容：</w:t>
      </w:r>
    </w:p>
    <w:p w14:paraId="38237FF5">
      <w:pPr>
        <w:tabs>
          <w:tab w:val="left" w:pos="4460"/>
        </w:tabs>
        <w:spacing w:line="360" w:lineRule="auto"/>
        <w:ind w:firstLine="420" w:firstLineChars="200"/>
        <w:rPr>
          <w:rFonts w:ascii="宋体" w:hAnsi="宋体"/>
          <w:highlight w:val="none"/>
        </w:rPr>
      </w:pPr>
      <w:r>
        <w:rPr>
          <w:rFonts w:ascii="宋体" w:hAnsi="宋体"/>
          <w:highlight w:val="none"/>
        </w:rPr>
        <w:t>（1）投标函及投标函附录；</w:t>
      </w:r>
    </w:p>
    <w:p w14:paraId="5423BDCB">
      <w:pPr>
        <w:tabs>
          <w:tab w:val="left" w:pos="4460"/>
        </w:tabs>
        <w:spacing w:line="360" w:lineRule="auto"/>
        <w:ind w:firstLine="420" w:firstLineChars="200"/>
        <w:rPr>
          <w:rFonts w:hint="eastAsia" w:ascii="宋体" w:hAnsi="宋体"/>
          <w:highlight w:val="none"/>
        </w:rPr>
      </w:pPr>
      <w:r>
        <w:rPr>
          <w:rFonts w:ascii="宋体" w:hAnsi="宋体"/>
          <w:highlight w:val="none"/>
        </w:rPr>
        <w:t>（2）法定代表人证明</w:t>
      </w:r>
      <w:r>
        <w:rPr>
          <w:rFonts w:hint="eastAsia" w:ascii="宋体" w:hAnsi="宋体"/>
          <w:highlight w:val="none"/>
        </w:rPr>
        <w:t>书</w:t>
      </w:r>
      <w:r>
        <w:rPr>
          <w:rFonts w:ascii="宋体" w:hAnsi="宋体"/>
          <w:highlight w:val="none"/>
        </w:rPr>
        <w:t>；</w:t>
      </w:r>
      <w:r>
        <w:rPr>
          <w:rFonts w:hint="eastAsia" w:ascii="宋体" w:hAnsi="宋体"/>
          <w:highlight w:val="none"/>
        </w:rPr>
        <w:t xml:space="preserve"> </w:t>
      </w:r>
    </w:p>
    <w:p w14:paraId="56F26BA1">
      <w:pPr>
        <w:tabs>
          <w:tab w:val="left" w:pos="4460"/>
        </w:tabs>
        <w:spacing w:line="360" w:lineRule="auto"/>
        <w:ind w:firstLine="420" w:firstLineChars="200"/>
        <w:rPr>
          <w:rFonts w:hint="eastAsia" w:ascii="宋体" w:hAnsi="宋体"/>
          <w:highlight w:val="none"/>
        </w:rPr>
      </w:pPr>
      <w:r>
        <w:rPr>
          <w:rFonts w:ascii="宋体" w:hAnsi="宋体"/>
          <w:highlight w:val="none"/>
        </w:rPr>
        <w:t>（3）授权委托</w:t>
      </w:r>
      <w:r>
        <w:rPr>
          <w:rFonts w:hint="eastAsia" w:ascii="宋体" w:hAnsi="宋体"/>
          <w:highlight w:val="none"/>
        </w:rPr>
        <w:t>证明</w:t>
      </w:r>
      <w:r>
        <w:rPr>
          <w:rFonts w:ascii="宋体" w:hAnsi="宋体"/>
          <w:highlight w:val="none"/>
        </w:rPr>
        <w:t>书</w:t>
      </w:r>
      <w:r>
        <w:rPr>
          <w:rFonts w:hint="eastAsia" w:ascii="宋体" w:hAnsi="宋体"/>
          <w:highlight w:val="none"/>
        </w:rPr>
        <w:t>；</w:t>
      </w:r>
    </w:p>
    <w:p w14:paraId="32E2372D">
      <w:pPr>
        <w:spacing w:line="360" w:lineRule="auto"/>
        <w:ind w:right="360" w:firstLine="422" w:firstLineChars="201"/>
        <w:rPr>
          <w:rFonts w:ascii="宋体" w:hAnsi="宋体"/>
          <w:highlight w:val="none"/>
        </w:rPr>
      </w:pPr>
      <w:r>
        <w:rPr>
          <w:rFonts w:ascii="宋体" w:hAnsi="宋体"/>
          <w:highlight w:val="none"/>
        </w:rPr>
        <w:t>（</w:t>
      </w:r>
      <w:r>
        <w:rPr>
          <w:rFonts w:hint="eastAsia" w:ascii="宋体" w:hAnsi="宋体"/>
          <w:highlight w:val="none"/>
        </w:rPr>
        <w:t>4</w:t>
      </w:r>
      <w:r>
        <w:rPr>
          <w:rFonts w:ascii="宋体" w:hAnsi="宋体"/>
          <w:highlight w:val="none"/>
        </w:rPr>
        <w:t>）资格审查资料；</w:t>
      </w:r>
    </w:p>
    <w:p w14:paraId="56C82E93">
      <w:pPr>
        <w:spacing w:line="360" w:lineRule="auto"/>
        <w:ind w:right="360" w:firstLine="422" w:firstLineChars="201"/>
        <w:rPr>
          <w:rFonts w:ascii="宋体" w:hAnsi="宋体"/>
          <w:highlight w:val="none"/>
        </w:rPr>
      </w:pPr>
      <w:r>
        <w:rPr>
          <w:rFonts w:hint="eastAsia" w:ascii="宋体" w:hAnsi="宋体"/>
          <w:highlight w:val="none"/>
        </w:rPr>
        <w:t>（5）资信业绩资料</w:t>
      </w:r>
    </w:p>
    <w:p w14:paraId="12B68A3D">
      <w:pPr>
        <w:spacing w:line="360" w:lineRule="auto"/>
        <w:ind w:right="360" w:firstLine="422" w:firstLineChars="201"/>
        <w:rPr>
          <w:rFonts w:ascii="宋体" w:hAnsi="宋体"/>
          <w:highlight w:val="none"/>
        </w:rPr>
      </w:pPr>
      <w:r>
        <w:rPr>
          <w:rFonts w:hint="eastAsia" w:ascii="宋体" w:hAnsi="宋体"/>
          <w:highlight w:val="none"/>
        </w:rPr>
        <w:t>（6）</w:t>
      </w:r>
      <w:r>
        <w:rPr>
          <w:rFonts w:ascii="宋体" w:hAnsi="宋体"/>
          <w:highlight w:val="none"/>
        </w:rPr>
        <w:t>监理大纲；</w:t>
      </w:r>
    </w:p>
    <w:p w14:paraId="675CD99C">
      <w:pPr>
        <w:tabs>
          <w:tab w:val="left" w:pos="4460"/>
        </w:tabs>
        <w:spacing w:line="360" w:lineRule="auto"/>
        <w:ind w:firstLine="420" w:firstLineChars="200"/>
        <w:rPr>
          <w:rFonts w:ascii="宋体" w:hAnsi="宋体"/>
          <w:highlight w:val="none"/>
        </w:rPr>
      </w:pPr>
      <w:r>
        <w:rPr>
          <w:rFonts w:hint="eastAsia" w:ascii="宋体" w:hAnsi="宋体"/>
          <w:highlight w:val="none"/>
        </w:rPr>
        <w:t>（7）</w:t>
      </w:r>
      <w:r>
        <w:rPr>
          <w:rFonts w:ascii="宋体" w:hAnsi="宋体"/>
          <w:highlight w:val="none"/>
        </w:rPr>
        <w:t>其他资料。</w:t>
      </w:r>
    </w:p>
    <w:p w14:paraId="435987E7">
      <w:pPr>
        <w:tabs>
          <w:tab w:val="left" w:pos="4460"/>
        </w:tabs>
        <w:spacing w:line="360" w:lineRule="auto"/>
        <w:ind w:firstLine="420" w:firstLineChars="200"/>
        <w:rPr>
          <w:rFonts w:ascii="宋体" w:hAnsi="宋体"/>
          <w:highlight w:val="none"/>
        </w:rPr>
      </w:pPr>
      <w:r>
        <w:rPr>
          <w:rFonts w:hint="eastAsia" w:ascii="宋体" w:hAnsi="宋体"/>
          <w:highlight w:val="none"/>
        </w:rPr>
        <w:t xml:space="preserve"> </w:t>
      </w:r>
      <w:r>
        <w:rPr>
          <w:rFonts w:ascii="宋体" w:hAnsi="宋体"/>
          <w:highlight w:val="none"/>
        </w:rPr>
        <w:t>投标文件的上述组成部分如存在内容不一致的，以投标函为准。</w:t>
      </w:r>
    </w:p>
    <w:p w14:paraId="18075032">
      <w:pPr>
        <w:tabs>
          <w:tab w:val="left" w:pos="4460"/>
        </w:tabs>
        <w:spacing w:line="360" w:lineRule="auto"/>
        <w:ind w:firstLine="420" w:firstLineChars="200"/>
        <w:rPr>
          <w:rFonts w:ascii="宋体" w:hAnsi="宋体"/>
          <w:highlight w:val="none"/>
        </w:rPr>
      </w:pPr>
      <w:r>
        <w:rPr>
          <w:rFonts w:ascii="宋体" w:hAnsi="宋体"/>
          <w:highlight w:val="none"/>
        </w:rPr>
        <w:t>3．我方承诺在招标文件规定的投标有效期内不撤销投标文件。</w:t>
      </w:r>
    </w:p>
    <w:p w14:paraId="0B1910C6">
      <w:pPr>
        <w:tabs>
          <w:tab w:val="left" w:pos="4460"/>
        </w:tabs>
        <w:spacing w:line="360" w:lineRule="auto"/>
        <w:ind w:firstLine="420" w:firstLineChars="200"/>
        <w:rPr>
          <w:rFonts w:ascii="宋体" w:hAnsi="宋体"/>
          <w:highlight w:val="none"/>
        </w:rPr>
      </w:pPr>
      <w:r>
        <w:rPr>
          <w:rFonts w:ascii="宋体" w:hAnsi="宋体"/>
          <w:highlight w:val="none"/>
        </w:rPr>
        <w:t>4．如我方中标，我方承诺：</w:t>
      </w:r>
    </w:p>
    <w:p w14:paraId="23177CDE">
      <w:pPr>
        <w:tabs>
          <w:tab w:val="left" w:pos="4460"/>
        </w:tabs>
        <w:spacing w:line="360" w:lineRule="auto"/>
        <w:ind w:firstLine="420" w:firstLineChars="200"/>
        <w:rPr>
          <w:rFonts w:ascii="宋体" w:hAnsi="宋体"/>
          <w:highlight w:val="none"/>
        </w:rPr>
      </w:pPr>
      <w:r>
        <w:rPr>
          <w:rFonts w:ascii="宋体" w:hAnsi="宋体"/>
          <w:highlight w:val="none"/>
        </w:rPr>
        <w:t>（1）在收到中标通知书后，在中标通知书规定的期限内与你方签订合同；</w:t>
      </w:r>
    </w:p>
    <w:p w14:paraId="7890C965">
      <w:pPr>
        <w:tabs>
          <w:tab w:val="left" w:pos="4460"/>
        </w:tabs>
        <w:spacing w:line="360" w:lineRule="auto"/>
        <w:ind w:firstLine="420" w:firstLineChars="200"/>
        <w:rPr>
          <w:rFonts w:ascii="宋体" w:hAnsi="宋体"/>
          <w:highlight w:val="none"/>
        </w:rPr>
      </w:pPr>
      <w:r>
        <w:rPr>
          <w:rFonts w:ascii="宋体" w:hAnsi="宋体"/>
          <w:highlight w:val="none"/>
        </w:rPr>
        <w:t>（2）在签订合同时不向你方提出附加条件；</w:t>
      </w:r>
    </w:p>
    <w:p w14:paraId="353BD845">
      <w:pPr>
        <w:tabs>
          <w:tab w:val="left" w:pos="4460"/>
        </w:tabs>
        <w:spacing w:line="360" w:lineRule="auto"/>
        <w:ind w:firstLine="420" w:firstLineChars="200"/>
        <w:rPr>
          <w:rFonts w:hint="eastAsia" w:ascii="宋体" w:hAnsi="宋体"/>
          <w:highlight w:val="none"/>
        </w:rPr>
      </w:pPr>
      <w:r>
        <w:rPr>
          <w:rFonts w:ascii="宋体" w:hAnsi="宋体"/>
          <w:highlight w:val="none"/>
        </w:rPr>
        <w:t>（</w:t>
      </w:r>
      <w:r>
        <w:rPr>
          <w:rFonts w:hint="eastAsia" w:ascii="宋体" w:hAnsi="宋体"/>
          <w:highlight w:val="none"/>
        </w:rPr>
        <w:t>3</w:t>
      </w:r>
      <w:r>
        <w:rPr>
          <w:rFonts w:ascii="宋体" w:hAnsi="宋体"/>
          <w:highlight w:val="none"/>
        </w:rPr>
        <w:t>）在合同约定的期限内完成合同规定的全部义务。</w:t>
      </w:r>
    </w:p>
    <w:p w14:paraId="23831F5F">
      <w:pPr>
        <w:tabs>
          <w:tab w:val="left" w:pos="4460"/>
        </w:tabs>
        <w:spacing w:line="360" w:lineRule="auto"/>
        <w:ind w:firstLine="420" w:firstLineChars="200"/>
        <w:rPr>
          <w:rFonts w:hint="eastAsia" w:ascii="宋体" w:hAnsi="宋体"/>
          <w:highlight w:val="none"/>
        </w:rPr>
      </w:pPr>
      <w:r>
        <w:rPr>
          <w:rFonts w:ascii="宋体" w:hAnsi="宋体"/>
          <w:highlight w:val="none"/>
        </w:rPr>
        <w:t>5．我方在此声明，所递交的投标文件及有关资料内容完整、真实和准确，且不存在第二章“投标人须知”第 1.4.3 项规定的任何一种情形。</w:t>
      </w:r>
    </w:p>
    <w:p w14:paraId="3F61A60C">
      <w:pPr>
        <w:tabs>
          <w:tab w:val="left" w:pos="4460"/>
        </w:tabs>
        <w:spacing w:line="360" w:lineRule="auto"/>
        <w:ind w:left="3826" w:leftChars="1822" w:firstLine="480"/>
        <w:rPr>
          <w:rFonts w:ascii="宋体" w:hAnsi="宋体"/>
          <w:highlight w:val="none"/>
        </w:rPr>
      </w:pPr>
      <w:r>
        <w:rPr>
          <w:rFonts w:hint="eastAsia" w:ascii="宋体" w:hAnsi="宋体"/>
          <w:highlight w:val="none"/>
        </w:rPr>
        <w:t>投标人：</w:t>
      </w:r>
      <w:r>
        <w:rPr>
          <w:rFonts w:hint="eastAsia" w:ascii="宋体" w:hAnsi="宋体"/>
          <w:highlight w:val="none"/>
          <w:u w:val="single"/>
        </w:rPr>
        <w:t xml:space="preserve">                             </w:t>
      </w:r>
      <w:r>
        <w:rPr>
          <w:rFonts w:hint="eastAsia" w:ascii="宋体" w:hAnsi="宋体"/>
          <w:highlight w:val="none"/>
        </w:rPr>
        <w:t>（盖单位章）</w:t>
      </w:r>
    </w:p>
    <w:p w14:paraId="41E29693">
      <w:pPr>
        <w:tabs>
          <w:tab w:val="left" w:pos="6540"/>
        </w:tabs>
        <w:spacing w:line="360" w:lineRule="auto"/>
        <w:ind w:left="3826" w:leftChars="1822" w:firstLine="480"/>
        <w:jc w:val="left"/>
        <w:rPr>
          <w:rFonts w:ascii="宋体" w:hAnsi="宋体"/>
          <w:highlight w:val="none"/>
        </w:rPr>
      </w:pPr>
      <w:bookmarkStart w:id="314" w:name="page79"/>
      <w:bookmarkEnd w:id="314"/>
      <w:r>
        <w:rPr>
          <w:rFonts w:ascii="宋体" w:hAnsi="宋体"/>
          <w:highlight w:val="none"/>
        </w:rPr>
        <w:t>法定代表人或其委托代理人：</w:t>
      </w:r>
      <w:r>
        <w:rPr>
          <w:rFonts w:hint="eastAsia" w:ascii="宋体" w:hAnsi="宋体"/>
          <w:highlight w:val="none"/>
          <w:u w:val="single"/>
        </w:rPr>
        <w:t xml:space="preserve">            </w:t>
      </w:r>
      <w:r>
        <w:rPr>
          <w:rFonts w:hint="eastAsia" w:ascii="宋体" w:hAnsi="宋体"/>
          <w:highlight w:val="none"/>
        </w:rPr>
        <w:t>（签字）</w:t>
      </w:r>
    </w:p>
    <w:p w14:paraId="706EF7F4">
      <w:pPr>
        <w:tabs>
          <w:tab w:val="left" w:pos="405"/>
        </w:tabs>
        <w:spacing w:line="360" w:lineRule="auto"/>
        <w:ind w:left="3826" w:leftChars="1822" w:firstLine="480"/>
        <w:jc w:val="left"/>
        <w:rPr>
          <w:rFonts w:ascii="宋体" w:hAnsi="宋体"/>
          <w:highlight w:val="none"/>
        </w:rPr>
      </w:pPr>
      <w:r>
        <w:rPr>
          <w:rFonts w:ascii="宋体" w:hAnsi="宋体"/>
          <w:highlight w:val="none"/>
        </w:rPr>
        <w:t>地</w:t>
      </w:r>
      <w:r>
        <w:rPr>
          <w:rFonts w:ascii="宋体" w:hAnsi="宋体"/>
          <w:highlight w:val="none"/>
        </w:rPr>
        <w:tab/>
      </w:r>
      <w:r>
        <w:rPr>
          <w:rFonts w:ascii="宋体" w:hAnsi="宋体"/>
          <w:highlight w:val="none"/>
        </w:rPr>
        <w:t>址：</w:t>
      </w:r>
      <w:r>
        <w:rPr>
          <w:rFonts w:hint="eastAsia" w:ascii="宋体" w:hAnsi="宋体"/>
          <w:highlight w:val="none"/>
          <w:u w:val="single"/>
        </w:rPr>
        <w:t xml:space="preserve">                             </w:t>
      </w:r>
    </w:p>
    <w:p w14:paraId="1C88DA03">
      <w:pPr>
        <w:tabs>
          <w:tab w:val="left" w:pos="426"/>
        </w:tabs>
        <w:spacing w:line="360" w:lineRule="auto"/>
        <w:ind w:left="3826" w:leftChars="1822" w:firstLine="480"/>
        <w:jc w:val="left"/>
        <w:rPr>
          <w:rFonts w:ascii="宋体" w:hAnsi="宋体"/>
          <w:highlight w:val="none"/>
        </w:rPr>
      </w:pPr>
      <w:r>
        <w:rPr>
          <w:rFonts w:ascii="宋体" w:hAnsi="宋体"/>
          <w:highlight w:val="none"/>
        </w:rPr>
        <w:t>网</w:t>
      </w:r>
      <w:r>
        <w:rPr>
          <w:rFonts w:ascii="宋体" w:hAnsi="宋体"/>
          <w:highlight w:val="none"/>
        </w:rPr>
        <w:tab/>
      </w:r>
      <w:r>
        <w:rPr>
          <w:rFonts w:ascii="宋体" w:hAnsi="宋体"/>
          <w:highlight w:val="none"/>
        </w:rPr>
        <w:t>址：</w:t>
      </w:r>
      <w:r>
        <w:rPr>
          <w:rFonts w:hint="eastAsia" w:ascii="宋体" w:hAnsi="宋体"/>
          <w:highlight w:val="none"/>
          <w:u w:val="single"/>
        </w:rPr>
        <w:t xml:space="preserve">                             </w:t>
      </w:r>
    </w:p>
    <w:p w14:paraId="3F08F81D">
      <w:pPr>
        <w:tabs>
          <w:tab w:val="left" w:pos="426"/>
        </w:tabs>
        <w:spacing w:line="360" w:lineRule="auto"/>
        <w:ind w:left="3826" w:leftChars="1822" w:firstLine="480"/>
        <w:jc w:val="left"/>
        <w:rPr>
          <w:rFonts w:ascii="宋体" w:hAnsi="宋体"/>
          <w:highlight w:val="none"/>
        </w:rPr>
      </w:pPr>
      <w:r>
        <w:rPr>
          <w:rFonts w:ascii="宋体" w:hAnsi="宋体"/>
          <w:highlight w:val="none"/>
        </w:rPr>
        <w:t>电</w:t>
      </w:r>
      <w:r>
        <w:rPr>
          <w:rFonts w:ascii="宋体" w:hAnsi="宋体"/>
          <w:highlight w:val="none"/>
        </w:rPr>
        <w:tab/>
      </w:r>
      <w:r>
        <w:rPr>
          <w:rFonts w:ascii="宋体" w:hAnsi="宋体"/>
          <w:highlight w:val="none"/>
        </w:rPr>
        <w:t>话：</w:t>
      </w:r>
      <w:r>
        <w:rPr>
          <w:rFonts w:hint="eastAsia" w:ascii="宋体" w:hAnsi="宋体"/>
          <w:highlight w:val="none"/>
          <w:u w:val="single"/>
        </w:rPr>
        <w:t xml:space="preserve">                             </w:t>
      </w:r>
    </w:p>
    <w:p w14:paraId="5AEC21FF">
      <w:pPr>
        <w:tabs>
          <w:tab w:val="left" w:pos="426"/>
        </w:tabs>
        <w:spacing w:line="360" w:lineRule="auto"/>
        <w:ind w:left="3826" w:leftChars="1822" w:firstLine="480"/>
        <w:jc w:val="left"/>
        <w:rPr>
          <w:rFonts w:ascii="宋体" w:hAnsi="宋体"/>
          <w:highlight w:val="none"/>
        </w:rPr>
      </w:pPr>
      <w:r>
        <w:rPr>
          <w:rFonts w:ascii="宋体" w:hAnsi="宋体"/>
          <w:highlight w:val="none"/>
        </w:rPr>
        <w:t>传</w:t>
      </w:r>
      <w:r>
        <w:rPr>
          <w:rFonts w:ascii="宋体" w:hAnsi="宋体"/>
          <w:highlight w:val="none"/>
        </w:rPr>
        <w:tab/>
      </w:r>
      <w:r>
        <w:rPr>
          <w:rFonts w:ascii="宋体" w:hAnsi="宋体"/>
          <w:highlight w:val="none"/>
        </w:rPr>
        <w:t>真：</w:t>
      </w:r>
      <w:r>
        <w:rPr>
          <w:rFonts w:hint="eastAsia" w:ascii="宋体" w:hAnsi="宋体"/>
          <w:highlight w:val="none"/>
          <w:u w:val="single"/>
        </w:rPr>
        <w:t xml:space="preserve">                             </w:t>
      </w:r>
    </w:p>
    <w:p w14:paraId="47741B76">
      <w:pPr>
        <w:tabs>
          <w:tab w:val="left" w:pos="426"/>
        </w:tabs>
        <w:spacing w:line="360" w:lineRule="auto"/>
        <w:ind w:left="3826" w:leftChars="1822" w:firstLine="480"/>
        <w:jc w:val="left"/>
        <w:rPr>
          <w:rFonts w:ascii="宋体" w:hAnsi="宋体"/>
          <w:highlight w:val="none"/>
        </w:rPr>
      </w:pPr>
      <w:r>
        <w:rPr>
          <w:rFonts w:ascii="宋体" w:hAnsi="宋体"/>
          <w:highlight w:val="none"/>
        </w:rPr>
        <w:t>邮政编码：</w:t>
      </w:r>
      <w:r>
        <w:rPr>
          <w:rFonts w:hint="eastAsia" w:ascii="宋体" w:hAnsi="宋体"/>
          <w:highlight w:val="none"/>
          <w:u w:val="single"/>
        </w:rPr>
        <w:t xml:space="preserve">                           </w:t>
      </w:r>
    </w:p>
    <w:p w14:paraId="08644CBD">
      <w:pPr>
        <w:tabs>
          <w:tab w:val="left" w:pos="7940"/>
          <w:tab w:val="left" w:pos="8780"/>
        </w:tabs>
        <w:spacing w:line="360" w:lineRule="auto"/>
        <w:ind w:left="3826" w:leftChars="1822" w:firstLine="480"/>
        <w:rPr>
          <w:rFonts w:hint="eastAsia" w:ascii="宋体" w:hAnsi="宋体"/>
          <w:highlight w:val="none"/>
        </w:rPr>
      </w:pPr>
      <w:r>
        <w:rPr>
          <w:rFonts w:hint="eastAsia" w:ascii="宋体" w:hAnsi="宋体"/>
          <w:highlight w:val="none"/>
        </w:rPr>
        <w:t xml:space="preserve">日  期：      </w:t>
      </w:r>
      <w:r>
        <w:rPr>
          <w:rFonts w:ascii="宋体" w:hAnsi="宋体"/>
          <w:highlight w:val="none"/>
        </w:rPr>
        <w:t>年</w:t>
      </w:r>
      <w:r>
        <w:rPr>
          <w:rFonts w:hint="eastAsia" w:ascii="宋体" w:hAnsi="宋体"/>
          <w:highlight w:val="none"/>
        </w:rPr>
        <w:t xml:space="preserve">      </w:t>
      </w:r>
      <w:r>
        <w:rPr>
          <w:rFonts w:ascii="宋体" w:hAnsi="宋体"/>
          <w:highlight w:val="none"/>
        </w:rPr>
        <w:t>月</w:t>
      </w:r>
      <w:r>
        <w:rPr>
          <w:rFonts w:hint="eastAsia" w:ascii="宋体" w:hAnsi="宋体"/>
          <w:highlight w:val="none"/>
        </w:rPr>
        <w:t xml:space="preserve">     </w:t>
      </w:r>
      <w:r>
        <w:rPr>
          <w:rFonts w:ascii="宋体" w:hAnsi="宋体"/>
          <w:highlight w:val="none"/>
        </w:rPr>
        <w:t>日</w:t>
      </w:r>
    </w:p>
    <w:p w14:paraId="4CF3CB6F">
      <w:pPr>
        <w:pStyle w:val="9"/>
        <w:ind w:firstLine="0"/>
        <w:jc w:val="center"/>
        <w:rPr>
          <w:rFonts w:ascii="宋体" w:hAnsi="宋体"/>
          <w:sz w:val="28"/>
          <w:szCs w:val="28"/>
          <w:highlight w:val="none"/>
        </w:rPr>
      </w:pPr>
      <w:bookmarkStart w:id="315" w:name="page80"/>
      <w:bookmarkEnd w:id="315"/>
      <w:r>
        <w:rPr>
          <w:rFonts w:ascii="宋体" w:hAnsi="宋体"/>
          <w:sz w:val="28"/>
          <w:highlight w:val="none"/>
        </w:rPr>
        <w:br w:type="page"/>
      </w:r>
      <w:r>
        <w:rPr>
          <w:rFonts w:ascii="宋体" w:hAnsi="宋体"/>
          <w:sz w:val="28"/>
          <w:szCs w:val="28"/>
          <w:highlight w:val="none"/>
        </w:rPr>
        <w:t>（二）投标函附录</w:t>
      </w:r>
    </w:p>
    <w:p w14:paraId="6228D7A7">
      <w:pPr>
        <w:spacing w:line="200" w:lineRule="exact"/>
        <w:ind w:firstLine="480"/>
        <w:rPr>
          <w:rFonts w:ascii="宋体" w:hAnsi="宋体"/>
          <w:highlight w:val="none"/>
        </w:rPr>
      </w:pPr>
    </w:p>
    <w:p w14:paraId="273D1DFD">
      <w:pPr>
        <w:spacing w:line="342" w:lineRule="exact"/>
        <w:ind w:firstLine="284"/>
        <w:rPr>
          <w:rFonts w:hint="eastAsia" w:ascii="宋体" w:hAnsi="宋体"/>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075"/>
        <w:gridCol w:w="4015"/>
        <w:gridCol w:w="2895"/>
      </w:tblGrid>
      <w:tr w14:paraId="5261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noWrap w:val="0"/>
            <w:vAlign w:val="center"/>
          </w:tcPr>
          <w:p w14:paraId="41934B52">
            <w:pPr>
              <w:spacing w:line="342" w:lineRule="exact"/>
              <w:jc w:val="center"/>
              <w:rPr>
                <w:rFonts w:ascii="宋体" w:hAnsi="宋体"/>
                <w:highlight w:val="none"/>
              </w:rPr>
            </w:pPr>
            <w:r>
              <w:rPr>
                <w:rFonts w:hint="eastAsia" w:ascii="宋体" w:hAnsi="宋体"/>
                <w:highlight w:val="none"/>
              </w:rPr>
              <w:t>序号</w:t>
            </w:r>
          </w:p>
        </w:tc>
        <w:tc>
          <w:tcPr>
            <w:tcW w:w="2075" w:type="dxa"/>
            <w:noWrap w:val="0"/>
            <w:vAlign w:val="center"/>
          </w:tcPr>
          <w:p w14:paraId="4FA49337">
            <w:pPr>
              <w:spacing w:line="342" w:lineRule="exact"/>
              <w:ind w:firstLine="21" w:firstLineChars="10"/>
              <w:jc w:val="center"/>
              <w:rPr>
                <w:rFonts w:ascii="宋体" w:hAnsi="宋体"/>
                <w:highlight w:val="none"/>
              </w:rPr>
            </w:pPr>
            <w:r>
              <w:rPr>
                <w:rFonts w:hint="eastAsia" w:ascii="宋体" w:hAnsi="宋体"/>
                <w:highlight w:val="none"/>
              </w:rPr>
              <w:t>条款名称</w:t>
            </w:r>
          </w:p>
        </w:tc>
        <w:tc>
          <w:tcPr>
            <w:tcW w:w="4015" w:type="dxa"/>
            <w:noWrap w:val="0"/>
            <w:vAlign w:val="center"/>
          </w:tcPr>
          <w:p w14:paraId="155CCCCC">
            <w:pPr>
              <w:spacing w:line="342" w:lineRule="exact"/>
              <w:jc w:val="center"/>
              <w:rPr>
                <w:rFonts w:ascii="宋体" w:hAnsi="宋体"/>
                <w:highlight w:val="none"/>
              </w:rPr>
            </w:pPr>
            <w:r>
              <w:rPr>
                <w:rFonts w:hint="eastAsia" w:ascii="宋体" w:hAnsi="宋体"/>
                <w:highlight w:val="none"/>
              </w:rPr>
              <w:t>约定内容</w:t>
            </w:r>
          </w:p>
        </w:tc>
        <w:tc>
          <w:tcPr>
            <w:tcW w:w="2895" w:type="dxa"/>
            <w:noWrap w:val="0"/>
            <w:vAlign w:val="center"/>
          </w:tcPr>
          <w:p w14:paraId="3A6F6ADC">
            <w:pPr>
              <w:spacing w:line="342" w:lineRule="exact"/>
              <w:jc w:val="center"/>
              <w:rPr>
                <w:rFonts w:ascii="宋体" w:hAnsi="宋体"/>
                <w:highlight w:val="none"/>
              </w:rPr>
            </w:pPr>
            <w:r>
              <w:rPr>
                <w:rFonts w:hint="eastAsia" w:ascii="宋体" w:hAnsi="宋体"/>
                <w:highlight w:val="none"/>
              </w:rPr>
              <w:t>备注</w:t>
            </w:r>
          </w:p>
        </w:tc>
      </w:tr>
      <w:tr w14:paraId="0C52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88" w:type="dxa"/>
            <w:noWrap w:val="0"/>
            <w:vAlign w:val="center"/>
          </w:tcPr>
          <w:p w14:paraId="1DE6023D">
            <w:pPr>
              <w:spacing w:line="342" w:lineRule="exact"/>
              <w:jc w:val="center"/>
              <w:rPr>
                <w:rFonts w:ascii="宋体" w:hAnsi="宋体"/>
                <w:highlight w:val="none"/>
              </w:rPr>
            </w:pPr>
            <w:r>
              <w:rPr>
                <w:rFonts w:hint="eastAsia" w:ascii="宋体" w:hAnsi="宋体"/>
                <w:highlight w:val="none"/>
              </w:rPr>
              <w:t>1</w:t>
            </w:r>
          </w:p>
        </w:tc>
        <w:tc>
          <w:tcPr>
            <w:tcW w:w="2075" w:type="dxa"/>
            <w:noWrap w:val="0"/>
            <w:vAlign w:val="center"/>
          </w:tcPr>
          <w:p w14:paraId="4E91E237">
            <w:pPr>
              <w:spacing w:line="342" w:lineRule="exact"/>
              <w:ind w:firstLine="21" w:firstLineChars="10"/>
              <w:jc w:val="center"/>
              <w:rPr>
                <w:rFonts w:ascii="宋体" w:hAnsi="宋体"/>
                <w:highlight w:val="none"/>
              </w:rPr>
            </w:pPr>
            <w:r>
              <w:rPr>
                <w:rFonts w:hint="eastAsia" w:ascii="宋体" w:hAnsi="宋体"/>
                <w:highlight w:val="none"/>
              </w:rPr>
              <w:t>总监理工程师</w:t>
            </w:r>
          </w:p>
        </w:tc>
        <w:tc>
          <w:tcPr>
            <w:tcW w:w="4015" w:type="dxa"/>
            <w:noWrap w:val="0"/>
            <w:vAlign w:val="center"/>
          </w:tcPr>
          <w:p w14:paraId="589FC3E8">
            <w:pPr>
              <w:spacing w:line="342" w:lineRule="exact"/>
              <w:rPr>
                <w:rFonts w:hint="eastAsia" w:ascii="宋体" w:hAnsi="宋体"/>
                <w:highlight w:val="none"/>
              </w:rPr>
            </w:pPr>
            <w:r>
              <w:rPr>
                <w:rFonts w:hint="eastAsia" w:ascii="宋体" w:hAnsi="宋体"/>
                <w:highlight w:val="none"/>
              </w:rPr>
              <w:t>姓名：</w:t>
            </w:r>
          </w:p>
          <w:p w14:paraId="23B71B7D">
            <w:pPr>
              <w:spacing w:line="342" w:lineRule="exact"/>
              <w:rPr>
                <w:rFonts w:hint="eastAsia" w:ascii="宋体" w:hAnsi="宋体"/>
                <w:highlight w:val="none"/>
              </w:rPr>
            </w:pPr>
            <w:r>
              <w:rPr>
                <w:rFonts w:hint="eastAsia" w:ascii="宋体" w:hAnsi="宋体"/>
                <w:highlight w:val="none"/>
              </w:rPr>
              <w:t>技术职称：</w:t>
            </w:r>
          </w:p>
          <w:p w14:paraId="44A444ED">
            <w:pPr>
              <w:spacing w:line="342" w:lineRule="exact"/>
              <w:rPr>
                <w:rFonts w:hint="eastAsia" w:ascii="宋体" w:hAnsi="宋体"/>
                <w:highlight w:val="none"/>
              </w:rPr>
            </w:pPr>
            <w:r>
              <w:rPr>
                <w:rFonts w:hint="eastAsia" w:ascii="宋体" w:hAnsi="宋体"/>
                <w:highlight w:val="none"/>
              </w:rPr>
              <w:t>注册证号：</w:t>
            </w:r>
          </w:p>
        </w:tc>
        <w:tc>
          <w:tcPr>
            <w:tcW w:w="2895" w:type="dxa"/>
            <w:noWrap w:val="0"/>
            <w:vAlign w:val="center"/>
          </w:tcPr>
          <w:p w14:paraId="19BE26FA">
            <w:pPr>
              <w:spacing w:line="342" w:lineRule="exact"/>
              <w:rPr>
                <w:rFonts w:ascii="宋体" w:hAnsi="宋体"/>
                <w:highlight w:val="none"/>
              </w:rPr>
            </w:pPr>
            <w:r>
              <w:rPr>
                <w:rFonts w:hint="eastAsia" w:ascii="宋体" w:hAnsi="宋体"/>
                <w:highlight w:val="none"/>
              </w:rPr>
              <w:t>实施过程中，除不可抗力或由于人员不称职发包人要求更换的原因，不得更换总监理工程师，否则视为严重违约，终止合同并赔偿招标人损失。</w:t>
            </w:r>
          </w:p>
        </w:tc>
      </w:tr>
      <w:tr w14:paraId="3416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88" w:type="dxa"/>
            <w:noWrap w:val="0"/>
            <w:vAlign w:val="center"/>
          </w:tcPr>
          <w:p w14:paraId="74D383CD">
            <w:pPr>
              <w:spacing w:line="342" w:lineRule="exact"/>
              <w:jc w:val="center"/>
              <w:rPr>
                <w:rFonts w:hint="eastAsia" w:ascii="宋体" w:hAnsi="宋体"/>
                <w:highlight w:val="none"/>
              </w:rPr>
            </w:pPr>
            <w:r>
              <w:rPr>
                <w:rFonts w:hint="eastAsia" w:ascii="宋体" w:hAnsi="宋体"/>
                <w:highlight w:val="none"/>
              </w:rPr>
              <w:t>2</w:t>
            </w:r>
          </w:p>
        </w:tc>
        <w:tc>
          <w:tcPr>
            <w:tcW w:w="2075" w:type="dxa"/>
            <w:noWrap w:val="0"/>
            <w:vAlign w:val="center"/>
          </w:tcPr>
          <w:p w14:paraId="3CB9AEBE">
            <w:pPr>
              <w:spacing w:line="342" w:lineRule="exact"/>
              <w:ind w:firstLine="21" w:firstLineChars="10"/>
              <w:jc w:val="center"/>
              <w:rPr>
                <w:rFonts w:hint="eastAsia" w:ascii="宋体" w:hAnsi="宋体"/>
                <w:highlight w:val="none"/>
              </w:rPr>
            </w:pPr>
            <w:r>
              <w:rPr>
                <w:rFonts w:hint="eastAsia" w:ascii="宋体" w:hAnsi="宋体"/>
                <w:highlight w:val="none"/>
              </w:rPr>
              <w:t>监理服务期限</w:t>
            </w:r>
          </w:p>
        </w:tc>
        <w:tc>
          <w:tcPr>
            <w:tcW w:w="4015" w:type="dxa"/>
            <w:noWrap w:val="0"/>
            <w:vAlign w:val="center"/>
          </w:tcPr>
          <w:p w14:paraId="6C5D5A5B">
            <w:pPr>
              <w:spacing w:line="342" w:lineRule="exact"/>
              <w:rPr>
                <w:rFonts w:hint="eastAsia" w:ascii="宋体" w:hAnsi="宋体"/>
                <w:highlight w:val="none"/>
              </w:rPr>
            </w:pPr>
            <w:r>
              <w:rPr>
                <w:rFonts w:hint="eastAsia" w:ascii="宋体" w:hAnsi="宋体"/>
                <w:highlight w:val="none"/>
              </w:rPr>
              <w:t>按招标文件要求。</w:t>
            </w:r>
          </w:p>
        </w:tc>
        <w:tc>
          <w:tcPr>
            <w:tcW w:w="2895" w:type="dxa"/>
            <w:noWrap w:val="0"/>
            <w:vAlign w:val="center"/>
          </w:tcPr>
          <w:p w14:paraId="258B1BA8">
            <w:pPr>
              <w:spacing w:line="342" w:lineRule="exact"/>
              <w:rPr>
                <w:rFonts w:hint="eastAsia" w:ascii="宋体" w:hAnsi="宋体"/>
                <w:highlight w:val="none"/>
              </w:rPr>
            </w:pPr>
          </w:p>
        </w:tc>
      </w:tr>
      <w:tr w14:paraId="3D5D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88" w:type="dxa"/>
            <w:noWrap w:val="0"/>
            <w:vAlign w:val="center"/>
          </w:tcPr>
          <w:p w14:paraId="0C134C56">
            <w:pPr>
              <w:spacing w:line="342" w:lineRule="exact"/>
              <w:jc w:val="center"/>
              <w:rPr>
                <w:rFonts w:hint="eastAsia" w:ascii="宋体" w:hAnsi="宋体"/>
                <w:highlight w:val="none"/>
              </w:rPr>
            </w:pPr>
            <w:r>
              <w:rPr>
                <w:rFonts w:hint="eastAsia" w:ascii="宋体" w:hAnsi="宋体"/>
                <w:highlight w:val="none"/>
              </w:rPr>
              <w:t>3</w:t>
            </w:r>
          </w:p>
        </w:tc>
        <w:tc>
          <w:tcPr>
            <w:tcW w:w="2075" w:type="dxa"/>
            <w:noWrap w:val="0"/>
            <w:vAlign w:val="center"/>
          </w:tcPr>
          <w:p w14:paraId="25162886">
            <w:pPr>
              <w:spacing w:line="342" w:lineRule="exact"/>
              <w:ind w:firstLine="21" w:firstLineChars="10"/>
              <w:jc w:val="center"/>
              <w:rPr>
                <w:rFonts w:hint="eastAsia" w:ascii="宋体" w:hAnsi="宋体"/>
                <w:highlight w:val="none"/>
              </w:rPr>
            </w:pPr>
            <w:r>
              <w:rPr>
                <w:rFonts w:hint="eastAsia" w:ascii="宋体" w:hAnsi="宋体"/>
                <w:highlight w:val="none"/>
              </w:rPr>
              <w:t>合同价款确定方式</w:t>
            </w:r>
          </w:p>
        </w:tc>
        <w:tc>
          <w:tcPr>
            <w:tcW w:w="4015" w:type="dxa"/>
            <w:noWrap w:val="0"/>
            <w:vAlign w:val="top"/>
          </w:tcPr>
          <w:p w14:paraId="427FC108">
            <w:pPr>
              <w:spacing w:line="342" w:lineRule="exact"/>
              <w:rPr>
                <w:rFonts w:hint="eastAsia" w:ascii="宋体" w:hAnsi="宋体"/>
                <w:highlight w:val="none"/>
              </w:rPr>
            </w:pPr>
            <w:r>
              <w:rPr>
                <w:rFonts w:ascii="宋体" w:hAnsi="宋体"/>
                <w:bCs/>
                <w:highlight w:val="none"/>
              </w:rPr>
              <w:t>委</w:t>
            </w:r>
            <w:r>
              <w:rPr>
                <w:rFonts w:hint="eastAsia" w:ascii="宋体" w:hAnsi="宋体"/>
                <w:bCs/>
                <w:highlight w:val="none"/>
              </w:rPr>
              <w:t>托人向监理人承诺按照合同注明的期限、方式、币种，向监理人支付报酬。</w:t>
            </w:r>
          </w:p>
        </w:tc>
        <w:tc>
          <w:tcPr>
            <w:tcW w:w="2895" w:type="dxa"/>
            <w:noWrap w:val="0"/>
            <w:vAlign w:val="center"/>
          </w:tcPr>
          <w:p w14:paraId="4981BD3B">
            <w:pPr>
              <w:spacing w:line="342" w:lineRule="exact"/>
              <w:rPr>
                <w:rFonts w:hint="eastAsia" w:ascii="宋体" w:hAnsi="宋体"/>
                <w:highlight w:val="none"/>
              </w:rPr>
            </w:pPr>
          </w:p>
        </w:tc>
      </w:tr>
      <w:tr w14:paraId="562A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88" w:type="dxa"/>
            <w:noWrap w:val="0"/>
            <w:vAlign w:val="center"/>
          </w:tcPr>
          <w:p w14:paraId="15B38DA9">
            <w:pPr>
              <w:spacing w:line="342" w:lineRule="exact"/>
              <w:jc w:val="center"/>
              <w:rPr>
                <w:rFonts w:hint="eastAsia" w:ascii="宋体" w:hAnsi="宋体"/>
                <w:highlight w:val="none"/>
              </w:rPr>
            </w:pPr>
            <w:r>
              <w:rPr>
                <w:rFonts w:hint="eastAsia" w:ascii="宋体" w:hAnsi="宋体"/>
                <w:highlight w:val="none"/>
              </w:rPr>
              <w:t>4</w:t>
            </w:r>
          </w:p>
        </w:tc>
        <w:tc>
          <w:tcPr>
            <w:tcW w:w="2075" w:type="dxa"/>
            <w:noWrap w:val="0"/>
            <w:vAlign w:val="center"/>
          </w:tcPr>
          <w:p w14:paraId="50EF2DA8">
            <w:pPr>
              <w:spacing w:line="342" w:lineRule="exact"/>
              <w:ind w:firstLine="21" w:firstLineChars="10"/>
              <w:jc w:val="center"/>
              <w:rPr>
                <w:rFonts w:hint="eastAsia" w:ascii="宋体" w:hAnsi="宋体"/>
                <w:highlight w:val="none"/>
              </w:rPr>
            </w:pPr>
            <w:r>
              <w:rPr>
                <w:rFonts w:hint="eastAsia" w:ascii="宋体" w:hAnsi="宋体"/>
                <w:highlight w:val="none"/>
              </w:rPr>
              <w:t>监理质量标准</w:t>
            </w:r>
          </w:p>
        </w:tc>
        <w:tc>
          <w:tcPr>
            <w:tcW w:w="4015" w:type="dxa"/>
            <w:noWrap w:val="0"/>
            <w:vAlign w:val="center"/>
          </w:tcPr>
          <w:p w14:paraId="0EED3CC0">
            <w:pPr>
              <w:spacing w:line="342" w:lineRule="exact"/>
              <w:rPr>
                <w:rFonts w:hint="eastAsia" w:ascii="宋体" w:hAnsi="宋体"/>
                <w:highlight w:val="none"/>
              </w:rPr>
            </w:pPr>
            <w:r>
              <w:rPr>
                <w:rFonts w:hint="eastAsia" w:ascii="宋体" w:hAnsi="宋体"/>
                <w:highlight w:val="none"/>
              </w:rPr>
              <w:t>合格。</w:t>
            </w:r>
          </w:p>
        </w:tc>
        <w:tc>
          <w:tcPr>
            <w:tcW w:w="2895" w:type="dxa"/>
            <w:noWrap w:val="0"/>
            <w:vAlign w:val="center"/>
          </w:tcPr>
          <w:p w14:paraId="2231C674">
            <w:pPr>
              <w:spacing w:line="342" w:lineRule="exact"/>
              <w:rPr>
                <w:rFonts w:hint="eastAsia" w:ascii="宋体" w:hAnsi="宋体"/>
                <w:highlight w:val="none"/>
              </w:rPr>
            </w:pPr>
          </w:p>
        </w:tc>
      </w:tr>
      <w:tr w14:paraId="5631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88" w:type="dxa"/>
            <w:noWrap w:val="0"/>
            <w:vAlign w:val="center"/>
          </w:tcPr>
          <w:p w14:paraId="521F689A">
            <w:pPr>
              <w:spacing w:line="342" w:lineRule="exact"/>
              <w:jc w:val="center"/>
              <w:rPr>
                <w:rFonts w:hint="eastAsia" w:ascii="宋体" w:hAnsi="宋体"/>
                <w:highlight w:val="none"/>
              </w:rPr>
            </w:pPr>
            <w:r>
              <w:rPr>
                <w:rFonts w:hint="eastAsia" w:ascii="宋体" w:hAnsi="宋体"/>
                <w:highlight w:val="none"/>
              </w:rPr>
              <w:t>5</w:t>
            </w:r>
          </w:p>
        </w:tc>
        <w:tc>
          <w:tcPr>
            <w:tcW w:w="2075" w:type="dxa"/>
            <w:noWrap w:val="0"/>
            <w:vAlign w:val="center"/>
          </w:tcPr>
          <w:p w14:paraId="1E3366EF">
            <w:pPr>
              <w:spacing w:line="342" w:lineRule="exact"/>
              <w:ind w:firstLine="21" w:firstLineChars="10"/>
              <w:jc w:val="center"/>
              <w:rPr>
                <w:rFonts w:hint="eastAsia" w:ascii="宋体" w:hAnsi="宋体"/>
                <w:highlight w:val="none"/>
              </w:rPr>
            </w:pPr>
            <w:r>
              <w:rPr>
                <w:rFonts w:hint="eastAsia" w:ascii="宋体" w:hAnsi="宋体"/>
                <w:highlight w:val="none"/>
              </w:rPr>
              <w:t>投标总报价</w:t>
            </w:r>
          </w:p>
          <w:p w14:paraId="5DF634A8">
            <w:pPr>
              <w:spacing w:line="342" w:lineRule="exact"/>
              <w:ind w:firstLine="21" w:firstLineChars="10"/>
              <w:jc w:val="center"/>
              <w:rPr>
                <w:rFonts w:hint="eastAsia" w:ascii="宋体" w:hAnsi="宋体"/>
                <w:highlight w:val="none"/>
              </w:rPr>
            </w:pPr>
            <w:r>
              <w:rPr>
                <w:rFonts w:hint="eastAsia" w:ascii="宋体" w:hAnsi="宋体"/>
                <w:highlight w:val="none"/>
              </w:rPr>
              <w:t>（监理报价）</w:t>
            </w:r>
          </w:p>
        </w:tc>
        <w:tc>
          <w:tcPr>
            <w:tcW w:w="4015" w:type="dxa"/>
            <w:noWrap w:val="0"/>
            <w:vAlign w:val="center"/>
          </w:tcPr>
          <w:p w14:paraId="6B2CC490">
            <w:pPr>
              <w:spacing w:line="342" w:lineRule="exact"/>
              <w:rPr>
                <w:rFonts w:hint="eastAsia" w:ascii="宋体" w:hAnsi="宋体"/>
                <w:highlight w:val="none"/>
              </w:rPr>
            </w:pPr>
            <w:r>
              <w:rPr>
                <w:rFonts w:hint="eastAsia" w:ascii="宋体" w:hAnsi="宋体"/>
                <w:highlight w:val="none"/>
              </w:rPr>
              <w:t>总报价：</w:t>
            </w:r>
            <w:r>
              <w:rPr>
                <w:rFonts w:hint="eastAsia" w:ascii="宋体" w:hAnsi="宋体"/>
                <w:highlight w:val="none"/>
                <w:u w:val="single"/>
              </w:rPr>
              <w:t xml:space="preserve">                     </w:t>
            </w:r>
            <w:r>
              <w:rPr>
                <w:rFonts w:hint="eastAsia" w:ascii="宋体" w:hAnsi="宋体"/>
                <w:highlight w:val="none"/>
              </w:rPr>
              <w:t>（元）</w:t>
            </w:r>
          </w:p>
          <w:p w14:paraId="7FEBFFBF">
            <w:pPr>
              <w:spacing w:line="342" w:lineRule="exact"/>
              <w:rPr>
                <w:rFonts w:ascii="宋体" w:hAnsi="宋体"/>
                <w:highlight w:val="none"/>
              </w:rPr>
            </w:pPr>
            <w:r>
              <w:rPr>
                <w:rFonts w:hint="eastAsia" w:ascii="宋体" w:hAnsi="宋体"/>
                <w:highlight w:val="none"/>
              </w:rPr>
              <w:t>下浮率：</w:t>
            </w:r>
            <w:r>
              <w:rPr>
                <w:rFonts w:hint="eastAsia" w:ascii="宋体" w:hAnsi="宋体"/>
                <w:highlight w:val="none"/>
                <w:u w:val="single"/>
              </w:rPr>
              <w:t xml:space="preserve">                     </w:t>
            </w:r>
            <w:r>
              <w:rPr>
                <w:rFonts w:hint="eastAsia" w:ascii="宋体" w:hAnsi="宋体"/>
                <w:highlight w:val="none"/>
              </w:rPr>
              <w:t>（%）</w:t>
            </w:r>
          </w:p>
        </w:tc>
        <w:tc>
          <w:tcPr>
            <w:tcW w:w="2895" w:type="dxa"/>
            <w:noWrap w:val="0"/>
            <w:vAlign w:val="center"/>
          </w:tcPr>
          <w:p w14:paraId="15A76B1B">
            <w:pPr>
              <w:spacing w:line="342" w:lineRule="exact"/>
              <w:rPr>
                <w:rFonts w:hint="eastAsia" w:ascii="宋体" w:hAnsi="宋体"/>
                <w:highlight w:val="none"/>
              </w:rPr>
            </w:pPr>
          </w:p>
        </w:tc>
      </w:tr>
      <w:tr w14:paraId="7B83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88" w:type="dxa"/>
            <w:noWrap w:val="0"/>
            <w:vAlign w:val="center"/>
          </w:tcPr>
          <w:p w14:paraId="352AD515">
            <w:pPr>
              <w:spacing w:line="342" w:lineRule="exact"/>
              <w:jc w:val="center"/>
              <w:rPr>
                <w:rFonts w:hint="eastAsia" w:ascii="宋体" w:hAnsi="宋体"/>
                <w:highlight w:val="none"/>
              </w:rPr>
            </w:pPr>
            <w:r>
              <w:rPr>
                <w:rFonts w:hint="eastAsia" w:ascii="宋体" w:hAnsi="宋体"/>
                <w:highlight w:val="none"/>
              </w:rPr>
              <w:t>6</w:t>
            </w:r>
          </w:p>
        </w:tc>
        <w:tc>
          <w:tcPr>
            <w:tcW w:w="2075" w:type="dxa"/>
            <w:noWrap w:val="0"/>
            <w:vAlign w:val="center"/>
          </w:tcPr>
          <w:p w14:paraId="66F1ED8B">
            <w:pPr>
              <w:spacing w:line="342" w:lineRule="exact"/>
              <w:ind w:firstLine="21" w:firstLineChars="10"/>
              <w:rPr>
                <w:rFonts w:hint="eastAsia" w:ascii="宋体" w:hAnsi="宋体"/>
                <w:highlight w:val="none"/>
              </w:rPr>
            </w:pPr>
            <w:r>
              <w:rPr>
                <w:rFonts w:hint="eastAsia" w:ascii="宋体" w:hAnsi="宋体"/>
                <w:highlight w:val="none"/>
              </w:rPr>
              <w:t>法人营业执照</w:t>
            </w:r>
          </w:p>
          <w:p w14:paraId="6E2902BF">
            <w:pPr>
              <w:spacing w:line="342" w:lineRule="exact"/>
              <w:ind w:firstLine="21" w:firstLineChars="10"/>
              <w:rPr>
                <w:rFonts w:ascii="宋体" w:hAnsi="宋体"/>
                <w:highlight w:val="none"/>
              </w:rPr>
            </w:pPr>
            <w:r>
              <w:rPr>
                <w:rFonts w:hint="eastAsia" w:ascii="宋体" w:hAnsi="宋体"/>
                <w:highlight w:val="none"/>
              </w:rPr>
              <w:t>统一社会信用代码：</w:t>
            </w:r>
          </w:p>
        </w:tc>
        <w:tc>
          <w:tcPr>
            <w:tcW w:w="4015" w:type="dxa"/>
            <w:noWrap w:val="0"/>
            <w:vAlign w:val="top"/>
          </w:tcPr>
          <w:p w14:paraId="15CDF598">
            <w:pPr>
              <w:spacing w:line="342" w:lineRule="exact"/>
              <w:rPr>
                <w:rFonts w:ascii="宋体" w:hAnsi="宋体"/>
                <w:highlight w:val="none"/>
              </w:rPr>
            </w:pPr>
          </w:p>
        </w:tc>
        <w:tc>
          <w:tcPr>
            <w:tcW w:w="2895" w:type="dxa"/>
            <w:noWrap w:val="0"/>
            <w:vAlign w:val="top"/>
          </w:tcPr>
          <w:p w14:paraId="179E8C81">
            <w:pPr>
              <w:spacing w:line="342" w:lineRule="exact"/>
              <w:rPr>
                <w:rFonts w:ascii="宋体" w:hAnsi="宋体"/>
                <w:highlight w:val="none"/>
              </w:rPr>
            </w:pPr>
          </w:p>
        </w:tc>
      </w:tr>
      <w:tr w14:paraId="70F3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88" w:type="dxa"/>
            <w:noWrap w:val="0"/>
            <w:vAlign w:val="center"/>
          </w:tcPr>
          <w:p w14:paraId="3F3BB0FD">
            <w:pPr>
              <w:spacing w:line="342" w:lineRule="exact"/>
              <w:jc w:val="center"/>
              <w:rPr>
                <w:rFonts w:hint="eastAsia" w:ascii="宋体" w:hAnsi="宋体"/>
                <w:highlight w:val="none"/>
              </w:rPr>
            </w:pPr>
            <w:r>
              <w:rPr>
                <w:rFonts w:hint="eastAsia" w:ascii="宋体" w:hAnsi="宋体"/>
                <w:highlight w:val="none"/>
              </w:rPr>
              <w:t>7</w:t>
            </w:r>
          </w:p>
        </w:tc>
        <w:tc>
          <w:tcPr>
            <w:tcW w:w="2075" w:type="dxa"/>
            <w:noWrap w:val="0"/>
            <w:vAlign w:val="center"/>
          </w:tcPr>
          <w:p w14:paraId="348AF0BF">
            <w:pPr>
              <w:spacing w:line="342" w:lineRule="exact"/>
              <w:ind w:firstLine="21" w:firstLineChars="10"/>
              <w:jc w:val="center"/>
              <w:rPr>
                <w:rFonts w:hint="eastAsia" w:ascii="宋体" w:hAnsi="宋体"/>
                <w:highlight w:val="none"/>
              </w:rPr>
            </w:pPr>
            <w:r>
              <w:rPr>
                <w:rFonts w:hint="eastAsia" w:ascii="宋体" w:hAnsi="宋体"/>
                <w:highlight w:val="none"/>
              </w:rPr>
              <w:t>资质等级：</w:t>
            </w:r>
          </w:p>
          <w:p w14:paraId="1705E688">
            <w:pPr>
              <w:spacing w:line="342" w:lineRule="exact"/>
              <w:ind w:firstLine="21" w:firstLineChars="10"/>
              <w:jc w:val="center"/>
              <w:rPr>
                <w:rFonts w:ascii="宋体" w:hAnsi="宋体"/>
                <w:highlight w:val="none"/>
              </w:rPr>
            </w:pPr>
            <w:r>
              <w:rPr>
                <w:rFonts w:hint="eastAsia" w:ascii="宋体" w:hAnsi="宋体"/>
                <w:highlight w:val="none"/>
              </w:rPr>
              <w:t>资质证书号：</w:t>
            </w:r>
          </w:p>
        </w:tc>
        <w:tc>
          <w:tcPr>
            <w:tcW w:w="4015" w:type="dxa"/>
            <w:noWrap w:val="0"/>
            <w:vAlign w:val="center"/>
          </w:tcPr>
          <w:p w14:paraId="0DECD5F2">
            <w:pPr>
              <w:spacing w:line="342" w:lineRule="exact"/>
              <w:rPr>
                <w:rFonts w:ascii="宋体" w:hAnsi="宋体"/>
                <w:highlight w:val="none"/>
              </w:rPr>
            </w:pPr>
          </w:p>
        </w:tc>
        <w:tc>
          <w:tcPr>
            <w:tcW w:w="2895" w:type="dxa"/>
            <w:noWrap w:val="0"/>
            <w:vAlign w:val="top"/>
          </w:tcPr>
          <w:p w14:paraId="124616C6">
            <w:pPr>
              <w:spacing w:line="342" w:lineRule="exact"/>
              <w:rPr>
                <w:rFonts w:ascii="宋体" w:hAnsi="宋体"/>
                <w:highlight w:val="none"/>
              </w:rPr>
            </w:pPr>
          </w:p>
        </w:tc>
      </w:tr>
    </w:tbl>
    <w:p w14:paraId="1D91C60E">
      <w:pPr>
        <w:spacing w:line="342" w:lineRule="exact"/>
        <w:ind w:firstLine="480"/>
        <w:rPr>
          <w:rFonts w:hint="eastAsia" w:ascii="宋体" w:hAnsi="宋体"/>
          <w:highlight w:val="none"/>
        </w:rPr>
      </w:pPr>
      <w:r>
        <w:rPr>
          <w:rFonts w:hint="eastAsia" w:ascii="宋体" w:hAnsi="宋体"/>
          <w:highlight w:val="none"/>
        </w:rPr>
        <w:t>注：1.总报价以人民币元位单位，精确到小数点后2位；</w:t>
      </w:r>
    </w:p>
    <w:p w14:paraId="27F56E7F">
      <w:pPr>
        <w:numPr>
          <w:ilvl w:val="0"/>
          <w:numId w:val="4"/>
        </w:numPr>
        <w:spacing w:line="342" w:lineRule="exact"/>
        <w:ind w:firstLine="480"/>
        <w:rPr>
          <w:rFonts w:hint="eastAsia" w:ascii="宋体" w:hAnsi="宋体"/>
          <w:highlight w:val="none"/>
        </w:rPr>
      </w:pPr>
      <w:r>
        <w:rPr>
          <w:rFonts w:hint="eastAsia" w:ascii="宋体" w:hAnsi="宋体"/>
          <w:highlight w:val="none"/>
        </w:rPr>
        <w:t>下浮率以百分比为单位，精确到小数点后2位，如X.XX%；</w:t>
      </w:r>
    </w:p>
    <w:p w14:paraId="53A94584">
      <w:pPr>
        <w:numPr>
          <w:ilvl w:val="0"/>
          <w:numId w:val="4"/>
        </w:numPr>
        <w:spacing w:line="342" w:lineRule="exact"/>
        <w:ind w:firstLine="480"/>
        <w:rPr>
          <w:rFonts w:hint="eastAsia" w:ascii="宋体" w:hAnsi="宋体"/>
          <w:highlight w:val="none"/>
        </w:rPr>
      </w:pPr>
      <w:r>
        <w:rPr>
          <w:rFonts w:hint="eastAsia" w:ascii="宋体" w:hAnsi="宋体"/>
          <w:highlight w:val="none"/>
        </w:rPr>
        <w:t>投标总报价</w:t>
      </w:r>
      <w:r>
        <w:rPr>
          <w:rFonts w:hint="eastAsia" w:ascii="宋体" w:hAnsi="宋体" w:cs="宋体"/>
          <w:highlight w:val="none"/>
        </w:rPr>
        <w:t>=最高投标</w:t>
      </w:r>
      <w:r>
        <w:rPr>
          <w:rFonts w:hint="eastAsia" w:ascii="宋体" w:hAnsi="宋体" w:cs="宋体"/>
          <w:highlight w:val="none"/>
          <w:lang w:eastAsia="zh-CN"/>
        </w:rPr>
        <w:t>总</w:t>
      </w:r>
      <w:r>
        <w:rPr>
          <w:rFonts w:hint="eastAsia" w:ascii="宋体" w:hAnsi="宋体" w:cs="宋体"/>
          <w:highlight w:val="none"/>
        </w:rPr>
        <w:t>限价×（1-投标下浮率）,精确至小数点后两位。</w:t>
      </w:r>
    </w:p>
    <w:p w14:paraId="706106CD">
      <w:pPr>
        <w:spacing w:line="200" w:lineRule="exact"/>
        <w:ind w:firstLine="480"/>
        <w:rPr>
          <w:rFonts w:ascii="宋体" w:hAnsi="宋体"/>
          <w:highlight w:val="none"/>
        </w:rPr>
      </w:pPr>
    </w:p>
    <w:p w14:paraId="6AF0161D">
      <w:pPr>
        <w:spacing w:line="376" w:lineRule="exact"/>
        <w:ind w:firstLine="480"/>
        <w:rPr>
          <w:rFonts w:ascii="宋体" w:hAnsi="宋体"/>
          <w:highlight w:val="none"/>
        </w:rPr>
      </w:pPr>
    </w:p>
    <w:p w14:paraId="4E96D163">
      <w:pPr>
        <w:spacing w:line="360" w:lineRule="auto"/>
        <w:ind w:firstLine="480"/>
        <w:rPr>
          <w:rFonts w:ascii="宋体" w:hAnsi="宋体"/>
          <w:highlight w:val="none"/>
        </w:rPr>
      </w:pPr>
    </w:p>
    <w:p w14:paraId="360435C1">
      <w:pPr>
        <w:spacing w:line="360" w:lineRule="auto"/>
        <w:ind w:left="3826" w:leftChars="1822" w:firstLine="480"/>
        <w:rPr>
          <w:rFonts w:hint="eastAsia" w:ascii="宋体" w:hAnsi="宋体"/>
          <w:highlight w:val="none"/>
          <w:u w:val="single"/>
        </w:rPr>
      </w:pPr>
      <w:r>
        <w:rPr>
          <w:rFonts w:hint="eastAsia" w:ascii="宋体" w:hAnsi="宋体"/>
          <w:highlight w:val="none"/>
        </w:rPr>
        <w:t>投标人：</w:t>
      </w:r>
      <w:r>
        <w:rPr>
          <w:rFonts w:hint="eastAsia" w:ascii="宋体" w:hAnsi="宋体"/>
          <w:highlight w:val="none"/>
          <w:u w:val="single"/>
        </w:rPr>
        <w:t xml:space="preserve">                           </w:t>
      </w:r>
      <w:r>
        <w:rPr>
          <w:rFonts w:hint="eastAsia" w:ascii="宋体" w:hAnsi="宋体"/>
          <w:highlight w:val="none"/>
        </w:rPr>
        <w:t>（盖单位章）</w:t>
      </w:r>
    </w:p>
    <w:p w14:paraId="41982B2C">
      <w:pPr>
        <w:tabs>
          <w:tab w:val="left" w:pos="6640"/>
        </w:tabs>
        <w:spacing w:line="360" w:lineRule="auto"/>
        <w:ind w:left="3826" w:leftChars="1822" w:firstLine="480"/>
        <w:rPr>
          <w:rFonts w:hint="eastAsia" w:ascii="宋体" w:hAnsi="宋体"/>
          <w:highlight w:val="none"/>
        </w:rPr>
      </w:pPr>
      <w:r>
        <w:rPr>
          <w:rFonts w:ascii="宋体" w:hAnsi="宋体"/>
          <w:highlight w:val="none"/>
        </w:rPr>
        <w:t>法定代表人或其委托代理人：</w:t>
      </w:r>
      <w:r>
        <w:rPr>
          <w:rFonts w:hint="eastAsia" w:ascii="宋体" w:hAnsi="宋体"/>
          <w:highlight w:val="none"/>
          <w:u w:val="single"/>
        </w:rPr>
        <w:t xml:space="preserve">          </w:t>
      </w:r>
      <w:r>
        <w:rPr>
          <w:rFonts w:ascii="宋体" w:hAnsi="宋体"/>
          <w:highlight w:val="none"/>
        </w:rPr>
        <w:t>（签</w:t>
      </w:r>
      <w:r>
        <w:rPr>
          <w:rFonts w:hint="eastAsia" w:ascii="宋体" w:hAnsi="宋体"/>
          <w:highlight w:val="none"/>
        </w:rPr>
        <w:t>字</w:t>
      </w:r>
      <w:r>
        <w:rPr>
          <w:rFonts w:ascii="宋体" w:hAnsi="宋体"/>
          <w:highlight w:val="none"/>
        </w:rPr>
        <w:t>）</w:t>
      </w:r>
    </w:p>
    <w:p w14:paraId="27552920">
      <w:pPr>
        <w:spacing w:line="360" w:lineRule="auto"/>
        <w:ind w:left="3824" w:leftChars="1821" w:firstLine="480"/>
        <w:rPr>
          <w:rFonts w:hint="eastAsia" w:ascii="宋体" w:hAnsi="宋体"/>
          <w:highlight w:val="none"/>
        </w:rPr>
      </w:pPr>
      <w:r>
        <w:rPr>
          <w:rFonts w:hint="eastAsia" w:ascii="宋体" w:hAnsi="宋体"/>
          <w:highlight w:val="none"/>
        </w:rPr>
        <w:t xml:space="preserve">日  期：    </w:t>
      </w:r>
      <w:r>
        <w:rPr>
          <w:rFonts w:ascii="宋体" w:hAnsi="宋体"/>
          <w:highlight w:val="none"/>
        </w:rPr>
        <w:t>年</w:t>
      </w:r>
      <w:r>
        <w:rPr>
          <w:rFonts w:hint="eastAsia" w:ascii="宋体" w:hAnsi="宋体"/>
          <w:highlight w:val="none"/>
        </w:rPr>
        <w:t xml:space="preserve">      </w:t>
      </w:r>
      <w:r>
        <w:rPr>
          <w:rFonts w:ascii="宋体" w:hAnsi="宋体"/>
          <w:highlight w:val="none"/>
        </w:rPr>
        <w:t>月</w:t>
      </w:r>
      <w:r>
        <w:rPr>
          <w:rFonts w:hint="eastAsia" w:ascii="宋体" w:hAnsi="宋体"/>
          <w:highlight w:val="none"/>
        </w:rPr>
        <w:t xml:space="preserve">     </w:t>
      </w:r>
      <w:r>
        <w:rPr>
          <w:rFonts w:ascii="宋体" w:hAnsi="宋体"/>
          <w:highlight w:val="none"/>
        </w:rPr>
        <w:t>日</w:t>
      </w:r>
    </w:p>
    <w:p w14:paraId="2DA9FB95">
      <w:pPr>
        <w:rPr>
          <w:rFonts w:hint="eastAsia" w:ascii="宋体" w:hAnsi="宋体" w:eastAsia="宋体"/>
          <w:highlight w:val="none"/>
        </w:rPr>
      </w:pPr>
      <w:bookmarkStart w:id="316" w:name="_Toc95747154"/>
      <w:bookmarkStart w:id="317" w:name="_Toc95747048"/>
      <w:bookmarkStart w:id="318" w:name="_Toc3383"/>
      <w:bookmarkStart w:id="319" w:name="_Toc96005970"/>
      <w:bookmarkStart w:id="320" w:name="_Toc500409910"/>
      <w:r>
        <w:rPr>
          <w:rFonts w:hint="eastAsia" w:ascii="宋体" w:hAnsi="宋体" w:eastAsia="宋体"/>
          <w:highlight w:val="none"/>
        </w:rPr>
        <w:br w:type="page"/>
      </w:r>
    </w:p>
    <w:p w14:paraId="2BE532BC">
      <w:pPr>
        <w:pStyle w:val="8"/>
        <w:ind w:firstLine="643"/>
        <w:jc w:val="center"/>
        <w:rPr>
          <w:rFonts w:hint="eastAsia" w:ascii="宋体" w:hAnsi="宋体" w:eastAsia="宋体"/>
          <w:strike/>
          <w:highlight w:val="none"/>
        </w:rPr>
      </w:pPr>
      <w:bookmarkStart w:id="321" w:name="_Toc2717"/>
      <w:bookmarkStart w:id="322" w:name="_Toc31780"/>
      <w:bookmarkStart w:id="323" w:name="_Toc26390"/>
      <w:r>
        <w:rPr>
          <w:rFonts w:hint="eastAsia" w:ascii="宋体" w:hAnsi="宋体" w:eastAsia="宋体"/>
          <w:highlight w:val="none"/>
        </w:rPr>
        <w:t>二、法定代表人身份证明</w:t>
      </w:r>
      <w:bookmarkEnd w:id="316"/>
      <w:bookmarkEnd w:id="317"/>
      <w:bookmarkEnd w:id="318"/>
      <w:bookmarkEnd w:id="319"/>
      <w:bookmarkEnd w:id="320"/>
      <w:bookmarkEnd w:id="321"/>
      <w:bookmarkEnd w:id="322"/>
      <w:bookmarkEnd w:id="323"/>
    </w:p>
    <w:p w14:paraId="715B7096">
      <w:pPr>
        <w:tabs>
          <w:tab w:val="left" w:pos="0"/>
        </w:tabs>
        <w:autoSpaceDE w:val="0"/>
        <w:autoSpaceDN w:val="0"/>
        <w:adjustRightInd w:val="0"/>
        <w:spacing w:line="336" w:lineRule="auto"/>
        <w:ind w:firstLine="642"/>
        <w:jc w:val="center"/>
        <w:rPr>
          <w:rFonts w:hint="eastAsia" w:ascii="宋体" w:hAnsi="宋体"/>
          <w:b/>
          <w:spacing w:val="20"/>
          <w:sz w:val="28"/>
          <w:szCs w:val="28"/>
          <w:highlight w:val="none"/>
        </w:rPr>
      </w:pPr>
    </w:p>
    <w:p w14:paraId="4C3FD69F">
      <w:pPr>
        <w:spacing w:line="480" w:lineRule="auto"/>
        <w:ind w:left="11" w:firstLine="480"/>
        <w:rPr>
          <w:rFonts w:ascii="宋体" w:hAnsi="宋体"/>
          <w:highlight w:val="none"/>
        </w:rPr>
      </w:pPr>
      <w:r>
        <w:rPr>
          <w:rFonts w:ascii="宋体" w:hAnsi="宋体" w:cs="宋体"/>
          <w:highlight w:val="none"/>
        </w:rPr>
        <w:t>投标人名称：</w:t>
      </w:r>
      <w:r>
        <w:rPr>
          <w:rFonts w:ascii="宋体" w:hAnsi="宋体"/>
          <w:highlight w:val="none"/>
          <w:u w:val="single" w:color="000000"/>
        </w:rPr>
        <w:t xml:space="preserve">                        </w:t>
      </w:r>
      <w:r>
        <w:rPr>
          <w:rFonts w:ascii="宋体" w:hAnsi="宋体"/>
          <w:highlight w:val="none"/>
        </w:rPr>
        <w:t xml:space="preserve"> </w:t>
      </w:r>
    </w:p>
    <w:p w14:paraId="7DF40CDF">
      <w:pPr>
        <w:spacing w:line="480" w:lineRule="auto"/>
        <w:ind w:left="11" w:firstLine="480"/>
        <w:rPr>
          <w:rFonts w:hint="eastAsia" w:ascii="宋体" w:hAnsi="宋体" w:cs="宋体"/>
          <w:highlight w:val="none"/>
          <w:u w:val="single"/>
        </w:rPr>
      </w:pPr>
      <w:r>
        <w:rPr>
          <w:rFonts w:hint="eastAsia" w:ascii="宋体" w:hAnsi="宋体" w:cs="宋体"/>
          <w:highlight w:val="none"/>
        </w:rPr>
        <w:t>单位性质：</w:t>
      </w:r>
      <w:r>
        <w:rPr>
          <w:rFonts w:hint="eastAsia" w:ascii="宋体" w:hAnsi="宋体" w:cs="宋体"/>
          <w:highlight w:val="none"/>
          <w:u w:val="single"/>
        </w:rPr>
        <w:t xml:space="preserve">                          </w:t>
      </w:r>
    </w:p>
    <w:p w14:paraId="5A80F863">
      <w:pPr>
        <w:spacing w:line="480" w:lineRule="auto"/>
        <w:ind w:left="11" w:firstLine="480"/>
        <w:rPr>
          <w:rFonts w:hint="eastAsia"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p>
    <w:p w14:paraId="1629ECD8">
      <w:pPr>
        <w:spacing w:line="480" w:lineRule="auto"/>
        <w:ind w:left="11" w:firstLine="480"/>
        <w:rPr>
          <w:rFonts w:hint="eastAsia" w:ascii="宋体" w:hAnsi="宋体" w:cs="宋体"/>
          <w:highlight w:val="none"/>
        </w:rPr>
      </w:pPr>
      <w:r>
        <w:rPr>
          <w:rFonts w:hint="eastAsia" w:ascii="宋体" w:hAnsi="宋体" w:cs="宋体"/>
          <w:highlight w:val="none"/>
        </w:rPr>
        <w:t>成立时间：</w:t>
      </w:r>
      <w:r>
        <w:rPr>
          <w:rFonts w:hint="eastAsia" w:ascii="宋体" w:hAnsi="宋体" w:cs="宋体"/>
          <w:highlight w:val="none"/>
          <w:u w:val="single"/>
        </w:rPr>
        <w:t xml:space="preserve">                          </w:t>
      </w:r>
    </w:p>
    <w:p w14:paraId="58481534">
      <w:pPr>
        <w:spacing w:line="480" w:lineRule="auto"/>
        <w:ind w:left="11" w:firstLine="480"/>
        <w:rPr>
          <w:rFonts w:hint="eastAsia" w:ascii="宋体" w:hAnsi="宋体" w:cs="宋体"/>
          <w:highlight w:val="none"/>
        </w:rPr>
      </w:pPr>
      <w:r>
        <w:rPr>
          <w:rFonts w:hint="eastAsia" w:ascii="宋体" w:hAnsi="宋体" w:cs="宋体"/>
          <w:highlight w:val="none"/>
        </w:rPr>
        <w:t>经营期限：</w:t>
      </w:r>
      <w:r>
        <w:rPr>
          <w:rFonts w:hint="eastAsia" w:ascii="宋体" w:hAnsi="宋体" w:cs="宋体"/>
          <w:highlight w:val="none"/>
          <w:u w:val="single"/>
        </w:rPr>
        <w:t xml:space="preserve">                          </w:t>
      </w:r>
    </w:p>
    <w:p w14:paraId="303F9F58">
      <w:pPr>
        <w:spacing w:line="480" w:lineRule="auto"/>
        <w:ind w:left="11" w:firstLine="480"/>
        <w:rPr>
          <w:rFonts w:hint="eastAsia" w:ascii="宋体" w:hAnsi="宋体"/>
          <w:highlight w:val="none"/>
          <w:u w:val="single"/>
        </w:rPr>
      </w:pPr>
      <w:r>
        <w:rPr>
          <w:rFonts w:ascii="宋体" w:hAnsi="宋体" w:cs="宋体"/>
          <w:highlight w:val="none"/>
        </w:rPr>
        <w:t>姓名：</w:t>
      </w:r>
      <w:r>
        <w:rPr>
          <w:rFonts w:ascii="宋体" w:hAnsi="宋体"/>
          <w:highlight w:val="none"/>
          <w:u w:val="single" w:color="000000"/>
        </w:rPr>
        <w:t xml:space="preserve">                </w:t>
      </w:r>
      <w:r>
        <w:rPr>
          <w:rFonts w:hint="eastAsia" w:ascii="宋体" w:hAnsi="宋体"/>
          <w:highlight w:val="none"/>
        </w:rPr>
        <w:t xml:space="preserve">  </w:t>
      </w:r>
      <w:r>
        <w:rPr>
          <w:rFonts w:ascii="宋体" w:hAnsi="宋体" w:cs="宋体"/>
          <w:highlight w:val="none"/>
        </w:rPr>
        <w:t>性别：</w:t>
      </w:r>
      <w:r>
        <w:rPr>
          <w:rFonts w:ascii="宋体" w:hAnsi="宋体"/>
          <w:highlight w:val="none"/>
          <w:u w:val="single" w:color="000000"/>
        </w:rPr>
        <w:t xml:space="preserve">        </w:t>
      </w:r>
      <w:r>
        <w:rPr>
          <w:rFonts w:hint="eastAsia" w:ascii="宋体" w:hAnsi="宋体"/>
          <w:highlight w:val="none"/>
        </w:rPr>
        <w:t xml:space="preserve">  </w:t>
      </w:r>
      <w:r>
        <w:rPr>
          <w:rFonts w:ascii="宋体" w:hAnsi="宋体" w:cs="宋体"/>
          <w:highlight w:val="none"/>
        </w:rPr>
        <w:t>年龄：</w:t>
      </w:r>
      <w:r>
        <w:rPr>
          <w:rFonts w:ascii="宋体" w:hAnsi="宋体"/>
          <w:highlight w:val="none"/>
          <w:u w:val="single" w:color="000000"/>
        </w:rPr>
        <w:t xml:space="preserve">        </w:t>
      </w:r>
      <w:r>
        <w:rPr>
          <w:rFonts w:hint="eastAsia" w:ascii="宋体" w:hAnsi="宋体"/>
          <w:highlight w:val="none"/>
        </w:rPr>
        <w:t xml:space="preserve">  身份证号码：</w:t>
      </w:r>
      <w:r>
        <w:rPr>
          <w:rFonts w:hint="eastAsia" w:ascii="宋体" w:hAnsi="宋体"/>
          <w:highlight w:val="none"/>
          <w:u w:val="single"/>
        </w:rPr>
        <w:t xml:space="preserve">                        </w:t>
      </w:r>
    </w:p>
    <w:p w14:paraId="73CC6A56">
      <w:pPr>
        <w:spacing w:line="480" w:lineRule="auto"/>
        <w:ind w:left="11" w:firstLine="480"/>
        <w:rPr>
          <w:rFonts w:ascii="宋体" w:hAnsi="宋体"/>
          <w:highlight w:val="none"/>
        </w:rPr>
      </w:pPr>
      <w:r>
        <w:rPr>
          <w:rFonts w:ascii="宋体" w:hAnsi="宋体" w:cs="宋体"/>
          <w:highlight w:val="none"/>
        </w:rPr>
        <w:t>职务：</w:t>
      </w:r>
      <w:r>
        <w:rPr>
          <w:rFonts w:ascii="宋体" w:hAnsi="宋体"/>
          <w:highlight w:val="none"/>
          <w:u w:val="single" w:color="000000"/>
        </w:rPr>
        <w:t xml:space="preserve">      </w:t>
      </w:r>
      <w:r>
        <w:rPr>
          <w:rFonts w:hint="eastAsia" w:ascii="宋体" w:hAnsi="宋体"/>
          <w:highlight w:val="none"/>
          <w:u w:val="single" w:color="000000"/>
        </w:rPr>
        <w:t xml:space="preserve"> </w:t>
      </w:r>
      <w:r>
        <w:rPr>
          <w:rFonts w:ascii="宋体" w:hAnsi="宋体"/>
          <w:highlight w:val="none"/>
          <w:u w:val="single" w:color="000000"/>
        </w:rPr>
        <w:t xml:space="preserve">  </w:t>
      </w:r>
      <w:r>
        <w:rPr>
          <w:rFonts w:ascii="宋体" w:hAnsi="宋体"/>
          <w:highlight w:val="none"/>
        </w:rPr>
        <w:t xml:space="preserve"> </w:t>
      </w:r>
      <w:r>
        <w:rPr>
          <w:rFonts w:ascii="宋体" w:hAnsi="宋体" w:cs="宋体"/>
          <w:highlight w:val="none"/>
        </w:rPr>
        <w:t>系</w:t>
      </w:r>
      <w:r>
        <w:rPr>
          <w:rFonts w:ascii="宋体" w:hAnsi="宋体"/>
          <w:highlight w:val="none"/>
          <w:u w:val="single" w:color="000000"/>
        </w:rPr>
        <w:t xml:space="preserve">                        </w:t>
      </w:r>
      <w:r>
        <w:rPr>
          <w:rFonts w:ascii="宋体" w:hAnsi="宋体" w:cs="宋体"/>
          <w:highlight w:val="none"/>
        </w:rPr>
        <w:t>（投标人名称）的法定代表人。</w:t>
      </w:r>
      <w:r>
        <w:rPr>
          <w:rFonts w:ascii="宋体" w:hAnsi="宋体"/>
          <w:highlight w:val="none"/>
        </w:rPr>
        <w:t xml:space="preserve"> </w:t>
      </w:r>
    </w:p>
    <w:p w14:paraId="61555993">
      <w:pPr>
        <w:spacing w:after="152" w:line="265" w:lineRule="auto"/>
        <w:ind w:left="417" w:right="103" w:firstLine="480"/>
        <w:rPr>
          <w:rFonts w:ascii="宋体" w:hAnsi="宋体"/>
          <w:highlight w:val="none"/>
        </w:rPr>
      </w:pPr>
      <w:r>
        <w:rPr>
          <w:rFonts w:ascii="宋体" w:hAnsi="宋体" w:cs="宋体"/>
          <w:highlight w:val="none"/>
        </w:rPr>
        <w:t>特此证明。</w:t>
      </w:r>
      <w:r>
        <w:rPr>
          <w:rFonts w:ascii="宋体" w:hAnsi="宋体"/>
          <w:highlight w:val="none"/>
        </w:rPr>
        <w:t xml:space="preserve"> </w:t>
      </w:r>
    </w:p>
    <w:p w14:paraId="51E7F4D0">
      <w:pPr>
        <w:spacing w:after="184"/>
        <w:ind w:firstLine="480"/>
        <w:rPr>
          <w:rFonts w:ascii="宋体" w:hAnsi="宋体"/>
          <w:highlight w:val="none"/>
        </w:rPr>
      </w:pPr>
      <w:r>
        <w:rPr>
          <w:rFonts w:ascii="宋体" w:hAnsi="宋体"/>
          <w:highlight w:val="none"/>
        </w:rPr>
        <w:t xml:space="preserve"> </w:t>
      </w:r>
    </w:p>
    <w:p w14:paraId="7FA5714C">
      <w:pPr>
        <w:spacing w:after="153" w:line="265" w:lineRule="auto"/>
        <w:ind w:left="10" w:right="103" w:firstLine="480"/>
        <w:rPr>
          <w:rFonts w:ascii="宋体" w:hAnsi="宋体"/>
          <w:highlight w:val="none"/>
        </w:rPr>
      </w:pPr>
      <w:r>
        <w:rPr>
          <w:rFonts w:ascii="宋体" w:hAnsi="宋体" w:cs="宋体"/>
          <w:highlight w:val="none"/>
        </w:rPr>
        <w:t>附：法定代表人身份证复印件。</w:t>
      </w:r>
      <w:r>
        <w:rPr>
          <w:rFonts w:ascii="宋体" w:hAnsi="宋体"/>
          <w:highlight w:val="none"/>
        </w:rPr>
        <w:t xml:space="preserve"> </w:t>
      </w:r>
    </w:p>
    <w:p w14:paraId="7DB5D266">
      <w:pPr>
        <w:spacing w:after="182"/>
        <w:ind w:firstLine="480"/>
        <w:rPr>
          <w:rFonts w:hint="eastAsia" w:ascii="宋体" w:hAnsi="宋体"/>
          <w:highlight w:val="none"/>
        </w:rPr>
      </w:pPr>
      <w:r>
        <w:rPr>
          <w:rFonts w:ascii="宋体" w:hAnsi="宋体"/>
          <w:highlight w:val="none"/>
        </w:rPr>
        <w:t xml:space="preserve"> </w:t>
      </w:r>
    </w:p>
    <w:p w14:paraId="367E7304">
      <w:pPr>
        <w:spacing w:after="182"/>
        <w:ind w:firstLine="480"/>
        <w:rPr>
          <w:rFonts w:hint="eastAsia" w:ascii="宋体" w:hAnsi="宋体"/>
          <w:highlight w:val="none"/>
        </w:rPr>
      </w:pPr>
    </w:p>
    <w:p w14:paraId="18A9FBB4">
      <w:pPr>
        <w:spacing w:after="182"/>
        <w:ind w:firstLine="480"/>
        <w:rPr>
          <w:rFonts w:hint="eastAsia" w:ascii="宋体" w:hAnsi="宋体"/>
          <w:highlight w:val="none"/>
        </w:rPr>
      </w:pPr>
    </w:p>
    <w:p w14:paraId="23DA0375">
      <w:pPr>
        <w:spacing w:after="182"/>
        <w:ind w:firstLine="480"/>
        <w:rPr>
          <w:rFonts w:hint="eastAsia" w:ascii="宋体" w:hAnsi="宋体"/>
          <w:highlight w:val="none"/>
        </w:rPr>
      </w:pPr>
    </w:p>
    <w:p w14:paraId="2EE68E85">
      <w:pPr>
        <w:spacing w:after="182"/>
        <w:ind w:firstLine="480"/>
        <w:rPr>
          <w:rFonts w:hint="eastAsia" w:ascii="宋体" w:hAnsi="宋体"/>
          <w:highlight w:val="none"/>
        </w:rPr>
      </w:pPr>
    </w:p>
    <w:p w14:paraId="1BFC88E1">
      <w:pPr>
        <w:spacing w:after="155" w:line="265" w:lineRule="auto"/>
        <w:ind w:left="10" w:right="103" w:firstLine="480"/>
        <w:rPr>
          <w:rFonts w:ascii="宋体" w:hAnsi="宋体"/>
          <w:highlight w:val="none"/>
        </w:rPr>
      </w:pPr>
      <w:r>
        <w:rPr>
          <w:rFonts w:ascii="宋体" w:hAnsi="宋体" w:cs="宋体"/>
          <w:highlight w:val="none"/>
        </w:rPr>
        <w:t>注：本身份证明需由投标人加盖单位公章。</w:t>
      </w:r>
      <w:r>
        <w:rPr>
          <w:rFonts w:ascii="宋体" w:hAnsi="宋体"/>
          <w:highlight w:val="none"/>
        </w:rPr>
        <w:t xml:space="preserve"> </w:t>
      </w:r>
    </w:p>
    <w:p w14:paraId="64B2C795">
      <w:pPr>
        <w:spacing w:after="175"/>
        <w:ind w:firstLine="480"/>
        <w:rPr>
          <w:rFonts w:ascii="宋体" w:hAnsi="宋体"/>
          <w:highlight w:val="none"/>
        </w:rPr>
      </w:pPr>
      <w:r>
        <w:rPr>
          <w:rFonts w:ascii="宋体" w:hAnsi="宋体"/>
          <w:highlight w:val="none"/>
        </w:rPr>
        <w:t xml:space="preserve"> </w:t>
      </w:r>
    </w:p>
    <w:p w14:paraId="55C0C36D">
      <w:pPr>
        <w:spacing w:after="177"/>
        <w:ind w:firstLine="480"/>
        <w:rPr>
          <w:rFonts w:ascii="宋体" w:hAnsi="宋体"/>
          <w:highlight w:val="none"/>
        </w:rPr>
      </w:pPr>
      <w:r>
        <w:rPr>
          <w:rFonts w:ascii="宋体" w:hAnsi="宋体"/>
          <w:highlight w:val="none"/>
        </w:rPr>
        <w:t xml:space="preserve"> </w:t>
      </w:r>
    </w:p>
    <w:p w14:paraId="7C0B3B4B">
      <w:pPr>
        <w:tabs>
          <w:tab w:val="center" w:pos="2956"/>
          <w:tab w:val="center" w:pos="7052"/>
        </w:tabs>
        <w:spacing w:after="151"/>
        <w:ind w:firstLine="480"/>
        <w:rPr>
          <w:rFonts w:ascii="宋体" w:hAnsi="宋体"/>
          <w:highlight w:val="none"/>
        </w:rPr>
      </w:pPr>
      <w:r>
        <w:rPr>
          <w:rFonts w:ascii="宋体" w:hAnsi="宋体"/>
          <w:highlight w:val="none"/>
        </w:rPr>
        <w:tab/>
      </w:r>
      <w:r>
        <w:rPr>
          <w:rFonts w:ascii="宋体" w:hAnsi="宋体"/>
          <w:highlight w:val="none"/>
        </w:rPr>
        <w:t xml:space="preserve">                              </w:t>
      </w:r>
      <w:r>
        <w:rPr>
          <w:rFonts w:hint="eastAsia" w:ascii="宋体" w:hAnsi="宋体"/>
          <w:highlight w:val="none"/>
        </w:rPr>
        <w:t xml:space="preserve">             </w:t>
      </w:r>
      <w:r>
        <w:rPr>
          <w:rFonts w:ascii="宋体" w:hAnsi="宋体" w:cs="宋体"/>
          <w:highlight w:val="none"/>
        </w:rPr>
        <w:t>投标人：</w:t>
      </w:r>
      <w:r>
        <w:rPr>
          <w:rFonts w:ascii="宋体" w:hAnsi="宋体"/>
          <w:highlight w:val="none"/>
          <w:u w:val="single" w:color="000000"/>
        </w:rPr>
        <w:t xml:space="preserve">        </w:t>
      </w:r>
      <w:r>
        <w:rPr>
          <w:rFonts w:hint="eastAsia" w:ascii="宋体" w:hAnsi="宋体"/>
          <w:highlight w:val="none"/>
          <w:u w:val="single" w:color="000000"/>
        </w:rPr>
        <w:t xml:space="preserve">     </w:t>
      </w:r>
      <w:r>
        <w:rPr>
          <w:rFonts w:ascii="宋体" w:hAnsi="宋体"/>
          <w:highlight w:val="none"/>
          <w:u w:val="single" w:color="000000"/>
        </w:rPr>
        <w:t xml:space="preserve">   </w:t>
      </w:r>
      <w:r>
        <w:rPr>
          <w:rFonts w:ascii="宋体" w:hAnsi="宋体"/>
          <w:highlight w:val="none"/>
          <w:u w:val="single" w:color="000000"/>
        </w:rPr>
        <w:tab/>
      </w:r>
      <w:r>
        <w:rPr>
          <w:rFonts w:ascii="宋体" w:hAnsi="宋体" w:cs="宋体"/>
          <w:highlight w:val="none"/>
        </w:rPr>
        <w:t>（盖单位章）</w:t>
      </w:r>
      <w:r>
        <w:rPr>
          <w:rFonts w:ascii="宋体" w:hAnsi="宋体"/>
          <w:highlight w:val="none"/>
        </w:rPr>
        <w:t xml:space="preserve"> </w:t>
      </w:r>
    </w:p>
    <w:p w14:paraId="5A25A910">
      <w:pPr>
        <w:spacing w:after="177"/>
        <w:ind w:firstLine="480"/>
        <w:rPr>
          <w:rFonts w:ascii="宋体" w:hAnsi="宋体"/>
          <w:highlight w:val="none"/>
        </w:rPr>
      </w:pPr>
      <w:r>
        <w:rPr>
          <w:rFonts w:ascii="宋体" w:hAnsi="宋体"/>
          <w:highlight w:val="none"/>
        </w:rPr>
        <w:t xml:space="preserve"> </w:t>
      </w:r>
      <w:r>
        <w:rPr>
          <w:rFonts w:hint="eastAsia" w:ascii="宋体" w:hAnsi="宋体"/>
          <w:highlight w:val="none"/>
        </w:rPr>
        <w:t xml:space="preserve">                                             日  期： </w:t>
      </w:r>
      <w:r>
        <w:rPr>
          <w:rFonts w:ascii="宋体" w:hAnsi="宋体"/>
          <w:highlight w:val="none"/>
          <w:u w:val="single" w:color="000000"/>
        </w:rPr>
        <w:t xml:space="preserve">      </w:t>
      </w:r>
      <w:r>
        <w:rPr>
          <w:rFonts w:ascii="宋体" w:hAnsi="宋体" w:cs="宋体"/>
          <w:highlight w:val="none"/>
        </w:rPr>
        <w:t>年</w:t>
      </w:r>
      <w:r>
        <w:rPr>
          <w:rFonts w:ascii="宋体" w:hAnsi="宋体"/>
          <w:highlight w:val="none"/>
          <w:u w:val="single" w:color="000000"/>
        </w:rPr>
        <w:t xml:space="preserve">      </w:t>
      </w:r>
      <w:r>
        <w:rPr>
          <w:rFonts w:ascii="宋体" w:hAnsi="宋体" w:cs="宋体"/>
          <w:highlight w:val="none"/>
        </w:rPr>
        <w:t>月</w:t>
      </w:r>
      <w:r>
        <w:rPr>
          <w:rFonts w:ascii="宋体" w:hAnsi="宋体"/>
          <w:highlight w:val="none"/>
          <w:u w:val="single" w:color="000000"/>
        </w:rPr>
        <w:t xml:space="preserve">      </w:t>
      </w:r>
      <w:r>
        <w:rPr>
          <w:rFonts w:ascii="宋体" w:hAnsi="宋体" w:cs="宋体"/>
          <w:highlight w:val="none"/>
        </w:rPr>
        <w:t>日</w:t>
      </w:r>
      <w:r>
        <w:rPr>
          <w:rFonts w:ascii="宋体" w:hAnsi="宋体"/>
          <w:highlight w:val="none"/>
        </w:rPr>
        <w:t xml:space="preserve"> </w:t>
      </w:r>
    </w:p>
    <w:p w14:paraId="06B75432">
      <w:pPr>
        <w:spacing w:line="400" w:lineRule="exact"/>
        <w:ind w:firstLine="602"/>
        <w:jc w:val="center"/>
        <w:rPr>
          <w:rFonts w:ascii="宋体" w:hAnsi="宋体"/>
          <w:b/>
          <w:sz w:val="30"/>
          <w:szCs w:val="30"/>
          <w:highlight w:val="none"/>
        </w:rPr>
      </w:pPr>
    </w:p>
    <w:p w14:paraId="4B7783B5">
      <w:pPr>
        <w:pStyle w:val="8"/>
        <w:ind w:firstLine="643"/>
        <w:jc w:val="center"/>
        <w:rPr>
          <w:rFonts w:hint="eastAsia" w:ascii="宋体" w:hAnsi="宋体"/>
          <w:b w:val="0"/>
          <w:highlight w:val="none"/>
        </w:rPr>
      </w:pPr>
      <w:r>
        <w:rPr>
          <w:rFonts w:hint="eastAsia" w:ascii="宋体" w:hAnsi="宋体" w:cs="宋体"/>
          <w:highlight w:val="none"/>
        </w:rPr>
        <w:br w:type="page"/>
      </w:r>
      <w:bookmarkStart w:id="324" w:name="_Toc95747155"/>
      <w:bookmarkStart w:id="325" w:name="_Toc95747049"/>
      <w:bookmarkStart w:id="326" w:name="_Toc96005971"/>
      <w:bookmarkStart w:id="327" w:name="_Toc7860"/>
      <w:bookmarkStart w:id="328" w:name="_Toc24888"/>
      <w:bookmarkStart w:id="329" w:name="_Toc266"/>
      <w:bookmarkStart w:id="330" w:name="_Toc25276"/>
      <w:r>
        <w:rPr>
          <w:rFonts w:hint="eastAsia" w:ascii="宋体" w:hAnsi="宋体" w:cs="宋体"/>
          <w:b w:val="0"/>
          <w:bCs w:val="0"/>
          <w:highlight w:val="none"/>
        </w:rPr>
        <w:t>三、</w:t>
      </w:r>
      <w:r>
        <w:rPr>
          <w:rFonts w:ascii="宋体" w:hAnsi="宋体"/>
          <w:b w:val="0"/>
          <w:highlight w:val="none"/>
        </w:rPr>
        <w:t>授权委托</w:t>
      </w:r>
      <w:r>
        <w:rPr>
          <w:rFonts w:hint="eastAsia" w:ascii="宋体" w:hAnsi="宋体"/>
          <w:b w:val="0"/>
          <w:highlight w:val="none"/>
        </w:rPr>
        <w:t>证明</w:t>
      </w:r>
      <w:r>
        <w:rPr>
          <w:rFonts w:ascii="宋体" w:hAnsi="宋体"/>
          <w:b w:val="0"/>
          <w:highlight w:val="none"/>
        </w:rPr>
        <w:t>书</w:t>
      </w:r>
      <w:bookmarkEnd w:id="324"/>
      <w:bookmarkEnd w:id="325"/>
      <w:bookmarkEnd w:id="326"/>
      <w:bookmarkEnd w:id="327"/>
      <w:bookmarkEnd w:id="328"/>
      <w:bookmarkEnd w:id="329"/>
      <w:bookmarkEnd w:id="330"/>
    </w:p>
    <w:p w14:paraId="6D024D0A">
      <w:pPr>
        <w:spacing w:line="400" w:lineRule="exact"/>
        <w:ind w:firstLine="602"/>
        <w:jc w:val="center"/>
        <w:rPr>
          <w:rFonts w:hint="eastAsia" w:ascii="宋体" w:hAnsi="宋体"/>
          <w:b/>
          <w:sz w:val="30"/>
          <w:szCs w:val="30"/>
          <w:highlight w:val="none"/>
        </w:rPr>
      </w:pPr>
    </w:p>
    <w:p w14:paraId="67683112">
      <w:pPr>
        <w:spacing w:line="360" w:lineRule="auto"/>
        <w:ind w:firstLine="420" w:firstLineChars="200"/>
        <w:rPr>
          <w:rFonts w:ascii="宋体" w:hAnsi="宋体"/>
          <w:highlight w:val="none"/>
        </w:rPr>
      </w:pPr>
      <w:r>
        <w:rPr>
          <w:rFonts w:ascii="宋体" w:hAnsi="宋体" w:cs="宋体"/>
          <w:highlight w:val="none"/>
        </w:rPr>
        <w:t>本人</w:t>
      </w:r>
      <w:r>
        <w:rPr>
          <w:rFonts w:ascii="宋体" w:hAnsi="宋体"/>
          <w:highlight w:val="none"/>
          <w:u w:val="single" w:color="000000"/>
        </w:rPr>
        <w:t xml:space="preserve">      </w:t>
      </w:r>
      <w:r>
        <w:rPr>
          <w:rFonts w:ascii="宋体" w:hAnsi="宋体" w:cs="宋体"/>
          <w:highlight w:val="none"/>
        </w:rPr>
        <w:t>（姓名）系</w:t>
      </w:r>
      <w:r>
        <w:rPr>
          <w:rFonts w:ascii="宋体" w:hAnsi="宋体"/>
          <w:highlight w:val="none"/>
          <w:u w:val="single" w:color="000000"/>
        </w:rPr>
        <w:t xml:space="preserve">                    </w:t>
      </w:r>
      <w:r>
        <w:rPr>
          <w:rFonts w:ascii="宋体" w:hAnsi="宋体" w:cs="宋体"/>
          <w:highlight w:val="none"/>
        </w:rPr>
        <w:t>（投标人名称）的法定代表人，现委托</w:t>
      </w:r>
      <w:r>
        <w:rPr>
          <w:rFonts w:hint="eastAsia" w:ascii="宋体" w:hAnsi="宋体" w:cs="宋体"/>
          <w:highlight w:val="none"/>
          <w:u w:val="single"/>
        </w:rPr>
        <w:t xml:space="preserve">   </w:t>
      </w:r>
      <w:r>
        <w:rPr>
          <w:rFonts w:ascii="宋体" w:hAnsi="宋体"/>
          <w:highlight w:val="none"/>
          <w:u w:val="single" w:color="000000"/>
        </w:rPr>
        <w:t xml:space="preserve">   </w:t>
      </w:r>
      <w:r>
        <w:rPr>
          <w:rFonts w:ascii="宋体" w:hAnsi="宋体" w:cs="宋体"/>
          <w:highlight w:val="none"/>
        </w:rPr>
        <w:t>（姓名）为我方代理人。代理人根据授权，以我方名义签署、澄清确认、递交、撤回、修改</w:t>
      </w:r>
      <w:r>
        <w:rPr>
          <w:rFonts w:hint="eastAsia" w:ascii="宋体" w:hAnsi="宋体" w:cs="宋体"/>
          <w:highlight w:val="none"/>
          <w:u w:val="single"/>
        </w:rPr>
        <w:t xml:space="preserve">        </w:t>
      </w:r>
      <w:r>
        <w:rPr>
          <w:rFonts w:hint="eastAsia" w:ascii="宋体" w:hAnsi="宋体" w:cs="宋体"/>
          <w:highlight w:val="none"/>
        </w:rPr>
        <w:t>（招标项目名称）</w:t>
      </w:r>
      <w:r>
        <w:rPr>
          <w:rFonts w:ascii="宋体" w:hAnsi="宋体" w:cs="宋体"/>
          <w:highlight w:val="none"/>
        </w:rPr>
        <w:t>投标文件、签订合同和处理有关事宜，其法律后果由我方承担。</w:t>
      </w:r>
      <w:r>
        <w:rPr>
          <w:rFonts w:ascii="宋体" w:hAnsi="宋体"/>
          <w:highlight w:val="none"/>
        </w:rPr>
        <w:t xml:space="preserve"> </w:t>
      </w:r>
    </w:p>
    <w:p w14:paraId="3DF89534">
      <w:pPr>
        <w:spacing w:line="360" w:lineRule="auto"/>
        <w:ind w:firstLine="420" w:firstLineChars="200"/>
        <w:rPr>
          <w:rFonts w:ascii="宋体" w:hAnsi="宋体"/>
          <w:highlight w:val="none"/>
        </w:rPr>
      </w:pPr>
      <w:r>
        <w:rPr>
          <w:rFonts w:ascii="宋体" w:hAnsi="宋体" w:cs="宋体"/>
          <w:highlight w:val="none"/>
        </w:rPr>
        <w:t>委托期限：</w:t>
      </w:r>
      <w:r>
        <w:rPr>
          <w:rFonts w:ascii="宋体" w:hAnsi="宋体"/>
          <w:highlight w:val="none"/>
          <w:u w:val="single" w:color="000000"/>
        </w:rPr>
        <w:t xml:space="preserve">                       </w:t>
      </w:r>
      <w:r>
        <w:rPr>
          <w:rFonts w:ascii="宋体" w:hAnsi="宋体" w:cs="宋体"/>
          <w:highlight w:val="none"/>
        </w:rPr>
        <w:t>。</w:t>
      </w:r>
      <w:r>
        <w:rPr>
          <w:rFonts w:ascii="宋体" w:hAnsi="宋体"/>
          <w:highlight w:val="none"/>
        </w:rPr>
        <w:t xml:space="preserve"> </w:t>
      </w:r>
    </w:p>
    <w:p w14:paraId="5AF8EB6A">
      <w:pPr>
        <w:spacing w:line="360" w:lineRule="auto"/>
        <w:ind w:firstLine="420" w:firstLineChars="200"/>
        <w:rPr>
          <w:rFonts w:ascii="宋体" w:hAnsi="宋体"/>
          <w:highlight w:val="none"/>
        </w:rPr>
      </w:pPr>
      <w:r>
        <w:rPr>
          <w:rFonts w:ascii="宋体" w:hAnsi="宋体" w:cs="宋体"/>
          <w:highlight w:val="none"/>
        </w:rPr>
        <w:t>代理人无转委托权。</w:t>
      </w:r>
      <w:r>
        <w:rPr>
          <w:rFonts w:ascii="宋体" w:hAnsi="宋体"/>
          <w:highlight w:val="none"/>
        </w:rPr>
        <w:t xml:space="preserve"> </w:t>
      </w:r>
    </w:p>
    <w:p w14:paraId="40BF2344">
      <w:pPr>
        <w:spacing w:after="184"/>
        <w:ind w:left="420" w:firstLine="480"/>
        <w:rPr>
          <w:rFonts w:ascii="宋体" w:hAnsi="宋体"/>
          <w:highlight w:val="none"/>
        </w:rPr>
      </w:pPr>
      <w:r>
        <w:rPr>
          <w:rFonts w:ascii="宋体" w:hAnsi="宋体"/>
          <w:highlight w:val="none"/>
        </w:rPr>
        <w:t xml:space="preserve"> </w:t>
      </w:r>
    </w:p>
    <w:p w14:paraId="2C66C3BE">
      <w:pPr>
        <w:spacing w:line="360" w:lineRule="auto"/>
        <w:ind w:firstLine="420" w:firstLineChars="200"/>
        <w:rPr>
          <w:rFonts w:ascii="宋体" w:hAnsi="宋体" w:cs="宋体"/>
          <w:highlight w:val="none"/>
        </w:rPr>
      </w:pPr>
      <w:r>
        <w:rPr>
          <w:rFonts w:ascii="宋体" w:hAnsi="宋体" w:cs="宋体"/>
          <w:highlight w:val="none"/>
        </w:rPr>
        <w:t xml:space="preserve">附：法定代表人身份证复印件及委托代理人身份证复印件 </w:t>
      </w:r>
    </w:p>
    <w:p w14:paraId="47D44E07">
      <w:pPr>
        <w:spacing w:line="360" w:lineRule="auto"/>
        <w:ind w:firstLine="420" w:firstLineChars="200"/>
        <w:rPr>
          <w:rFonts w:hint="eastAsia" w:ascii="宋体" w:hAnsi="宋体" w:cs="宋体"/>
          <w:highlight w:val="none"/>
        </w:rPr>
      </w:pPr>
      <w:r>
        <w:rPr>
          <w:rFonts w:ascii="宋体" w:hAnsi="宋体" w:cs="宋体"/>
          <w:highlight w:val="none"/>
        </w:rPr>
        <w:t xml:space="preserve"> </w:t>
      </w:r>
    </w:p>
    <w:p w14:paraId="44A0D539">
      <w:pPr>
        <w:spacing w:line="360" w:lineRule="auto"/>
        <w:ind w:firstLine="420" w:firstLineChars="200"/>
        <w:rPr>
          <w:rFonts w:hint="eastAsia" w:ascii="宋体" w:hAnsi="宋体" w:cs="宋体"/>
          <w:highlight w:val="none"/>
        </w:rPr>
      </w:pPr>
    </w:p>
    <w:p w14:paraId="7259180A">
      <w:pPr>
        <w:spacing w:line="360" w:lineRule="auto"/>
        <w:ind w:firstLine="420" w:firstLineChars="200"/>
        <w:rPr>
          <w:rFonts w:hint="eastAsia" w:ascii="宋体" w:hAnsi="宋体" w:cs="宋体"/>
          <w:highlight w:val="none"/>
        </w:rPr>
      </w:pPr>
    </w:p>
    <w:p w14:paraId="59590020">
      <w:pPr>
        <w:spacing w:line="360" w:lineRule="auto"/>
        <w:ind w:firstLine="420" w:firstLineChars="200"/>
        <w:rPr>
          <w:rFonts w:hint="eastAsia" w:ascii="宋体" w:hAnsi="宋体" w:cs="宋体"/>
          <w:highlight w:val="none"/>
        </w:rPr>
      </w:pPr>
    </w:p>
    <w:p w14:paraId="2845B858">
      <w:pPr>
        <w:spacing w:line="360" w:lineRule="auto"/>
        <w:ind w:firstLine="420" w:firstLineChars="200"/>
        <w:rPr>
          <w:rFonts w:hint="eastAsia" w:ascii="宋体" w:hAnsi="宋体" w:cs="宋体"/>
          <w:highlight w:val="none"/>
        </w:rPr>
      </w:pPr>
    </w:p>
    <w:p w14:paraId="5141CB37">
      <w:pPr>
        <w:spacing w:line="360" w:lineRule="auto"/>
        <w:ind w:firstLine="420" w:firstLineChars="200"/>
        <w:rPr>
          <w:rFonts w:hint="eastAsia" w:ascii="宋体" w:hAnsi="宋体" w:cs="宋体"/>
          <w:highlight w:val="none"/>
        </w:rPr>
      </w:pPr>
    </w:p>
    <w:p w14:paraId="03A05100">
      <w:pPr>
        <w:spacing w:line="360" w:lineRule="auto"/>
        <w:ind w:firstLine="420" w:firstLineChars="200"/>
        <w:rPr>
          <w:rFonts w:hint="eastAsia" w:ascii="宋体" w:hAnsi="宋体" w:cs="宋体"/>
          <w:highlight w:val="none"/>
        </w:rPr>
      </w:pPr>
      <w:r>
        <w:rPr>
          <w:rFonts w:ascii="宋体" w:hAnsi="宋体" w:cs="宋体"/>
          <w:highlight w:val="none"/>
        </w:rPr>
        <w:t>注：本授权委托</w:t>
      </w:r>
      <w:r>
        <w:rPr>
          <w:rFonts w:hint="eastAsia" w:ascii="宋体" w:hAnsi="宋体" w:cs="宋体"/>
          <w:highlight w:val="none"/>
          <w:lang w:eastAsia="zh-CN"/>
        </w:rPr>
        <w:t>证明</w:t>
      </w:r>
      <w:r>
        <w:rPr>
          <w:rFonts w:ascii="宋体" w:hAnsi="宋体" w:cs="宋体"/>
          <w:highlight w:val="none"/>
        </w:rPr>
        <w:t xml:space="preserve">书需由投标人加盖单位公章并由其法定代表人和委托代理人签字。 </w:t>
      </w:r>
    </w:p>
    <w:p w14:paraId="7B646972">
      <w:pPr>
        <w:spacing w:line="360" w:lineRule="auto"/>
        <w:ind w:firstLine="420" w:firstLineChars="200"/>
        <w:rPr>
          <w:rFonts w:hint="eastAsia" w:ascii="宋体" w:hAnsi="宋体" w:cs="宋体"/>
          <w:highlight w:val="none"/>
        </w:rPr>
      </w:pPr>
    </w:p>
    <w:p w14:paraId="7AC82EF6">
      <w:pPr>
        <w:spacing w:line="360" w:lineRule="auto"/>
        <w:ind w:firstLine="420" w:firstLineChars="200"/>
        <w:rPr>
          <w:rFonts w:hint="eastAsia" w:ascii="宋体" w:hAnsi="宋体" w:cs="宋体"/>
          <w:highlight w:val="none"/>
        </w:rPr>
      </w:pPr>
    </w:p>
    <w:p w14:paraId="30E67F2D">
      <w:pPr>
        <w:spacing w:line="360" w:lineRule="auto"/>
        <w:ind w:firstLine="420" w:firstLineChars="200"/>
        <w:rPr>
          <w:rFonts w:hint="eastAsia" w:ascii="宋体" w:hAnsi="宋体" w:cs="宋体"/>
          <w:highlight w:val="none"/>
        </w:rPr>
      </w:pPr>
    </w:p>
    <w:p w14:paraId="6E2FDE21">
      <w:pPr>
        <w:spacing w:line="480" w:lineRule="auto"/>
        <w:ind w:firstLine="420" w:firstLineChars="200"/>
        <w:rPr>
          <w:rFonts w:hint="eastAsia" w:ascii="宋体" w:hAnsi="宋体" w:cs="宋体"/>
          <w:highlight w:val="none"/>
        </w:rPr>
      </w:pPr>
    </w:p>
    <w:p w14:paraId="659189AA">
      <w:pPr>
        <w:spacing w:line="480" w:lineRule="auto"/>
        <w:ind w:firstLine="420" w:firstLineChars="200"/>
        <w:rPr>
          <w:rFonts w:hint="eastAsia" w:ascii="宋体" w:hAnsi="宋体" w:cs="宋体"/>
          <w:highlight w:val="none"/>
        </w:rPr>
      </w:pPr>
      <w:r>
        <w:rPr>
          <w:rFonts w:hint="eastAsia" w:ascii="宋体" w:hAnsi="宋体" w:cs="宋体"/>
          <w:highlight w:val="none"/>
        </w:rPr>
        <w:t xml:space="preserve">                                    投标人：</w:t>
      </w:r>
      <w:r>
        <w:rPr>
          <w:rFonts w:hint="eastAsia" w:ascii="宋体" w:hAnsi="宋体" w:cs="宋体"/>
          <w:highlight w:val="none"/>
          <w:u w:val="single"/>
        </w:rPr>
        <w:t xml:space="preserve">                        </w:t>
      </w:r>
      <w:r>
        <w:rPr>
          <w:rFonts w:hint="eastAsia" w:ascii="宋体" w:hAnsi="宋体" w:cs="宋体"/>
          <w:highlight w:val="none"/>
        </w:rPr>
        <w:t>（盖单位章）</w:t>
      </w:r>
    </w:p>
    <w:p w14:paraId="6390E1BF">
      <w:pPr>
        <w:spacing w:line="480" w:lineRule="auto"/>
        <w:ind w:firstLine="420" w:firstLineChars="200"/>
        <w:rPr>
          <w:rFonts w:hint="eastAsia" w:ascii="宋体" w:hAnsi="宋体" w:cs="宋体"/>
          <w:highlight w:val="none"/>
        </w:rPr>
      </w:pPr>
      <w:r>
        <w:rPr>
          <w:rFonts w:hint="eastAsia" w:ascii="宋体" w:hAnsi="宋体" w:cs="宋体"/>
          <w:highlight w:val="none"/>
        </w:rPr>
        <w:t xml:space="preserve">                                    法定代表人：</w:t>
      </w:r>
      <w:r>
        <w:rPr>
          <w:rFonts w:hint="eastAsia" w:ascii="宋体" w:hAnsi="宋体" w:cs="宋体"/>
          <w:highlight w:val="none"/>
          <w:u w:val="single"/>
        </w:rPr>
        <w:t xml:space="preserve">                        </w:t>
      </w:r>
      <w:r>
        <w:rPr>
          <w:rFonts w:hint="eastAsia" w:ascii="宋体" w:hAnsi="宋体" w:cs="宋体"/>
          <w:highlight w:val="none"/>
        </w:rPr>
        <w:t>（签字）</w:t>
      </w:r>
    </w:p>
    <w:p w14:paraId="2CD84462">
      <w:pPr>
        <w:spacing w:line="480" w:lineRule="auto"/>
        <w:ind w:firstLine="420" w:firstLineChars="200"/>
        <w:rPr>
          <w:rFonts w:hint="eastAsia" w:ascii="宋体" w:hAnsi="宋体" w:cs="宋体"/>
          <w:highlight w:val="none"/>
          <w:u w:val="single"/>
        </w:rPr>
      </w:pPr>
      <w:r>
        <w:rPr>
          <w:rFonts w:hint="eastAsia" w:ascii="宋体" w:hAnsi="宋体" w:cs="宋体"/>
          <w:highlight w:val="none"/>
        </w:rPr>
        <w:t xml:space="preserve">                                    身份证号码：</w:t>
      </w:r>
      <w:r>
        <w:rPr>
          <w:rFonts w:hint="eastAsia" w:ascii="宋体" w:hAnsi="宋体" w:cs="宋体"/>
          <w:highlight w:val="none"/>
          <w:u w:val="single"/>
        </w:rPr>
        <w:t xml:space="preserve">                               </w:t>
      </w:r>
    </w:p>
    <w:p w14:paraId="6C0B224C">
      <w:pPr>
        <w:spacing w:line="480" w:lineRule="auto"/>
        <w:ind w:firstLine="420" w:firstLineChars="200"/>
        <w:rPr>
          <w:rFonts w:hint="eastAsia" w:ascii="宋体" w:hAnsi="宋体" w:cs="宋体"/>
          <w:highlight w:val="none"/>
        </w:rPr>
      </w:pPr>
      <w:r>
        <w:rPr>
          <w:rFonts w:hint="eastAsia" w:ascii="宋体" w:hAnsi="宋体" w:cs="宋体"/>
          <w:highlight w:val="none"/>
        </w:rPr>
        <w:t xml:space="preserve">                                    委托代理人：</w:t>
      </w:r>
      <w:r>
        <w:rPr>
          <w:rFonts w:hint="eastAsia" w:ascii="宋体" w:hAnsi="宋体" w:cs="宋体"/>
          <w:highlight w:val="none"/>
          <w:u w:val="single"/>
        </w:rPr>
        <w:t xml:space="preserve">                        </w:t>
      </w:r>
      <w:r>
        <w:rPr>
          <w:rFonts w:hint="eastAsia" w:ascii="宋体" w:hAnsi="宋体" w:cs="宋体"/>
          <w:highlight w:val="none"/>
        </w:rPr>
        <w:t>（签字）</w:t>
      </w:r>
    </w:p>
    <w:p w14:paraId="0D3CAF8C">
      <w:pPr>
        <w:spacing w:line="480" w:lineRule="auto"/>
        <w:ind w:firstLine="420" w:firstLineChars="200"/>
        <w:rPr>
          <w:rFonts w:hint="eastAsia" w:ascii="宋体" w:hAnsi="宋体" w:cs="宋体"/>
          <w:highlight w:val="none"/>
          <w:u w:val="single"/>
        </w:rPr>
      </w:pPr>
      <w:r>
        <w:rPr>
          <w:rFonts w:hint="eastAsia" w:ascii="宋体" w:hAnsi="宋体" w:cs="宋体"/>
          <w:highlight w:val="none"/>
        </w:rPr>
        <w:t xml:space="preserve">                                    身份证号码：</w:t>
      </w:r>
      <w:r>
        <w:rPr>
          <w:rFonts w:hint="eastAsia" w:ascii="宋体" w:hAnsi="宋体" w:cs="宋体"/>
          <w:highlight w:val="none"/>
          <w:u w:val="single"/>
        </w:rPr>
        <w:t xml:space="preserve">                               </w:t>
      </w:r>
    </w:p>
    <w:p w14:paraId="5D5702DC">
      <w:pPr>
        <w:kinsoku w:val="0"/>
        <w:overflowPunct w:val="0"/>
        <w:spacing w:before="3" w:line="480" w:lineRule="auto"/>
        <w:ind w:firstLine="480"/>
        <w:rPr>
          <w:rFonts w:hint="eastAsia" w:ascii="宋体" w:hAnsi="宋体"/>
          <w:highlight w:val="none"/>
        </w:rPr>
      </w:pPr>
      <w:r>
        <w:rPr>
          <w:rFonts w:ascii="宋体" w:hAnsi="宋体"/>
          <w:highlight w:val="none"/>
        </w:rPr>
        <w:t xml:space="preserve">                     </w:t>
      </w:r>
      <w:r>
        <w:rPr>
          <w:rFonts w:hint="eastAsia" w:ascii="宋体" w:hAnsi="宋体"/>
          <w:highlight w:val="none"/>
        </w:rPr>
        <w:t xml:space="preserve">               日      期：</w:t>
      </w:r>
      <w:r>
        <w:rPr>
          <w:rFonts w:ascii="宋体" w:hAnsi="宋体"/>
          <w:highlight w:val="none"/>
        </w:rPr>
        <w:t xml:space="preserve">  </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14:paraId="20EC6840">
      <w:pPr>
        <w:kinsoku w:val="0"/>
        <w:overflowPunct w:val="0"/>
        <w:spacing w:before="3" w:line="480" w:lineRule="auto"/>
        <w:ind w:firstLine="480"/>
        <w:rPr>
          <w:rFonts w:ascii="宋体" w:hAnsi="宋体"/>
          <w:highlight w:val="none"/>
        </w:rPr>
        <w:sectPr>
          <w:type w:val="nextColumn"/>
          <w:pgSz w:w="11907" w:h="16840"/>
          <w:pgMar w:top="1134" w:right="1134" w:bottom="1134" w:left="1134" w:header="0" w:footer="508" w:gutter="0"/>
          <w:cols w:space="720" w:num="1"/>
          <w:docGrid w:linePitch="312" w:charSpace="0"/>
        </w:sectPr>
      </w:pPr>
    </w:p>
    <w:p w14:paraId="4E673EC0">
      <w:pPr>
        <w:widowControl/>
        <w:spacing w:line="440" w:lineRule="exact"/>
        <w:ind w:firstLine="480"/>
        <w:jc w:val="center"/>
        <w:outlineLvl w:val="1"/>
        <w:rPr>
          <w:rFonts w:hint="eastAsia" w:ascii="宋体" w:hAnsi="宋体" w:eastAsia="黑体"/>
          <w:b/>
          <w:bCs/>
          <w:kern w:val="0"/>
          <w:sz w:val="32"/>
          <w:szCs w:val="32"/>
          <w:highlight w:val="none"/>
        </w:rPr>
      </w:pPr>
      <w:bookmarkStart w:id="331" w:name="_Toc95747050"/>
      <w:bookmarkStart w:id="332" w:name="_Toc96005972"/>
      <w:bookmarkStart w:id="333" w:name="_Toc95747156"/>
      <w:bookmarkStart w:id="334" w:name="_Toc18566"/>
      <w:r>
        <w:rPr>
          <w:rFonts w:hint="eastAsia" w:ascii="宋体" w:hAnsi="宋体" w:eastAsia="黑体"/>
          <w:b/>
          <w:bCs/>
          <w:kern w:val="0"/>
          <w:sz w:val="32"/>
          <w:szCs w:val="32"/>
          <w:highlight w:val="none"/>
        </w:rPr>
        <w:t>四、</w:t>
      </w:r>
      <w:bookmarkEnd w:id="331"/>
      <w:bookmarkEnd w:id="332"/>
      <w:bookmarkEnd w:id="333"/>
      <w:bookmarkStart w:id="335" w:name="_Toc95747158"/>
      <w:bookmarkStart w:id="336" w:name="_Toc96005974"/>
      <w:bookmarkStart w:id="337" w:name="_Toc95747052"/>
      <w:r>
        <w:rPr>
          <w:rFonts w:hint="eastAsia" w:ascii="宋体" w:hAnsi="宋体" w:eastAsia="黑体"/>
          <w:b/>
          <w:bCs/>
          <w:kern w:val="0"/>
          <w:sz w:val="32"/>
          <w:szCs w:val="32"/>
          <w:highlight w:val="none"/>
        </w:rPr>
        <w:t>资格审查资料</w:t>
      </w:r>
      <w:bookmarkEnd w:id="334"/>
      <w:bookmarkEnd w:id="335"/>
      <w:bookmarkEnd w:id="336"/>
      <w:bookmarkEnd w:id="337"/>
    </w:p>
    <w:p w14:paraId="43AD29C6">
      <w:pPr>
        <w:ind w:firstLine="482"/>
        <w:rPr>
          <w:rFonts w:hint="eastAsia" w:ascii="宋体" w:hAnsi="宋体"/>
          <w:b/>
          <w:sz w:val="24"/>
          <w:szCs w:val="24"/>
          <w:highlight w:val="none"/>
        </w:rPr>
      </w:pPr>
      <w:r>
        <w:rPr>
          <w:rFonts w:hint="eastAsia" w:ascii="宋体" w:hAnsi="宋体"/>
          <w:b/>
          <w:sz w:val="24"/>
          <w:szCs w:val="24"/>
          <w:highlight w:val="none"/>
        </w:rPr>
        <w:t>（一）投标人基本情况表</w:t>
      </w:r>
    </w:p>
    <w:p w14:paraId="33C78380">
      <w:pPr>
        <w:ind w:firstLine="482"/>
        <w:rPr>
          <w:rFonts w:hint="eastAsia" w:ascii="宋体" w:hAnsi="宋体"/>
          <w:b/>
          <w:sz w:val="24"/>
          <w:szCs w:val="24"/>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1111D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6555E063">
            <w:pPr>
              <w:topLinePunct/>
              <w:spacing w:line="440" w:lineRule="exact"/>
              <w:jc w:val="center"/>
              <w:rPr>
                <w:rFonts w:ascii="宋体" w:hAnsi="宋体"/>
                <w:highlight w:val="none"/>
              </w:rPr>
            </w:pPr>
            <w:r>
              <w:rPr>
                <w:rFonts w:ascii="宋体" w:hAnsi="宋体"/>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7EBB4B10">
            <w:pPr>
              <w:topLinePunct/>
              <w:spacing w:line="440" w:lineRule="exact"/>
              <w:ind w:firstLine="21" w:firstLineChars="10"/>
              <w:jc w:val="center"/>
              <w:rPr>
                <w:rFonts w:ascii="宋体" w:hAnsi="宋体"/>
                <w:highlight w:val="none"/>
              </w:rPr>
            </w:pPr>
          </w:p>
        </w:tc>
      </w:tr>
      <w:tr w14:paraId="3FDA8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4933B347">
            <w:pPr>
              <w:topLinePunct/>
              <w:spacing w:line="440" w:lineRule="exact"/>
              <w:jc w:val="center"/>
              <w:rPr>
                <w:rFonts w:ascii="宋体" w:hAnsi="宋体"/>
                <w:highlight w:val="none"/>
              </w:rPr>
            </w:pPr>
            <w:r>
              <w:rPr>
                <w:rFonts w:ascii="宋体" w:hAnsi="宋体"/>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6F869521">
            <w:pPr>
              <w:topLinePunct/>
              <w:spacing w:line="440" w:lineRule="exact"/>
              <w:ind w:firstLine="21" w:firstLineChars="10"/>
              <w:jc w:val="center"/>
              <w:rPr>
                <w:rFonts w:ascii="宋体" w:hAnsi="宋体"/>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5A942F5C">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3E67DBEC">
            <w:pPr>
              <w:topLinePunct/>
              <w:spacing w:line="440" w:lineRule="exact"/>
              <w:ind w:firstLine="21" w:firstLineChars="10"/>
              <w:jc w:val="center"/>
              <w:rPr>
                <w:rFonts w:ascii="宋体" w:hAnsi="宋体"/>
                <w:highlight w:val="none"/>
              </w:rPr>
            </w:pPr>
          </w:p>
        </w:tc>
      </w:tr>
      <w:tr w14:paraId="27AF1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noWrap w:val="0"/>
            <w:vAlign w:val="center"/>
          </w:tcPr>
          <w:p w14:paraId="647AAFF5">
            <w:pPr>
              <w:topLinePunct/>
              <w:spacing w:line="440" w:lineRule="exact"/>
              <w:jc w:val="center"/>
              <w:rPr>
                <w:rFonts w:ascii="宋体" w:hAnsi="宋体"/>
                <w:highlight w:val="none"/>
              </w:rPr>
            </w:pPr>
            <w:r>
              <w:rPr>
                <w:rFonts w:ascii="宋体" w:hAnsi="宋体"/>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7694B7C">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210A0FB8">
            <w:pPr>
              <w:topLinePunct/>
              <w:spacing w:line="440" w:lineRule="exact"/>
              <w:ind w:firstLine="21" w:firstLineChars="10"/>
              <w:jc w:val="center"/>
              <w:rPr>
                <w:rFonts w:ascii="宋体" w:hAnsi="宋体"/>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41A867BE">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6D482D53">
            <w:pPr>
              <w:topLinePunct/>
              <w:spacing w:line="440" w:lineRule="exact"/>
              <w:ind w:firstLine="21" w:firstLineChars="10"/>
              <w:jc w:val="center"/>
              <w:rPr>
                <w:rFonts w:ascii="宋体" w:hAnsi="宋体"/>
                <w:highlight w:val="none"/>
              </w:rPr>
            </w:pPr>
          </w:p>
        </w:tc>
      </w:tr>
      <w:tr w14:paraId="3E23F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noWrap w:val="0"/>
            <w:vAlign w:val="center"/>
          </w:tcPr>
          <w:p w14:paraId="2CB7F869">
            <w:pPr>
              <w:jc w:val="center"/>
              <w:rPr>
                <w:rFonts w:ascii="宋体" w:hAnsi="宋体"/>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2A26BAB8">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302B1113">
            <w:pPr>
              <w:topLinePunct/>
              <w:spacing w:line="440" w:lineRule="exact"/>
              <w:ind w:firstLine="21" w:firstLineChars="10"/>
              <w:jc w:val="center"/>
              <w:rPr>
                <w:rFonts w:ascii="宋体" w:hAnsi="宋体"/>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5B2ABC5E">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7F4B6B11">
            <w:pPr>
              <w:topLinePunct/>
              <w:spacing w:line="440" w:lineRule="exact"/>
              <w:ind w:firstLine="21" w:firstLineChars="10"/>
              <w:jc w:val="center"/>
              <w:rPr>
                <w:rFonts w:ascii="宋体" w:hAnsi="宋体"/>
                <w:highlight w:val="none"/>
              </w:rPr>
            </w:pPr>
          </w:p>
        </w:tc>
      </w:tr>
      <w:tr w14:paraId="607A7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1CCCC6F4">
            <w:pPr>
              <w:topLinePunct/>
              <w:spacing w:before="100" w:beforeAutospacing="1" w:after="100" w:afterAutospacing="1" w:line="440" w:lineRule="exact"/>
              <w:jc w:val="center"/>
              <w:rPr>
                <w:rFonts w:ascii="宋体" w:hAnsi="宋体"/>
                <w:highlight w:val="none"/>
              </w:rPr>
            </w:pPr>
            <w:r>
              <w:rPr>
                <w:rFonts w:ascii="宋体" w:hAnsi="宋体"/>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05D7B77">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77363D08">
            <w:pPr>
              <w:topLinePunct/>
              <w:spacing w:line="440" w:lineRule="exact"/>
              <w:ind w:firstLine="21" w:firstLineChars="10"/>
              <w:jc w:val="center"/>
              <w:rPr>
                <w:rFonts w:ascii="宋体" w:hAnsi="宋体"/>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AC88598">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457AFDCB">
            <w:pPr>
              <w:topLinePunct/>
              <w:spacing w:line="440" w:lineRule="exact"/>
              <w:ind w:firstLine="21" w:firstLineChars="10"/>
              <w:jc w:val="center"/>
              <w:rPr>
                <w:rFonts w:ascii="宋体" w:hAnsi="宋体"/>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3F1B3BC4">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D217243">
            <w:pPr>
              <w:topLinePunct/>
              <w:spacing w:line="440" w:lineRule="exact"/>
              <w:ind w:firstLine="21" w:firstLineChars="10"/>
              <w:jc w:val="center"/>
              <w:rPr>
                <w:rFonts w:ascii="宋体" w:hAnsi="宋体"/>
                <w:highlight w:val="none"/>
              </w:rPr>
            </w:pPr>
          </w:p>
        </w:tc>
      </w:tr>
      <w:tr w14:paraId="2227C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21FA4470">
            <w:pPr>
              <w:topLinePunct/>
              <w:spacing w:line="440" w:lineRule="exact"/>
              <w:jc w:val="center"/>
              <w:rPr>
                <w:rFonts w:ascii="宋体" w:hAnsi="宋体"/>
                <w:highlight w:val="none"/>
              </w:rPr>
            </w:pPr>
            <w:r>
              <w:rPr>
                <w:rFonts w:ascii="宋体" w:hAnsi="宋体"/>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39198B4">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217100CD">
            <w:pPr>
              <w:topLinePunct/>
              <w:spacing w:line="440" w:lineRule="exact"/>
              <w:ind w:firstLine="21" w:firstLineChars="10"/>
              <w:jc w:val="center"/>
              <w:rPr>
                <w:rFonts w:ascii="宋体" w:hAnsi="宋体"/>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64BF05DD">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34B71649">
            <w:pPr>
              <w:topLinePunct/>
              <w:spacing w:line="440" w:lineRule="exact"/>
              <w:ind w:firstLine="21" w:firstLineChars="10"/>
              <w:jc w:val="center"/>
              <w:rPr>
                <w:rFonts w:ascii="宋体" w:hAnsi="宋体"/>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36FEBBDB">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6AC091B">
            <w:pPr>
              <w:topLinePunct/>
              <w:spacing w:line="440" w:lineRule="exact"/>
              <w:ind w:firstLine="21" w:firstLineChars="10"/>
              <w:jc w:val="center"/>
              <w:rPr>
                <w:rFonts w:ascii="宋体" w:hAnsi="宋体"/>
                <w:highlight w:val="none"/>
              </w:rPr>
            </w:pPr>
          </w:p>
        </w:tc>
      </w:tr>
      <w:tr w14:paraId="0F685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680FD12F">
            <w:pPr>
              <w:topLinePunct/>
              <w:spacing w:before="100" w:beforeAutospacing="1" w:after="100" w:afterAutospacing="1" w:line="440" w:lineRule="exact"/>
              <w:jc w:val="center"/>
              <w:rPr>
                <w:rFonts w:ascii="宋体" w:hAnsi="宋体"/>
                <w:highlight w:val="none"/>
              </w:rPr>
            </w:pPr>
            <w:r>
              <w:rPr>
                <w:rFonts w:ascii="宋体" w:hAnsi="宋体"/>
                <w:highlight w:val="none"/>
              </w:rPr>
              <w:t>企业监理资质证书</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42682A14">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类型：                    等级：      证书号：</w:t>
            </w:r>
          </w:p>
        </w:tc>
      </w:tr>
      <w:tr w14:paraId="4F18A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5BE80DC7">
            <w:pPr>
              <w:topLinePunct/>
              <w:spacing w:before="100" w:beforeAutospacing="1" w:after="100" w:afterAutospacing="1" w:line="440" w:lineRule="exact"/>
              <w:jc w:val="center"/>
              <w:rPr>
                <w:rFonts w:ascii="宋体" w:hAnsi="宋体"/>
                <w:highlight w:val="none"/>
              </w:rPr>
            </w:pPr>
            <w:r>
              <w:rPr>
                <w:rFonts w:ascii="宋体" w:hAnsi="宋体"/>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6209BEE1">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类型：                    等级：      证书号：</w:t>
            </w:r>
          </w:p>
        </w:tc>
      </w:tr>
      <w:tr w14:paraId="2D4DF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53F8A2E2">
            <w:pPr>
              <w:topLinePunct/>
              <w:spacing w:before="100" w:beforeAutospacing="1" w:after="100" w:afterAutospacing="1" w:line="440" w:lineRule="exact"/>
              <w:jc w:val="center"/>
              <w:rPr>
                <w:rFonts w:ascii="宋体" w:hAnsi="宋体"/>
                <w:highlight w:val="none"/>
              </w:rPr>
            </w:pPr>
            <w:r>
              <w:rPr>
                <w:rFonts w:ascii="宋体" w:hAnsi="宋体"/>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4E42777D">
            <w:pPr>
              <w:topLinePunct/>
              <w:spacing w:line="440" w:lineRule="exact"/>
              <w:ind w:firstLine="21" w:firstLineChars="10"/>
              <w:jc w:val="center"/>
              <w:rPr>
                <w:rFonts w:ascii="宋体" w:hAnsi="宋体"/>
                <w:highlight w:val="none"/>
              </w:rPr>
            </w:pPr>
          </w:p>
        </w:tc>
        <w:tc>
          <w:tcPr>
            <w:tcW w:w="3629" w:type="dxa"/>
            <w:gridSpan w:val="5"/>
            <w:tcBorders>
              <w:top w:val="single" w:color="auto" w:sz="4" w:space="0"/>
              <w:left w:val="single" w:color="auto" w:sz="4" w:space="0"/>
              <w:bottom w:val="single" w:color="auto" w:sz="4" w:space="0"/>
              <w:right w:val="single" w:color="auto" w:sz="4" w:space="0"/>
            </w:tcBorders>
            <w:noWrap w:val="0"/>
            <w:vAlign w:val="center"/>
          </w:tcPr>
          <w:p w14:paraId="34B80726">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员工总人数：</w:t>
            </w:r>
          </w:p>
        </w:tc>
      </w:tr>
      <w:tr w14:paraId="10601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230FA53D">
            <w:pPr>
              <w:topLinePunct/>
              <w:spacing w:before="100" w:beforeAutospacing="1" w:after="100" w:afterAutospacing="1" w:line="440" w:lineRule="exact"/>
              <w:jc w:val="center"/>
              <w:rPr>
                <w:rFonts w:ascii="宋体" w:hAnsi="宋体"/>
                <w:highlight w:val="none"/>
              </w:rPr>
            </w:pPr>
            <w:r>
              <w:rPr>
                <w:rFonts w:ascii="宋体" w:hAnsi="宋体"/>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110069C4">
            <w:pPr>
              <w:topLinePunct/>
              <w:spacing w:line="440" w:lineRule="exact"/>
              <w:ind w:firstLine="21" w:firstLineChars="10"/>
              <w:jc w:val="center"/>
              <w:rPr>
                <w:rFonts w:ascii="宋体" w:hAnsi="宋体"/>
                <w:highlight w:val="none"/>
              </w:rPr>
            </w:pPr>
          </w:p>
        </w:tc>
        <w:tc>
          <w:tcPr>
            <w:tcW w:w="414" w:type="dxa"/>
            <w:vMerge w:val="restart"/>
            <w:tcBorders>
              <w:top w:val="single" w:color="auto" w:sz="4" w:space="0"/>
              <w:left w:val="single" w:color="auto" w:sz="4" w:space="0"/>
              <w:right w:val="single" w:color="auto" w:sz="4" w:space="0"/>
            </w:tcBorders>
            <w:noWrap w:val="0"/>
            <w:vAlign w:val="center"/>
          </w:tcPr>
          <w:p w14:paraId="70BA7705">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1494A581">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5E126864">
            <w:pPr>
              <w:topLinePunct/>
              <w:spacing w:line="440" w:lineRule="exact"/>
              <w:ind w:firstLine="21" w:firstLineChars="10"/>
              <w:jc w:val="center"/>
              <w:rPr>
                <w:rFonts w:ascii="宋体" w:hAnsi="宋体"/>
                <w:highlight w:val="none"/>
              </w:rPr>
            </w:pPr>
          </w:p>
        </w:tc>
      </w:tr>
      <w:tr w14:paraId="0EFDB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4B49EC97">
            <w:pPr>
              <w:topLinePunct/>
              <w:spacing w:before="100" w:beforeAutospacing="1" w:after="100" w:afterAutospacing="1" w:line="440" w:lineRule="exact"/>
              <w:jc w:val="center"/>
              <w:rPr>
                <w:rFonts w:ascii="宋体" w:hAnsi="宋体"/>
                <w:highlight w:val="none"/>
              </w:rPr>
            </w:pPr>
            <w:r>
              <w:rPr>
                <w:rFonts w:ascii="宋体" w:hAnsi="宋体"/>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25392C3B">
            <w:pPr>
              <w:topLinePunct/>
              <w:spacing w:line="440" w:lineRule="exact"/>
              <w:ind w:firstLine="21" w:firstLineChars="10"/>
              <w:jc w:val="center"/>
              <w:rPr>
                <w:rFonts w:ascii="宋体" w:hAnsi="宋体"/>
                <w:highlight w:val="none"/>
              </w:rPr>
            </w:pPr>
          </w:p>
        </w:tc>
        <w:tc>
          <w:tcPr>
            <w:tcW w:w="414" w:type="dxa"/>
            <w:vMerge w:val="continue"/>
            <w:tcBorders>
              <w:left w:val="single" w:color="auto" w:sz="4" w:space="0"/>
              <w:right w:val="single" w:color="auto" w:sz="4" w:space="0"/>
            </w:tcBorders>
            <w:noWrap w:val="0"/>
            <w:vAlign w:val="center"/>
          </w:tcPr>
          <w:p w14:paraId="04961D3D">
            <w:pPr>
              <w:ind w:firstLine="21" w:firstLineChars="10"/>
              <w:jc w:val="center"/>
              <w:rPr>
                <w:rFonts w:ascii="宋体" w:hAnsi="宋体"/>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7DDC3640">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1F49CE38">
            <w:pPr>
              <w:topLinePunct/>
              <w:spacing w:line="440" w:lineRule="exact"/>
              <w:ind w:firstLine="21" w:firstLineChars="10"/>
              <w:jc w:val="center"/>
              <w:rPr>
                <w:rFonts w:ascii="宋体" w:hAnsi="宋体"/>
                <w:highlight w:val="none"/>
              </w:rPr>
            </w:pPr>
          </w:p>
        </w:tc>
      </w:tr>
      <w:tr w14:paraId="3D2FD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65BDDBD4">
            <w:pPr>
              <w:topLinePunct/>
              <w:spacing w:before="100" w:beforeAutospacing="1" w:after="100" w:afterAutospacing="1" w:line="440" w:lineRule="exact"/>
              <w:jc w:val="center"/>
              <w:rPr>
                <w:rFonts w:ascii="宋体" w:hAnsi="宋体"/>
                <w:highlight w:val="none"/>
              </w:rPr>
            </w:pPr>
            <w:r>
              <w:rPr>
                <w:rFonts w:ascii="宋体" w:hAnsi="宋体"/>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1DF799F2">
            <w:pPr>
              <w:topLinePunct/>
              <w:spacing w:line="440" w:lineRule="exact"/>
              <w:ind w:firstLine="21" w:firstLineChars="10"/>
              <w:jc w:val="center"/>
              <w:rPr>
                <w:rFonts w:ascii="宋体" w:hAnsi="宋体"/>
                <w:highlight w:val="none"/>
              </w:rPr>
            </w:pPr>
          </w:p>
        </w:tc>
        <w:tc>
          <w:tcPr>
            <w:tcW w:w="414" w:type="dxa"/>
            <w:vMerge w:val="continue"/>
            <w:tcBorders>
              <w:left w:val="single" w:color="auto" w:sz="4" w:space="0"/>
              <w:right w:val="single" w:color="auto" w:sz="4" w:space="0"/>
            </w:tcBorders>
            <w:noWrap w:val="0"/>
            <w:vAlign w:val="center"/>
          </w:tcPr>
          <w:p w14:paraId="6BB6B782">
            <w:pPr>
              <w:ind w:firstLine="21" w:firstLineChars="10"/>
              <w:jc w:val="center"/>
              <w:rPr>
                <w:rFonts w:ascii="宋体" w:hAnsi="宋体"/>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E45B3CA">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286015AF">
            <w:pPr>
              <w:topLinePunct/>
              <w:spacing w:line="440" w:lineRule="exact"/>
              <w:ind w:firstLine="21" w:firstLineChars="10"/>
              <w:jc w:val="center"/>
              <w:rPr>
                <w:rFonts w:ascii="宋体" w:hAnsi="宋体"/>
                <w:highlight w:val="none"/>
              </w:rPr>
            </w:pPr>
          </w:p>
        </w:tc>
      </w:tr>
      <w:tr w14:paraId="34A2E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7F9B74F0">
            <w:pPr>
              <w:topLinePunct/>
              <w:spacing w:before="100" w:beforeAutospacing="1" w:after="100" w:afterAutospacing="1" w:line="440" w:lineRule="exact"/>
              <w:jc w:val="center"/>
              <w:rPr>
                <w:rFonts w:ascii="宋体" w:hAnsi="宋体"/>
                <w:highlight w:val="none"/>
              </w:rPr>
            </w:pPr>
            <w:r>
              <w:rPr>
                <w:rFonts w:ascii="宋体" w:hAnsi="宋体"/>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437E3B35">
            <w:pPr>
              <w:topLinePunct/>
              <w:spacing w:line="440" w:lineRule="exact"/>
              <w:ind w:firstLine="21" w:firstLineChars="10"/>
              <w:jc w:val="center"/>
              <w:rPr>
                <w:rFonts w:ascii="宋体" w:hAnsi="宋体"/>
                <w:highlight w:val="none"/>
              </w:rPr>
            </w:pPr>
          </w:p>
        </w:tc>
        <w:tc>
          <w:tcPr>
            <w:tcW w:w="414" w:type="dxa"/>
            <w:vMerge w:val="continue"/>
            <w:tcBorders>
              <w:left w:val="single" w:color="auto" w:sz="4" w:space="0"/>
              <w:right w:val="single" w:color="auto" w:sz="4" w:space="0"/>
            </w:tcBorders>
            <w:noWrap w:val="0"/>
            <w:vAlign w:val="center"/>
          </w:tcPr>
          <w:p w14:paraId="2549055E">
            <w:pPr>
              <w:ind w:firstLine="21" w:firstLineChars="10"/>
              <w:jc w:val="center"/>
              <w:rPr>
                <w:rFonts w:ascii="宋体" w:hAnsi="宋体"/>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5FF56D2C">
            <w:pPr>
              <w:topLinePunct/>
              <w:spacing w:before="100" w:beforeAutospacing="1" w:after="100" w:afterAutospacing="1" w:line="440" w:lineRule="exact"/>
              <w:ind w:firstLine="21" w:firstLineChars="10"/>
              <w:jc w:val="center"/>
              <w:rPr>
                <w:rFonts w:ascii="宋体" w:hAnsi="宋体"/>
                <w:highlight w:val="none"/>
              </w:rPr>
            </w:pPr>
            <w:r>
              <w:rPr>
                <w:rFonts w:ascii="宋体" w:hAnsi="宋体"/>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3AD846B4">
            <w:pPr>
              <w:topLinePunct/>
              <w:spacing w:line="440" w:lineRule="exact"/>
              <w:ind w:firstLine="21" w:firstLineChars="10"/>
              <w:jc w:val="center"/>
              <w:rPr>
                <w:rFonts w:ascii="宋体" w:hAnsi="宋体"/>
                <w:highlight w:val="none"/>
              </w:rPr>
            </w:pPr>
          </w:p>
        </w:tc>
      </w:tr>
      <w:tr w14:paraId="2A79A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noWrap w:val="0"/>
            <w:vAlign w:val="center"/>
          </w:tcPr>
          <w:p w14:paraId="28DE18D0">
            <w:pPr>
              <w:topLinePunct/>
              <w:spacing w:before="100" w:beforeAutospacing="1" w:after="100" w:afterAutospacing="1" w:line="440" w:lineRule="exact"/>
              <w:jc w:val="center"/>
              <w:rPr>
                <w:rFonts w:ascii="宋体" w:hAnsi="宋体"/>
                <w:highlight w:val="none"/>
              </w:rPr>
            </w:pPr>
            <w:r>
              <w:rPr>
                <w:rFonts w:ascii="宋体" w:hAnsi="宋体"/>
                <w:highlight w:val="none"/>
              </w:rPr>
              <w:t>经营范围</w:t>
            </w:r>
          </w:p>
        </w:tc>
        <w:tc>
          <w:tcPr>
            <w:tcW w:w="6840" w:type="dxa"/>
            <w:gridSpan w:val="8"/>
            <w:tcBorders>
              <w:top w:val="single" w:color="auto" w:sz="4" w:space="0"/>
              <w:left w:val="single" w:color="auto" w:sz="4" w:space="0"/>
              <w:right w:val="single" w:color="auto" w:sz="4" w:space="0"/>
            </w:tcBorders>
            <w:noWrap w:val="0"/>
            <w:vAlign w:val="center"/>
          </w:tcPr>
          <w:p w14:paraId="75C72238">
            <w:pPr>
              <w:topLinePunct/>
              <w:spacing w:line="440" w:lineRule="exact"/>
              <w:ind w:firstLine="21" w:firstLineChars="10"/>
              <w:jc w:val="center"/>
              <w:rPr>
                <w:rFonts w:ascii="宋体" w:hAnsi="宋体"/>
                <w:highlight w:val="none"/>
              </w:rPr>
            </w:pPr>
          </w:p>
        </w:tc>
      </w:tr>
      <w:tr w14:paraId="4C986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noWrap w:val="0"/>
            <w:vAlign w:val="center"/>
          </w:tcPr>
          <w:p w14:paraId="23279F3C">
            <w:pPr>
              <w:topLinePunct/>
              <w:spacing w:before="100" w:beforeAutospacing="1" w:after="100" w:afterAutospacing="1" w:line="440" w:lineRule="exact"/>
              <w:jc w:val="center"/>
              <w:rPr>
                <w:rFonts w:ascii="宋体" w:hAnsi="宋体"/>
                <w:highlight w:val="none"/>
              </w:rPr>
            </w:pPr>
            <w:r>
              <w:rPr>
                <w:rFonts w:ascii="宋体" w:hAnsi="宋体"/>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noWrap w:val="0"/>
            <w:vAlign w:val="center"/>
          </w:tcPr>
          <w:p w14:paraId="75A2B912">
            <w:pPr>
              <w:topLinePunct/>
              <w:spacing w:line="440" w:lineRule="exact"/>
              <w:ind w:firstLine="21" w:firstLineChars="10"/>
              <w:jc w:val="center"/>
              <w:rPr>
                <w:rFonts w:ascii="宋体" w:hAnsi="宋体"/>
                <w:highlight w:val="none"/>
              </w:rPr>
            </w:pPr>
          </w:p>
        </w:tc>
      </w:tr>
      <w:tr w14:paraId="5BA70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1A948A93">
            <w:pPr>
              <w:topLinePunct/>
              <w:spacing w:before="100" w:beforeAutospacing="1" w:after="100" w:afterAutospacing="1" w:line="440" w:lineRule="exact"/>
              <w:jc w:val="center"/>
              <w:rPr>
                <w:rFonts w:ascii="宋体" w:hAnsi="宋体"/>
                <w:highlight w:val="none"/>
              </w:rPr>
            </w:pPr>
            <w:r>
              <w:rPr>
                <w:rFonts w:ascii="宋体" w:hAnsi="宋体"/>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748540D2">
            <w:pPr>
              <w:topLinePunct/>
              <w:spacing w:line="440" w:lineRule="exact"/>
              <w:ind w:firstLine="21" w:firstLineChars="10"/>
              <w:jc w:val="center"/>
              <w:rPr>
                <w:rFonts w:ascii="宋体" w:hAnsi="宋体"/>
                <w:highlight w:val="none"/>
              </w:rPr>
            </w:pPr>
          </w:p>
        </w:tc>
      </w:tr>
    </w:tbl>
    <w:p w14:paraId="6E3704C7">
      <w:pPr>
        <w:widowControl/>
        <w:spacing w:line="400" w:lineRule="exact"/>
        <w:ind w:left="368" w:hanging="367" w:hangingChars="175"/>
        <w:jc w:val="left"/>
        <w:rPr>
          <w:rFonts w:hint="eastAsia" w:ascii="宋体" w:hAnsi="宋体"/>
          <w:kern w:val="0"/>
          <w:highlight w:val="none"/>
        </w:rPr>
      </w:pPr>
      <w:r>
        <w:rPr>
          <w:rFonts w:hint="eastAsia" w:ascii="宋体" w:hAnsi="宋体"/>
          <w:kern w:val="0"/>
          <w:highlight w:val="none"/>
        </w:rPr>
        <w:t>注：投标人应根据投标人须知第3.5项的要求在本表后附相关证明材料。</w:t>
      </w:r>
    </w:p>
    <w:p w14:paraId="1EE3DCB4">
      <w:pPr>
        <w:spacing w:line="360" w:lineRule="auto"/>
        <w:ind w:firstLine="482"/>
        <w:rPr>
          <w:rFonts w:hint="eastAsia" w:ascii="宋体" w:hAnsi="宋体"/>
          <w:b/>
          <w:highlight w:val="none"/>
        </w:rPr>
      </w:pPr>
    </w:p>
    <w:p w14:paraId="48227516">
      <w:pPr>
        <w:snapToGrid w:val="0"/>
        <w:spacing w:line="480" w:lineRule="auto"/>
        <w:ind w:left="3826" w:leftChars="1822" w:right="482" w:firstLine="480"/>
        <w:rPr>
          <w:rFonts w:ascii="宋体" w:hAnsi="宋体"/>
          <w:highlight w:val="none"/>
        </w:rPr>
      </w:pPr>
      <w:r>
        <w:rPr>
          <w:rFonts w:hint="eastAsia" w:ascii="宋体" w:hAnsi="宋体"/>
          <w:highlight w:val="none"/>
        </w:rPr>
        <w:t>投标人：</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（盖单位章）</w:t>
      </w:r>
      <w:r>
        <w:rPr>
          <w:rFonts w:ascii="宋体" w:hAnsi="宋体"/>
          <w:highlight w:val="none"/>
        </w:rPr>
        <w:t xml:space="preserve">           </w:t>
      </w:r>
    </w:p>
    <w:p w14:paraId="6AB22A8A">
      <w:pPr>
        <w:snapToGrid w:val="0"/>
        <w:spacing w:line="480" w:lineRule="auto"/>
        <w:ind w:left="3826" w:leftChars="1822" w:right="482" w:firstLine="480"/>
        <w:rPr>
          <w:rFonts w:ascii="宋体" w:hAnsi="宋体"/>
          <w:highlight w:val="none"/>
        </w:rPr>
      </w:pPr>
      <w:r>
        <w:rPr>
          <w:rFonts w:hint="eastAsia" w:ascii="宋体" w:hAnsi="宋体"/>
          <w:highlight w:val="none"/>
        </w:rPr>
        <w:t>法定代表人或其委托代理人：</w:t>
      </w:r>
      <w:r>
        <w:rPr>
          <w:rFonts w:ascii="宋体" w:hAnsi="宋体"/>
          <w:highlight w:val="none"/>
          <w:u w:val="single"/>
        </w:rPr>
        <w:t xml:space="preserve">          </w:t>
      </w:r>
      <w:r>
        <w:rPr>
          <w:rFonts w:hint="eastAsia" w:ascii="宋体" w:hAnsi="宋体"/>
          <w:highlight w:val="none"/>
        </w:rPr>
        <w:t>（签字）</w:t>
      </w:r>
    </w:p>
    <w:p w14:paraId="757DC4CF">
      <w:pPr>
        <w:spacing w:line="480" w:lineRule="auto"/>
        <w:ind w:left="3826" w:leftChars="1822" w:firstLine="480"/>
        <w:rPr>
          <w:rFonts w:hint="eastAsia" w:ascii="宋体" w:hAnsi="宋体"/>
          <w:b/>
          <w:sz w:val="24"/>
          <w:szCs w:val="24"/>
          <w:highlight w:val="none"/>
        </w:rPr>
      </w:pPr>
      <w:r>
        <w:rPr>
          <w:rFonts w:hint="eastAsia" w:ascii="宋体" w:hAnsi="宋体"/>
          <w:highlight w:val="none"/>
        </w:rPr>
        <w:t xml:space="preserve">日  期： </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rPr>
        <w:t>日</w:t>
      </w:r>
    </w:p>
    <w:p w14:paraId="5BA0E6E7">
      <w:pPr>
        <w:spacing w:line="20" w:lineRule="exact"/>
        <w:ind w:firstLine="480"/>
        <w:rPr>
          <w:rFonts w:ascii="宋体" w:hAnsi="宋体"/>
          <w:highlight w:val="none"/>
        </w:rPr>
      </w:pPr>
      <w:r>
        <w:rPr>
          <w:rFonts w:ascii="宋体" w:hAnsi="宋体"/>
          <w:sz w:val="24"/>
          <w:highlight w:val="none"/>
        </w:rPr>
        <mc:AlternateContent>
          <mc:Choice Requires="wps">
            <w:drawing>
              <wp:anchor distT="0" distB="0" distL="114300" distR="114300" simplePos="0" relativeHeight="251659264" behindDoc="1" locked="0" layoutInCell="0" allowOverlap="1">
                <wp:simplePos x="0" y="0"/>
                <wp:positionH relativeFrom="column">
                  <wp:posOffset>5787390</wp:posOffset>
                </wp:positionH>
                <wp:positionV relativeFrom="paragraph">
                  <wp:posOffset>-1976755</wp:posOffset>
                </wp:positionV>
                <wp:extent cx="12700" cy="12700"/>
                <wp:effectExtent l="4445" t="4445" r="20955" b="11430"/>
                <wp:wrapNone/>
                <wp:docPr id="1" name="矩形 52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525" o:spid="_x0000_s1026" o:spt="1" style="position:absolute;left:0pt;margin-left:455.7pt;margin-top:-155.65pt;height:1pt;width:1pt;z-index:-251657216;mso-width-relative:page;mso-height-relative:page;" fillcolor="#000000" filled="t" stroked="t" coordsize="21600,21600" o:allowincell="f" o:gfxdata="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eB9JnYAAAADQEAAA8AAAAAAAAAAQAgAAAAIgAAAGRycy9kb3ducmV2LnhtbFBL&#10;AQIUABQAAAAIAIdO4kDtWCAH9gEAAB0EAAAOAAAAAAAAAAEAIAAAACcBAABkcnMvZTJvRG9jLnht&#10;bFBLBQYAAAAABgAGAFkBAACPBQAAAAA=&#10;">
                <v:fill on="t" focussize="0,0"/>
                <v:stroke color="#FFFFFF" joinstyle="miter"/>
                <v:imagedata o:title=""/>
                <o:lock v:ext="edit" aspectratio="f"/>
              </v:rect>
            </w:pict>
          </mc:Fallback>
        </mc:AlternateContent>
      </w:r>
      <w:r>
        <w:rPr>
          <w:rFonts w:ascii="宋体" w:hAnsi="宋体"/>
          <w:sz w:val="24"/>
          <w:highlight w:val="none"/>
        </w:rPr>
        <mc:AlternateContent>
          <mc:Choice Requires="wps">
            <w:drawing>
              <wp:anchor distT="0" distB="0" distL="114300" distR="114300" simplePos="0" relativeHeight="251660288" behindDoc="1" locked="0" layoutInCell="0" allowOverlap="1">
                <wp:simplePos x="0" y="0"/>
                <wp:positionH relativeFrom="column">
                  <wp:posOffset>5787390</wp:posOffset>
                </wp:positionH>
                <wp:positionV relativeFrom="paragraph">
                  <wp:posOffset>-8890</wp:posOffset>
                </wp:positionV>
                <wp:extent cx="12700" cy="12065"/>
                <wp:effectExtent l="4445" t="4445" r="20955" b="12065"/>
                <wp:wrapNone/>
                <wp:docPr id="2" name="矩形 526"/>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526" o:spid="_x0000_s1026" o:spt="1" style="position:absolute;left:0pt;margin-left:455.7pt;margin-top:-0.7pt;height:0.95pt;width:1pt;z-index:-251656192;mso-width-relative:page;mso-height-relative:page;" fillcolor="#000000" filled="t" stroked="t" coordsize="21600,21600" o:allowincell="f" o:gfxdata="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5sIit1QAAAAcBAAAPAAAAAAAAAAEAIAAAACIAAABkcnMvZG93bnJldi54bWxQSwEC&#10;FAAUAAAACACHTuJAoD33mPcBAAAdBAAADgAAAAAAAAABACAAAAAkAQAAZHJzL2Uyb0RvYy54bWxQ&#10;SwUGAAAAAAYABgBZAQAAjQUAAAAA&#10;">
                <v:fill on="t" focussize="0,0"/>
                <v:stroke color="#FFFFFF" joinstyle="miter"/>
                <v:imagedata o:title=""/>
                <o:lock v:ext="edit" aspectratio="f"/>
              </v:rect>
            </w:pict>
          </mc:Fallback>
        </mc:AlternateContent>
      </w:r>
    </w:p>
    <w:p w14:paraId="4A666968">
      <w:pPr>
        <w:spacing w:line="88" w:lineRule="exact"/>
        <w:ind w:firstLine="480"/>
        <w:rPr>
          <w:rFonts w:ascii="宋体" w:hAnsi="宋体"/>
          <w:highlight w:val="none"/>
        </w:rPr>
      </w:pPr>
    </w:p>
    <w:p w14:paraId="01A135E2">
      <w:pPr>
        <w:spacing w:line="200" w:lineRule="exact"/>
        <w:ind w:firstLine="480"/>
        <w:rPr>
          <w:rFonts w:ascii="宋体" w:hAnsi="宋体"/>
          <w:highlight w:val="none"/>
        </w:rPr>
      </w:pPr>
    </w:p>
    <w:p w14:paraId="6DB2C4EA">
      <w:pPr>
        <w:ind w:firstLine="643"/>
        <w:rPr>
          <w:rFonts w:ascii="宋体" w:hAnsi="宋体"/>
          <w:b/>
          <w:sz w:val="32"/>
          <w:szCs w:val="32"/>
          <w:highlight w:val="none"/>
        </w:rPr>
        <w:sectPr>
          <w:pgSz w:w="11907" w:h="16840"/>
          <w:pgMar w:top="1134" w:right="1134" w:bottom="1134" w:left="1134" w:header="0" w:footer="508" w:gutter="0"/>
          <w:cols w:space="720" w:num="1"/>
          <w:docGrid w:linePitch="312" w:charSpace="0"/>
        </w:sectPr>
      </w:pPr>
    </w:p>
    <w:p w14:paraId="5A2FCB06">
      <w:pPr>
        <w:spacing w:line="2" w:lineRule="exact"/>
        <w:ind w:firstLine="480"/>
        <w:rPr>
          <w:rFonts w:ascii="宋体" w:hAnsi="宋体"/>
          <w:highlight w:val="none"/>
        </w:rPr>
      </w:pPr>
    </w:p>
    <w:p w14:paraId="0039EBE9">
      <w:pPr>
        <w:spacing w:line="244" w:lineRule="exact"/>
        <w:ind w:left="360" w:firstLine="480"/>
        <w:rPr>
          <w:rFonts w:ascii="宋体" w:hAnsi="宋体"/>
          <w:highlight w:val="none"/>
        </w:rPr>
      </w:pPr>
    </w:p>
    <w:p w14:paraId="6C0F14D5">
      <w:pPr>
        <w:ind w:firstLine="482"/>
        <w:rPr>
          <w:rFonts w:hint="eastAsia" w:ascii="宋体" w:hAnsi="宋体"/>
          <w:b/>
          <w:sz w:val="24"/>
          <w:szCs w:val="24"/>
          <w:highlight w:val="none"/>
        </w:rPr>
      </w:pPr>
      <w:r>
        <w:rPr>
          <w:rFonts w:ascii="宋体" w:hAnsi="宋体"/>
          <w:b/>
          <w:sz w:val="24"/>
          <w:szCs w:val="24"/>
          <w:highlight w:val="none"/>
        </w:rPr>
        <w:t>（</w:t>
      </w:r>
      <w:r>
        <w:rPr>
          <w:rFonts w:hint="eastAsia" w:ascii="宋体" w:hAnsi="宋体"/>
          <w:b/>
          <w:sz w:val="24"/>
          <w:szCs w:val="24"/>
          <w:highlight w:val="none"/>
        </w:rPr>
        <w:t>二</w:t>
      </w:r>
      <w:r>
        <w:rPr>
          <w:rFonts w:ascii="宋体" w:hAnsi="宋体"/>
          <w:b/>
          <w:sz w:val="24"/>
          <w:szCs w:val="24"/>
          <w:highlight w:val="none"/>
        </w:rPr>
        <w:t>）</w:t>
      </w:r>
      <w:r>
        <w:rPr>
          <w:rFonts w:hint="eastAsia" w:ascii="宋体" w:hAnsi="宋体"/>
          <w:b/>
          <w:sz w:val="24"/>
          <w:szCs w:val="24"/>
          <w:highlight w:val="none"/>
        </w:rPr>
        <w:t>总监理工程师资历</w:t>
      </w:r>
      <w:r>
        <w:rPr>
          <w:rFonts w:ascii="宋体" w:hAnsi="宋体"/>
          <w:b/>
          <w:sz w:val="24"/>
          <w:szCs w:val="24"/>
          <w:highlight w:val="none"/>
        </w:rPr>
        <w:t>表</w:t>
      </w:r>
    </w:p>
    <w:p w14:paraId="7EA9A244">
      <w:pPr>
        <w:ind w:firstLine="482"/>
        <w:rPr>
          <w:rFonts w:ascii="宋体" w:hAnsi="宋体"/>
          <w:b/>
          <w:sz w:val="24"/>
          <w:szCs w:val="24"/>
          <w:highlight w:val="none"/>
        </w:rPr>
      </w:pPr>
    </w:p>
    <w:p w14:paraId="481412ED">
      <w:pPr>
        <w:pStyle w:val="19"/>
        <w:adjustRightInd w:val="0"/>
        <w:snapToGrid w:val="0"/>
        <w:spacing w:line="360" w:lineRule="auto"/>
        <w:ind w:firstLine="480"/>
        <w:jc w:val="center"/>
        <w:rPr>
          <w:rFonts w:hAnsi="宋体"/>
          <w:bCs/>
          <w:sz w:val="24"/>
          <w:szCs w:val="24"/>
          <w:highlight w:val="none"/>
        </w:rPr>
      </w:pPr>
      <w:r>
        <w:rPr>
          <w:rFonts w:hint="eastAsia" w:hAnsi="宋体"/>
          <w:bCs/>
          <w:sz w:val="24"/>
          <w:szCs w:val="24"/>
          <w:highlight w:val="none"/>
        </w:rPr>
        <w:t>总监理工程师资历</w:t>
      </w:r>
      <w:r>
        <w:rPr>
          <w:rFonts w:hAnsi="宋体"/>
          <w:bCs/>
          <w:sz w:val="24"/>
          <w:szCs w:val="24"/>
          <w:highlight w:val="none"/>
        </w:rPr>
        <w:t>表</w:t>
      </w:r>
      <w:r>
        <w:rPr>
          <w:rFonts w:hint="eastAsia" w:hAnsi="宋体"/>
          <w:bCs/>
          <w:sz w:val="24"/>
          <w:szCs w:val="24"/>
          <w:highlight w:val="none"/>
        </w:rPr>
        <w:t>（格式）</w:t>
      </w:r>
    </w:p>
    <w:tbl>
      <w:tblPr>
        <w:tblStyle w:val="36"/>
        <w:tblW w:w="0" w:type="auto"/>
        <w:jc w:val="center"/>
        <w:tblLayout w:type="fixed"/>
        <w:tblCellMar>
          <w:top w:w="169" w:type="dxa"/>
          <w:left w:w="0" w:type="dxa"/>
          <w:bottom w:w="61" w:type="dxa"/>
          <w:right w:w="24" w:type="dxa"/>
        </w:tblCellMar>
      </w:tblPr>
      <w:tblGrid>
        <w:gridCol w:w="1543"/>
        <w:gridCol w:w="240"/>
        <w:gridCol w:w="451"/>
        <w:gridCol w:w="958"/>
        <w:gridCol w:w="1066"/>
        <w:gridCol w:w="750"/>
        <w:gridCol w:w="1260"/>
        <w:gridCol w:w="357"/>
        <w:gridCol w:w="1941"/>
      </w:tblGrid>
      <w:tr w14:paraId="286AE415">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single" w:color="000000" w:sz="4" w:space="0"/>
            </w:tcBorders>
            <w:noWrap w:val="0"/>
            <w:vAlign w:val="center"/>
          </w:tcPr>
          <w:p w14:paraId="0B97FF5F">
            <w:pPr>
              <w:ind w:left="29" w:firstLine="58"/>
              <w:jc w:val="center"/>
              <w:rPr>
                <w:rFonts w:ascii="宋体" w:hAnsi="宋体"/>
                <w:highlight w:val="none"/>
              </w:rPr>
            </w:pPr>
            <w:r>
              <w:rPr>
                <w:rFonts w:ascii="宋体" w:hAnsi="宋体" w:cs="宋体"/>
                <w:highlight w:val="none"/>
              </w:rPr>
              <w:t>姓</w:t>
            </w:r>
            <w:r>
              <w:rPr>
                <w:rFonts w:ascii="宋体" w:hAnsi="宋体"/>
                <w:highlight w:val="none"/>
              </w:rPr>
              <w:t xml:space="preserve">  </w:t>
            </w:r>
            <w:r>
              <w:rPr>
                <w:rFonts w:ascii="宋体" w:hAnsi="宋体" w:cs="宋体"/>
                <w:highlight w:val="none"/>
              </w:rPr>
              <w:t>名</w:t>
            </w:r>
          </w:p>
        </w:tc>
        <w:tc>
          <w:tcPr>
            <w:tcW w:w="691" w:type="dxa"/>
            <w:gridSpan w:val="2"/>
            <w:tcBorders>
              <w:top w:val="single" w:color="000000" w:sz="4" w:space="0"/>
              <w:left w:val="single" w:color="000000" w:sz="4" w:space="0"/>
              <w:bottom w:val="single" w:color="000000" w:sz="4" w:space="0"/>
              <w:right w:val="single" w:color="000000" w:sz="4" w:space="0"/>
            </w:tcBorders>
            <w:noWrap w:val="0"/>
            <w:vAlign w:val="center"/>
          </w:tcPr>
          <w:p w14:paraId="0DF4F6E9">
            <w:pPr>
              <w:ind w:left="74" w:firstLine="480"/>
              <w:jc w:val="center"/>
              <w:rPr>
                <w:rFonts w:ascii="宋体" w:hAnsi="宋体"/>
                <w:highlight w:val="none"/>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0C2DA950">
            <w:pPr>
              <w:jc w:val="center"/>
              <w:rPr>
                <w:rFonts w:ascii="宋体" w:hAnsi="宋体"/>
                <w:highlight w:val="none"/>
              </w:rPr>
            </w:pPr>
            <w:r>
              <w:rPr>
                <w:rFonts w:ascii="宋体" w:hAnsi="宋体" w:cs="宋体"/>
                <w:highlight w:val="none"/>
              </w:rPr>
              <w:t>年龄</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D14B953">
            <w:pPr>
              <w:ind w:left="77" w:firstLine="480"/>
              <w:jc w:val="center"/>
              <w:rPr>
                <w:rFonts w:ascii="宋体" w:hAnsi="宋体"/>
                <w:highlight w:val="none"/>
              </w:rPr>
            </w:pPr>
          </w:p>
        </w:tc>
        <w:tc>
          <w:tcPr>
            <w:tcW w:w="2367" w:type="dxa"/>
            <w:gridSpan w:val="3"/>
            <w:tcBorders>
              <w:top w:val="single" w:color="000000" w:sz="4" w:space="0"/>
              <w:left w:val="single" w:color="000000" w:sz="4" w:space="0"/>
              <w:bottom w:val="single" w:color="000000" w:sz="4" w:space="0"/>
              <w:right w:val="single" w:color="000000" w:sz="4" w:space="0"/>
            </w:tcBorders>
            <w:noWrap w:val="0"/>
            <w:vAlign w:val="center"/>
          </w:tcPr>
          <w:p w14:paraId="5BF67731">
            <w:pPr>
              <w:ind w:firstLine="56"/>
              <w:jc w:val="center"/>
              <w:rPr>
                <w:rFonts w:hint="eastAsia" w:ascii="宋体" w:hAnsi="宋体" w:cs="宋体"/>
                <w:highlight w:val="none"/>
              </w:rPr>
            </w:pPr>
            <w:r>
              <w:rPr>
                <w:rFonts w:ascii="宋体" w:hAnsi="宋体" w:cs="宋体"/>
                <w:highlight w:val="none"/>
              </w:rPr>
              <w:t>执业资格证书</w:t>
            </w:r>
          </w:p>
          <w:p w14:paraId="01FCF402">
            <w:pPr>
              <w:ind w:firstLine="56"/>
              <w:jc w:val="center"/>
              <w:rPr>
                <w:rFonts w:ascii="宋体" w:hAnsi="宋体"/>
                <w:highlight w:val="none"/>
              </w:rPr>
            </w:pPr>
            <w:r>
              <w:rPr>
                <w:rFonts w:ascii="宋体" w:hAnsi="宋体" w:cs="宋体"/>
                <w:highlight w:val="none"/>
              </w:rPr>
              <w:t>（或上岗证书）名称</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7CA17C18">
            <w:pPr>
              <w:ind w:left="76" w:firstLine="480"/>
              <w:jc w:val="center"/>
              <w:rPr>
                <w:rFonts w:ascii="宋体" w:hAnsi="宋体"/>
                <w:highlight w:val="none"/>
              </w:rPr>
            </w:pPr>
          </w:p>
        </w:tc>
      </w:tr>
      <w:tr w14:paraId="7B9F2899">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single" w:color="000000" w:sz="4" w:space="0"/>
            </w:tcBorders>
            <w:noWrap w:val="0"/>
            <w:vAlign w:val="center"/>
          </w:tcPr>
          <w:p w14:paraId="56A11864">
            <w:pPr>
              <w:ind w:left="29" w:firstLine="58"/>
              <w:jc w:val="center"/>
              <w:rPr>
                <w:rFonts w:ascii="宋体" w:hAnsi="宋体"/>
                <w:highlight w:val="none"/>
              </w:rPr>
            </w:pPr>
            <w:r>
              <w:rPr>
                <w:rFonts w:ascii="宋体" w:hAnsi="宋体" w:cs="宋体"/>
                <w:highlight w:val="none"/>
              </w:rPr>
              <w:t>职</w:t>
            </w:r>
            <w:r>
              <w:rPr>
                <w:rFonts w:ascii="宋体" w:hAnsi="宋体"/>
                <w:highlight w:val="none"/>
              </w:rPr>
              <w:t xml:space="preserve">  </w:t>
            </w:r>
            <w:r>
              <w:rPr>
                <w:rFonts w:ascii="宋体" w:hAnsi="宋体" w:cs="宋体"/>
                <w:highlight w:val="none"/>
              </w:rPr>
              <w:t>称</w:t>
            </w:r>
          </w:p>
        </w:tc>
        <w:tc>
          <w:tcPr>
            <w:tcW w:w="691" w:type="dxa"/>
            <w:gridSpan w:val="2"/>
            <w:tcBorders>
              <w:top w:val="single" w:color="000000" w:sz="4" w:space="0"/>
              <w:left w:val="single" w:color="000000" w:sz="4" w:space="0"/>
              <w:bottom w:val="single" w:color="000000" w:sz="4" w:space="0"/>
              <w:right w:val="single" w:color="000000" w:sz="4" w:space="0"/>
            </w:tcBorders>
            <w:noWrap w:val="0"/>
            <w:vAlign w:val="center"/>
          </w:tcPr>
          <w:p w14:paraId="33709DC0">
            <w:pPr>
              <w:ind w:left="74" w:firstLine="480"/>
              <w:jc w:val="center"/>
              <w:rPr>
                <w:rFonts w:ascii="宋体" w:hAnsi="宋体"/>
                <w:highlight w:val="none"/>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741D5CBF">
            <w:pPr>
              <w:jc w:val="center"/>
              <w:rPr>
                <w:rFonts w:ascii="宋体" w:hAnsi="宋体"/>
                <w:highlight w:val="none"/>
              </w:rPr>
            </w:pPr>
            <w:r>
              <w:rPr>
                <w:rFonts w:ascii="宋体" w:hAnsi="宋体" w:cs="宋体"/>
                <w:highlight w:val="none"/>
              </w:rPr>
              <w:t>学历</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EF8443F">
            <w:pPr>
              <w:ind w:left="77" w:firstLine="480"/>
              <w:jc w:val="center"/>
              <w:rPr>
                <w:rFonts w:ascii="宋体" w:hAnsi="宋体"/>
                <w:highlight w:val="none"/>
              </w:rPr>
            </w:pPr>
          </w:p>
        </w:tc>
        <w:tc>
          <w:tcPr>
            <w:tcW w:w="2367" w:type="dxa"/>
            <w:gridSpan w:val="3"/>
            <w:tcBorders>
              <w:top w:val="single" w:color="000000" w:sz="4" w:space="0"/>
              <w:left w:val="single" w:color="000000" w:sz="4" w:space="0"/>
              <w:bottom w:val="single" w:color="000000" w:sz="4" w:space="0"/>
              <w:right w:val="single" w:color="000000" w:sz="4" w:space="0"/>
            </w:tcBorders>
            <w:noWrap w:val="0"/>
            <w:vAlign w:val="center"/>
          </w:tcPr>
          <w:p w14:paraId="1EAC3B88">
            <w:pPr>
              <w:ind w:left="28" w:firstLine="56"/>
              <w:jc w:val="center"/>
              <w:rPr>
                <w:rFonts w:ascii="宋体" w:hAnsi="宋体"/>
                <w:highlight w:val="none"/>
              </w:rPr>
            </w:pPr>
            <w:r>
              <w:rPr>
                <w:rFonts w:ascii="宋体" w:hAnsi="宋体" w:cs="宋体"/>
                <w:highlight w:val="none"/>
              </w:rPr>
              <w:t>拟在本项目任职</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1D64FF16">
            <w:pPr>
              <w:ind w:left="76" w:firstLine="480"/>
              <w:jc w:val="center"/>
              <w:rPr>
                <w:rFonts w:ascii="宋体" w:hAnsi="宋体"/>
                <w:highlight w:val="none"/>
              </w:rPr>
            </w:pPr>
          </w:p>
        </w:tc>
      </w:tr>
      <w:tr w14:paraId="50AF3859">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single" w:color="000000" w:sz="4" w:space="0"/>
            </w:tcBorders>
            <w:noWrap w:val="0"/>
            <w:vAlign w:val="center"/>
          </w:tcPr>
          <w:p w14:paraId="14692AC7">
            <w:pPr>
              <w:ind w:left="173" w:firstLine="58"/>
              <w:jc w:val="center"/>
              <w:rPr>
                <w:rFonts w:ascii="宋体" w:hAnsi="宋体"/>
                <w:highlight w:val="none"/>
              </w:rPr>
            </w:pPr>
            <w:r>
              <w:rPr>
                <w:rFonts w:ascii="宋体" w:hAnsi="宋体" w:cs="宋体"/>
                <w:highlight w:val="none"/>
              </w:rPr>
              <w:t>工作年限</w:t>
            </w:r>
          </w:p>
        </w:tc>
        <w:tc>
          <w:tcPr>
            <w:tcW w:w="2715" w:type="dxa"/>
            <w:gridSpan w:val="4"/>
            <w:tcBorders>
              <w:top w:val="single" w:color="000000" w:sz="4" w:space="0"/>
              <w:left w:val="single" w:color="000000" w:sz="4" w:space="0"/>
              <w:bottom w:val="single" w:color="000000" w:sz="4" w:space="0"/>
              <w:right w:val="single" w:color="000000" w:sz="4" w:space="0"/>
            </w:tcBorders>
            <w:noWrap w:val="0"/>
            <w:vAlign w:val="center"/>
          </w:tcPr>
          <w:p w14:paraId="04694839">
            <w:pPr>
              <w:jc w:val="center"/>
              <w:rPr>
                <w:rFonts w:ascii="宋体" w:hAnsi="宋体"/>
                <w:highlight w:val="none"/>
              </w:rPr>
            </w:pPr>
          </w:p>
        </w:tc>
        <w:tc>
          <w:tcPr>
            <w:tcW w:w="2367" w:type="dxa"/>
            <w:gridSpan w:val="3"/>
            <w:tcBorders>
              <w:top w:val="single" w:color="000000" w:sz="4" w:space="0"/>
              <w:left w:val="single" w:color="000000" w:sz="4" w:space="0"/>
              <w:bottom w:val="single" w:color="000000" w:sz="4" w:space="0"/>
              <w:right w:val="single" w:color="000000" w:sz="4" w:space="0"/>
            </w:tcBorders>
            <w:noWrap w:val="0"/>
            <w:vAlign w:val="center"/>
          </w:tcPr>
          <w:p w14:paraId="13FD10EC">
            <w:pPr>
              <w:ind w:left="343" w:firstLine="56"/>
              <w:jc w:val="center"/>
              <w:rPr>
                <w:rFonts w:ascii="宋体" w:hAnsi="宋体"/>
                <w:highlight w:val="none"/>
              </w:rPr>
            </w:pPr>
            <w:r>
              <w:rPr>
                <w:rFonts w:ascii="宋体" w:hAnsi="宋体" w:cs="宋体"/>
                <w:highlight w:val="none"/>
              </w:rPr>
              <w:t>从事监理工作年限</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0E06D451">
            <w:pPr>
              <w:ind w:left="76" w:firstLine="480"/>
              <w:jc w:val="center"/>
              <w:rPr>
                <w:rFonts w:ascii="宋体" w:hAnsi="宋体"/>
                <w:highlight w:val="none"/>
              </w:rPr>
            </w:pPr>
          </w:p>
        </w:tc>
      </w:tr>
      <w:tr w14:paraId="226F1E70">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single" w:color="000000" w:sz="4" w:space="0"/>
            </w:tcBorders>
            <w:noWrap w:val="0"/>
            <w:vAlign w:val="center"/>
          </w:tcPr>
          <w:p w14:paraId="79531163">
            <w:pPr>
              <w:ind w:left="173" w:firstLine="58"/>
              <w:jc w:val="center"/>
              <w:rPr>
                <w:rFonts w:ascii="宋体" w:hAnsi="宋体"/>
                <w:highlight w:val="none"/>
              </w:rPr>
            </w:pPr>
            <w:r>
              <w:rPr>
                <w:rFonts w:ascii="宋体" w:hAnsi="宋体" w:cs="宋体"/>
                <w:highlight w:val="none"/>
              </w:rPr>
              <w:t>毕业学校</w:t>
            </w:r>
          </w:p>
        </w:tc>
        <w:tc>
          <w:tcPr>
            <w:tcW w:w="7023" w:type="dxa"/>
            <w:gridSpan w:val="8"/>
            <w:tcBorders>
              <w:top w:val="single" w:color="000000" w:sz="4" w:space="0"/>
              <w:left w:val="single" w:color="000000" w:sz="4" w:space="0"/>
              <w:bottom w:val="single" w:color="000000" w:sz="4" w:space="0"/>
              <w:right w:val="single" w:color="000000" w:sz="4" w:space="0"/>
            </w:tcBorders>
            <w:noWrap w:val="0"/>
            <w:vAlign w:val="center"/>
          </w:tcPr>
          <w:p w14:paraId="10E3F905">
            <w:pPr>
              <w:ind w:firstLine="56"/>
              <w:jc w:val="center"/>
              <w:rPr>
                <w:rFonts w:ascii="宋体" w:hAnsi="宋体"/>
                <w:highlight w:val="none"/>
              </w:rPr>
            </w:pPr>
            <w:r>
              <w:rPr>
                <w:rFonts w:ascii="宋体" w:hAnsi="宋体" w:cs="宋体"/>
                <w:highlight w:val="none"/>
              </w:rPr>
              <w:t>年毕业于</w:t>
            </w:r>
            <w:r>
              <w:rPr>
                <w:rFonts w:ascii="宋体" w:hAnsi="宋体"/>
                <w:highlight w:val="none"/>
              </w:rPr>
              <w:t xml:space="preserve">            </w:t>
            </w:r>
            <w:r>
              <w:rPr>
                <w:rFonts w:ascii="宋体" w:hAnsi="宋体" w:cs="宋体"/>
                <w:highlight w:val="none"/>
              </w:rPr>
              <w:t>学校</w:t>
            </w:r>
            <w:r>
              <w:rPr>
                <w:rFonts w:ascii="宋体" w:hAnsi="宋体"/>
                <w:highlight w:val="none"/>
              </w:rPr>
              <w:t xml:space="preserve">        </w:t>
            </w:r>
            <w:r>
              <w:rPr>
                <w:rFonts w:ascii="宋体" w:hAnsi="宋体" w:cs="宋体"/>
                <w:highlight w:val="none"/>
              </w:rPr>
              <w:t>专业</w:t>
            </w:r>
          </w:p>
        </w:tc>
      </w:tr>
      <w:tr w14:paraId="6C74B5EE">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7DE3E9F2">
            <w:pPr>
              <w:ind w:left="108" w:firstLine="58"/>
              <w:jc w:val="center"/>
              <w:rPr>
                <w:rFonts w:ascii="宋体" w:hAnsi="宋体"/>
                <w:highlight w:val="none"/>
              </w:rPr>
            </w:pPr>
            <w:r>
              <w:rPr>
                <w:rFonts w:ascii="宋体" w:hAnsi="宋体" w:cs="宋体"/>
                <w:highlight w:val="none"/>
              </w:rPr>
              <w:t>主要工作</w:t>
            </w:r>
            <w:r>
              <w:rPr>
                <w:rFonts w:hint="eastAsia" w:ascii="宋体" w:hAnsi="宋体" w:cs="宋体"/>
                <w:highlight w:val="none"/>
              </w:rPr>
              <w:t>经历</w:t>
            </w:r>
          </w:p>
        </w:tc>
        <w:tc>
          <w:tcPr>
            <w:tcW w:w="7023" w:type="dxa"/>
            <w:gridSpan w:val="8"/>
            <w:tcBorders>
              <w:top w:val="single" w:color="000000" w:sz="4" w:space="0"/>
              <w:left w:val="nil"/>
              <w:bottom w:val="single" w:color="000000" w:sz="4" w:space="0"/>
              <w:right w:val="single" w:color="000000" w:sz="4" w:space="0"/>
            </w:tcBorders>
            <w:noWrap w:val="0"/>
            <w:vAlign w:val="center"/>
          </w:tcPr>
          <w:p w14:paraId="162A151E">
            <w:pPr>
              <w:ind w:firstLine="56"/>
              <w:jc w:val="center"/>
              <w:rPr>
                <w:rFonts w:ascii="宋体" w:hAnsi="宋体"/>
                <w:highlight w:val="none"/>
              </w:rPr>
            </w:pPr>
          </w:p>
        </w:tc>
      </w:tr>
      <w:tr w14:paraId="2C0BA8FC">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2D0BDB24">
            <w:pPr>
              <w:ind w:right="72" w:firstLine="58"/>
              <w:jc w:val="center"/>
              <w:rPr>
                <w:rFonts w:ascii="宋体" w:hAnsi="宋体"/>
                <w:highlight w:val="none"/>
              </w:rPr>
            </w:pPr>
            <w:r>
              <w:rPr>
                <w:rFonts w:ascii="宋体" w:hAnsi="宋体" w:cs="宋体"/>
                <w:highlight w:val="none"/>
              </w:rPr>
              <w:t>时</w:t>
            </w:r>
            <w:r>
              <w:rPr>
                <w:rFonts w:ascii="宋体" w:hAnsi="宋体"/>
                <w:highlight w:val="none"/>
              </w:rPr>
              <w:t xml:space="preserve">  </w:t>
            </w:r>
            <w:r>
              <w:rPr>
                <w:rFonts w:ascii="宋体" w:hAnsi="宋体" w:cs="宋体"/>
                <w:highlight w:val="none"/>
              </w:rPr>
              <w:t>间</w:t>
            </w:r>
          </w:p>
        </w:tc>
        <w:tc>
          <w:tcPr>
            <w:tcW w:w="240" w:type="dxa"/>
            <w:tcBorders>
              <w:top w:val="single" w:color="000000" w:sz="4" w:space="0"/>
              <w:left w:val="nil"/>
              <w:bottom w:val="single" w:color="000000" w:sz="4" w:space="0"/>
              <w:right w:val="single" w:color="000000" w:sz="4" w:space="0"/>
            </w:tcBorders>
            <w:noWrap w:val="0"/>
            <w:vAlign w:val="center"/>
          </w:tcPr>
          <w:p w14:paraId="4E28B2F7">
            <w:pPr>
              <w:ind w:firstLine="480"/>
              <w:jc w:val="center"/>
              <w:rPr>
                <w:rFonts w:ascii="宋体" w:hAnsi="宋体"/>
                <w:highlight w:val="none"/>
              </w:rPr>
            </w:pPr>
          </w:p>
        </w:tc>
        <w:tc>
          <w:tcPr>
            <w:tcW w:w="3225" w:type="dxa"/>
            <w:gridSpan w:val="4"/>
            <w:tcBorders>
              <w:top w:val="single" w:color="000000" w:sz="4" w:space="0"/>
              <w:left w:val="single" w:color="000000" w:sz="4" w:space="0"/>
              <w:bottom w:val="single" w:color="000000" w:sz="4" w:space="0"/>
              <w:right w:val="single" w:color="000000" w:sz="4" w:space="0"/>
            </w:tcBorders>
            <w:noWrap w:val="0"/>
            <w:vAlign w:val="center"/>
          </w:tcPr>
          <w:p w14:paraId="52131ED0">
            <w:pPr>
              <w:ind w:firstLine="56"/>
              <w:jc w:val="center"/>
              <w:rPr>
                <w:rFonts w:ascii="宋体" w:hAnsi="宋体"/>
                <w:highlight w:val="none"/>
              </w:rPr>
            </w:pPr>
            <w:r>
              <w:rPr>
                <w:rFonts w:ascii="宋体" w:hAnsi="宋体" w:cs="宋体"/>
                <w:highlight w:val="none"/>
              </w:rPr>
              <w:t>参加过的类似项目</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FDEBABA">
            <w:pPr>
              <w:ind w:left="209" w:firstLine="56"/>
              <w:jc w:val="center"/>
              <w:rPr>
                <w:rFonts w:ascii="宋体" w:hAnsi="宋体"/>
                <w:highlight w:val="none"/>
              </w:rPr>
            </w:pPr>
            <w:r>
              <w:rPr>
                <w:rFonts w:ascii="宋体" w:hAnsi="宋体" w:cs="宋体"/>
                <w:highlight w:val="none"/>
              </w:rPr>
              <w:t>担任职务</w:t>
            </w:r>
          </w:p>
        </w:tc>
        <w:tc>
          <w:tcPr>
            <w:tcW w:w="2298" w:type="dxa"/>
            <w:gridSpan w:val="2"/>
            <w:tcBorders>
              <w:top w:val="single" w:color="000000" w:sz="4" w:space="0"/>
              <w:left w:val="single" w:color="000000" w:sz="4" w:space="0"/>
              <w:bottom w:val="single" w:color="000000" w:sz="4" w:space="0"/>
              <w:right w:val="single" w:color="000000" w:sz="4" w:space="0"/>
            </w:tcBorders>
            <w:noWrap w:val="0"/>
            <w:vAlign w:val="center"/>
          </w:tcPr>
          <w:p w14:paraId="08152043">
            <w:pPr>
              <w:ind w:left="307" w:firstLine="56"/>
              <w:jc w:val="center"/>
              <w:rPr>
                <w:rFonts w:ascii="宋体" w:hAnsi="宋体"/>
                <w:highlight w:val="none"/>
              </w:rPr>
            </w:pPr>
            <w:r>
              <w:rPr>
                <w:rFonts w:ascii="宋体" w:hAnsi="宋体" w:cs="宋体"/>
                <w:highlight w:val="none"/>
              </w:rPr>
              <w:t>委托人及联系电话</w:t>
            </w:r>
          </w:p>
        </w:tc>
      </w:tr>
      <w:tr w14:paraId="1E14C3AF">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2ABC8C24">
            <w:pPr>
              <w:ind w:left="108" w:firstLine="58"/>
              <w:jc w:val="center"/>
              <w:rPr>
                <w:rFonts w:ascii="宋体" w:hAnsi="宋体"/>
                <w:highlight w:val="none"/>
              </w:rPr>
            </w:pPr>
          </w:p>
        </w:tc>
        <w:tc>
          <w:tcPr>
            <w:tcW w:w="240" w:type="dxa"/>
            <w:tcBorders>
              <w:top w:val="single" w:color="000000" w:sz="4" w:space="0"/>
              <w:left w:val="nil"/>
              <w:bottom w:val="single" w:color="000000" w:sz="4" w:space="0"/>
              <w:right w:val="single" w:color="000000" w:sz="4" w:space="0"/>
            </w:tcBorders>
            <w:noWrap w:val="0"/>
            <w:vAlign w:val="center"/>
          </w:tcPr>
          <w:p w14:paraId="25D4E682">
            <w:pPr>
              <w:ind w:firstLine="480"/>
              <w:jc w:val="center"/>
              <w:rPr>
                <w:rFonts w:ascii="宋体" w:hAnsi="宋体"/>
                <w:highlight w:val="none"/>
              </w:rPr>
            </w:pPr>
          </w:p>
        </w:tc>
        <w:tc>
          <w:tcPr>
            <w:tcW w:w="3225" w:type="dxa"/>
            <w:gridSpan w:val="4"/>
            <w:tcBorders>
              <w:top w:val="single" w:color="000000" w:sz="4" w:space="0"/>
              <w:left w:val="single" w:color="000000" w:sz="4" w:space="0"/>
              <w:bottom w:val="single" w:color="000000" w:sz="4" w:space="0"/>
              <w:right w:val="single" w:color="000000" w:sz="4" w:space="0"/>
            </w:tcBorders>
            <w:noWrap w:val="0"/>
            <w:vAlign w:val="center"/>
          </w:tcPr>
          <w:p w14:paraId="3AD6E508">
            <w:pPr>
              <w:ind w:firstLine="56"/>
              <w:jc w:val="center"/>
              <w:rPr>
                <w:rFonts w:ascii="宋体" w:hAnsi="宋体"/>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F604857">
            <w:pPr>
              <w:ind w:left="108" w:firstLine="56"/>
              <w:jc w:val="center"/>
              <w:rPr>
                <w:rFonts w:ascii="宋体" w:hAnsi="宋体"/>
                <w:highlight w:val="none"/>
              </w:rPr>
            </w:pPr>
          </w:p>
        </w:tc>
        <w:tc>
          <w:tcPr>
            <w:tcW w:w="2298" w:type="dxa"/>
            <w:gridSpan w:val="2"/>
            <w:tcBorders>
              <w:top w:val="single" w:color="000000" w:sz="4" w:space="0"/>
              <w:left w:val="single" w:color="000000" w:sz="4" w:space="0"/>
              <w:bottom w:val="single" w:color="000000" w:sz="4" w:space="0"/>
              <w:right w:val="single" w:color="000000" w:sz="4" w:space="0"/>
            </w:tcBorders>
            <w:noWrap w:val="0"/>
            <w:vAlign w:val="center"/>
          </w:tcPr>
          <w:p w14:paraId="54810CDE">
            <w:pPr>
              <w:ind w:left="108" w:firstLine="56"/>
              <w:jc w:val="center"/>
              <w:rPr>
                <w:rFonts w:ascii="宋体" w:hAnsi="宋体"/>
                <w:highlight w:val="none"/>
              </w:rPr>
            </w:pPr>
          </w:p>
        </w:tc>
      </w:tr>
      <w:tr w14:paraId="5022658E">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6CC6BF71">
            <w:pPr>
              <w:ind w:left="108" w:firstLine="58"/>
              <w:jc w:val="center"/>
              <w:rPr>
                <w:rFonts w:ascii="宋体" w:hAnsi="宋体"/>
                <w:highlight w:val="none"/>
              </w:rPr>
            </w:pPr>
          </w:p>
        </w:tc>
        <w:tc>
          <w:tcPr>
            <w:tcW w:w="240" w:type="dxa"/>
            <w:tcBorders>
              <w:top w:val="single" w:color="000000" w:sz="4" w:space="0"/>
              <w:left w:val="nil"/>
              <w:bottom w:val="single" w:color="000000" w:sz="4" w:space="0"/>
              <w:right w:val="single" w:color="000000" w:sz="4" w:space="0"/>
            </w:tcBorders>
            <w:noWrap w:val="0"/>
            <w:vAlign w:val="center"/>
          </w:tcPr>
          <w:p w14:paraId="4ED3D300">
            <w:pPr>
              <w:ind w:firstLine="480"/>
              <w:jc w:val="center"/>
              <w:rPr>
                <w:rFonts w:ascii="宋体" w:hAnsi="宋体"/>
                <w:highlight w:val="none"/>
              </w:rPr>
            </w:pPr>
          </w:p>
        </w:tc>
        <w:tc>
          <w:tcPr>
            <w:tcW w:w="3225" w:type="dxa"/>
            <w:gridSpan w:val="4"/>
            <w:tcBorders>
              <w:top w:val="single" w:color="000000" w:sz="4" w:space="0"/>
              <w:left w:val="single" w:color="000000" w:sz="4" w:space="0"/>
              <w:bottom w:val="single" w:color="000000" w:sz="4" w:space="0"/>
              <w:right w:val="single" w:color="000000" w:sz="4" w:space="0"/>
            </w:tcBorders>
            <w:noWrap w:val="0"/>
            <w:vAlign w:val="center"/>
          </w:tcPr>
          <w:p w14:paraId="00C0C158">
            <w:pPr>
              <w:ind w:firstLine="56"/>
              <w:jc w:val="center"/>
              <w:rPr>
                <w:rFonts w:ascii="宋体" w:hAnsi="宋体"/>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C6A6F75">
            <w:pPr>
              <w:ind w:left="108" w:firstLine="56"/>
              <w:jc w:val="center"/>
              <w:rPr>
                <w:rFonts w:ascii="宋体" w:hAnsi="宋体"/>
                <w:highlight w:val="none"/>
              </w:rPr>
            </w:pPr>
          </w:p>
        </w:tc>
        <w:tc>
          <w:tcPr>
            <w:tcW w:w="2298" w:type="dxa"/>
            <w:gridSpan w:val="2"/>
            <w:tcBorders>
              <w:top w:val="single" w:color="000000" w:sz="4" w:space="0"/>
              <w:left w:val="single" w:color="000000" w:sz="4" w:space="0"/>
              <w:bottom w:val="single" w:color="000000" w:sz="4" w:space="0"/>
              <w:right w:val="single" w:color="000000" w:sz="4" w:space="0"/>
            </w:tcBorders>
            <w:noWrap w:val="0"/>
            <w:vAlign w:val="center"/>
          </w:tcPr>
          <w:p w14:paraId="4EF960E6">
            <w:pPr>
              <w:ind w:left="108" w:firstLine="56"/>
              <w:jc w:val="center"/>
              <w:rPr>
                <w:rFonts w:ascii="宋体" w:hAnsi="宋体"/>
                <w:highlight w:val="none"/>
              </w:rPr>
            </w:pPr>
          </w:p>
        </w:tc>
      </w:tr>
      <w:tr w14:paraId="7C8DAD01">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24673530">
            <w:pPr>
              <w:ind w:left="108" w:firstLine="58"/>
              <w:jc w:val="center"/>
              <w:rPr>
                <w:rFonts w:ascii="宋体" w:hAnsi="宋体"/>
                <w:highlight w:val="none"/>
              </w:rPr>
            </w:pPr>
          </w:p>
        </w:tc>
        <w:tc>
          <w:tcPr>
            <w:tcW w:w="240" w:type="dxa"/>
            <w:tcBorders>
              <w:top w:val="single" w:color="000000" w:sz="4" w:space="0"/>
              <w:left w:val="nil"/>
              <w:bottom w:val="single" w:color="000000" w:sz="4" w:space="0"/>
              <w:right w:val="single" w:color="000000" w:sz="4" w:space="0"/>
            </w:tcBorders>
            <w:noWrap w:val="0"/>
            <w:vAlign w:val="center"/>
          </w:tcPr>
          <w:p w14:paraId="628DF34C">
            <w:pPr>
              <w:ind w:firstLine="480"/>
              <w:jc w:val="center"/>
              <w:rPr>
                <w:rFonts w:ascii="宋体" w:hAnsi="宋体"/>
                <w:highlight w:val="none"/>
              </w:rPr>
            </w:pPr>
          </w:p>
        </w:tc>
        <w:tc>
          <w:tcPr>
            <w:tcW w:w="3225" w:type="dxa"/>
            <w:gridSpan w:val="4"/>
            <w:tcBorders>
              <w:top w:val="single" w:color="000000" w:sz="4" w:space="0"/>
              <w:left w:val="single" w:color="000000" w:sz="4" w:space="0"/>
              <w:bottom w:val="single" w:color="000000" w:sz="4" w:space="0"/>
              <w:right w:val="single" w:color="000000" w:sz="4" w:space="0"/>
            </w:tcBorders>
            <w:noWrap w:val="0"/>
            <w:vAlign w:val="center"/>
          </w:tcPr>
          <w:p w14:paraId="5107EC14">
            <w:pPr>
              <w:ind w:firstLine="56"/>
              <w:jc w:val="center"/>
              <w:rPr>
                <w:rFonts w:ascii="宋体" w:hAnsi="宋体"/>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C157B7D">
            <w:pPr>
              <w:ind w:left="108" w:firstLine="56"/>
              <w:jc w:val="center"/>
              <w:rPr>
                <w:rFonts w:ascii="宋体" w:hAnsi="宋体"/>
                <w:highlight w:val="none"/>
              </w:rPr>
            </w:pPr>
          </w:p>
        </w:tc>
        <w:tc>
          <w:tcPr>
            <w:tcW w:w="2298" w:type="dxa"/>
            <w:gridSpan w:val="2"/>
            <w:tcBorders>
              <w:top w:val="single" w:color="000000" w:sz="4" w:space="0"/>
              <w:left w:val="single" w:color="000000" w:sz="4" w:space="0"/>
              <w:bottom w:val="single" w:color="000000" w:sz="4" w:space="0"/>
              <w:right w:val="single" w:color="000000" w:sz="4" w:space="0"/>
            </w:tcBorders>
            <w:noWrap w:val="0"/>
            <w:vAlign w:val="center"/>
          </w:tcPr>
          <w:p w14:paraId="2E99A570">
            <w:pPr>
              <w:ind w:left="108" w:firstLine="56"/>
              <w:jc w:val="center"/>
              <w:rPr>
                <w:rFonts w:ascii="宋体" w:hAnsi="宋体"/>
                <w:highlight w:val="none"/>
              </w:rPr>
            </w:pPr>
          </w:p>
        </w:tc>
      </w:tr>
      <w:tr w14:paraId="52CCCB54">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5D482964">
            <w:pPr>
              <w:ind w:left="108" w:firstLine="58"/>
              <w:jc w:val="center"/>
              <w:rPr>
                <w:rFonts w:ascii="宋体" w:hAnsi="宋体"/>
                <w:highlight w:val="none"/>
              </w:rPr>
            </w:pPr>
          </w:p>
        </w:tc>
        <w:tc>
          <w:tcPr>
            <w:tcW w:w="240" w:type="dxa"/>
            <w:tcBorders>
              <w:top w:val="single" w:color="000000" w:sz="4" w:space="0"/>
              <w:left w:val="nil"/>
              <w:bottom w:val="single" w:color="000000" w:sz="4" w:space="0"/>
              <w:right w:val="single" w:color="000000" w:sz="4" w:space="0"/>
            </w:tcBorders>
            <w:noWrap w:val="0"/>
            <w:vAlign w:val="center"/>
          </w:tcPr>
          <w:p w14:paraId="423DECB8">
            <w:pPr>
              <w:ind w:firstLine="480"/>
              <w:jc w:val="center"/>
              <w:rPr>
                <w:rFonts w:ascii="宋体" w:hAnsi="宋体"/>
                <w:highlight w:val="none"/>
              </w:rPr>
            </w:pPr>
          </w:p>
        </w:tc>
        <w:tc>
          <w:tcPr>
            <w:tcW w:w="3225" w:type="dxa"/>
            <w:gridSpan w:val="4"/>
            <w:tcBorders>
              <w:top w:val="single" w:color="000000" w:sz="4" w:space="0"/>
              <w:left w:val="single" w:color="000000" w:sz="4" w:space="0"/>
              <w:bottom w:val="single" w:color="000000" w:sz="4" w:space="0"/>
              <w:right w:val="single" w:color="000000" w:sz="4" w:space="0"/>
            </w:tcBorders>
            <w:noWrap w:val="0"/>
            <w:vAlign w:val="center"/>
          </w:tcPr>
          <w:p w14:paraId="5F90393E">
            <w:pPr>
              <w:ind w:firstLine="56"/>
              <w:jc w:val="center"/>
              <w:rPr>
                <w:rFonts w:ascii="宋体" w:hAnsi="宋体"/>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53B8CF8">
            <w:pPr>
              <w:ind w:left="108" w:firstLine="56"/>
              <w:jc w:val="center"/>
              <w:rPr>
                <w:rFonts w:ascii="宋体" w:hAnsi="宋体"/>
                <w:highlight w:val="none"/>
              </w:rPr>
            </w:pPr>
          </w:p>
        </w:tc>
        <w:tc>
          <w:tcPr>
            <w:tcW w:w="2298" w:type="dxa"/>
            <w:gridSpan w:val="2"/>
            <w:tcBorders>
              <w:top w:val="single" w:color="000000" w:sz="4" w:space="0"/>
              <w:left w:val="single" w:color="000000" w:sz="4" w:space="0"/>
              <w:bottom w:val="single" w:color="000000" w:sz="4" w:space="0"/>
              <w:right w:val="single" w:color="000000" w:sz="4" w:space="0"/>
            </w:tcBorders>
            <w:noWrap w:val="0"/>
            <w:vAlign w:val="center"/>
          </w:tcPr>
          <w:p w14:paraId="638213E3">
            <w:pPr>
              <w:ind w:left="108" w:firstLine="56"/>
              <w:jc w:val="center"/>
              <w:rPr>
                <w:rFonts w:ascii="宋体" w:hAnsi="宋体"/>
                <w:highlight w:val="none"/>
              </w:rPr>
            </w:pPr>
          </w:p>
        </w:tc>
      </w:tr>
      <w:tr w14:paraId="6DAEF05A">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21B49B86">
            <w:pPr>
              <w:ind w:left="108" w:firstLine="58"/>
              <w:jc w:val="center"/>
              <w:rPr>
                <w:rFonts w:ascii="宋体" w:hAnsi="宋体"/>
                <w:highlight w:val="none"/>
              </w:rPr>
            </w:pPr>
          </w:p>
        </w:tc>
        <w:tc>
          <w:tcPr>
            <w:tcW w:w="240" w:type="dxa"/>
            <w:tcBorders>
              <w:top w:val="single" w:color="000000" w:sz="4" w:space="0"/>
              <w:left w:val="nil"/>
              <w:bottom w:val="single" w:color="000000" w:sz="4" w:space="0"/>
              <w:right w:val="single" w:color="000000" w:sz="4" w:space="0"/>
            </w:tcBorders>
            <w:noWrap w:val="0"/>
            <w:vAlign w:val="center"/>
          </w:tcPr>
          <w:p w14:paraId="3EA436B4">
            <w:pPr>
              <w:ind w:firstLine="480"/>
              <w:jc w:val="center"/>
              <w:rPr>
                <w:rFonts w:ascii="宋体" w:hAnsi="宋体"/>
                <w:highlight w:val="none"/>
              </w:rPr>
            </w:pPr>
          </w:p>
        </w:tc>
        <w:tc>
          <w:tcPr>
            <w:tcW w:w="3225" w:type="dxa"/>
            <w:gridSpan w:val="4"/>
            <w:tcBorders>
              <w:top w:val="single" w:color="000000" w:sz="4" w:space="0"/>
              <w:left w:val="single" w:color="000000" w:sz="4" w:space="0"/>
              <w:bottom w:val="single" w:color="000000" w:sz="4" w:space="0"/>
              <w:right w:val="single" w:color="000000" w:sz="4" w:space="0"/>
            </w:tcBorders>
            <w:noWrap w:val="0"/>
            <w:vAlign w:val="center"/>
          </w:tcPr>
          <w:p w14:paraId="4EDE02A9">
            <w:pPr>
              <w:ind w:firstLine="56"/>
              <w:jc w:val="center"/>
              <w:rPr>
                <w:rFonts w:ascii="宋体" w:hAnsi="宋体"/>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42545C3">
            <w:pPr>
              <w:ind w:left="108" w:firstLine="56"/>
              <w:jc w:val="center"/>
              <w:rPr>
                <w:rFonts w:ascii="宋体" w:hAnsi="宋体"/>
                <w:highlight w:val="none"/>
              </w:rPr>
            </w:pPr>
          </w:p>
        </w:tc>
        <w:tc>
          <w:tcPr>
            <w:tcW w:w="2298" w:type="dxa"/>
            <w:gridSpan w:val="2"/>
            <w:tcBorders>
              <w:top w:val="single" w:color="000000" w:sz="4" w:space="0"/>
              <w:left w:val="single" w:color="000000" w:sz="4" w:space="0"/>
              <w:bottom w:val="single" w:color="000000" w:sz="4" w:space="0"/>
              <w:right w:val="single" w:color="000000" w:sz="4" w:space="0"/>
            </w:tcBorders>
            <w:noWrap w:val="0"/>
            <w:vAlign w:val="center"/>
          </w:tcPr>
          <w:p w14:paraId="74A893DA">
            <w:pPr>
              <w:ind w:left="108" w:firstLine="56"/>
              <w:jc w:val="center"/>
              <w:rPr>
                <w:rFonts w:ascii="宋体" w:hAnsi="宋体"/>
                <w:highlight w:val="none"/>
              </w:rPr>
            </w:pPr>
          </w:p>
        </w:tc>
      </w:tr>
      <w:tr w14:paraId="68C47432">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2774EEDF">
            <w:pPr>
              <w:ind w:left="108" w:firstLine="58"/>
              <w:jc w:val="center"/>
              <w:rPr>
                <w:rFonts w:ascii="宋体" w:hAnsi="宋体"/>
                <w:highlight w:val="none"/>
              </w:rPr>
            </w:pPr>
          </w:p>
        </w:tc>
        <w:tc>
          <w:tcPr>
            <w:tcW w:w="240" w:type="dxa"/>
            <w:tcBorders>
              <w:top w:val="single" w:color="000000" w:sz="4" w:space="0"/>
              <w:left w:val="nil"/>
              <w:bottom w:val="single" w:color="000000" w:sz="4" w:space="0"/>
              <w:right w:val="single" w:color="000000" w:sz="4" w:space="0"/>
            </w:tcBorders>
            <w:noWrap w:val="0"/>
            <w:vAlign w:val="center"/>
          </w:tcPr>
          <w:p w14:paraId="3ACA9CBE">
            <w:pPr>
              <w:ind w:firstLine="480"/>
              <w:jc w:val="center"/>
              <w:rPr>
                <w:rFonts w:ascii="宋体" w:hAnsi="宋体"/>
                <w:highlight w:val="none"/>
              </w:rPr>
            </w:pPr>
          </w:p>
        </w:tc>
        <w:tc>
          <w:tcPr>
            <w:tcW w:w="3225" w:type="dxa"/>
            <w:gridSpan w:val="4"/>
            <w:tcBorders>
              <w:top w:val="single" w:color="000000" w:sz="4" w:space="0"/>
              <w:left w:val="single" w:color="000000" w:sz="4" w:space="0"/>
              <w:bottom w:val="single" w:color="000000" w:sz="4" w:space="0"/>
              <w:right w:val="single" w:color="000000" w:sz="4" w:space="0"/>
            </w:tcBorders>
            <w:noWrap w:val="0"/>
            <w:vAlign w:val="center"/>
          </w:tcPr>
          <w:p w14:paraId="38B1F275">
            <w:pPr>
              <w:ind w:firstLine="56"/>
              <w:jc w:val="center"/>
              <w:rPr>
                <w:rFonts w:ascii="宋体" w:hAnsi="宋体"/>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10ABF93">
            <w:pPr>
              <w:ind w:left="108" w:firstLine="56"/>
              <w:jc w:val="center"/>
              <w:rPr>
                <w:rFonts w:ascii="宋体" w:hAnsi="宋体"/>
                <w:highlight w:val="none"/>
              </w:rPr>
            </w:pPr>
          </w:p>
        </w:tc>
        <w:tc>
          <w:tcPr>
            <w:tcW w:w="2298" w:type="dxa"/>
            <w:gridSpan w:val="2"/>
            <w:tcBorders>
              <w:top w:val="single" w:color="000000" w:sz="4" w:space="0"/>
              <w:left w:val="single" w:color="000000" w:sz="4" w:space="0"/>
              <w:bottom w:val="single" w:color="000000" w:sz="4" w:space="0"/>
              <w:right w:val="single" w:color="000000" w:sz="4" w:space="0"/>
            </w:tcBorders>
            <w:noWrap w:val="0"/>
            <w:vAlign w:val="center"/>
          </w:tcPr>
          <w:p w14:paraId="08CCBAE8">
            <w:pPr>
              <w:ind w:left="108" w:firstLine="56"/>
              <w:jc w:val="center"/>
              <w:rPr>
                <w:rFonts w:ascii="宋体" w:hAnsi="宋体"/>
                <w:highlight w:val="none"/>
              </w:rPr>
            </w:pPr>
          </w:p>
        </w:tc>
      </w:tr>
      <w:tr w14:paraId="4781F33C">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10871136">
            <w:pPr>
              <w:ind w:left="108" w:firstLine="58"/>
              <w:jc w:val="center"/>
              <w:rPr>
                <w:rFonts w:ascii="宋体" w:hAnsi="宋体"/>
                <w:highlight w:val="none"/>
              </w:rPr>
            </w:pPr>
          </w:p>
        </w:tc>
        <w:tc>
          <w:tcPr>
            <w:tcW w:w="240" w:type="dxa"/>
            <w:tcBorders>
              <w:top w:val="single" w:color="000000" w:sz="4" w:space="0"/>
              <w:left w:val="nil"/>
              <w:bottom w:val="single" w:color="000000" w:sz="4" w:space="0"/>
              <w:right w:val="single" w:color="000000" w:sz="4" w:space="0"/>
            </w:tcBorders>
            <w:noWrap w:val="0"/>
            <w:vAlign w:val="center"/>
          </w:tcPr>
          <w:p w14:paraId="3B525531">
            <w:pPr>
              <w:ind w:firstLine="480"/>
              <w:jc w:val="center"/>
              <w:rPr>
                <w:rFonts w:ascii="宋体" w:hAnsi="宋体"/>
                <w:highlight w:val="none"/>
              </w:rPr>
            </w:pPr>
          </w:p>
        </w:tc>
        <w:tc>
          <w:tcPr>
            <w:tcW w:w="3225" w:type="dxa"/>
            <w:gridSpan w:val="4"/>
            <w:tcBorders>
              <w:top w:val="single" w:color="000000" w:sz="4" w:space="0"/>
              <w:left w:val="single" w:color="000000" w:sz="4" w:space="0"/>
              <w:bottom w:val="single" w:color="000000" w:sz="4" w:space="0"/>
              <w:right w:val="single" w:color="000000" w:sz="4" w:space="0"/>
            </w:tcBorders>
            <w:noWrap w:val="0"/>
            <w:vAlign w:val="center"/>
          </w:tcPr>
          <w:p w14:paraId="7950FC89">
            <w:pPr>
              <w:ind w:firstLine="56"/>
              <w:jc w:val="center"/>
              <w:rPr>
                <w:rFonts w:ascii="宋体" w:hAnsi="宋体"/>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53323CB">
            <w:pPr>
              <w:ind w:left="108" w:firstLine="56"/>
              <w:jc w:val="center"/>
              <w:rPr>
                <w:rFonts w:ascii="宋体" w:hAnsi="宋体"/>
                <w:highlight w:val="none"/>
              </w:rPr>
            </w:pPr>
          </w:p>
        </w:tc>
        <w:tc>
          <w:tcPr>
            <w:tcW w:w="2298" w:type="dxa"/>
            <w:gridSpan w:val="2"/>
            <w:tcBorders>
              <w:top w:val="single" w:color="000000" w:sz="4" w:space="0"/>
              <w:left w:val="single" w:color="000000" w:sz="4" w:space="0"/>
              <w:bottom w:val="single" w:color="000000" w:sz="4" w:space="0"/>
              <w:right w:val="single" w:color="000000" w:sz="4" w:space="0"/>
            </w:tcBorders>
            <w:noWrap w:val="0"/>
            <w:vAlign w:val="center"/>
          </w:tcPr>
          <w:p w14:paraId="4EBD49DF">
            <w:pPr>
              <w:ind w:left="108" w:firstLine="56"/>
              <w:jc w:val="center"/>
              <w:rPr>
                <w:rFonts w:ascii="宋体" w:hAnsi="宋体"/>
                <w:highlight w:val="none"/>
              </w:rPr>
            </w:pPr>
          </w:p>
        </w:tc>
      </w:tr>
    </w:tbl>
    <w:p w14:paraId="66AEC3A5">
      <w:pPr>
        <w:snapToGrid w:val="0"/>
        <w:ind w:firstLine="480"/>
        <w:rPr>
          <w:rFonts w:hint="eastAsia" w:ascii="宋体" w:hAnsi="宋体"/>
          <w:highlight w:val="none"/>
        </w:rPr>
      </w:pPr>
    </w:p>
    <w:p w14:paraId="0EF5261F">
      <w:pPr>
        <w:snapToGrid w:val="0"/>
        <w:spacing w:line="400" w:lineRule="exact"/>
        <w:ind w:firstLine="480"/>
        <w:rPr>
          <w:rFonts w:hint="eastAsia" w:ascii="宋体" w:hAnsi="宋体"/>
          <w:highlight w:val="none"/>
        </w:rPr>
      </w:pPr>
      <w:r>
        <w:rPr>
          <w:rFonts w:hint="eastAsia" w:ascii="宋体" w:hAnsi="宋体"/>
          <w:highlight w:val="none"/>
        </w:rPr>
        <w:t>注：本表后附总监理工程师的身份证复印件、</w:t>
      </w:r>
      <w:r>
        <w:rPr>
          <w:rFonts w:hint="eastAsia" w:ascii="宋体" w:hAnsi="宋体"/>
          <w:b/>
          <w:highlight w:val="none"/>
        </w:rPr>
        <w:t>市政公用工程</w:t>
      </w:r>
      <w:r>
        <w:rPr>
          <w:rFonts w:hint="eastAsia" w:ascii="宋体" w:hAnsi="宋体"/>
          <w:highlight w:val="none"/>
        </w:rPr>
        <w:t>注册监理工程师证复印件、职称证书复印件和在投标人本单位缴交的</w:t>
      </w:r>
      <w:r>
        <w:rPr>
          <w:rFonts w:hint="eastAsia" w:ascii="宋体" w:hAnsi="宋体"/>
          <w:highlight w:val="none"/>
          <w:lang w:eastAsia="zh-CN"/>
        </w:rPr>
        <w:t>连续近1个月（202</w:t>
      </w:r>
      <w:r>
        <w:rPr>
          <w:rFonts w:hint="eastAsia" w:ascii="宋体" w:hAnsi="宋体"/>
          <w:highlight w:val="none"/>
          <w:lang w:val="en-US" w:eastAsia="zh-CN"/>
        </w:rPr>
        <w:t>4</w:t>
      </w:r>
      <w:r>
        <w:rPr>
          <w:rFonts w:hint="eastAsia" w:ascii="宋体" w:hAnsi="宋体"/>
          <w:highlight w:val="none"/>
          <w:lang w:eastAsia="zh-CN"/>
        </w:rPr>
        <w:t>年</w:t>
      </w:r>
      <w:r>
        <w:rPr>
          <w:rFonts w:hint="eastAsia" w:ascii="宋体" w:hAnsi="宋体"/>
          <w:highlight w:val="none"/>
          <w:lang w:val="en-US" w:eastAsia="zh-CN"/>
        </w:rPr>
        <w:t>7</w:t>
      </w:r>
      <w:r>
        <w:rPr>
          <w:rFonts w:hint="eastAsia" w:ascii="宋体" w:hAnsi="宋体"/>
          <w:highlight w:val="none"/>
          <w:lang w:eastAsia="zh-CN"/>
        </w:rPr>
        <w:t>月）</w:t>
      </w:r>
      <w:r>
        <w:rPr>
          <w:rFonts w:hint="eastAsia" w:ascii="宋体" w:hAnsi="宋体"/>
          <w:highlight w:val="none"/>
        </w:rPr>
        <w:t>社保证明(须</w:t>
      </w:r>
      <w:r>
        <w:rPr>
          <w:rFonts w:ascii="宋体" w:hAnsi="宋体"/>
          <w:highlight w:val="none"/>
        </w:rPr>
        <w:t>加盖</w:t>
      </w:r>
      <w:r>
        <w:rPr>
          <w:rFonts w:hint="eastAsia" w:ascii="宋体" w:hAnsi="宋体"/>
          <w:highlight w:val="none"/>
        </w:rPr>
        <w:t>社保部门或税务部门印章)。</w:t>
      </w:r>
    </w:p>
    <w:p w14:paraId="709C6D86">
      <w:pPr>
        <w:tabs>
          <w:tab w:val="left" w:pos="0"/>
        </w:tabs>
        <w:autoSpaceDE w:val="0"/>
        <w:autoSpaceDN w:val="0"/>
        <w:adjustRightInd w:val="0"/>
        <w:ind w:firstLine="420" w:firstLineChars="200"/>
        <w:rPr>
          <w:rFonts w:hint="eastAsia" w:ascii="宋体" w:hAnsi="宋体"/>
          <w:highlight w:val="none"/>
        </w:rPr>
      </w:pPr>
    </w:p>
    <w:p w14:paraId="0D5793F9">
      <w:pPr>
        <w:tabs>
          <w:tab w:val="left" w:pos="0"/>
        </w:tabs>
        <w:autoSpaceDE w:val="0"/>
        <w:autoSpaceDN w:val="0"/>
        <w:adjustRightInd w:val="0"/>
        <w:spacing w:line="480" w:lineRule="auto"/>
        <w:ind w:firstLine="420" w:firstLineChars="200"/>
        <w:rPr>
          <w:rFonts w:ascii="宋体" w:hAnsi="宋体"/>
          <w:highlight w:val="none"/>
        </w:rPr>
      </w:pPr>
    </w:p>
    <w:p w14:paraId="32E44F51">
      <w:pPr>
        <w:snapToGrid w:val="0"/>
        <w:spacing w:line="480" w:lineRule="auto"/>
        <w:ind w:left="3826" w:leftChars="1822" w:right="482" w:firstLine="480"/>
        <w:rPr>
          <w:rFonts w:ascii="宋体" w:hAnsi="宋体"/>
          <w:highlight w:val="none"/>
        </w:rPr>
      </w:pPr>
      <w:r>
        <w:rPr>
          <w:rFonts w:hint="eastAsia" w:ascii="宋体" w:hAnsi="宋体"/>
          <w:highlight w:val="none"/>
        </w:rPr>
        <w:t>投标人：</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（盖单位章）</w:t>
      </w:r>
      <w:r>
        <w:rPr>
          <w:rFonts w:ascii="宋体" w:hAnsi="宋体"/>
          <w:highlight w:val="none"/>
        </w:rPr>
        <w:t xml:space="preserve">           </w:t>
      </w:r>
    </w:p>
    <w:p w14:paraId="2996FDF7">
      <w:pPr>
        <w:snapToGrid w:val="0"/>
        <w:spacing w:line="480" w:lineRule="auto"/>
        <w:ind w:left="3826" w:leftChars="1822" w:right="482" w:firstLine="480"/>
        <w:rPr>
          <w:rFonts w:ascii="宋体" w:hAnsi="宋体"/>
          <w:highlight w:val="none"/>
        </w:rPr>
      </w:pPr>
      <w:r>
        <w:rPr>
          <w:rFonts w:hint="eastAsia" w:ascii="宋体" w:hAnsi="宋体"/>
          <w:highlight w:val="none"/>
        </w:rPr>
        <w:t>法定代表人或其委托代理人：</w:t>
      </w:r>
      <w:r>
        <w:rPr>
          <w:rFonts w:ascii="宋体" w:hAnsi="宋体"/>
          <w:highlight w:val="none"/>
          <w:u w:val="single"/>
        </w:rPr>
        <w:t xml:space="preserve">          </w:t>
      </w:r>
      <w:r>
        <w:rPr>
          <w:rFonts w:hint="eastAsia" w:ascii="宋体" w:hAnsi="宋体"/>
          <w:highlight w:val="none"/>
        </w:rPr>
        <w:t>（签字）</w:t>
      </w:r>
    </w:p>
    <w:p w14:paraId="14447411">
      <w:pPr>
        <w:spacing w:line="480" w:lineRule="auto"/>
        <w:ind w:left="3826" w:leftChars="1822" w:firstLine="480"/>
        <w:rPr>
          <w:rFonts w:hint="eastAsia" w:ascii="宋体" w:hAnsi="宋体"/>
          <w:b/>
          <w:sz w:val="24"/>
          <w:szCs w:val="24"/>
          <w:highlight w:val="none"/>
        </w:rPr>
      </w:pPr>
      <w:r>
        <w:rPr>
          <w:rFonts w:hint="eastAsia" w:ascii="宋体" w:hAnsi="宋体"/>
          <w:highlight w:val="none"/>
        </w:rPr>
        <w:t>日   期：</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rPr>
        <w:t>日</w:t>
      </w:r>
    </w:p>
    <w:p w14:paraId="18F700F7">
      <w:pPr>
        <w:pStyle w:val="8"/>
        <w:ind w:firstLine="640"/>
        <w:jc w:val="center"/>
        <w:rPr>
          <w:rFonts w:hint="eastAsia" w:ascii="宋体" w:hAnsi="宋体"/>
          <w:b w:val="0"/>
          <w:highlight w:val="none"/>
        </w:rPr>
      </w:pPr>
      <w:bookmarkStart w:id="338" w:name="_Toc95747053"/>
      <w:bookmarkStart w:id="339" w:name="_Toc30374"/>
      <w:bookmarkStart w:id="340" w:name="_Toc95747159"/>
      <w:bookmarkStart w:id="341" w:name="_Toc96005975"/>
      <w:bookmarkStart w:id="342" w:name="_Toc2898"/>
      <w:bookmarkStart w:id="343" w:name="_Toc16292"/>
      <w:bookmarkStart w:id="344" w:name="_Toc20585"/>
      <w:r>
        <w:rPr>
          <w:rFonts w:hint="eastAsia" w:ascii="宋体" w:hAnsi="宋体"/>
          <w:b w:val="0"/>
          <w:highlight w:val="none"/>
          <w:lang w:eastAsia="zh-CN"/>
        </w:rPr>
        <w:t>五</w:t>
      </w:r>
      <w:r>
        <w:rPr>
          <w:rFonts w:hint="eastAsia" w:ascii="宋体" w:hAnsi="宋体"/>
          <w:b w:val="0"/>
          <w:highlight w:val="none"/>
        </w:rPr>
        <w:t>、</w:t>
      </w:r>
      <w:r>
        <w:rPr>
          <w:rFonts w:ascii="宋体" w:hAnsi="宋体"/>
          <w:b w:val="0"/>
          <w:highlight w:val="none"/>
        </w:rPr>
        <w:t>资信业绩</w:t>
      </w:r>
      <w:r>
        <w:rPr>
          <w:rFonts w:hint="eastAsia" w:ascii="宋体" w:hAnsi="宋体"/>
          <w:b w:val="0"/>
          <w:highlight w:val="none"/>
        </w:rPr>
        <w:t>资料</w:t>
      </w:r>
      <w:bookmarkEnd w:id="338"/>
      <w:bookmarkEnd w:id="339"/>
      <w:bookmarkEnd w:id="340"/>
      <w:bookmarkEnd w:id="341"/>
      <w:bookmarkEnd w:id="342"/>
      <w:bookmarkEnd w:id="343"/>
      <w:bookmarkEnd w:id="344"/>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2100"/>
        <w:gridCol w:w="1950"/>
        <w:gridCol w:w="1911"/>
      </w:tblGrid>
      <w:tr w14:paraId="0E1A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50" w:type="dxa"/>
            <w:noWrap w:val="0"/>
            <w:vAlign w:val="center"/>
          </w:tcPr>
          <w:p w14:paraId="6ED12081">
            <w:pPr>
              <w:spacing w:line="160" w:lineRule="atLeast"/>
              <w:jc w:val="center"/>
              <w:rPr>
                <w:rFonts w:ascii="宋体" w:hAnsi="宋体"/>
                <w:sz w:val="24"/>
                <w:highlight w:val="none"/>
              </w:rPr>
            </w:pPr>
            <w:r>
              <w:rPr>
                <w:rFonts w:ascii="宋体" w:hAnsi="宋体"/>
                <w:sz w:val="24"/>
                <w:highlight w:val="none"/>
              </w:rPr>
              <w:t>项目或名称</w:t>
            </w:r>
          </w:p>
        </w:tc>
        <w:tc>
          <w:tcPr>
            <w:tcW w:w="2100" w:type="dxa"/>
            <w:noWrap w:val="0"/>
            <w:vAlign w:val="center"/>
          </w:tcPr>
          <w:p w14:paraId="4EE45577">
            <w:pPr>
              <w:spacing w:line="160" w:lineRule="atLeast"/>
              <w:jc w:val="center"/>
              <w:rPr>
                <w:rFonts w:ascii="宋体" w:hAnsi="宋体"/>
                <w:sz w:val="24"/>
                <w:highlight w:val="none"/>
              </w:rPr>
            </w:pPr>
            <w:r>
              <w:rPr>
                <w:rFonts w:ascii="宋体" w:hAnsi="宋体"/>
                <w:sz w:val="24"/>
                <w:highlight w:val="none"/>
              </w:rPr>
              <w:t>1</w:t>
            </w:r>
          </w:p>
        </w:tc>
        <w:tc>
          <w:tcPr>
            <w:tcW w:w="1950" w:type="dxa"/>
            <w:noWrap w:val="0"/>
            <w:vAlign w:val="center"/>
          </w:tcPr>
          <w:p w14:paraId="6EA58FF3">
            <w:pPr>
              <w:spacing w:line="160" w:lineRule="atLeast"/>
              <w:ind w:firstLine="64" w:firstLineChars="27"/>
              <w:jc w:val="center"/>
              <w:rPr>
                <w:rFonts w:ascii="宋体" w:hAnsi="宋体"/>
                <w:sz w:val="24"/>
                <w:highlight w:val="none"/>
              </w:rPr>
            </w:pPr>
            <w:r>
              <w:rPr>
                <w:rFonts w:ascii="宋体" w:hAnsi="宋体"/>
                <w:sz w:val="24"/>
                <w:highlight w:val="none"/>
              </w:rPr>
              <w:t>2</w:t>
            </w:r>
          </w:p>
        </w:tc>
        <w:tc>
          <w:tcPr>
            <w:tcW w:w="1911" w:type="dxa"/>
            <w:noWrap w:val="0"/>
            <w:vAlign w:val="center"/>
          </w:tcPr>
          <w:p w14:paraId="2A31FD3C">
            <w:pPr>
              <w:spacing w:line="160" w:lineRule="atLeast"/>
              <w:jc w:val="center"/>
              <w:rPr>
                <w:rFonts w:ascii="宋体" w:hAnsi="宋体"/>
                <w:sz w:val="24"/>
                <w:highlight w:val="none"/>
              </w:rPr>
            </w:pPr>
            <w:r>
              <w:rPr>
                <w:rFonts w:ascii="宋体" w:hAnsi="宋体"/>
                <w:sz w:val="24"/>
                <w:highlight w:val="none"/>
              </w:rPr>
              <w:t>3</w:t>
            </w:r>
          </w:p>
        </w:tc>
      </w:tr>
      <w:tr w14:paraId="0A93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50" w:type="dxa"/>
            <w:noWrap w:val="0"/>
            <w:vAlign w:val="center"/>
          </w:tcPr>
          <w:p w14:paraId="45EF9B19">
            <w:pPr>
              <w:spacing w:line="160" w:lineRule="atLeast"/>
              <w:rPr>
                <w:rFonts w:ascii="宋体" w:hAnsi="宋体"/>
                <w:sz w:val="24"/>
                <w:highlight w:val="none"/>
              </w:rPr>
            </w:pPr>
            <w:r>
              <w:rPr>
                <w:rFonts w:ascii="宋体" w:hAnsi="宋体"/>
                <w:sz w:val="24"/>
                <w:highlight w:val="none"/>
              </w:rPr>
              <w:t>工程名称</w:t>
            </w:r>
          </w:p>
        </w:tc>
        <w:tc>
          <w:tcPr>
            <w:tcW w:w="2100" w:type="dxa"/>
            <w:noWrap w:val="0"/>
            <w:vAlign w:val="center"/>
          </w:tcPr>
          <w:p w14:paraId="2187B972">
            <w:pPr>
              <w:spacing w:line="160" w:lineRule="atLeast"/>
              <w:rPr>
                <w:rFonts w:ascii="宋体" w:hAnsi="宋体"/>
                <w:sz w:val="24"/>
                <w:highlight w:val="none"/>
              </w:rPr>
            </w:pPr>
          </w:p>
        </w:tc>
        <w:tc>
          <w:tcPr>
            <w:tcW w:w="1950" w:type="dxa"/>
            <w:noWrap w:val="0"/>
            <w:vAlign w:val="center"/>
          </w:tcPr>
          <w:p w14:paraId="131C2A01">
            <w:pPr>
              <w:spacing w:line="160" w:lineRule="atLeast"/>
              <w:ind w:firstLine="64" w:firstLineChars="27"/>
              <w:rPr>
                <w:rFonts w:ascii="宋体" w:hAnsi="宋体"/>
                <w:sz w:val="24"/>
                <w:highlight w:val="none"/>
              </w:rPr>
            </w:pPr>
          </w:p>
        </w:tc>
        <w:tc>
          <w:tcPr>
            <w:tcW w:w="1911" w:type="dxa"/>
            <w:noWrap w:val="0"/>
            <w:vAlign w:val="center"/>
          </w:tcPr>
          <w:p w14:paraId="0223BC55">
            <w:pPr>
              <w:spacing w:line="160" w:lineRule="atLeast"/>
              <w:rPr>
                <w:rFonts w:ascii="宋体" w:hAnsi="宋体"/>
                <w:sz w:val="24"/>
                <w:highlight w:val="none"/>
              </w:rPr>
            </w:pPr>
          </w:p>
        </w:tc>
      </w:tr>
      <w:tr w14:paraId="6015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50" w:type="dxa"/>
            <w:noWrap w:val="0"/>
            <w:vAlign w:val="center"/>
          </w:tcPr>
          <w:p w14:paraId="04C23980">
            <w:pPr>
              <w:spacing w:line="160" w:lineRule="atLeast"/>
              <w:rPr>
                <w:rFonts w:ascii="宋体" w:hAnsi="宋体"/>
                <w:sz w:val="24"/>
                <w:highlight w:val="none"/>
              </w:rPr>
            </w:pPr>
            <w:r>
              <w:rPr>
                <w:rFonts w:ascii="宋体" w:hAnsi="宋体"/>
                <w:sz w:val="24"/>
                <w:highlight w:val="none"/>
              </w:rPr>
              <w:t>工程所在地</w:t>
            </w:r>
          </w:p>
        </w:tc>
        <w:tc>
          <w:tcPr>
            <w:tcW w:w="2100" w:type="dxa"/>
            <w:noWrap w:val="0"/>
            <w:vAlign w:val="center"/>
          </w:tcPr>
          <w:p w14:paraId="1346735C">
            <w:pPr>
              <w:spacing w:line="160" w:lineRule="atLeast"/>
              <w:rPr>
                <w:rFonts w:ascii="宋体" w:hAnsi="宋体"/>
                <w:sz w:val="24"/>
                <w:highlight w:val="none"/>
              </w:rPr>
            </w:pPr>
          </w:p>
        </w:tc>
        <w:tc>
          <w:tcPr>
            <w:tcW w:w="1950" w:type="dxa"/>
            <w:noWrap w:val="0"/>
            <w:vAlign w:val="center"/>
          </w:tcPr>
          <w:p w14:paraId="75EE8B3C">
            <w:pPr>
              <w:spacing w:line="160" w:lineRule="atLeast"/>
              <w:ind w:firstLine="64" w:firstLineChars="27"/>
              <w:rPr>
                <w:rFonts w:ascii="宋体" w:hAnsi="宋体"/>
                <w:sz w:val="24"/>
                <w:highlight w:val="none"/>
              </w:rPr>
            </w:pPr>
          </w:p>
        </w:tc>
        <w:tc>
          <w:tcPr>
            <w:tcW w:w="1911" w:type="dxa"/>
            <w:noWrap w:val="0"/>
            <w:vAlign w:val="center"/>
          </w:tcPr>
          <w:p w14:paraId="0B3FCCE6">
            <w:pPr>
              <w:spacing w:line="160" w:lineRule="atLeast"/>
              <w:rPr>
                <w:rFonts w:ascii="宋体" w:hAnsi="宋体"/>
                <w:sz w:val="24"/>
                <w:highlight w:val="none"/>
              </w:rPr>
            </w:pPr>
          </w:p>
        </w:tc>
      </w:tr>
      <w:tr w14:paraId="3DCD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50" w:type="dxa"/>
            <w:noWrap w:val="0"/>
            <w:vAlign w:val="center"/>
          </w:tcPr>
          <w:p w14:paraId="6D019231">
            <w:pPr>
              <w:spacing w:line="160" w:lineRule="atLeast"/>
              <w:rPr>
                <w:rFonts w:ascii="宋体" w:hAnsi="宋体"/>
                <w:sz w:val="24"/>
                <w:highlight w:val="none"/>
              </w:rPr>
            </w:pPr>
            <w:r>
              <w:rPr>
                <w:rFonts w:ascii="宋体" w:hAnsi="宋体"/>
                <w:sz w:val="24"/>
                <w:highlight w:val="none"/>
              </w:rPr>
              <w:t>发包人名称</w:t>
            </w:r>
          </w:p>
        </w:tc>
        <w:tc>
          <w:tcPr>
            <w:tcW w:w="2100" w:type="dxa"/>
            <w:noWrap w:val="0"/>
            <w:vAlign w:val="center"/>
          </w:tcPr>
          <w:p w14:paraId="7BA2F221">
            <w:pPr>
              <w:spacing w:line="160" w:lineRule="atLeast"/>
              <w:rPr>
                <w:rFonts w:ascii="宋体" w:hAnsi="宋体"/>
                <w:sz w:val="24"/>
                <w:highlight w:val="none"/>
              </w:rPr>
            </w:pPr>
          </w:p>
        </w:tc>
        <w:tc>
          <w:tcPr>
            <w:tcW w:w="1950" w:type="dxa"/>
            <w:noWrap w:val="0"/>
            <w:vAlign w:val="center"/>
          </w:tcPr>
          <w:p w14:paraId="24F9F270">
            <w:pPr>
              <w:spacing w:line="160" w:lineRule="atLeast"/>
              <w:ind w:firstLine="64" w:firstLineChars="27"/>
              <w:rPr>
                <w:rFonts w:ascii="宋体" w:hAnsi="宋体"/>
                <w:sz w:val="24"/>
                <w:highlight w:val="none"/>
              </w:rPr>
            </w:pPr>
          </w:p>
        </w:tc>
        <w:tc>
          <w:tcPr>
            <w:tcW w:w="1911" w:type="dxa"/>
            <w:noWrap w:val="0"/>
            <w:vAlign w:val="center"/>
          </w:tcPr>
          <w:p w14:paraId="29BE6C11">
            <w:pPr>
              <w:spacing w:line="160" w:lineRule="atLeast"/>
              <w:rPr>
                <w:rFonts w:ascii="宋体" w:hAnsi="宋体"/>
                <w:sz w:val="24"/>
                <w:highlight w:val="none"/>
              </w:rPr>
            </w:pPr>
          </w:p>
        </w:tc>
      </w:tr>
      <w:tr w14:paraId="30F2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50" w:type="dxa"/>
            <w:noWrap w:val="0"/>
            <w:vAlign w:val="center"/>
          </w:tcPr>
          <w:p w14:paraId="0A1CD551">
            <w:pPr>
              <w:spacing w:line="160" w:lineRule="atLeast"/>
              <w:rPr>
                <w:rFonts w:ascii="宋体" w:hAnsi="宋体"/>
                <w:sz w:val="24"/>
                <w:highlight w:val="none"/>
              </w:rPr>
            </w:pPr>
            <w:r>
              <w:rPr>
                <w:rFonts w:hint="eastAsia" w:ascii="宋体" w:hAnsi="宋体"/>
                <w:sz w:val="24"/>
                <w:highlight w:val="none"/>
              </w:rPr>
              <w:t>承包人</w:t>
            </w:r>
            <w:r>
              <w:rPr>
                <w:rFonts w:ascii="宋体" w:hAnsi="宋体"/>
                <w:sz w:val="24"/>
                <w:highlight w:val="none"/>
              </w:rPr>
              <w:t>名称</w:t>
            </w:r>
          </w:p>
        </w:tc>
        <w:tc>
          <w:tcPr>
            <w:tcW w:w="2100" w:type="dxa"/>
            <w:noWrap w:val="0"/>
            <w:vAlign w:val="center"/>
          </w:tcPr>
          <w:p w14:paraId="0057896B">
            <w:pPr>
              <w:spacing w:line="160" w:lineRule="atLeast"/>
              <w:rPr>
                <w:rFonts w:ascii="宋体" w:hAnsi="宋体"/>
                <w:sz w:val="24"/>
                <w:highlight w:val="none"/>
              </w:rPr>
            </w:pPr>
          </w:p>
        </w:tc>
        <w:tc>
          <w:tcPr>
            <w:tcW w:w="1950" w:type="dxa"/>
            <w:noWrap w:val="0"/>
            <w:vAlign w:val="center"/>
          </w:tcPr>
          <w:p w14:paraId="7A9A92D9">
            <w:pPr>
              <w:spacing w:line="160" w:lineRule="atLeast"/>
              <w:ind w:firstLine="64" w:firstLineChars="27"/>
              <w:rPr>
                <w:rFonts w:ascii="宋体" w:hAnsi="宋体"/>
                <w:sz w:val="24"/>
                <w:highlight w:val="none"/>
              </w:rPr>
            </w:pPr>
          </w:p>
        </w:tc>
        <w:tc>
          <w:tcPr>
            <w:tcW w:w="1911" w:type="dxa"/>
            <w:noWrap w:val="0"/>
            <w:vAlign w:val="center"/>
          </w:tcPr>
          <w:p w14:paraId="6BF8D9E0">
            <w:pPr>
              <w:spacing w:line="160" w:lineRule="atLeast"/>
              <w:rPr>
                <w:rFonts w:ascii="宋体" w:hAnsi="宋体"/>
                <w:sz w:val="24"/>
                <w:highlight w:val="none"/>
              </w:rPr>
            </w:pPr>
          </w:p>
        </w:tc>
      </w:tr>
      <w:tr w14:paraId="1362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50" w:type="dxa"/>
            <w:noWrap w:val="0"/>
            <w:vAlign w:val="center"/>
          </w:tcPr>
          <w:p w14:paraId="3DCB644E">
            <w:pPr>
              <w:spacing w:line="160" w:lineRule="atLeast"/>
              <w:rPr>
                <w:rFonts w:ascii="宋体" w:hAnsi="宋体"/>
                <w:sz w:val="24"/>
                <w:highlight w:val="none"/>
              </w:rPr>
            </w:pPr>
            <w:r>
              <w:rPr>
                <w:rFonts w:ascii="宋体" w:hAnsi="宋体"/>
                <w:sz w:val="24"/>
                <w:highlight w:val="none"/>
              </w:rPr>
              <w:t>合同价</w:t>
            </w:r>
          </w:p>
        </w:tc>
        <w:tc>
          <w:tcPr>
            <w:tcW w:w="2100" w:type="dxa"/>
            <w:noWrap w:val="0"/>
            <w:vAlign w:val="center"/>
          </w:tcPr>
          <w:p w14:paraId="69557CEF">
            <w:pPr>
              <w:spacing w:line="160" w:lineRule="atLeast"/>
              <w:rPr>
                <w:rFonts w:ascii="宋体" w:hAnsi="宋体"/>
                <w:sz w:val="24"/>
                <w:highlight w:val="none"/>
              </w:rPr>
            </w:pPr>
          </w:p>
        </w:tc>
        <w:tc>
          <w:tcPr>
            <w:tcW w:w="1950" w:type="dxa"/>
            <w:noWrap w:val="0"/>
            <w:vAlign w:val="center"/>
          </w:tcPr>
          <w:p w14:paraId="27916384">
            <w:pPr>
              <w:spacing w:line="160" w:lineRule="atLeast"/>
              <w:ind w:firstLine="64" w:firstLineChars="27"/>
              <w:rPr>
                <w:rFonts w:ascii="宋体" w:hAnsi="宋体"/>
                <w:sz w:val="24"/>
                <w:highlight w:val="none"/>
              </w:rPr>
            </w:pPr>
          </w:p>
        </w:tc>
        <w:tc>
          <w:tcPr>
            <w:tcW w:w="1911" w:type="dxa"/>
            <w:noWrap w:val="0"/>
            <w:vAlign w:val="center"/>
          </w:tcPr>
          <w:p w14:paraId="26BC1257">
            <w:pPr>
              <w:spacing w:line="160" w:lineRule="atLeast"/>
              <w:rPr>
                <w:rFonts w:ascii="宋体" w:hAnsi="宋体"/>
                <w:sz w:val="24"/>
                <w:highlight w:val="none"/>
              </w:rPr>
            </w:pPr>
          </w:p>
        </w:tc>
      </w:tr>
      <w:tr w14:paraId="20A5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50" w:type="dxa"/>
            <w:noWrap w:val="0"/>
            <w:vAlign w:val="center"/>
          </w:tcPr>
          <w:p w14:paraId="63C40F81">
            <w:pPr>
              <w:spacing w:line="160" w:lineRule="atLeast"/>
              <w:rPr>
                <w:rFonts w:ascii="宋体" w:hAnsi="宋体"/>
                <w:sz w:val="24"/>
                <w:highlight w:val="none"/>
              </w:rPr>
            </w:pPr>
            <w:r>
              <w:rPr>
                <w:rFonts w:ascii="宋体" w:hAnsi="宋体"/>
                <w:sz w:val="24"/>
                <w:highlight w:val="none"/>
              </w:rPr>
              <w:t>合同结算价</w:t>
            </w:r>
          </w:p>
        </w:tc>
        <w:tc>
          <w:tcPr>
            <w:tcW w:w="2100" w:type="dxa"/>
            <w:noWrap w:val="0"/>
            <w:vAlign w:val="center"/>
          </w:tcPr>
          <w:p w14:paraId="46C66E21">
            <w:pPr>
              <w:spacing w:line="160" w:lineRule="atLeast"/>
              <w:rPr>
                <w:rFonts w:ascii="宋体" w:hAnsi="宋体"/>
                <w:sz w:val="24"/>
                <w:highlight w:val="none"/>
              </w:rPr>
            </w:pPr>
          </w:p>
        </w:tc>
        <w:tc>
          <w:tcPr>
            <w:tcW w:w="1950" w:type="dxa"/>
            <w:noWrap w:val="0"/>
            <w:vAlign w:val="center"/>
          </w:tcPr>
          <w:p w14:paraId="44AB8622">
            <w:pPr>
              <w:spacing w:line="160" w:lineRule="atLeast"/>
              <w:ind w:firstLine="64" w:firstLineChars="27"/>
              <w:rPr>
                <w:rFonts w:ascii="宋体" w:hAnsi="宋体"/>
                <w:sz w:val="24"/>
                <w:highlight w:val="none"/>
              </w:rPr>
            </w:pPr>
          </w:p>
        </w:tc>
        <w:tc>
          <w:tcPr>
            <w:tcW w:w="1911" w:type="dxa"/>
            <w:noWrap w:val="0"/>
            <w:vAlign w:val="center"/>
          </w:tcPr>
          <w:p w14:paraId="3F9BFED9">
            <w:pPr>
              <w:spacing w:line="160" w:lineRule="atLeast"/>
              <w:rPr>
                <w:rFonts w:ascii="宋体" w:hAnsi="宋体"/>
                <w:sz w:val="24"/>
                <w:highlight w:val="none"/>
              </w:rPr>
            </w:pPr>
          </w:p>
        </w:tc>
      </w:tr>
      <w:tr w14:paraId="0A09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50" w:type="dxa"/>
            <w:noWrap w:val="0"/>
            <w:vAlign w:val="center"/>
          </w:tcPr>
          <w:p w14:paraId="43F6862F">
            <w:pPr>
              <w:spacing w:line="160" w:lineRule="atLeast"/>
              <w:rPr>
                <w:rFonts w:ascii="宋体" w:hAnsi="宋体"/>
                <w:sz w:val="24"/>
                <w:highlight w:val="none"/>
              </w:rPr>
            </w:pPr>
            <w:r>
              <w:rPr>
                <w:rFonts w:ascii="宋体" w:hAnsi="宋体"/>
                <w:sz w:val="24"/>
                <w:highlight w:val="none"/>
              </w:rPr>
              <w:t>开工日期</w:t>
            </w:r>
          </w:p>
        </w:tc>
        <w:tc>
          <w:tcPr>
            <w:tcW w:w="2100" w:type="dxa"/>
            <w:noWrap w:val="0"/>
            <w:vAlign w:val="center"/>
          </w:tcPr>
          <w:p w14:paraId="720CE4FF">
            <w:pPr>
              <w:spacing w:line="160" w:lineRule="atLeast"/>
              <w:rPr>
                <w:rFonts w:ascii="宋体" w:hAnsi="宋体"/>
                <w:sz w:val="24"/>
                <w:highlight w:val="none"/>
              </w:rPr>
            </w:pPr>
          </w:p>
        </w:tc>
        <w:tc>
          <w:tcPr>
            <w:tcW w:w="1950" w:type="dxa"/>
            <w:noWrap w:val="0"/>
            <w:vAlign w:val="center"/>
          </w:tcPr>
          <w:p w14:paraId="38DC1D03">
            <w:pPr>
              <w:spacing w:line="160" w:lineRule="atLeast"/>
              <w:ind w:firstLine="64" w:firstLineChars="27"/>
              <w:rPr>
                <w:rFonts w:ascii="宋体" w:hAnsi="宋体"/>
                <w:sz w:val="24"/>
                <w:highlight w:val="none"/>
              </w:rPr>
            </w:pPr>
          </w:p>
        </w:tc>
        <w:tc>
          <w:tcPr>
            <w:tcW w:w="1911" w:type="dxa"/>
            <w:noWrap w:val="0"/>
            <w:vAlign w:val="center"/>
          </w:tcPr>
          <w:p w14:paraId="1C2D5A93">
            <w:pPr>
              <w:spacing w:line="160" w:lineRule="atLeast"/>
              <w:rPr>
                <w:rFonts w:ascii="宋体" w:hAnsi="宋体"/>
                <w:sz w:val="24"/>
                <w:highlight w:val="none"/>
              </w:rPr>
            </w:pPr>
          </w:p>
        </w:tc>
      </w:tr>
      <w:tr w14:paraId="2DE5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50" w:type="dxa"/>
            <w:noWrap w:val="0"/>
            <w:vAlign w:val="center"/>
          </w:tcPr>
          <w:p w14:paraId="79755D45">
            <w:pPr>
              <w:spacing w:line="160" w:lineRule="atLeast"/>
              <w:rPr>
                <w:rFonts w:ascii="宋体" w:hAnsi="宋体"/>
                <w:sz w:val="24"/>
                <w:highlight w:val="none"/>
              </w:rPr>
            </w:pPr>
            <w:r>
              <w:rPr>
                <w:rFonts w:ascii="宋体" w:hAnsi="宋体"/>
                <w:sz w:val="24"/>
                <w:highlight w:val="none"/>
              </w:rPr>
              <w:t>完工日期</w:t>
            </w:r>
          </w:p>
        </w:tc>
        <w:tc>
          <w:tcPr>
            <w:tcW w:w="2100" w:type="dxa"/>
            <w:noWrap w:val="0"/>
            <w:vAlign w:val="center"/>
          </w:tcPr>
          <w:p w14:paraId="15A4E212">
            <w:pPr>
              <w:spacing w:line="160" w:lineRule="atLeast"/>
              <w:rPr>
                <w:rFonts w:ascii="宋体" w:hAnsi="宋体"/>
                <w:sz w:val="24"/>
                <w:highlight w:val="none"/>
              </w:rPr>
            </w:pPr>
          </w:p>
        </w:tc>
        <w:tc>
          <w:tcPr>
            <w:tcW w:w="1950" w:type="dxa"/>
            <w:noWrap w:val="0"/>
            <w:vAlign w:val="center"/>
          </w:tcPr>
          <w:p w14:paraId="50479744">
            <w:pPr>
              <w:spacing w:line="160" w:lineRule="atLeast"/>
              <w:ind w:firstLine="64" w:firstLineChars="27"/>
              <w:rPr>
                <w:rFonts w:ascii="宋体" w:hAnsi="宋体"/>
                <w:sz w:val="24"/>
                <w:highlight w:val="none"/>
              </w:rPr>
            </w:pPr>
          </w:p>
        </w:tc>
        <w:tc>
          <w:tcPr>
            <w:tcW w:w="1911" w:type="dxa"/>
            <w:noWrap w:val="0"/>
            <w:vAlign w:val="center"/>
          </w:tcPr>
          <w:p w14:paraId="3B1879E8">
            <w:pPr>
              <w:spacing w:line="160" w:lineRule="atLeast"/>
              <w:rPr>
                <w:rFonts w:ascii="宋体" w:hAnsi="宋体"/>
                <w:sz w:val="24"/>
                <w:highlight w:val="none"/>
              </w:rPr>
            </w:pPr>
          </w:p>
        </w:tc>
      </w:tr>
      <w:tr w14:paraId="176F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50" w:type="dxa"/>
            <w:noWrap w:val="0"/>
            <w:vAlign w:val="center"/>
          </w:tcPr>
          <w:p w14:paraId="29432E96">
            <w:pPr>
              <w:spacing w:line="160" w:lineRule="atLeast"/>
              <w:rPr>
                <w:rFonts w:ascii="宋体" w:hAnsi="宋体"/>
                <w:sz w:val="24"/>
                <w:highlight w:val="none"/>
              </w:rPr>
            </w:pPr>
            <w:r>
              <w:rPr>
                <w:rFonts w:ascii="宋体" w:hAnsi="宋体"/>
                <w:sz w:val="24"/>
                <w:highlight w:val="none"/>
              </w:rPr>
              <w:t>监理服务范围</w:t>
            </w:r>
          </w:p>
        </w:tc>
        <w:tc>
          <w:tcPr>
            <w:tcW w:w="2100" w:type="dxa"/>
            <w:noWrap w:val="0"/>
            <w:vAlign w:val="center"/>
          </w:tcPr>
          <w:p w14:paraId="75746DA1">
            <w:pPr>
              <w:spacing w:line="160" w:lineRule="atLeast"/>
              <w:rPr>
                <w:rFonts w:ascii="宋体" w:hAnsi="宋体"/>
                <w:sz w:val="24"/>
                <w:highlight w:val="none"/>
              </w:rPr>
            </w:pPr>
          </w:p>
        </w:tc>
        <w:tc>
          <w:tcPr>
            <w:tcW w:w="1950" w:type="dxa"/>
            <w:noWrap w:val="0"/>
            <w:vAlign w:val="center"/>
          </w:tcPr>
          <w:p w14:paraId="732ED044">
            <w:pPr>
              <w:spacing w:line="160" w:lineRule="atLeast"/>
              <w:ind w:firstLine="64" w:firstLineChars="27"/>
              <w:rPr>
                <w:rFonts w:ascii="宋体" w:hAnsi="宋体"/>
                <w:sz w:val="24"/>
                <w:highlight w:val="none"/>
              </w:rPr>
            </w:pPr>
          </w:p>
        </w:tc>
        <w:tc>
          <w:tcPr>
            <w:tcW w:w="1911" w:type="dxa"/>
            <w:noWrap w:val="0"/>
            <w:vAlign w:val="center"/>
          </w:tcPr>
          <w:p w14:paraId="1AE92F3E">
            <w:pPr>
              <w:spacing w:line="160" w:lineRule="atLeast"/>
              <w:rPr>
                <w:rFonts w:ascii="宋体" w:hAnsi="宋体"/>
                <w:sz w:val="24"/>
                <w:highlight w:val="none"/>
              </w:rPr>
            </w:pPr>
          </w:p>
        </w:tc>
      </w:tr>
      <w:tr w14:paraId="7FC6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50" w:type="dxa"/>
            <w:noWrap w:val="0"/>
            <w:vAlign w:val="center"/>
          </w:tcPr>
          <w:p w14:paraId="6F9A5602">
            <w:pPr>
              <w:spacing w:line="160" w:lineRule="atLeast"/>
              <w:rPr>
                <w:rFonts w:ascii="宋体" w:hAnsi="宋体"/>
                <w:sz w:val="24"/>
                <w:highlight w:val="none"/>
              </w:rPr>
            </w:pPr>
            <w:r>
              <w:rPr>
                <w:rFonts w:hint="eastAsia" w:ascii="宋体" w:hAnsi="宋体"/>
                <w:sz w:val="24"/>
                <w:highlight w:val="none"/>
              </w:rPr>
              <w:t>总监理工程师</w:t>
            </w:r>
          </w:p>
        </w:tc>
        <w:tc>
          <w:tcPr>
            <w:tcW w:w="2100" w:type="dxa"/>
            <w:noWrap w:val="0"/>
            <w:vAlign w:val="center"/>
          </w:tcPr>
          <w:p w14:paraId="6D279EA1">
            <w:pPr>
              <w:spacing w:line="160" w:lineRule="atLeast"/>
              <w:rPr>
                <w:rFonts w:ascii="宋体" w:hAnsi="宋体"/>
                <w:sz w:val="24"/>
                <w:highlight w:val="none"/>
              </w:rPr>
            </w:pPr>
          </w:p>
        </w:tc>
        <w:tc>
          <w:tcPr>
            <w:tcW w:w="1950" w:type="dxa"/>
            <w:noWrap w:val="0"/>
            <w:vAlign w:val="center"/>
          </w:tcPr>
          <w:p w14:paraId="3106E953">
            <w:pPr>
              <w:spacing w:line="160" w:lineRule="atLeast"/>
              <w:ind w:firstLine="64" w:firstLineChars="27"/>
              <w:rPr>
                <w:rFonts w:ascii="宋体" w:hAnsi="宋体"/>
                <w:sz w:val="24"/>
                <w:highlight w:val="none"/>
              </w:rPr>
            </w:pPr>
          </w:p>
        </w:tc>
        <w:tc>
          <w:tcPr>
            <w:tcW w:w="1911" w:type="dxa"/>
            <w:noWrap w:val="0"/>
            <w:vAlign w:val="center"/>
          </w:tcPr>
          <w:p w14:paraId="05C5BFBB">
            <w:pPr>
              <w:spacing w:line="160" w:lineRule="atLeast"/>
              <w:rPr>
                <w:rFonts w:ascii="宋体" w:hAnsi="宋体"/>
                <w:sz w:val="24"/>
                <w:highlight w:val="none"/>
              </w:rPr>
            </w:pPr>
          </w:p>
        </w:tc>
      </w:tr>
      <w:tr w14:paraId="70A8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2550" w:type="dxa"/>
            <w:noWrap w:val="0"/>
            <w:vAlign w:val="center"/>
          </w:tcPr>
          <w:p w14:paraId="0CCCF4D4">
            <w:pPr>
              <w:spacing w:line="160" w:lineRule="atLeast"/>
              <w:rPr>
                <w:rFonts w:ascii="宋体" w:hAnsi="宋体"/>
                <w:sz w:val="24"/>
                <w:highlight w:val="none"/>
              </w:rPr>
            </w:pPr>
            <w:r>
              <w:rPr>
                <w:rFonts w:ascii="宋体" w:hAnsi="宋体"/>
                <w:sz w:val="24"/>
                <w:highlight w:val="none"/>
              </w:rPr>
              <w:t>工程简要说明(包括工程规模、主要建筑物特征等)</w:t>
            </w:r>
          </w:p>
        </w:tc>
        <w:tc>
          <w:tcPr>
            <w:tcW w:w="2100" w:type="dxa"/>
            <w:noWrap w:val="0"/>
            <w:vAlign w:val="center"/>
          </w:tcPr>
          <w:p w14:paraId="4841D579">
            <w:pPr>
              <w:spacing w:line="160" w:lineRule="atLeast"/>
              <w:rPr>
                <w:rFonts w:ascii="宋体" w:hAnsi="宋体"/>
                <w:sz w:val="24"/>
                <w:highlight w:val="none"/>
              </w:rPr>
            </w:pPr>
          </w:p>
        </w:tc>
        <w:tc>
          <w:tcPr>
            <w:tcW w:w="1950" w:type="dxa"/>
            <w:noWrap w:val="0"/>
            <w:vAlign w:val="center"/>
          </w:tcPr>
          <w:p w14:paraId="07B8DE8F">
            <w:pPr>
              <w:spacing w:line="160" w:lineRule="atLeast"/>
              <w:ind w:firstLine="64" w:firstLineChars="27"/>
              <w:rPr>
                <w:rFonts w:ascii="宋体" w:hAnsi="宋体"/>
                <w:sz w:val="24"/>
                <w:highlight w:val="none"/>
              </w:rPr>
            </w:pPr>
          </w:p>
        </w:tc>
        <w:tc>
          <w:tcPr>
            <w:tcW w:w="1911" w:type="dxa"/>
            <w:noWrap w:val="0"/>
            <w:vAlign w:val="center"/>
          </w:tcPr>
          <w:p w14:paraId="7322994E">
            <w:pPr>
              <w:spacing w:line="160" w:lineRule="atLeast"/>
              <w:rPr>
                <w:rFonts w:ascii="宋体" w:hAnsi="宋体"/>
                <w:sz w:val="24"/>
                <w:highlight w:val="none"/>
              </w:rPr>
            </w:pPr>
          </w:p>
        </w:tc>
      </w:tr>
    </w:tbl>
    <w:p w14:paraId="255D7F82">
      <w:pPr>
        <w:snapToGrid w:val="0"/>
        <w:spacing w:line="480" w:lineRule="auto"/>
        <w:ind w:right="1042" w:firstLine="480"/>
        <w:rPr>
          <w:rFonts w:hint="eastAsia" w:ascii="宋体" w:hAnsi="宋体"/>
          <w:sz w:val="24"/>
          <w:highlight w:val="none"/>
        </w:rPr>
      </w:pPr>
    </w:p>
    <w:p w14:paraId="0A3DDB56">
      <w:pPr>
        <w:snapToGrid w:val="0"/>
        <w:spacing w:line="480" w:lineRule="auto"/>
        <w:ind w:left="3826" w:leftChars="1822" w:right="567" w:firstLine="480"/>
        <w:rPr>
          <w:rFonts w:hint="eastAsia" w:ascii="宋体" w:hAnsi="宋体"/>
          <w:sz w:val="24"/>
          <w:highlight w:val="none"/>
          <w:u w:val="single"/>
        </w:rPr>
      </w:pPr>
      <w:r>
        <w:rPr>
          <w:rFonts w:hint="eastAsia" w:ascii="宋体" w:hAnsi="宋体"/>
          <w:sz w:val="24"/>
          <w:highlight w:val="none"/>
        </w:rPr>
        <w:t>投标人：</w:t>
      </w:r>
      <w:r>
        <w:rPr>
          <w:rFonts w:hint="eastAsia" w:ascii="宋体" w:hAnsi="宋体"/>
          <w:sz w:val="24"/>
          <w:highlight w:val="none"/>
          <w:u w:val="single"/>
        </w:rPr>
        <w:t xml:space="preserve">                   </w:t>
      </w:r>
      <w:r>
        <w:rPr>
          <w:rFonts w:hint="eastAsia" w:ascii="宋体" w:hAnsi="宋体"/>
          <w:sz w:val="24"/>
          <w:highlight w:val="none"/>
        </w:rPr>
        <w:t xml:space="preserve">（盖单位公章）   </w:t>
      </w:r>
    </w:p>
    <w:p w14:paraId="608EA351">
      <w:pPr>
        <w:spacing w:line="480" w:lineRule="auto"/>
        <w:ind w:left="3826" w:leftChars="1822" w:firstLine="480"/>
        <w:rPr>
          <w:rFonts w:hint="eastAsia" w:ascii="宋体" w:hAnsi="宋体"/>
          <w:sz w:val="24"/>
          <w:highlight w:val="none"/>
          <w:u w:val="single"/>
        </w:rPr>
      </w:pPr>
      <w:r>
        <w:rPr>
          <w:rFonts w:hint="eastAsia"/>
          <w:sz w:val="24"/>
          <w:szCs w:val="24"/>
          <w:highlight w:val="none"/>
        </w:rPr>
        <w:t>法定代表人或授权委托代理人（签字）：</w:t>
      </w:r>
      <w:r>
        <w:rPr>
          <w:rFonts w:ascii="宋体" w:hAnsi="宋体"/>
          <w:sz w:val="24"/>
          <w:highlight w:val="none"/>
          <w:u w:val="single"/>
        </w:rPr>
        <w:t xml:space="preserve">    </w:t>
      </w:r>
      <w:r>
        <w:rPr>
          <w:rFonts w:hint="eastAsia" w:ascii="宋体" w:hAnsi="宋体"/>
          <w:sz w:val="24"/>
          <w:highlight w:val="none"/>
          <w:u w:val="single"/>
        </w:rPr>
        <w:t xml:space="preserve">  </w:t>
      </w:r>
    </w:p>
    <w:p w14:paraId="1469BD16">
      <w:pPr>
        <w:snapToGrid w:val="0"/>
        <w:spacing w:line="480" w:lineRule="auto"/>
        <w:ind w:left="3826" w:leftChars="1822" w:right="1042" w:firstLine="480"/>
        <w:rPr>
          <w:rFonts w:ascii="宋体" w:hAnsi="宋体"/>
          <w:sz w:val="24"/>
          <w:highlight w:val="none"/>
        </w:rPr>
      </w:pPr>
      <w:r>
        <w:rPr>
          <w:rFonts w:ascii="宋体" w:hAnsi="宋体"/>
          <w:sz w:val="24"/>
          <w:highlight w:val="none"/>
        </w:rPr>
        <w:t>日</w:t>
      </w:r>
      <w:r>
        <w:rPr>
          <w:rFonts w:hint="eastAsia" w:ascii="宋体" w:hAnsi="宋体"/>
          <w:sz w:val="24"/>
          <w:highlight w:val="none"/>
        </w:rPr>
        <w:t xml:space="preserve">   </w:t>
      </w:r>
      <w:r>
        <w:rPr>
          <w:rFonts w:ascii="宋体" w:hAnsi="宋体"/>
          <w:sz w:val="24"/>
          <w:highlight w:val="none"/>
        </w:rPr>
        <w:t>期：</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14:paraId="7F75F0FF">
      <w:pPr>
        <w:snapToGrid w:val="0"/>
        <w:spacing w:line="480" w:lineRule="auto"/>
        <w:ind w:left="3826" w:leftChars="1822" w:right="1042" w:firstLine="480"/>
        <w:rPr>
          <w:rFonts w:ascii="宋体" w:hAnsi="宋体"/>
          <w:sz w:val="24"/>
          <w:highlight w:val="none"/>
        </w:rPr>
      </w:pPr>
    </w:p>
    <w:p w14:paraId="76D56F8B">
      <w:pPr>
        <w:snapToGrid w:val="0"/>
        <w:spacing w:line="480" w:lineRule="auto"/>
        <w:ind w:left="3826" w:leftChars="1822" w:right="1042" w:firstLine="480"/>
        <w:rPr>
          <w:rFonts w:ascii="宋体" w:hAnsi="宋体"/>
          <w:sz w:val="24"/>
          <w:highlight w:val="none"/>
        </w:rPr>
      </w:pPr>
    </w:p>
    <w:p w14:paraId="19B61465">
      <w:pPr>
        <w:snapToGrid w:val="0"/>
        <w:spacing w:line="480" w:lineRule="auto"/>
        <w:ind w:left="3826" w:leftChars="1822" w:right="1042" w:firstLine="480"/>
        <w:rPr>
          <w:rFonts w:ascii="宋体" w:hAnsi="宋体"/>
          <w:sz w:val="24"/>
          <w:highlight w:val="none"/>
        </w:rPr>
      </w:pPr>
    </w:p>
    <w:p w14:paraId="60DACBCD">
      <w:pPr>
        <w:snapToGrid w:val="0"/>
        <w:spacing w:line="480" w:lineRule="auto"/>
        <w:ind w:left="3826" w:leftChars="1822" w:right="1042" w:firstLine="480"/>
        <w:rPr>
          <w:rFonts w:ascii="宋体" w:hAnsi="宋体"/>
          <w:sz w:val="24"/>
          <w:highlight w:val="none"/>
        </w:rPr>
      </w:pPr>
    </w:p>
    <w:p w14:paraId="35A5DB2D">
      <w:pPr>
        <w:ind w:firstLine="482"/>
        <w:jc w:val="left"/>
        <w:rPr>
          <w:rFonts w:ascii="宋体" w:hAnsi="宋体"/>
          <w:b/>
          <w:sz w:val="24"/>
          <w:szCs w:val="24"/>
          <w:highlight w:val="none"/>
        </w:rPr>
      </w:pPr>
    </w:p>
    <w:p w14:paraId="1E2A2955">
      <w:pPr>
        <w:spacing w:line="360" w:lineRule="auto"/>
        <w:ind w:firstLine="480"/>
        <w:jc w:val="left"/>
        <w:rPr>
          <w:rFonts w:ascii="宋体" w:hAnsi="宋体"/>
          <w:b/>
          <w:sz w:val="24"/>
          <w:szCs w:val="24"/>
          <w:highlight w:val="none"/>
        </w:rPr>
      </w:pPr>
      <w:r>
        <w:rPr>
          <w:rFonts w:hint="eastAsia" w:ascii="宋体" w:hAnsi="宋体"/>
          <w:highlight w:val="none"/>
        </w:rPr>
        <w:br w:type="page"/>
      </w:r>
    </w:p>
    <w:p w14:paraId="2F10FDE3">
      <w:pPr>
        <w:spacing w:line="360" w:lineRule="auto"/>
        <w:ind w:firstLine="482"/>
        <w:jc w:val="center"/>
        <w:rPr>
          <w:rFonts w:ascii="宋体" w:hAnsi="宋体"/>
          <w:sz w:val="24"/>
          <w:szCs w:val="24"/>
          <w:highlight w:val="none"/>
        </w:rPr>
      </w:pPr>
      <w:r>
        <w:rPr>
          <w:rFonts w:hint="eastAsia" w:ascii="宋体" w:hAnsi="宋体"/>
          <w:b/>
          <w:bCs/>
          <w:sz w:val="24"/>
          <w:szCs w:val="24"/>
          <w:highlight w:val="none"/>
        </w:rPr>
        <w:t>拟投入其他主要人员资历表</w:t>
      </w:r>
      <w:r>
        <w:rPr>
          <w:rFonts w:hint="eastAsia" w:ascii="宋体" w:hAnsi="宋体"/>
          <w:b/>
          <w:sz w:val="24"/>
          <w:szCs w:val="24"/>
          <w:highlight w:val="none"/>
        </w:rPr>
        <w:t>（格式）</w:t>
      </w:r>
    </w:p>
    <w:tbl>
      <w:tblPr>
        <w:tblStyle w:val="36"/>
        <w:tblW w:w="0" w:type="auto"/>
        <w:jc w:val="center"/>
        <w:tblLayout w:type="fixed"/>
        <w:tblCellMar>
          <w:top w:w="169" w:type="dxa"/>
          <w:left w:w="0" w:type="dxa"/>
          <w:bottom w:w="61" w:type="dxa"/>
          <w:right w:w="24" w:type="dxa"/>
        </w:tblCellMar>
      </w:tblPr>
      <w:tblGrid>
        <w:gridCol w:w="1543"/>
        <w:gridCol w:w="44"/>
        <w:gridCol w:w="871"/>
        <w:gridCol w:w="734"/>
        <w:gridCol w:w="1066"/>
        <w:gridCol w:w="750"/>
        <w:gridCol w:w="1260"/>
        <w:gridCol w:w="357"/>
        <w:gridCol w:w="1967"/>
      </w:tblGrid>
      <w:tr w14:paraId="05284350">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single" w:color="000000" w:sz="4" w:space="0"/>
            </w:tcBorders>
            <w:noWrap w:val="0"/>
            <w:vAlign w:val="center"/>
          </w:tcPr>
          <w:p w14:paraId="7098DCFD">
            <w:pPr>
              <w:ind w:left="29" w:firstLine="58"/>
              <w:jc w:val="center"/>
              <w:rPr>
                <w:rFonts w:ascii="宋体" w:hAnsi="宋体"/>
                <w:highlight w:val="none"/>
              </w:rPr>
            </w:pPr>
            <w:r>
              <w:rPr>
                <w:rFonts w:ascii="宋体" w:hAnsi="宋体" w:cs="宋体"/>
                <w:highlight w:val="none"/>
              </w:rPr>
              <w:t>姓</w:t>
            </w:r>
            <w:r>
              <w:rPr>
                <w:rFonts w:ascii="宋体" w:hAnsi="宋体"/>
                <w:highlight w:val="none"/>
              </w:rPr>
              <w:t xml:space="preserve">  </w:t>
            </w:r>
            <w:r>
              <w:rPr>
                <w:rFonts w:ascii="宋体" w:hAnsi="宋体" w:cs="宋体"/>
                <w:highlight w:val="none"/>
              </w:rPr>
              <w:t>名</w:t>
            </w: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4CF75350">
            <w:pPr>
              <w:ind w:left="74" w:firstLine="480"/>
              <w:jc w:val="center"/>
              <w:rPr>
                <w:rFonts w:ascii="宋体" w:hAnsi="宋体"/>
                <w:highlight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1E8B0EA">
            <w:pPr>
              <w:ind w:left="39" w:firstLine="20"/>
              <w:jc w:val="center"/>
              <w:rPr>
                <w:rFonts w:ascii="宋体" w:hAnsi="宋体"/>
                <w:highlight w:val="none"/>
              </w:rPr>
            </w:pPr>
            <w:r>
              <w:rPr>
                <w:rFonts w:ascii="宋体" w:hAnsi="宋体" w:cs="宋体"/>
                <w:highlight w:val="none"/>
              </w:rPr>
              <w:t>年龄</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CD6228">
            <w:pPr>
              <w:ind w:left="77" w:firstLine="480"/>
              <w:jc w:val="center"/>
              <w:rPr>
                <w:rFonts w:ascii="宋体" w:hAnsi="宋体"/>
                <w:highlight w:val="none"/>
              </w:rPr>
            </w:pPr>
          </w:p>
        </w:tc>
        <w:tc>
          <w:tcPr>
            <w:tcW w:w="2367" w:type="dxa"/>
            <w:gridSpan w:val="3"/>
            <w:tcBorders>
              <w:top w:val="single" w:color="000000" w:sz="4" w:space="0"/>
              <w:left w:val="single" w:color="000000" w:sz="4" w:space="0"/>
              <w:bottom w:val="single" w:color="000000" w:sz="4" w:space="0"/>
              <w:right w:val="single" w:color="000000" w:sz="4" w:space="0"/>
            </w:tcBorders>
            <w:noWrap w:val="0"/>
            <w:vAlign w:val="center"/>
          </w:tcPr>
          <w:p w14:paraId="3FC0E0B0">
            <w:pPr>
              <w:ind w:firstLine="56"/>
              <w:jc w:val="center"/>
              <w:rPr>
                <w:rFonts w:hint="eastAsia" w:ascii="宋体" w:hAnsi="宋体"/>
                <w:highlight w:val="none"/>
              </w:rPr>
            </w:pPr>
            <w:r>
              <w:rPr>
                <w:rFonts w:hint="eastAsia" w:ascii="宋体" w:hAnsi="宋体" w:cs="宋体"/>
                <w:highlight w:val="none"/>
              </w:rPr>
              <w:t>专业</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CC6994D">
            <w:pPr>
              <w:ind w:left="76" w:firstLine="480"/>
              <w:jc w:val="center"/>
              <w:rPr>
                <w:rFonts w:ascii="宋体" w:hAnsi="宋体"/>
                <w:highlight w:val="none"/>
              </w:rPr>
            </w:pPr>
          </w:p>
        </w:tc>
      </w:tr>
      <w:tr w14:paraId="4269C967">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single" w:color="000000" w:sz="4" w:space="0"/>
            </w:tcBorders>
            <w:noWrap w:val="0"/>
            <w:vAlign w:val="center"/>
          </w:tcPr>
          <w:p w14:paraId="23233389">
            <w:pPr>
              <w:ind w:left="29" w:firstLine="58"/>
              <w:jc w:val="center"/>
              <w:rPr>
                <w:rFonts w:ascii="宋体" w:hAnsi="宋体"/>
                <w:highlight w:val="none"/>
              </w:rPr>
            </w:pPr>
            <w:r>
              <w:rPr>
                <w:rFonts w:ascii="宋体" w:hAnsi="宋体" w:cs="宋体"/>
                <w:highlight w:val="none"/>
              </w:rPr>
              <w:t>职</w:t>
            </w:r>
            <w:r>
              <w:rPr>
                <w:rFonts w:ascii="宋体" w:hAnsi="宋体"/>
                <w:highlight w:val="none"/>
              </w:rPr>
              <w:t xml:space="preserve">  </w:t>
            </w:r>
            <w:r>
              <w:rPr>
                <w:rFonts w:ascii="宋体" w:hAnsi="宋体" w:cs="宋体"/>
                <w:highlight w:val="none"/>
              </w:rPr>
              <w:t>称</w:t>
            </w: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4B828505">
            <w:pPr>
              <w:ind w:left="74" w:firstLine="480"/>
              <w:jc w:val="center"/>
              <w:rPr>
                <w:rFonts w:ascii="宋体" w:hAnsi="宋体"/>
                <w:highlight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F6B2040">
            <w:pPr>
              <w:ind w:left="39" w:firstLine="20"/>
              <w:jc w:val="center"/>
              <w:rPr>
                <w:rFonts w:ascii="宋体" w:hAnsi="宋体"/>
                <w:highlight w:val="none"/>
              </w:rPr>
            </w:pPr>
            <w:r>
              <w:rPr>
                <w:rFonts w:ascii="宋体" w:hAnsi="宋体" w:cs="宋体"/>
                <w:highlight w:val="none"/>
              </w:rPr>
              <w:t>学历</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668470">
            <w:pPr>
              <w:ind w:left="77" w:firstLine="480"/>
              <w:jc w:val="center"/>
              <w:rPr>
                <w:rFonts w:ascii="宋体" w:hAnsi="宋体"/>
                <w:highlight w:val="none"/>
              </w:rPr>
            </w:pPr>
          </w:p>
        </w:tc>
        <w:tc>
          <w:tcPr>
            <w:tcW w:w="2367" w:type="dxa"/>
            <w:gridSpan w:val="3"/>
            <w:tcBorders>
              <w:top w:val="single" w:color="000000" w:sz="4" w:space="0"/>
              <w:left w:val="single" w:color="000000" w:sz="4" w:space="0"/>
              <w:bottom w:val="single" w:color="000000" w:sz="4" w:space="0"/>
              <w:right w:val="single" w:color="000000" w:sz="4" w:space="0"/>
            </w:tcBorders>
            <w:noWrap w:val="0"/>
            <w:vAlign w:val="center"/>
          </w:tcPr>
          <w:p w14:paraId="245CB75B">
            <w:pPr>
              <w:ind w:left="28" w:firstLine="56"/>
              <w:jc w:val="center"/>
              <w:rPr>
                <w:rFonts w:ascii="宋体" w:hAnsi="宋体"/>
                <w:highlight w:val="none"/>
              </w:rPr>
            </w:pPr>
            <w:r>
              <w:rPr>
                <w:rFonts w:ascii="宋体" w:hAnsi="宋体" w:cs="宋体"/>
                <w:highlight w:val="none"/>
              </w:rPr>
              <w:t>拟在本项目任职</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575E555">
            <w:pPr>
              <w:ind w:left="76" w:firstLine="480"/>
              <w:jc w:val="center"/>
              <w:rPr>
                <w:rFonts w:ascii="宋体" w:hAnsi="宋体"/>
                <w:highlight w:val="none"/>
              </w:rPr>
            </w:pPr>
          </w:p>
        </w:tc>
      </w:tr>
      <w:tr w14:paraId="248ECED9">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single" w:color="000000" w:sz="4" w:space="0"/>
            </w:tcBorders>
            <w:noWrap w:val="0"/>
            <w:vAlign w:val="center"/>
          </w:tcPr>
          <w:p w14:paraId="7C847730">
            <w:pPr>
              <w:ind w:left="173" w:firstLine="58"/>
              <w:jc w:val="center"/>
              <w:rPr>
                <w:rFonts w:ascii="宋体" w:hAnsi="宋体"/>
                <w:highlight w:val="none"/>
              </w:rPr>
            </w:pPr>
            <w:r>
              <w:rPr>
                <w:rFonts w:ascii="宋体" w:hAnsi="宋体" w:cs="宋体"/>
                <w:highlight w:val="none"/>
              </w:rPr>
              <w:t>工作年限</w:t>
            </w:r>
          </w:p>
        </w:tc>
        <w:tc>
          <w:tcPr>
            <w:tcW w:w="2715" w:type="dxa"/>
            <w:gridSpan w:val="4"/>
            <w:tcBorders>
              <w:top w:val="single" w:color="000000" w:sz="4" w:space="0"/>
              <w:left w:val="single" w:color="000000" w:sz="4" w:space="0"/>
              <w:bottom w:val="single" w:color="000000" w:sz="4" w:space="0"/>
              <w:right w:val="single" w:color="000000" w:sz="4" w:space="0"/>
            </w:tcBorders>
            <w:noWrap w:val="0"/>
            <w:vAlign w:val="center"/>
          </w:tcPr>
          <w:p w14:paraId="7DC23EB4">
            <w:pPr>
              <w:ind w:left="77" w:firstLine="20"/>
              <w:jc w:val="center"/>
              <w:rPr>
                <w:rFonts w:ascii="宋体" w:hAnsi="宋体"/>
                <w:highlight w:val="none"/>
              </w:rPr>
            </w:pPr>
          </w:p>
        </w:tc>
        <w:tc>
          <w:tcPr>
            <w:tcW w:w="2367" w:type="dxa"/>
            <w:gridSpan w:val="3"/>
            <w:tcBorders>
              <w:top w:val="single" w:color="000000" w:sz="4" w:space="0"/>
              <w:left w:val="single" w:color="000000" w:sz="4" w:space="0"/>
              <w:bottom w:val="single" w:color="000000" w:sz="4" w:space="0"/>
              <w:right w:val="single" w:color="000000" w:sz="4" w:space="0"/>
            </w:tcBorders>
            <w:noWrap w:val="0"/>
            <w:vAlign w:val="center"/>
          </w:tcPr>
          <w:p w14:paraId="5A2F902A">
            <w:pPr>
              <w:ind w:left="343" w:firstLine="56"/>
              <w:jc w:val="center"/>
              <w:rPr>
                <w:rFonts w:ascii="宋体" w:hAnsi="宋体"/>
                <w:highlight w:val="none"/>
              </w:rPr>
            </w:pPr>
            <w:r>
              <w:rPr>
                <w:rFonts w:ascii="宋体" w:hAnsi="宋体" w:cs="宋体"/>
                <w:highlight w:val="none"/>
              </w:rPr>
              <w:t>从事监理工作年限</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3C0933F">
            <w:pPr>
              <w:ind w:left="76" w:firstLine="480"/>
              <w:jc w:val="center"/>
              <w:rPr>
                <w:rFonts w:ascii="宋体" w:hAnsi="宋体"/>
                <w:highlight w:val="none"/>
              </w:rPr>
            </w:pPr>
          </w:p>
        </w:tc>
      </w:tr>
      <w:tr w14:paraId="6F24DB62">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single" w:color="000000" w:sz="4" w:space="0"/>
            </w:tcBorders>
            <w:noWrap w:val="0"/>
            <w:vAlign w:val="center"/>
          </w:tcPr>
          <w:p w14:paraId="0F754B6C">
            <w:pPr>
              <w:ind w:left="173" w:firstLine="58"/>
              <w:jc w:val="center"/>
              <w:rPr>
                <w:rFonts w:ascii="宋体" w:hAnsi="宋体"/>
                <w:highlight w:val="none"/>
              </w:rPr>
            </w:pPr>
            <w:r>
              <w:rPr>
                <w:rFonts w:ascii="宋体" w:hAnsi="宋体" w:cs="宋体"/>
                <w:highlight w:val="none"/>
              </w:rPr>
              <w:t>毕业学校</w:t>
            </w:r>
          </w:p>
        </w:tc>
        <w:tc>
          <w:tcPr>
            <w:tcW w:w="7049" w:type="dxa"/>
            <w:gridSpan w:val="8"/>
            <w:tcBorders>
              <w:top w:val="single" w:color="000000" w:sz="4" w:space="0"/>
              <w:left w:val="single" w:color="000000" w:sz="4" w:space="0"/>
              <w:bottom w:val="single" w:color="000000" w:sz="4" w:space="0"/>
              <w:right w:val="single" w:color="000000" w:sz="4" w:space="0"/>
            </w:tcBorders>
            <w:noWrap w:val="0"/>
            <w:vAlign w:val="center"/>
          </w:tcPr>
          <w:p w14:paraId="7FAC8416">
            <w:pPr>
              <w:ind w:left="1263" w:firstLine="56"/>
              <w:jc w:val="center"/>
              <w:rPr>
                <w:rFonts w:ascii="宋体" w:hAnsi="宋体"/>
                <w:highlight w:val="none"/>
              </w:rPr>
            </w:pPr>
            <w:r>
              <w:rPr>
                <w:rFonts w:ascii="宋体" w:hAnsi="宋体" w:cs="宋体"/>
                <w:highlight w:val="none"/>
              </w:rPr>
              <w:t>年毕业于</w:t>
            </w:r>
            <w:r>
              <w:rPr>
                <w:rFonts w:ascii="宋体" w:hAnsi="宋体"/>
                <w:highlight w:val="none"/>
              </w:rPr>
              <w:t xml:space="preserve">            </w:t>
            </w:r>
            <w:r>
              <w:rPr>
                <w:rFonts w:ascii="宋体" w:hAnsi="宋体" w:cs="宋体"/>
                <w:highlight w:val="none"/>
              </w:rPr>
              <w:t>学校</w:t>
            </w:r>
            <w:r>
              <w:rPr>
                <w:rFonts w:ascii="宋体" w:hAnsi="宋体"/>
                <w:highlight w:val="none"/>
              </w:rPr>
              <w:t xml:space="preserve">        </w:t>
            </w:r>
            <w:r>
              <w:rPr>
                <w:rFonts w:ascii="宋体" w:hAnsi="宋体" w:cs="宋体"/>
                <w:highlight w:val="none"/>
              </w:rPr>
              <w:t>专业</w:t>
            </w:r>
          </w:p>
        </w:tc>
      </w:tr>
      <w:tr w14:paraId="6E852780">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344675F9">
            <w:pPr>
              <w:ind w:left="108" w:firstLine="58"/>
              <w:jc w:val="center"/>
              <w:rPr>
                <w:rFonts w:ascii="宋体" w:hAnsi="宋体"/>
                <w:highlight w:val="none"/>
              </w:rPr>
            </w:pPr>
            <w:r>
              <w:rPr>
                <w:rFonts w:ascii="宋体" w:hAnsi="宋体" w:cs="宋体"/>
                <w:highlight w:val="none"/>
              </w:rPr>
              <w:t>主要工作</w:t>
            </w:r>
            <w:r>
              <w:rPr>
                <w:rFonts w:hint="eastAsia" w:ascii="宋体" w:hAnsi="宋体" w:cs="宋体"/>
                <w:highlight w:val="none"/>
              </w:rPr>
              <w:t>经历</w:t>
            </w:r>
          </w:p>
        </w:tc>
        <w:tc>
          <w:tcPr>
            <w:tcW w:w="7049" w:type="dxa"/>
            <w:gridSpan w:val="8"/>
            <w:tcBorders>
              <w:top w:val="single" w:color="000000" w:sz="4" w:space="0"/>
              <w:left w:val="nil"/>
              <w:bottom w:val="single" w:color="000000" w:sz="4" w:space="0"/>
              <w:right w:val="single" w:color="000000" w:sz="4" w:space="0"/>
            </w:tcBorders>
            <w:noWrap w:val="0"/>
            <w:vAlign w:val="center"/>
          </w:tcPr>
          <w:p w14:paraId="1D1CC70E">
            <w:pPr>
              <w:ind w:left="-26" w:firstLine="56"/>
              <w:jc w:val="center"/>
              <w:rPr>
                <w:rFonts w:ascii="宋体" w:hAnsi="宋体"/>
                <w:highlight w:val="none"/>
              </w:rPr>
            </w:pPr>
          </w:p>
        </w:tc>
      </w:tr>
      <w:tr w14:paraId="7FE62E1D">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5064BCA3">
            <w:pPr>
              <w:ind w:right="72" w:firstLine="58"/>
              <w:jc w:val="center"/>
              <w:rPr>
                <w:rFonts w:ascii="宋体" w:hAnsi="宋体"/>
                <w:highlight w:val="none"/>
              </w:rPr>
            </w:pPr>
            <w:r>
              <w:rPr>
                <w:rFonts w:ascii="宋体" w:hAnsi="宋体" w:cs="宋体"/>
                <w:highlight w:val="none"/>
              </w:rPr>
              <w:t>时</w:t>
            </w:r>
            <w:r>
              <w:rPr>
                <w:rFonts w:ascii="宋体" w:hAnsi="宋体"/>
                <w:highlight w:val="none"/>
              </w:rPr>
              <w:t xml:space="preserve">  </w:t>
            </w:r>
            <w:r>
              <w:rPr>
                <w:rFonts w:ascii="宋体" w:hAnsi="宋体" w:cs="宋体"/>
                <w:highlight w:val="none"/>
              </w:rPr>
              <w:t>间</w:t>
            </w:r>
          </w:p>
        </w:tc>
        <w:tc>
          <w:tcPr>
            <w:tcW w:w="44" w:type="dxa"/>
            <w:tcBorders>
              <w:top w:val="single" w:color="000000" w:sz="4" w:space="0"/>
              <w:left w:val="nil"/>
              <w:bottom w:val="single" w:color="000000" w:sz="4" w:space="0"/>
              <w:right w:val="single" w:color="000000" w:sz="4" w:space="0"/>
            </w:tcBorders>
            <w:noWrap w:val="0"/>
            <w:vAlign w:val="center"/>
          </w:tcPr>
          <w:p w14:paraId="19DD8A38">
            <w:pPr>
              <w:ind w:firstLine="480"/>
              <w:jc w:val="center"/>
              <w:rPr>
                <w:rFonts w:ascii="宋体" w:hAnsi="宋体"/>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noWrap w:val="0"/>
            <w:vAlign w:val="center"/>
          </w:tcPr>
          <w:p w14:paraId="60B0C13F">
            <w:pPr>
              <w:ind w:left="25" w:firstLine="56"/>
              <w:jc w:val="center"/>
              <w:rPr>
                <w:rFonts w:ascii="宋体" w:hAnsi="宋体"/>
                <w:highlight w:val="none"/>
              </w:rPr>
            </w:pPr>
            <w:r>
              <w:rPr>
                <w:rFonts w:ascii="宋体" w:hAnsi="宋体" w:cs="宋体"/>
                <w:highlight w:val="none"/>
              </w:rPr>
              <w:t>参加过的类似项目</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678F7E0">
            <w:pPr>
              <w:ind w:left="209" w:firstLine="56"/>
              <w:jc w:val="center"/>
              <w:rPr>
                <w:rFonts w:ascii="宋体" w:hAnsi="宋体"/>
                <w:highlight w:val="none"/>
              </w:rPr>
            </w:pPr>
            <w:r>
              <w:rPr>
                <w:rFonts w:ascii="宋体" w:hAnsi="宋体" w:cs="宋体"/>
                <w:highlight w:val="none"/>
              </w:rPr>
              <w:t>担任职务</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center"/>
          </w:tcPr>
          <w:p w14:paraId="6FC2B422">
            <w:pPr>
              <w:ind w:left="307" w:firstLine="56"/>
              <w:jc w:val="center"/>
              <w:rPr>
                <w:rFonts w:ascii="宋体" w:hAnsi="宋体"/>
                <w:highlight w:val="none"/>
              </w:rPr>
            </w:pPr>
            <w:r>
              <w:rPr>
                <w:rFonts w:ascii="宋体" w:hAnsi="宋体" w:cs="宋体"/>
                <w:highlight w:val="none"/>
              </w:rPr>
              <w:t>委托人及联系电话</w:t>
            </w:r>
          </w:p>
        </w:tc>
      </w:tr>
      <w:tr w14:paraId="3D5B2F2A">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2EFCE978">
            <w:pPr>
              <w:ind w:left="108" w:firstLine="58"/>
              <w:jc w:val="center"/>
              <w:rPr>
                <w:rFonts w:ascii="宋体" w:hAnsi="宋体"/>
                <w:highlight w:val="none"/>
              </w:rPr>
            </w:pPr>
          </w:p>
        </w:tc>
        <w:tc>
          <w:tcPr>
            <w:tcW w:w="44" w:type="dxa"/>
            <w:tcBorders>
              <w:top w:val="single" w:color="000000" w:sz="4" w:space="0"/>
              <w:left w:val="nil"/>
              <w:bottom w:val="single" w:color="000000" w:sz="4" w:space="0"/>
              <w:right w:val="single" w:color="000000" w:sz="4" w:space="0"/>
            </w:tcBorders>
            <w:noWrap w:val="0"/>
            <w:vAlign w:val="center"/>
          </w:tcPr>
          <w:p w14:paraId="4B0FBD5F">
            <w:pPr>
              <w:ind w:firstLine="480"/>
              <w:jc w:val="center"/>
              <w:rPr>
                <w:rFonts w:ascii="宋体" w:hAnsi="宋体"/>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noWrap w:val="0"/>
            <w:vAlign w:val="center"/>
          </w:tcPr>
          <w:p w14:paraId="3FE6040F">
            <w:pPr>
              <w:ind w:left="108" w:firstLine="56"/>
              <w:jc w:val="center"/>
              <w:rPr>
                <w:rFonts w:ascii="宋体" w:hAnsi="宋体"/>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3D736DD">
            <w:pPr>
              <w:ind w:left="108" w:firstLine="56"/>
              <w:jc w:val="center"/>
              <w:rPr>
                <w:rFonts w:ascii="宋体" w:hAnsi="宋体"/>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center"/>
          </w:tcPr>
          <w:p w14:paraId="1FC26636">
            <w:pPr>
              <w:ind w:left="108" w:firstLine="56"/>
              <w:jc w:val="center"/>
              <w:rPr>
                <w:rFonts w:ascii="宋体" w:hAnsi="宋体"/>
                <w:highlight w:val="none"/>
              </w:rPr>
            </w:pPr>
          </w:p>
        </w:tc>
      </w:tr>
      <w:tr w14:paraId="32C3B38E">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3697F961">
            <w:pPr>
              <w:ind w:left="108" w:firstLine="58"/>
              <w:jc w:val="center"/>
              <w:rPr>
                <w:rFonts w:ascii="宋体" w:hAnsi="宋体"/>
                <w:highlight w:val="none"/>
              </w:rPr>
            </w:pPr>
          </w:p>
        </w:tc>
        <w:tc>
          <w:tcPr>
            <w:tcW w:w="44" w:type="dxa"/>
            <w:tcBorders>
              <w:top w:val="single" w:color="000000" w:sz="4" w:space="0"/>
              <w:left w:val="nil"/>
              <w:bottom w:val="single" w:color="000000" w:sz="4" w:space="0"/>
              <w:right w:val="single" w:color="000000" w:sz="4" w:space="0"/>
            </w:tcBorders>
            <w:noWrap w:val="0"/>
            <w:vAlign w:val="center"/>
          </w:tcPr>
          <w:p w14:paraId="4D8930B0">
            <w:pPr>
              <w:ind w:firstLine="480"/>
              <w:jc w:val="center"/>
              <w:rPr>
                <w:rFonts w:ascii="宋体" w:hAnsi="宋体"/>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noWrap w:val="0"/>
            <w:vAlign w:val="center"/>
          </w:tcPr>
          <w:p w14:paraId="2DAD064D">
            <w:pPr>
              <w:ind w:left="108" w:firstLine="56"/>
              <w:jc w:val="center"/>
              <w:rPr>
                <w:rFonts w:ascii="宋体" w:hAnsi="宋体"/>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8253478">
            <w:pPr>
              <w:ind w:left="108" w:firstLine="56"/>
              <w:jc w:val="center"/>
              <w:rPr>
                <w:rFonts w:ascii="宋体" w:hAnsi="宋体"/>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center"/>
          </w:tcPr>
          <w:p w14:paraId="256E6D0A">
            <w:pPr>
              <w:ind w:left="108" w:firstLine="56"/>
              <w:jc w:val="center"/>
              <w:rPr>
                <w:rFonts w:ascii="宋体" w:hAnsi="宋体"/>
                <w:highlight w:val="none"/>
              </w:rPr>
            </w:pPr>
          </w:p>
        </w:tc>
      </w:tr>
      <w:tr w14:paraId="38A46D01">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08DB0018">
            <w:pPr>
              <w:ind w:left="108" w:firstLine="58"/>
              <w:jc w:val="center"/>
              <w:rPr>
                <w:rFonts w:ascii="宋体" w:hAnsi="宋体"/>
                <w:highlight w:val="none"/>
              </w:rPr>
            </w:pPr>
          </w:p>
        </w:tc>
        <w:tc>
          <w:tcPr>
            <w:tcW w:w="44" w:type="dxa"/>
            <w:tcBorders>
              <w:top w:val="single" w:color="000000" w:sz="4" w:space="0"/>
              <w:left w:val="nil"/>
              <w:bottom w:val="single" w:color="000000" w:sz="4" w:space="0"/>
              <w:right w:val="single" w:color="000000" w:sz="4" w:space="0"/>
            </w:tcBorders>
            <w:noWrap w:val="0"/>
            <w:vAlign w:val="center"/>
          </w:tcPr>
          <w:p w14:paraId="1DDBEAE5">
            <w:pPr>
              <w:ind w:firstLine="480"/>
              <w:jc w:val="center"/>
              <w:rPr>
                <w:rFonts w:ascii="宋体" w:hAnsi="宋体"/>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noWrap w:val="0"/>
            <w:vAlign w:val="center"/>
          </w:tcPr>
          <w:p w14:paraId="45DB482B">
            <w:pPr>
              <w:ind w:left="108" w:firstLine="56"/>
              <w:jc w:val="center"/>
              <w:rPr>
                <w:rFonts w:ascii="宋体" w:hAnsi="宋体"/>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89C66EC">
            <w:pPr>
              <w:ind w:left="108" w:firstLine="56"/>
              <w:jc w:val="center"/>
              <w:rPr>
                <w:rFonts w:ascii="宋体" w:hAnsi="宋体"/>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center"/>
          </w:tcPr>
          <w:p w14:paraId="14526A15">
            <w:pPr>
              <w:ind w:left="108" w:firstLine="56"/>
              <w:jc w:val="center"/>
              <w:rPr>
                <w:rFonts w:ascii="宋体" w:hAnsi="宋体"/>
                <w:highlight w:val="none"/>
              </w:rPr>
            </w:pPr>
          </w:p>
        </w:tc>
      </w:tr>
      <w:tr w14:paraId="37863970">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2263DB65">
            <w:pPr>
              <w:ind w:left="108" w:firstLine="58"/>
              <w:jc w:val="center"/>
              <w:rPr>
                <w:rFonts w:ascii="宋体" w:hAnsi="宋体"/>
                <w:highlight w:val="none"/>
              </w:rPr>
            </w:pPr>
          </w:p>
        </w:tc>
        <w:tc>
          <w:tcPr>
            <w:tcW w:w="44" w:type="dxa"/>
            <w:tcBorders>
              <w:top w:val="single" w:color="000000" w:sz="4" w:space="0"/>
              <w:left w:val="nil"/>
              <w:bottom w:val="single" w:color="000000" w:sz="4" w:space="0"/>
              <w:right w:val="single" w:color="000000" w:sz="4" w:space="0"/>
            </w:tcBorders>
            <w:noWrap w:val="0"/>
            <w:vAlign w:val="center"/>
          </w:tcPr>
          <w:p w14:paraId="3B4F6317">
            <w:pPr>
              <w:ind w:firstLine="480"/>
              <w:jc w:val="center"/>
              <w:rPr>
                <w:rFonts w:ascii="宋体" w:hAnsi="宋体"/>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noWrap w:val="0"/>
            <w:vAlign w:val="center"/>
          </w:tcPr>
          <w:p w14:paraId="38C369BD">
            <w:pPr>
              <w:ind w:left="108" w:firstLine="56"/>
              <w:jc w:val="center"/>
              <w:rPr>
                <w:rFonts w:ascii="宋体" w:hAnsi="宋体"/>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1A51A5C">
            <w:pPr>
              <w:ind w:left="108" w:firstLine="56"/>
              <w:jc w:val="center"/>
              <w:rPr>
                <w:rFonts w:ascii="宋体" w:hAnsi="宋体"/>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center"/>
          </w:tcPr>
          <w:p w14:paraId="780D1096">
            <w:pPr>
              <w:ind w:left="108" w:firstLine="56"/>
              <w:jc w:val="center"/>
              <w:rPr>
                <w:rFonts w:ascii="宋体" w:hAnsi="宋体"/>
                <w:highlight w:val="none"/>
              </w:rPr>
            </w:pPr>
          </w:p>
        </w:tc>
      </w:tr>
      <w:tr w14:paraId="6AD733A4">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33EF4FC2">
            <w:pPr>
              <w:ind w:left="108" w:firstLine="58"/>
              <w:jc w:val="center"/>
              <w:rPr>
                <w:rFonts w:ascii="宋体" w:hAnsi="宋体"/>
                <w:highlight w:val="none"/>
              </w:rPr>
            </w:pPr>
          </w:p>
        </w:tc>
        <w:tc>
          <w:tcPr>
            <w:tcW w:w="44" w:type="dxa"/>
            <w:tcBorders>
              <w:top w:val="single" w:color="000000" w:sz="4" w:space="0"/>
              <w:left w:val="nil"/>
              <w:bottom w:val="single" w:color="000000" w:sz="4" w:space="0"/>
              <w:right w:val="single" w:color="000000" w:sz="4" w:space="0"/>
            </w:tcBorders>
            <w:noWrap w:val="0"/>
            <w:vAlign w:val="center"/>
          </w:tcPr>
          <w:p w14:paraId="155E135F">
            <w:pPr>
              <w:ind w:firstLine="480"/>
              <w:jc w:val="center"/>
              <w:rPr>
                <w:rFonts w:ascii="宋体" w:hAnsi="宋体"/>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noWrap w:val="0"/>
            <w:vAlign w:val="center"/>
          </w:tcPr>
          <w:p w14:paraId="1F8903E4">
            <w:pPr>
              <w:ind w:left="108" w:firstLine="56"/>
              <w:jc w:val="center"/>
              <w:rPr>
                <w:rFonts w:ascii="宋体" w:hAnsi="宋体"/>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1601FF3">
            <w:pPr>
              <w:ind w:left="108" w:firstLine="56"/>
              <w:jc w:val="center"/>
              <w:rPr>
                <w:rFonts w:ascii="宋体" w:hAnsi="宋体"/>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center"/>
          </w:tcPr>
          <w:p w14:paraId="22AE1188">
            <w:pPr>
              <w:ind w:left="108" w:firstLine="56"/>
              <w:jc w:val="center"/>
              <w:rPr>
                <w:rFonts w:ascii="宋体" w:hAnsi="宋体"/>
                <w:highlight w:val="none"/>
              </w:rPr>
            </w:pPr>
          </w:p>
        </w:tc>
      </w:tr>
      <w:tr w14:paraId="7846F284">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68B9CD77">
            <w:pPr>
              <w:ind w:left="108" w:firstLine="58"/>
              <w:jc w:val="center"/>
              <w:rPr>
                <w:rFonts w:ascii="宋体" w:hAnsi="宋体"/>
                <w:highlight w:val="none"/>
              </w:rPr>
            </w:pPr>
          </w:p>
        </w:tc>
        <w:tc>
          <w:tcPr>
            <w:tcW w:w="44" w:type="dxa"/>
            <w:tcBorders>
              <w:top w:val="single" w:color="000000" w:sz="4" w:space="0"/>
              <w:left w:val="nil"/>
              <w:bottom w:val="single" w:color="000000" w:sz="4" w:space="0"/>
              <w:right w:val="single" w:color="000000" w:sz="4" w:space="0"/>
            </w:tcBorders>
            <w:noWrap w:val="0"/>
            <w:vAlign w:val="center"/>
          </w:tcPr>
          <w:p w14:paraId="049A5BA4">
            <w:pPr>
              <w:ind w:firstLine="480"/>
              <w:jc w:val="center"/>
              <w:rPr>
                <w:rFonts w:ascii="宋体" w:hAnsi="宋体"/>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noWrap w:val="0"/>
            <w:vAlign w:val="center"/>
          </w:tcPr>
          <w:p w14:paraId="57521390">
            <w:pPr>
              <w:ind w:left="108" w:firstLine="56"/>
              <w:jc w:val="center"/>
              <w:rPr>
                <w:rFonts w:ascii="宋体" w:hAnsi="宋体"/>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F49621A">
            <w:pPr>
              <w:ind w:left="108" w:firstLine="56"/>
              <w:jc w:val="center"/>
              <w:rPr>
                <w:rFonts w:ascii="宋体" w:hAnsi="宋体"/>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center"/>
          </w:tcPr>
          <w:p w14:paraId="6BBCCA2C">
            <w:pPr>
              <w:ind w:left="108" w:firstLine="56"/>
              <w:jc w:val="center"/>
              <w:rPr>
                <w:rFonts w:ascii="宋体" w:hAnsi="宋体"/>
                <w:highlight w:val="none"/>
              </w:rPr>
            </w:pPr>
          </w:p>
        </w:tc>
      </w:tr>
      <w:tr w14:paraId="40B1827E">
        <w:tblPrEx>
          <w:tblCellMar>
            <w:top w:w="169" w:type="dxa"/>
            <w:left w:w="0" w:type="dxa"/>
            <w:bottom w:w="61" w:type="dxa"/>
            <w:right w:w="24" w:type="dxa"/>
          </w:tblCellMar>
        </w:tblPrEx>
        <w:trPr>
          <w:trHeight w:val="454" w:hRule="atLeast"/>
          <w:jc w:val="center"/>
        </w:trPr>
        <w:tc>
          <w:tcPr>
            <w:tcW w:w="1543" w:type="dxa"/>
            <w:tcBorders>
              <w:top w:val="single" w:color="000000" w:sz="4" w:space="0"/>
              <w:left w:val="single" w:color="000000" w:sz="4" w:space="0"/>
              <w:bottom w:val="single" w:color="000000" w:sz="4" w:space="0"/>
              <w:right w:val="nil"/>
            </w:tcBorders>
            <w:noWrap w:val="0"/>
            <w:vAlign w:val="center"/>
          </w:tcPr>
          <w:p w14:paraId="780D9402">
            <w:pPr>
              <w:ind w:left="108" w:firstLine="58"/>
              <w:jc w:val="center"/>
              <w:rPr>
                <w:rFonts w:ascii="宋体" w:hAnsi="宋体"/>
                <w:highlight w:val="none"/>
              </w:rPr>
            </w:pPr>
          </w:p>
        </w:tc>
        <w:tc>
          <w:tcPr>
            <w:tcW w:w="44" w:type="dxa"/>
            <w:tcBorders>
              <w:top w:val="single" w:color="000000" w:sz="4" w:space="0"/>
              <w:left w:val="nil"/>
              <w:bottom w:val="single" w:color="000000" w:sz="4" w:space="0"/>
              <w:right w:val="single" w:color="000000" w:sz="4" w:space="0"/>
            </w:tcBorders>
            <w:noWrap w:val="0"/>
            <w:vAlign w:val="center"/>
          </w:tcPr>
          <w:p w14:paraId="07AB9554">
            <w:pPr>
              <w:ind w:firstLine="480"/>
              <w:jc w:val="center"/>
              <w:rPr>
                <w:rFonts w:ascii="宋体" w:hAnsi="宋体"/>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noWrap w:val="0"/>
            <w:vAlign w:val="center"/>
          </w:tcPr>
          <w:p w14:paraId="73CA373B">
            <w:pPr>
              <w:ind w:left="108" w:firstLine="56"/>
              <w:jc w:val="center"/>
              <w:rPr>
                <w:rFonts w:ascii="宋体" w:hAnsi="宋体"/>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9C7841E">
            <w:pPr>
              <w:ind w:left="108" w:firstLine="56"/>
              <w:jc w:val="center"/>
              <w:rPr>
                <w:rFonts w:ascii="宋体" w:hAnsi="宋体"/>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center"/>
          </w:tcPr>
          <w:p w14:paraId="4CD130DA">
            <w:pPr>
              <w:ind w:left="108" w:firstLine="56"/>
              <w:jc w:val="center"/>
              <w:rPr>
                <w:rFonts w:ascii="宋体" w:hAnsi="宋体"/>
                <w:highlight w:val="none"/>
              </w:rPr>
            </w:pPr>
          </w:p>
        </w:tc>
      </w:tr>
    </w:tbl>
    <w:p w14:paraId="34968556">
      <w:pPr>
        <w:snapToGrid w:val="0"/>
        <w:spacing w:line="400" w:lineRule="exact"/>
        <w:ind w:firstLine="480"/>
        <w:rPr>
          <w:rFonts w:hint="eastAsia" w:ascii="宋体" w:hAnsi="宋体"/>
          <w:highlight w:val="none"/>
        </w:rPr>
      </w:pPr>
    </w:p>
    <w:p w14:paraId="21CDFCB6">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eastAsia" w:ascii="宋体" w:hAnsi="宋体"/>
          <w:highlight w:val="none"/>
        </w:rPr>
      </w:pPr>
      <w:r>
        <w:rPr>
          <w:rFonts w:hint="eastAsia" w:ascii="宋体" w:hAnsi="宋体"/>
          <w:highlight w:val="none"/>
        </w:rPr>
        <w:t>注：本表后附其他主要人员的身份证、职称证书复印件或相关资格证书，并提供在投标人本单位缴交的</w:t>
      </w:r>
      <w:r>
        <w:rPr>
          <w:rFonts w:hint="eastAsia" w:ascii="宋体" w:hAnsi="宋体"/>
          <w:highlight w:val="none"/>
          <w:lang w:eastAsia="zh-CN"/>
        </w:rPr>
        <w:t>连续近1个月（202</w:t>
      </w:r>
      <w:r>
        <w:rPr>
          <w:rFonts w:hint="eastAsia" w:ascii="宋体" w:hAnsi="宋体"/>
          <w:highlight w:val="none"/>
          <w:lang w:val="en-US" w:eastAsia="zh-CN"/>
        </w:rPr>
        <w:t>4</w:t>
      </w:r>
      <w:r>
        <w:rPr>
          <w:rFonts w:hint="eastAsia" w:ascii="宋体" w:hAnsi="宋体"/>
          <w:highlight w:val="none"/>
          <w:lang w:eastAsia="zh-CN"/>
        </w:rPr>
        <w:t>年</w:t>
      </w:r>
      <w:r>
        <w:rPr>
          <w:rFonts w:hint="eastAsia" w:ascii="宋体" w:hAnsi="宋体"/>
          <w:highlight w:val="none"/>
          <w:lang w:val="en-US" w:eastAsia="zh-CN"/>
        </w:rPr>
        <w:t>7</w:t>
      </w:r>
      <w:r>
        <w:rPr>
          <w:rFonts w:hint="eastAsia" w:ascii="宋体" w:hAnsi="宋体"/>
          <w:highlight w:val="none"/>
          <w:lang w:eastAsia="zh-CN"/>
        </w:rPr>
        <w:t>月）</w:t>
      </w:r>
      <w:r>
        <w:rPr>
          <w:rFonts w:hint="eastAsia" w:ascii="宋体" w:hAnsi="宋体"/>
          <w:highlight w:val="none"/>
        </w:rPr>
        <w:t>社保证明(须</w:t>
      </w:r>
      <w:r>
        <w:rPr>
          <w:rFonts w:ascii="宋体" w:hAnsi="宋体"/>
          <w:highlight w:val="none"/>
        </w:rPr>
        <w:t>加盖</w:t>
      </w:r>
      <w:r>
        <w:rPr>
          <w:rFonts w:hint="eastAsia" w:ascii="宋体" w:hAnsi="宋体"/>
          <w:highlight w:val="none"/>
        </w:rPr>
        <w:t>社保部门或税务部门印章)。</w:t>
      </w:r>
    </w:p>
    <w:p w14:paraId="4141E473">
      <w:pPr>
        <w:tabs>
          <w:tab w:val="left" w:pos="0"/>
        </w:tabs>
        <w:autoSpaceDE w:val="0"/>
        <w:autoSpaceDN w:val="0"/>
        <w:adjustRightInd w:val="0"/>
        <w:ind w:firstLine="420" w:firstLineChars="200"/>
        <w:rPr>
          <w:rFonts w:ascii="宋体" w:hAnsi="宋体"/>
          <w:highlight w:val="none"/>
        </w:rPr>
      </w:pPr>
    </w:p>
    <w:p w14:paraId="48ADE05F">
      <w:pPr>
        <w:tabs>
          <w:tab w:val="left" w:pos="0"/>
        </w:tabs>
        <w:autoSpaceDE w:val="0"/>
        <w:autoSpaceDN w:val="0"/>
        <w:adjustRightInd w:val="0"/>
        <w:ind w:firstLine="420" w:firstLineChars="200"/>
        <w:rPr>
          <w:rFonts w:ascii="宋体" w:hAnsi="宋体"/>
          <w:highlight w:val="none"/>
        </w:rPr>
      </w:pPr>
    </w:p>
    <w:p w14:paraId="306158B8">
      <w:pPr>
        <w:tabs>
          <w:tab w:val="left" w:pos="0"/>
        </w:tabs>
        <w:autoSpaceDE w:val="0"/>
        <w:autoSpaceDN w:val="0"/>
        <w:adjustRightInd w:val="0"/>
        <w:ind w:firstLine="420" w:firstLineChars="200"/>
        <w:rPr>
          <w:rFonts w:ascii="宋体" w:hAnsi="宋体"/>
          <w:highlight w:val="none"/>
        </w:rPr>
      </w:pPr>
    </w:p>
    <w:p w14:paraId="1D7DD0C2">
      <w:pPr>
        <w:tabs>
          <w:tab w:val="left" w:pos="0"/>
        </w:tabs>
        <w:autoSpaceDE w:val="0"/>
        <w:autoSpaceDN w:val="0"/>
        <w:adjustRightInd w:val="0"/>
        <w:ind w:firstLine="420" w:firstLineChars="200"/>
        <w:rPr>
          <w:rFonts w:ascii="宋体" w:hAnsi="宋体"/>
          <w:highlight w:val="none"/>
        </w:rPr>
      </w:pPr>
    </w:p>
    <w:p w14:paraId="1F154002">
      <w:pPr>
        <w:tabs>
          <w:tab w:val="left" w:pos="0"/>
        </w:tabs>
        <w:autoSpaceDE w:val="0"/>
        <w:autoSpaceDN w:val="0"/>
        <w:adjustRightInd w:val="0"/>
        <w:ind w:firstLine="420" w:firstLineChars="200"/>
        <w:rPr>
          <w:rFonts w:ascii="宋体" w:hAnsi="宋体"/>
          <w:highlight w:val="none"/>
        </w:rPr>
      </w:pPr>
    </w:p>
    <w:p w14:paraId="3DDCE819">
      <w:pPr>
        <w:tabs>
          <w:tab w:val="left" w:pos="0"/>
        </w:tabs>
        <w:autoSpaceDE w:val="0"/>
        <w:autoSpaceDN w:val="0"/>
        <w:adjustRightInd w:val="0"/>
        <w:ind w:firstLine="420" w:firstLineChars="200"/>
        <w:rPr>
          <w:rFonts w:ascii="宋体" w:hAnsi="宋体"/>
          <w:highlight w:val="none"/>
        </w:rPr>
      </w:pPr>
    </w:p>
    <w:p w14:paraId="5F272B27">
      <w:pPr>
        <w:snapToGrid w:val="0"/>
        <w:spacing w:line="480" w:lineRule="auto"/>
        <w:ind w:left="3826" w:leftChars="1822" w:right="482" w:firstLine="480"/>
        <w:rPr>
          <w:rFonts w:ascii="宋体" w:hAnsi="宋体"/>
          <w:highlight w:val="none"/>
        </w:rPr>
      </w:pPr>
      <w:r>
        <w:rPr>
          <w:rFonts w:hint="eastAsia" w:ascii="宋体" w:hAnsi="宋体"/>
          <w:highlight w:val="none"/>
        </w:rPr>
        <w:t>投标人：</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（盖单位章）</w:t>
      </w:r>
      <w:r>
        <w:rPr>
          <w:rFonts w:ascii="宋体" w:hAnsi="宋体"/>
          <w:highlight w:val="none"/>
        </w:rPr>
        <w:t xml:space="preserve">           </w:t>
      </w:r>
    </w:p>
    <w:p w14:paraId="5E19C9ED">
      <w:pPr>
        <w:snapToGrid w:val="0"/>
        <w:spacing w:line="480" w:lineRule="auto"/>
        <w:ind w:left="3826" w:leftChars="1822" w:right="482" w:firstLine="480"/>
        <w:rPr>
          <w:rFonts w:hint="eastAsia" w:ascii="宋体" w:hAnsi="宋体"/>
          <w:highlight w:val="none"/>
        </w:rPr>
      </w:pPr>
      <w:r>
        <w:rPr>
          <w:rFonts w:hint="eastAsia" w:ascii="宋体" w:hAnsi="宋体"/>
          <w:highlight w:val="none"/>
        </w:rPr>
        <w:t>法定代表人或其委托代理人：</w:t>
      </w:r>
      <w:r>
        <w:rPr>
          <w:rFonts w:ascii="宋体" w:hAnsi="宋体"/>
          <w:highlight w:val="none"/>
          <w:u w:val="single"/>
        </w:rPr>
        <w:t xml:space="preserve">          </w:t>
      </w:r>
      <w:r>
        <w:rPr>
          <w:rFonts w:hint="eastAsia" w:ascii="宋体" w:hAnsi="宋体"/>
          <w:highlight w:val="none"/>
        </w:rPr>
        <w:t>（签字）</w:t>
      </w:r>
    </w:p>
    <w:p w14:paraId="58BCA088">
      <w:pPr>
        <w:snapToGrid w:val="0"/>
        <w:spacing w:line="480" w:lineRule="auto"/>
        <w:ind w:left="3826" w:leftChars="1822" w:right="482" w:firstLine="480"/>
        <w:rPr>
          <w:rFonts w:hint="eastAsia" w:ascii="宋体" w:hAnsi="宋体"/>
          <w:highlight w:val="none"/>
        </w:rPr>
      </w:pPr>
      <w:r>
        <w:rPr>
          <w:rFonts w:hint="eastAsia" w:ascii="宋体" w:hAnsi="宋体"/>
          <w:highlight w:val="none"/>
        </w:rPr>
        <w:t>日   期：</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rPr>
        <w:t>日</w:t>
      </w:r>
    </w:p>
    <w:p w14:paraId="69F3BF97">
      <w:pPr>
        <w:snapToGrid w:val="0"/>
        <w:spacing w:line="480" w:lineRule="auto"/>
        <w:ind w:left="3826" w:leftChars="1822" w:right="482" w:firstLine="480"/>
        <w:rPr>
          <w:rFonts w:hint="eastAsia" w:ascii="宋体" w:hAnsi="宋体"/>
          <w:highlight w:val="none"/>
        </w:rPr>
      </w:pPr>
    </w:p>
    <w:p w14:paraId="34A34A66">
      <w:pPr>
        <w:pStyle w:val="8"/>
        <w:ind w:firstLine="640"/>
        <w:jc w:val="center"/>
        <w:rPr>
          <w:rFonts w:hint="eastAsia" w:ascii="宋体" w:hAnsi="宋体"/>
          <w:b w:val="0"/>
          <w:highlight w:val="none"/>
        </w:rPr>
      </w:pPr>
      <w:bookmarkStart w:id="345" w:name="_Toc95747054"/>
      <w:bookmarkStart w:id="346" w:name="_Toc6336"/>
      <w:bookmarkStart w:id="347" w:name="_Toc95747160"/>
      <w:bookmarkStart w:id="348" w:name="_Toc96005976"/>
      <w:bookmarkStart w:id="349" w:name="_Toc8434"/>
      <w:bookmarkStart w:id="350" w:name="_Toc30118"/>
      <w:bookmarkStart w:id="351" w:name="_Toc683"/>
      <w:r>
        <w:rPr>
          <w:rFonts w:hint="eastAsia" w:ascii="宋体" w:hAnsi="宋体"/>
          <w:b w:val="0"/>
          <w:highlight w:val="none"/>
          <w:lang w:eastAsia="zh-CN"/>
        </w:rPr>
        <w:t>六</w:t>
      </w:r>
      <w:r>
        <w:rPr>
          <w:rFonts w:hint="eastAsia" w:ascii="宋体" w:hAnsi="宋体"/>
          <w:b w:val="0"/>
          <w:highlight w:val="none"/>
        </w:rPr>
        <w:t>、监理大纲</w:t>
      </w:r>
      <w:bookmarkEnd w:id="345"/>
      <w:bookmarkEnd w:id="346"/>
      <w:bookmarkEnd w:id="347"/>
      <w:bookmarkEnd w:id="348"/>
      <w:bookmarkEnd w:id="349"/>
      <w:bookmarkEnd w:id="350"/>
      <w:bookmarkEnd w:id="351"/>
    </w:p>
    <w:p w14:paraId="0C255EDF">
      <w:pPr>
        <w:spacing w:line="347" w:lineRule="exact"/>
        <w:ind w:firstLine="640"/>
        <w:rPr>
          <w:rFonts w:ascii="宋体" w:hAnsi="宋体"/>
          <w:sz w:val="32"/>
          <w:szCs w:val="32"/>
          <w:highlight w:val="none"/>
        </w:rPr>
      </w:pPr>
    </w:p>
    <w:p w14:paraId="24B399C1">
      <w:pPr>
        <w:spacing w:line="360" w:lineRule="auto"/>
        <w:ind w:left="839" w:firstLine="480"/>
        <w:rPr>
          <w:rFonts w:ascii="宋体" w:hAnsi="宋体"/>
          <w:sz w:val="24"/>
          <w:szCs w:val="24"/>
          <w:highlight w:val="none"/>
        </w:rPr>
      </w:pPr>
      <w:r>
        <w:rPr>
          <w:rFonts w:ascii="宋体" w:hAnsi="宋体"/>
          <w:sz w:val="24"/>
          <w:szCs w:val="24"/>
          <w:highlight w:val="none"/>
        </w:rPr>
        <w:t>监理大纲应包括（但不限于）下列内容：</w:t>
      </w:r>
    </w:p>
    <w:p w14:paraId="2EF5C637">
      <w:pPr>
        <w:spacing w:line="360" w:lineRule="auto"/>
        <w:ind w:firstLine="542" w:firstLineChars="226"/>
        <w:rPr>
          <w:rFonts w:hint="eastAsia" w:ascii="宋体" w:hAnsi="宋体" w:cs="宋体"/>
          <w:sz w:val="24"/>
          <w:szCs w:val="24"/>
          <w:highlight w:val="none"/>
        </w:rPr>
      </w:pPr>
      <w:bookmarkStart w:id="352" w:name="_Toc20540_WPSOffice_Level1"/>
      <w:bookmarkStart w:id="353" w:name="_Toc20113_WPSOffice_Level2"/>
      <w:bookmarkStart w:id="354" w:name="_Toc32266_WPSOffice_Level1"/>
      <w:r>
        <w:rPr>
          <w:rFonts w:hint="eastAsia" w:ascii="宋体" w:hAnsi="宋体" w:cs="宋体"/>
          <w:sz w:val="24"/>
          <w:szCs w:val="24"/>
          <w:highlight w:val="none"/>
        </w:rPr>
        <w:t>一、监理工作程序；</w:t>
      </w:r>
      <w:bookmarkEnd w:id="352"/>
      <w:bookmarkEnd w:id="353"/>
      <w:bookmarkEnd w:id="354"/>
    </w:p>
    <w:p w14:paraId="370C6D4A">
      <w:pPr>
        <w:spacing w:line="360" w:lineRule="auto"/>
        <w:ind w:firstLine="542" w:firstLineChars="226"/>
        <w:rPr>
          <w:rFonts w:hint="eastAsia" w:ascii="宋体" w:hAnsi="宋体" w:cs="宋体"/>
          <w:sz w:val="24"/>
          <w:szCs w:val="24"/>
          <w:highlight w:val="none"/>
        </w:rPr>
      </w:pPr>
      <w:bookmarkStart w:id="355" w:name="_Toc16469_WPSOffice_Level1"/>
      <w:bookmarkStart w:id="356" w:name="_Toc21839_WPSOffice_Level2"/>
      <w:bookmarkStart w:id="357" w:name="_Toc22531_WPSOffice_Level1"/>
      <w:r>
        <w:rPr>
          <w:rFonts w:hint="eastAsia" w:ascii="宋体" w:hAnsi="宋体" w:cs="宋体"/>
          <w:sz w:val="24"/>
          <w:szCs w:val="24"/>
          <w:highlight w:val="none"/>
        </w:rPr>
        <w:t>二、质量控制措施；</w:t>
      </w:r>
      <w:bookmarkEnd w:id="355"/>
      <w:bookmarkEnd w:id="356"/>
      <w:bookmarkEnd w:id="357"/>
    </w:p>
    <w:p w14:paraId="16C72A6D">
      <w:pPr>
        <w:spacing w:line="360" w:lineRule="auto"/>
        <w:ind w:firstLine="542" w:firstLineChars="226"/>
        <w:rPr>
          <w:rFonts w:hint="eastAsia" w:ascii="宋体" w:hAnsi="宋体" w:cs="宋体"/>
          <w:sz w:val="24"/>
          <w:szCs w:val="24"/>
          <w:highlight w:val="none"/>
        </w:rPr>
      </w:pPr>
      <w:bookmarkStart w:id="358" w:name="_Toc802_WPSOffice_Level2"/>
      <w:bookmarkStart w:id="359" w:name="_Toc31676_WPSOffice_Level1"/>
      <w:bookmarkStart w:id="360" w:name="_Toc25966_WPSOffice_Level1"/>
      <w:r>
        <w:rPr>
          <w:rFonts w:hint="eastAsia" w:ascii="宋体" w:hAnsi="宋体" w:cs="宋体"/>
          <w:sz w:val="24"/>
          <w:szCs w:val="24"/>
          <w:highlight w:val="none"/>
        </w:rPr>
        <w:t>三、进度控制措施；</w:t>
      </w:r>
      <w:bookmarkEnd w:id="358"/>
      <w:bookmarkEnd w:id="359"/>
      <w:bookmarkEnd w:id="360"/>
    </w:p>
    <w:p w14:paraId="1090EABC">
      <w:pPr>
        <w:spacing w:line="360" w:lineRule="auto"/>
        <w:ind w:firstLine="542" w:firstLineChars="226"/>
        <w:rPr>
          <w:rFonts w:hint="eastAsia" w:ascii="宋体" w:hAnsi="宋体" w:cs="宋体"/>
          <w:sz w:val="24"/>
          <w:szCs w:val="24"/>
          <w:highlight w:val="none"/>
        </w:rPr>
      </w:pPr>
      <w:bookmarkStart w:id="361" w:name="_Toc16760_WPSOffice_Level2"/>
      <w:bookmarkStart w:id="362" w:name="_Toc5676_WPSOffice_Level1"/>
      <w:bookmarkStart w:id="363" w:name="_Toc31062_WPSOffice_Level1"/>
      <w:r>
        <w:rPr>
          <w:rFonts w:hint="eastAsia" w:ascii="宋体" w:hAnsi="宋体" w:cs="宋体"/>
          <w:sz w:val="24"/>
          <w:szCs w:val="24"/>
          <w:highlight w:val="none"/>
        </w:rPr>
        <w:t>四、</w:t>
      </w:r>
      <w:bookmarkEnd w:id="361"/>
      <w:bookmarkEnd w:id="362"/>
      <w:bookmarkEnd w:id="363"/>
      <w:bookmarkStart w:id="364" w:name="_Toc3370_WPSOffice_Level1"/>
      <w:bookmarkStart w:id="365" w:name="_Toc17718_WPSOffice_Level2"/>
      <w:bookmarkStart w:id="366" w:name="_Toc25413_WPSOffice_Level1"/>
      <w:r>
        <w:rPr>
          <w:rFonts w:hint="eastAsia" w:ascii="宋体" w:hAnsi="宋体" w:cs="宋体"/>
          <w:sz w:val="24"/>
          <w:szCs w:val="24"/>
          <w:highlight w:val="none"/>
        </w:rPr>
        <w:t>安全、文明施工管理；</w:t>
      </w:r>
      <w:bookmarkEnd w:id="364"/>
      <w:bookmarkEnd w:id="365"/>
      <w:bookmarkEnd w:id="366"/>
    </w:p>
    <w:p w14:paraId="628E6774">
      <w:pPr>
        <w:spacing w:line="360" w:lineRule="auto"/>
        <w:ind w:firstLine="542" w:firstLineChars="226"/>
        <w:rPr>
          <w:rFonts w:hint="eastAsia" w:ascii="宋体" w:hAnsi="宋体" w:cs="宋体"/>
          <w:sz w:val="24"/>
          <w:szCs w:val="24"/>
          <w:highlight w:val="none"/>
        </w:rPr>
      </w:pPr>
      <w:bookmarkStart w:id="367" w:name="_Toc24492_WPSOffice_Level1"/>
      <w:bookmarkStart w:id="368" w:name="_Toc31530_WPSOffice_Level2"/>
      <w:bookmarkStart w:id="369" w:name="_Toc5883_WPSOffice_Level1"/>
      <w:r>
        <w:rPr>
          <w:rFonts w:hint="eastAsia" w:ascii="宋体" w:hAnsi="宋体" w:cs="宋体"/>
          <w:sz w:val="24"/>
          <w:szCs w:val="24"/>
          <w:highlight w:val="none"/>
          <w:lang w:eastAsia="zh-CN"/>
        </w:rPr>
        <w:t>五</w:t>
      </w:r>
      <w:r>
        <w:rPr>
          <w:rFonts w:hint="eastAsia" w:ascii="宋体" w:hAnsi="宋体" w:cs="宋体"/>
          <w:sz w:val="24"/>
          <w:szCs w:val="24"/>
          <w:highlight w:val="none"/>
        </w:rPr>
        <w:t>、合同、信息管理；</w:t>
      </w:r>
      <w:bookmarkEnd w:id="367"/>
      <w:bookmarkEnd w:id="368"/>
      <w:bookmarkEnd w:id="369"/>
    </w:p>
    <w:p w14:paraId="21A8C3EC">
      <w:pPr>
        <w:spacing w:line="360" w:lineRule="auto"/>
        <w:ind w:firstLine="542" w:firstLineChars="226"/>
        <w:rPr>
          <w:rFonts w:hint="eastAsia" w:ascii="宋体" w:hAnsi="宋体" w:cs="宋体"/>
          <w:sz w:val="24"/>
          <w:szCs w:val="24"/>
          <w:highlight w:val="none"/>
        </w:rPr>
      </w:pPr>
      <w:bookmarkStart w:id="370" w:name="_Toc31313_WPSOffice_Level1"/>
      <w:bookmarkStart w:id="371" w:name="_Toc23925_WPSOffice_Level2"/>
      <w:bookmarkStart w:id="372" w:name="_Toc10256_WPSOffice_Level1"/>
      <w:r>
        <w:rPr>
          <w:rFonts w:hint="eastAsia" w:ascii="宋体" w:hAnsi="宋体" w:cs="宋体"/>
          <w:sz w:val="24"/>
          <w:szCs w:val="24"/>
          <w:highlight w:val="none"/>
          <w:lang w:eastAsia="zh-CN"/>
        </w:rPr>
        <w:t>六</w:t>
      </w:r>
      <w:r>
        <w:rPr>
          <w:rFonts w:hint="eastAsia" w:ascii="宋体" w:hAnsi="宋体" w:cs="宋体"/>
          <w:sz w:val="24"/>
          <w:szCs w:val="24"/>
          <w:highlight w:val="none"/>
        </w:rPr>
        <w:t>、投资控制措施；</w:t>
      </w:r>
    </w:p>
    <w:p w14:paraId="56C7D2DC">
      <w:pPr>
        <w:spacing w:line="360" w:lineRule="auto"/>
        <w:ind w:firstLine="542" w:firstLineChars="226"/>
        <w:rPr>
          <w:rFonts w:hint="eastAsia" w:ascii="宋体" w:hAnsi="宋体" w:cs="宋体"/>
          <w:sz w:val="24"/>
          <w:szCs w:val="24"/>
          <w:highlight w:val="none"/>
        </w:rPr>
      </w:pPr>
      <w:r>
        <w:rPr>
          <w:rFonts w:hint="eastAsia" w:ascii="宋体" w:hAnsi="宋体" w:cs="宋体"/>
          <w:sz w:val="24"/>
          <w:szCs w:val="24"/>
          <w:highlight w:val="none"/>
          <w:lang w:eastAsia="zh-CN"/>
        </w:rPr>
        <w:t>七</w:t>
      </w:r>
      <w:r>
        <w:rPr>
          <w:rFonts w:hint="eastAsia" w:ascii="宋体" w:hAnsi="宋体" w:cs="宋体"/>
          <w:sz w:val="24"/>
          <w:szCs w:val="24"/>
          <w:highlight w:val="none"/>
        </w:rPr>
        <w:t>、组织协调；</w:t>
      </w:r>
      <w:bookmarkEnd w:id="370"/>
      <w:bookmarkEnd w:id="371"/>
      <w:bookmarkEnd w:id="372"/>
      <w:r>
        <w:rPr>
          <w:rFonts w:hint="eastAsia" w:ascii="宋体" w:hAnsi="宋体" w:cs="宋体"/>
          <w:sz w:val="24"/>
          <w:szCs w:val="24"/>
          <w:highlight w:val="none"/>
        </w:rPr>
        <w:t xml:space="preserve"> </w:t>
      </w:r>
    </w:p>
    <w:p w14:paraId="5FE326DC">
      <w:pPr>
        <w:spacing w:line="360" w:lineRule="auto"/>
        <w:ind w:firstLine="542" w:firstLineChars="226"/>
        <w:rPr>
          <w:rFonts w:hint="eastAsia" w:ascii="宋体" w:hAnsi="宋体" w:cs="宋体"/>
          <w:sz w:val="24"/>
          <w:szCs w:val="24"/>
          <w:highlight w:val="none"/>
        </w:rPr>
      </w:pPr>
      <w:bookmarkStart w:id="373" w:name="_Toc4883_WPSOffice_Level2"/>
      <w:bookmarkStart w:id="374" w:name="_Toc2565_WPSOffice_Level1"/>
      <w:bookmarkStart w:id="375" w:name="_Toc11748_WPSOffice_Level1"/>
      <w:r>
        <w:rPr>
          <w:rFonts w:hint="eastAsia" w:ascii="宋体" w:hAnsi="宋体" w:cs="宋体"/>
          <w:sz w:val="24"/>
          <w:szCs w:val="24"/>
          <w:highlight w:val="none"/>
          <w:lang w:eastAsia="zh-CN"/>
        </w:rPr>
        <w:t>八</w:t>
      </w:r>
      <w:r>
        <w:rPr>
          <w:rFonts w:hint="eastAsia" w:ascii="宋体" w:hAnsi="宋体" w:cs="宋体"/>
          <w:sz w:val="24"/>
          <w:szCs w:val="24"/>
          <w:highlight w:val="none"/>
        </w:rPr>
        <w:t>、</w:t>
      </w:r>
      <w:bookmarkEnd w:id="373"/>
      <w:bookmarkEnd w:id="374"/>
      <w:bookmarkEnd w:id="375"/>
      <w:r>
        <w:rPr>
          <w:rFonts w:hint="eastAsia" w:ascii="宋体" w:hAnsi="宋体" w:cs="宋体"/>
          <w:sz w:val="24"/>
          <w:szCs w:val="24"/>
          <w:highlight w:val="none"/>
        </w:rPr>
        <w:t>重点难点监控措施；</w:t>
      </w:r>
    </w:p>
    <w:p w14:paraId="52B74913">
      <w:pPr>
        <w:spacing w:line="360" w:lineRule="auto"/>
        <w:ind w:firstLine="542" w:firstLineChars="226"/>
        <w:rPr>
          <w:rFonts w:hint="eastAsia" w:ascii="宋体" w:hAnsi="宋体" w:cs="宋体"/>
          <w:sz w:val="24"/>
          <w:szCs w:val="24"/>
          <w:highlight w:val="none"/>
        </w:rPr>
        <w:sectPr>
          <w:type w:val="nextColumn"/>
          <w:pgSz w:w="11907" w:h="16840"/>
          <w:pgMar w:top="1134" w:right="1134" w:bottom="1134" w:left="1134" w:header="0" w:footer="505" w:gutter="0"/>
          <w:cols w:space="720" w:num="1"/>
          <w:docGrid w:linePitch="360" w:charSpace="0"/>
        </w:sectPr>
      </w:pPr>
      <w:r>
        <w:rPr>
          <w:rFonts w:hint="eastAsia" w:ascii="宋体" w:hAnsi="宋体" w:cs="宋体"/>
          <w:sz w:val="24"/>
          <w:szCs w:val="24"/>
          <w:highlight w:val="none"/>
          <w:lang w:eastAsia="zh-CN"/>
        </w:rPr>
        <w:t>九</w:t>
      </w:r>
      <w:r>
        <w:rPr>
          <w:rFonts w:hint="eastAsia" w:ascii="宋体" w:hAnsi="宋体" w:cs="宋体"/>
          <w:sz w:val="24"/>
          <w:szCs w:val="24"/>
          <w:highlight w:val="none"/>
        </w:rPr>
        <w:t>、工程进度款、工程结算的管理。</w:t>
      </w:r>
    </w:p>
    <w:p w14:paraId="4F017A0A">
      <w:pPr>
        <w:pStyle w:val="8"/>
        <w:ind w:firstLine="640"/>
        <w:jc w:val="center"/>
        <w:rPr>
          <w:rFonts w:hint="eastAsia" w:ascii="宋体" w:hAnsi="宋体"/>
          <w:b w:val="0"/>
          <w:highlight w:val="none"/>
        </w:rPr>
      </w:pPr>
      <w:bookmarkStart w:id="376" w:name="page95"/>
      <w:bookmarkEnd w:id="376"/>
      <w:bookmarkStart w:id="377" w:name="_Toc95747161"/>
      <w:bookmarkStart w:id="378" w:name="_Toc1805"/>
      <w:bookmarkStart w:id="379" w:name="_Toc95747055"/>
      <w:bookmarkStart w:id="380" w:name="_Toc96005977"/>
      <w:bookmarkStart w:id="381" w:name="_Toc2876"/>
      <w:bookmarkStart w:id="382" w:name="_Toc12575"/>
      <w:bookmarkStart w:id="383" w:name="_Toc27925"/>
      <w:r>
        <w:rPr>
          <w:rFonts w:hint="eastAsia" w:ascii="宋体" w:hAnsi="宋体"/>
          <w:b w:val="0"/>
          <w:highlight w:val="none"/>
          <w:lang w:eastAsia="zh-CN"/>
        </w:rPr>
        <w:t>七</w:t>
      </w:r>
      <w:r>
        <w:rPr>
          <w:rFonts w:hint="eastAsia" w:ascii="宋体" w:hAnsi="宋体"/>
          <w:b w:val="0"/>
          <w:highlight w:val="none"/>
        </w:rPr>
        <w:t>、其他资料</w:t>
      </w:r>
      <w:bookmarkEnd w:id="377"/>
      <w:bookmarkEnd w:id="378"/>
      <w:bookmarkEnd w:id="379"/>
      <w:bookmarkEnd w:id="380"/>
      <w:bookmarkEnd w:id="381"/>
      <w:bookmarkEnd w:id="382"/>
      <w:bookmarkEnd w:id="383"/>
    </w:p>
    <w:bookmarkEnd w:id="47"/>
    <w:bookmarkEnd w:id="306"/>
    <w:p w14:paraId="6EDCB043">
      <w:pPr>
        <w:spacing w:line="360" w:lineRule="auto"/>
        <w:ind w:firstLine="480" w:firstLineChars="200"/>
        <w:rPr>
          <w:rFonts w:hint="eastAsia" w:ascii="宋体" w:hAnsi="宋体" w:cs="宋体"/>
          <w:sz w:val="24"/>
          <w:szCs w:val="24"/>
          <w:highlight w:val="none"/>
        </w:rPr>
      </w:pPr>
    </w:p>
    <w:p w14:paraId="2259BA0C">
      <w:pPr>
        <w:spacing w:line="360" w:lineRule="auto"/>
        <w:ind w:firstLine="480" w:firstLineChars="200"/>
        <w:rPr>
          <w:rFonts w:hint="eastAsia" w:ascii="宋体" w:hAnsi="宋体"/>
          <w:b/>
          <w:sz w:val="24"/>
          <w:szCs w:val="24"/>
          <w:highlight w:val="none"/>
        </w:rPr>
      </w:pPr>
      <w:r>
        <w:rPr>
          <w:rFonts w:hint="eastAsia" w:ascii="宋体" w:hAnsi="宋体" w:cs="宋体"/>
          <w:sz w:val="24"/>
          <w:szCs w:val="24"/>
          <w:highlight w:val="none"/>
        </w:rPr>
        <w:t>投标人根据招标文件要求认为需要提交的其他资料，招标文件未提供格式由投标人自行定义格式（表格可以按同样格式扩展）。</w:t>
      </w:r>
    </w:p>
    <w:p w14:paraId="175F9020">
      <w:pPr>
        <w:pStyle w:val="8"/>
        <w:ind w:firstLine="643"/>
        <w:jc w:val="center"/>
        <w:rPr>
          <w:rFonts w:hint="eastAsia"/>
          <w:highlight w:val="none"/>
        </w:rPr>
      </w:pPr>
      <w:r>
        <w:rPr>
          <w:highlight w:val="none"/>
        </w:rPr>
        <w:br w:type="page"/>
      </w:r>
      <w:bookmarkStart w:id="384" w:name="_Toc1798"/>
      <w:bookmarkStart w:id="385" w:name="_Toc22035"/>
      <w:bookmarkStart w:id="386" w:name="_Toc3428"/>
      <w:bookmarkStart w:id="387" w:name="_Toc19833"/>
      <w:r>
        <w:rPr>
          <w:highlight w:val="none"/>
        </w:rPr>
        <w:t>第七章</w:t>
      </w:r>
      <w:r>
        <w:rPr>
          <w:rFonts w:hint="eastAsia"/>
          <w:highlight w:val="none"/>
        </w:rPr>
        <w:t xml:space="preserve">  否决性条款汇总</w:t>
      </w:r>
      <w:bookmarkEnd w:id="384"/>
      <w:bookmarkEnd w:id="385"/>
      <w:bookmarkEnd w:id="386"/>
      <w:bookmarkEnd w:id="387"/>
    </w:p>
    <w:p w14:paraId="3B07D9AD">
      <w:pPr>
        <w:ind w:firstLine="480"/>
        <w:rPr>
          <w:rFonts w:hint="eastAsia"/>
          <w:highlight w:val="none"/>
        </w:rPr>
      </w:pPr>
    </w:p>
    <w:p w14:paraId="4713FEC2">
      <w:pPr>
        <w:pStyle w:val="109"/>
        <w:ind w:firstLine="480"/>
        <w:rPr>
          <w:rFonts w:hint="eastAsia"/>
          <w:highlight w:val="none"/>
        </w:rPr>
      </w:pPr>
      <w:r>
        <w:rPr>
          <w:rFonts w:hint="eastAsia"/>
          <w:highlight w:val="none"/>
        </w:rPr>
        <w:t>招标人应当在招标文件中将投标文件的否决性条款单列，招标文件的其他条款与该单列的否决性条款不一致的，以单列的否决性条款为准。如招标文件澄清或修改的内容中增加否决性条款的，招标人应当重新单列完整的否决性条款，并依法发给潜在投标人或投标人。</w:t>
      </w:r>
    </w:p>
    <w:p w14:paraId="657AF74B">
      <w:pPr>
        <w:pStyle w:val="109"/>
        <w:ind w:firstLine="480"/>
        <w:rPr>
          <w:rFonts w:hint="eastAsia"/>
          <w:highlight w:val="none"/>
        </w:rPr>
      </w:pPr>
      <w:r>
        <w:rPr>
          <w:rFonts w:hint="eastAsia"/>
          <w:highlight w:val="none"/>
        </w:rPr>
        <w:t>否决性条款是指招标文件中规定的拒绝受理或者作无效标以及不合格标处理等否定投标文件效力的条款。</w:t>
      </w:r>
    </w:p>
    <w:p w14:paraId="33F423FA">
      <w:pPr>
        <w:pStyle w:val="109"/>
        <w:ind w:firstLine="480"/>
        <w:rPr>
          <w:rFonts w:hint="eastAsia"/>
          <w:highlight w:val="none"/>
        </w:rPr>
      </w:pPr>
      <w:r>
        <w:rPr>
          <w:rFonts w:hint="eastAsia"/>
          <w:highlight w:val="none"/>
        </w:rPr>
        <w:t>一、拒绝受理投标文件的情形：</w:t>
      </w:r>
    </w:p>
    <w:p w14:paraId="38A27331">
      <w:pPr>
        <w:pStyle w:val="110"/>
        <w:ind w:firstLine="960"/>
        <w:rPr>
          <w:rFonts w:hint="eastAsia"/>
          <w:highlight w:val="none"/>
        </w:rPr>
      </w:pPr>
      <w:r>
        <w:rPr>
          <w:rFonts w:hint="eastAsia"/>
          <w:highlight w:val="none"/>
        </w:rPr>
        <w:t>1. 未成功递交投标文件的；</w:t>
      </w:r>
    </w:p>
    <w:p w14:paraId="5EE7B209">
      <w:pPr>
        <w:pStyle w:val="110"/>
        <w:ind w:firstLine="960"/>
        <w:rPr>
          <w:rFonts w:hint="eastAsia"/>
          <w:highlight w:val="none"/>
        </w:rPr>
      </w:pPr>
      <w:r>
        <w:rPr>
          <w:rFonts w:hint="eastAsia"/>
          <w:highlight w:val="none"/>
        </w:rPr>
        <w:t>2. 因投标人原因造成投标文件未解密的；</w:t>
      </w:r>
    </w:p>
    <w:p w14:paraId="33CE33D0">
      <w:pPr>
        <w:pStyle w:val="110"/>
        <w:ind w:firstLine="960"/>
        <w:rPr>
          <w:rFonts w:hint="eastAsia"/>
          <w:highlight w:val="none"/>
        </w:rPr>
      </w:pPr>
      <w:r>
        <w:rPr>
          <w:rFonts w:hint="eastAsia"/>
          <w:highlight w:val="none"/>
        </w:rPr>
        <w:t>3.  两个（含两个）以上的投标人加密打包投标文件电脑机器码一致的。</w:t>
      </w:r>
    </w:p>
    <w:p w14:paraId="7AC6812D">
      <w:pPr>
        <w:pStyle w:val="109"/>
        <w:ind w:firstLine="480"/>
        <w:rPr>
          <w:rFonts w:hint="eastAsia"/>
          <w:highlight w:val="none"/>
        </w:rPr>
      </w:pPr>
      <w:r>
        <w:rPr>
          <w:rFonts w:hint="eastAsia"/>
          <w:highlight w:val="none"/>
        </w:rPr>
        <w:t>二、作无效投标的情形</w:t>
      </w:r>
    </w:p>
    <w:p w14:paraId="04DEBB37">
      <w:pPr>
        <w:pStyle w:val="110"/>
        <w:ind w:firstLine="960"/>
        <w:rPr>
          <w:rFonts w:hint="eastAsia"/>
          <w:highlight w:val="none"/>
        </w:rPr>
      </w:pPr>
      <w:r>
        <w:rPr>
          <w:rFonts w:hint="eastAsia"/>
          <w:highlight w:val="none"/>
        </w:rPr>
        <w:t>1. 投标文件不符合招标文件评标办法中形式评审标准的要求；</w:t>
      </w:r>
    </w:p>
    <w:p w14:paraId="02DF9C1D">
      <w:pPr>
        <w:pStyle w:val="110"/>
        <w:ind w:firstLine="960"/>
        <w:rPr>
          <w:rFonts w:hint="eastAsia"/>
          <w:highlight w:val="none"/>
        </w:rPr>
      </w:pPr>
      <w:r>
        <w:rPr>
          <w:rFonts w:hint="eastAsia"/>
          <w:highlight w:val="none"/>
        </w:rPr>
        <w:t>2. 投标文件不符合招标文件评标办法中资格评审标准的要求；</w:t>
      </w:r>
    </w:p>
    <w:p w14:paraId="51984D20">
      <w:pPr>
        <w:pStyle w:val="110"/>
        <w:ind w:firstLine="960"/>
        <w:rPr>
          <w:highlight w:val="none"/>
        </w:rPr>
      </w:pPr>
      <w:r>
        <w:rPr>
          <w:rFonts w:hint="eastAsia"/>
          <w:highlight w:val="none"/>
        </w:rPr>
        <w:t>3. 投标文件不符合招标文件评标办法中响应性评审标准的要求。</w:t>
      </w:r>
    </w:p>
    <w:sectPr>
      <w:headerReference r:id="rId8" w:type="first"/>
      <w:headerReference r:id="rId6" w:type="default"/>
      <w:footerReference r:id="rId9" w:type="default"/>
      <w:headerReference r:id="rId7" w:type="even"/>
      <w:footerReference r:id="rId10" w:type="even"/>
      <w:pgSz w:w="11907" w:h="16840"/>
      <w:pgMar w:top="1134" w:right="1134" w:bottom="1134" w:left="1134" w:header="720" w:footer="6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FA6A6">
    <w:pPr>
      <w:pStyle w:val="24"/>
      <w:ind w:firstLine="360"/>
      <w:jc w:val="center"/>
    </w:pPr>
    <w:r>
      <w:fldChar w:fldCharType="begin"/>
    </w:r>
    <w:r>
      <w:instrText xml:space="preserve"> PAGE   \* MERGEFORMAT </w:instrText>
    </w:r>
    <w:r>
      <w:fldChar w:fldCharType="separate"/>
    </w:r>
    <w:r>
      <w:rPr>
        <w:lang w:val="zh-CN"/>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0F1D6">
    <w:pPr>
      <w:pStyle w:val="24"/>
      <w:ind w:firstLine="360"/>
      <w:jc w:val="center"/>
    </w:pPr>
    <w:r>
      <w:fldChar w:fldCharType="begin"/>
    </w:r>
    <w:r>
      <w:instrText xml:space="preserve"> PAGE </w:instrText>
    </w:r>
    <w:r>
      <w:fldChar w:fldCharType="separate"/>
    </w:r>
    <w:r>
      <w:t>48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E8D0">
    <w:pPr>
      <w:pStyle w:val="24"/>
      <w:ind w:firstLine="360"/>
      <w:jc w:val="center"/>
    </w:pPr>
    <w:r>
      <w:fldChar w:fldCharType="begin"/>
    </w:r>
    <w:r>
      <w:instrText xml:space="preserve"> PAGE   \* MERGEFORMAT </w:instrText>
    </w:r>
    <w:r>
      <w:fldChar w:fldCharType="separate"/>
    </w:r>
    <w:r>
      <w:rPr>
        <w:lang w:val="zh-CN"/>
      </w:rPr>
      <w:t>52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7CDA2">
    <w:pPr>
      <w:pStyle w:val="24"/>
      <w:framePr w:wrap="around" w:vAnchor="text" w:hAnchor="margin" w:xAlign="center" w:y="1"/>
      <w:ind w:firstLine="360"/>
      <w:rPr>
        <w:rStyle w:val="39"/>
      </w:rPr>
    </w:pPr>
    <w:r>
      <w:fldChar w:fldCharType="begin"/>
    </w:r>
    <w:r>
      <w:rPr>
        <w:rStyle w:val="39"/>
      </w:rPr>
      <w:instrText xml:space="preserve">PAGE  </w:instrText>
    </w:r>
    <w:r>
      <w:fldChar w:fldCharType="end"/>
    </w:r>
  </w:p>
  <w:p w14:paraId="07C76046">
    <w:pPr>
      <w:pStyle w:val="2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76A4A">
    <w:pPr>
      <w:ind w:firstLine="480"/>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88503">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74AB">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F91F0">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210D5"/>
    <w:multiLevelType w:val="singleLevel"/>
    <w:tmpl w:val="A9F210D5"/>
    <w:lvl w:ilvl="0" w:tentative="0">
      <w:start w:val="2"/>
      <w:numFmt w:val="decimal"/>
      <w:lvlText w:val="%1."/>
      <w:lvlJc w:val="left"/>
      <w:pPr>
        <w:tabs>
          <w:tab w:val="left" w:pos="312"/>
        </w:tabs>
      </w:pPr>
    </w:lvl>
  </w:abstractNum>
  <w:abstractNum w:abstractNumId="1">
    <w:nsid w:val="EC6FB74C"/>
    <w:multiLevelType w:val="multilevel"/>
    <w:tmpl w:val="EC6FB74C"/>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A2811E7"/>
    <w:multiLevelType w:val="singleLevel"/>
    <w:tmpl w:val="5A2811E7"/>
    <w:lvl w:ilvl="0" w:tentative="0">
      <w:start w:val="3"/>
      <w:numFmt w:val="decimal"/>
      <w:suff w:val="nothing"/>
      <w:lvlText w:val="（%1）"/>
      <w:lvlJc w:val="left"/>
    </w:lvl>
  </w:abstractNum>
  <w:abstractNum w:abstractNumId="3">
    <w:nsid w:val="5A4B3F51"/>
    <w:multiLevelType w:val="singleLevel"/>
    <w:tmpl w:val="5A4B3F51"/>
    <w:lvl w:ilvl="0" w:tentative="0">
      <w:start w:val="10"/>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ODEyZTRhN2EyMTc5MzdhZjRjMDBiZmQzZjdmNDMifQ=="/>
  </w:docVars>
  <w:rsids>
    <w:rsidRoot w:val="00D21FC0"/>
    <w:rsid w:val="00003207"/>
    <w:rsid w:val="00003EB5"/>
    <w:rsid w:val="00006284"/>
    <w:rsid w:val="000141BE"/>
    <w:rsid w:val="000144CB"/>
    <w:rsid w:val="00014570"/>
    <w:rsid w:val="000152D7"/>
    <w:rsid w:val="00016A5A"/>
    <w:rsid w:val="00017256"/>
    <w:rsid w:val="0002000F"/>
    <w:rsid w:val="0002015D"/>
    <w:rsid w:val="00020533"/>
    <w:rsid w:val="00020E12"/>
    <w:rsid w:val="000210BC"/>
    <w:rsid w:val="0002169A"/>
    <w:rsid w:val="0002230D"/>
    <w:rsid w:val="00033AE6"/>
    <w:rsid w:val="00036508"/>
    <w:rsid w:val="00036CA1"/>
    <w:rsid w:val="00040DBA"/>
    <w:rsid w:val="000410F9"/>
    <w:rsid w:val="00041219"/>
    <w:rsid w:val="000425E8"/>
    <w:rsid w:val="00042690"/>
    <w:rsid w:val="000475A0"/>
    <w:rsid w:val="00053ABB"/>
    <w:rsid w:val="00054B33"/>
    <w:rsid w:val="00055946"/>
    <w:rsid w:val="000562A8"/>
    <w:rsid w:val="00057813"/>
    <w:rsid w:val="00061D74"/>
    <w:rsid w:val="0006404C"/>
    <w:rsid w:val="00064D59"/>
    <w:rsid w:val="0007252F"/>
    <w:rsid w:val="00073645"/>
    <w:rsid w:val="000737D5"/>
    <w:rsid w:val="00074CD4"/>
    <w:rsid w:val="00077030"/>
    <w:rsid w:val="000779CC"/>
    <w:rsid w:val="00077D38"/>
    <w:rsid w:val="00082555"/>
    <w:rsid w:val="000869B1"/>
    <w:rsid w:val="00091647"/>
    <w:rsid w:val="00091D42"/>
    <w:rsid w:val="00095E1D"/>
    <w:rsid w:val="00095E5B"/>
    <w:rsid w:val="000A068A"/>
    <w:rsid w:val="000A2700"/>
    <w:rsid w:val="000A4925"/>
    <w:rsid w:val="000A5C51"/>
    <w:rsid w:val="000B037E"/>
    <w:rsid w:val="000B2D2D"/>
    <w:rsid w:val="000B5804"/>
    <w:rsid w:val="000B59FF"/>
    <w:rsid w:val="000C31B3"/>
    <w:rsid w:val="000D3280"/>
    <w:rsid w:val="000E0C71"/>
    <w:rsid w:val="000E179D"/>
    <w:rsid w:val="000E673B"/>
    <w:rsid w:val="000E7E7A"/>
    <w:rsid w:val="000F141F"/>
    <w:rsid w:val="00103441"/>
    <w:rsid w:val="001061F6"/>
    <w:rsid w:val="00112090"/>
    <w:rsid w:val="001135B7"/>
    <w:rsid w:val="00113757"/>
    <w:rsid w:val="00114575"/>
    <w:rsid w:val="00115E62"/>
    <w:rsid w:val="00117F92"/>
    <w:rsid w:val="00126581"/>
    <w:rsid w:val="00127BE7"/>
    <w:rsid w:val="0013277D"/>
    <w:rsid w:val="001405CF"/>
    <w:rsid w:val="001407B8"/>
    <w:rsid w:val="00146ADF"/>
    <w:rsid w:val="001476B1"/>
    <w:rsid w:val="00151779"/>
    <w:rsid w:val="00151AB7"/>
    <w:rsid w:val="00153149"/>
    <w:rsid w:val="0015472A"/>
    <w:rsid w:val="00154CAB"/>
    <w:rsid w:val="00160817"/>
    <w:rsid w:val="00161BA8"/>
    <w:rsid w:val="001648AA"/>
    <w:rsid w:val="00175659"/>
    <w:rsid w:val="00175917"/>
    <w:rsid w:val="00176FC1"/>
    <w:rsid w:val="00187A66"/>
    <w:rsid w:val="00187CC8"/>
    <w:rsid w:val="00190112"/>
    <w:rsid w:val="00192C23"/>
    <w:rsid w:val="001968B7"/>
    <w:rsid w:val="00196A6F"/>
    <w:rsid w:val="001A2444"/>
    <w:rsid w:val="001A3B8B"/>
    <w:rsid w:val="001A5680"/>
    <w:rsid w:val="001A6B70"/>
    <w:rsid w:val="001B2EF6"/>
    <w:rsid w:val="001B602A"/>
    <w:rsid w:val="001C12B5"/>
    <w:rsid w:val="001C342F"/>
    <w:rsid w:val="001C4F4B"/>
    <w:rsid w:val="001C7008"/>
    <w:rsid w:val="001C71A9"/>
    <w:rsid w:val="001D01E5"/>
    <w:rsid w:val="001D1407"/>
    <w:rsid w:val="001D4352"/>
    <w:rsid w:val="001D4AE9"/>
    <w:rsid w:val="001D5097"/>
    <w:rsid w:val="001D5B33"/>
    <w:rsid w:val="001D604C"/>
    <w:rsid w:val="001D687D"/>
    <w:rsid w:val="001D6CFF"/>
    <w:rsid w:val="001E0097"/>
    <w:rsid w:val="001E4412"/>
    <w:rsid w:val="001E68C2"/>
    <w:rsid w:val="001F00BB"/>
    <w:rsid w:val="001F17BA"/>
    <w:rsid w:val="001F4481"/>
    <w:rsid w:val="001F7585"/>
    <w:rsid w:val="002009C6"/>
    <w:rsid w:val="00201AE5"/>
    <w:rsid w:val="00212677"/>
    <w:rsid w:val="00212B19"/>
    <w:rsid w:val="00216CB5"/>
    <w:rsid w:val="00216FE6"/>
    <w:rsid w:val="00221E28"/>
    <w:rsid w:val="0022482C"/>
    <w:rsid w:val="00224AD2"/>
    <w:rsid w:val="002255EA"/>
    <w:rsid w:val="00225E54"/>
    <w:rsid w:val="0022652A"/>
    <w:rsid w:val="00231C56"/>
    <w:rsid w:val="002320CB"/>
    <w:rsid w:val="00232413"/>
    <w:rsid w:val="00235EB1"/>
    <w:rsid w:val="00236A35"/>
    <w:rsid w:val="00240DD1"/>
    <w:rsid w:val="00243482"/>
    <w:rsid w:val="0024388D"/>
    <w:rsid w:val="002448CD"/>
    <w:rsid w:val="00245D7B"/>
    <w:rsid w:val="002502DF"/>
    <w:rsid w:val="0025283E"/>
    <w:rsid w:val="00253590"/>
    <w:rsid w:val="002538E3"/>
    <w:rsid w:val="00257A73"/>
    <w:rsid w:val="002611EA"/>
    <w:rsid w:val="002635C2"/>
    <w:rsid w:val="002663B8"/>
    <w:rsid w:val="00267617"/>
    <w:rsid w:val="00267771"/>
    <w:rsid w:val="00270293"/>
    <w:rsid w:val="002715B5"/>
    <w:rsid w:val="002727AE"/>
    <w:rsid w:val="00272A23"/>
    <w:rsid w:val="0027305D"/>
    <w:rsid w:val="00273662"/>
    <w:rsid w:val="002763BB"/>
    <w:rsid w:val="00276A02"/>
    <w:rsid w:val="00281C66"/>
    <w:rsid w:val="00281FC2"/>
    <w:rsid w:val="0028411B"/>
    <w:rsid w:val="00284D5B"/>
    <w:rsid w:val="002877FB"/>
    <w:rsid w:val="002908D3"/>
    <w:rsid w:val="002914A4"/>
    <w:rsid w:val="002914B9"/>
    <w:rsid w:val="00291567"/>
    <w:rsid w:val="00291B26"/>
    <w:rsid w:val="00292235"/>
    <w:rsid w:val="002958CA"/>
    <w:rsid w:val="002A153F"/>
    <w:rsid w:val="002A21FC"/>
    <w:rsid w:val="002A2B43"/>
    <w:rsid w:val="002A37C3"/>
    <w:rsid w:val="002A3C77"/>
    <w:rsid w:val="002A3E5B"/>
    <w:rsid w:val="002A45A7"/>
    <w:rsid w:val="002A4D54"/>
    <w:rsid w:val="002A52D4"/>
    <w:rsid w:val="002A6160"/>
    <w:rsid w:val="002A6B11"/>
    <w:rsid w:val="002B1C98"/>
    <w:rsid w:val="002B408E"/>
    <w:rsid w:val="002B5480"/>
    <w:rsid w:val="002B5DF3"/>
    <w:rsid w:val="002B69AC"/>
    <w:rsid w:val="002C019A"/>
    <w:rsid w:val="002C4C2D"/>
    <w:rsid w:val="002C5A3D"/>
    <w:rsid w:val="002C5E6C"/>
    <w:rsid w:val="002D2026"/>
    <w:rsid w:val="002D2A9E"/>
    <w:rsid w:val="002D713C"/>
    <w:rsid w:val="002D764A"/>
    <w:rsid w:val="002E0ACB"/>
    <w:rsid w:val="002E16AD"/>
    <w:rsid w:val="002E3F3D"/>
    <w:rsid w:val="002E6236"/>
    <w:rsid w:val="002E67F7"/>
    <w:rsid w:val="002E74E2"/>
    <w:rsid w:val="002E792A"/>
    <w:rsid w:val="002F0B56"/>
    <w:rsid w:val="002F0CC2"/>
    <w:rsid w:val="0030293C"/>
    <w:rsid w:val="00304BD0"/>
    <w:rsid w:val="00304F07"/>
    <w:rsid w:val="0030532E"/>
    <w:rsid w:val="00312901"/>
    <w:rsid w:val="00315733"/>
    <w:rsid w:val="003169D5"/>
    <w:rsid w:val="003251CE"/>
    <w:rsid w:val="00325FEB"/>
    <w:rsid w:val="00331BCB"/>
    <w:rsid w:val="00333463"/>
    <w:rsid w:val="00334017"/>
    <w:rsid w:val="0033547D"/>
    <w:rsid w:val="003356EC"/>
    <w:rsid w:val="0033654E"/>
    <w:rsid w:val="003379DD"/>
    <w:rsid w:val="00340445"/>
    <w:rsid w:val="00341700"/>
    <w:rsid w:val="00350213"/>
    <w:rsid w:val="00353084"/>
    <w:rsid w:val="00354A5D"/>
    <w:rsid w:val="0036248E"/>
    <w:rsid w:val="00363916"/>
    <w:rsid w:val="00364049"/>
    <w:rsid w:val="00364172"/>
    <w:rsid w:val="003643A3"/>
    <w:rsid w:val="0036518D"/>
    <w:rsid w:val="00365290"/>
    <w:rsid w:val="00366689"/>
    <w:rsid w:val="00366890"/>
    <w:rsid w:val="00370238"/>
    <w:rsid w:val="00372666"/>
    <w:rsid w:val="00374785"/>
    <w:rsid w:val="00377DCB"/>
    <w:rsid w:val="00380802"/>
    <w:rsid w:val="003811DA"/>
    <w:rsid w:val="00382120"/>
    <w:rsid w:val="00382481"/>
    <w:rsid w:val="00382C95"/>
    <w:rsid w:val="00383622"/>
    <w:rsid w:val="00384CEE"/>
    <w:rsid w:val="00385A02"/>
    <w:rsid w:val="00391C3B"/>
    <w:rsid w:val="003937E2"/>
    <w:rsid w:val="003A0516"/>
    <w:rsid w:val="003A17AE"/>
    <w:rsid w:val="003A279B"/>
    <w:rsid w:val="003A3220"/>
    <w:rsid w:val="003A4B03"/>
    <w:rsid w:val="003A5CE3"/>
    <w:rsid w:val="003A6C5F"/>
    <w:rsid w:val="003A7475"/>
    <w:rsid w:val="003B4D3A"/>
    <w:rsid w:val="003B50B3"/>
    <w:rsid w:val="003B732C"/>
    <w:rsid w:val="003C2420"/>
    <w:rsid w:val="003C387E"/>
    <w:rsid w:val="003C4A25"/>
    <w:rsid w:val="003C6D1E"/>
    <w:rsid w:val="003C767D"/>
    <w:rsid w:val="003C7E88"/>
    <w:rsid w:val="003D2A66"/>
    <w:rsid w:val="003D5052"/>
    <w:rsid w:val="003E053A"/>
    <w:rsid w:val="003E2B0D"/>
    <w:rsid w:val="003E431F"/>
    <w:rsid w:val="003E6D68"/>
    <w:rsid w:val="003E7C30"/>
    <w:rsid w:val="003F243C"/>
    <w:rsid w:val="003F642E"/>
    <w:rsid w:val="003F6848"/>
    <w:rsid w:val="004028AF"/>
    <w:rsid w:val="00405272"/>
    <w:rsid w:val="0041141F"/>
    <w:rsid w:val="0041267F"/>
    <w:rsid w:val="00414A6A"/>
    <w:rsid w:val="00414EE0"/>
    <w:rsid w:val="00421B70"/>
    <w:rsid w:val="004229C7"/>
    <w:rsid w:val="00424E9D"/>
    <w:rsid w:val="004276E2"/>
    <w:rsid w:val="0043088A"/>
    <w:rsid w:val="00434E4A"/>
    <w:rsid w:val="0043549C"/>
    <w:rsid w:val="0043563F"/>
    <w:rsid w:val="00440567"/>
    <w:rsid w:val="00440C23"/>
    <w:rsid w:val="00441BBB"/>
    <w:rsid w:val="004460A3"/>
    <w:rsid w:val="004463FB"/>
    <w:rsid w:val="0044771F"/>
    <w:rsid w:val="00447864"/>
    <w:rsid w:val="004529AC"/>
    <w:rsid w:val="0045388E"/>
    <w:rsid w:val="00453911"/>
    <w:rsid w:val="00455C06"/>
    <w:rsid w:val="00457BAE"/>
    <w:rsid w:val="004607E2"/>
    <w:rsid w:val="00461F3B"/>
    <w:rsid w:val="0046387C"/>
    <w:rsid w:val="00464601"/>
    <w:rsid w:val="004706C2"/>
    <w:rsid w:val="00475F5D"/>
    <w:rsid w:val="00476B02"/>
    <w:rsid w:val="004820CB"/>
    <w:rsid w:val="00483E4A"/>
    <w:rsid w:val="0048523B"/>
    <w:rsid w:val="00487A02"/>
    <w:rsid w:val="00491B9E"/>
    <w:rsid w:val="00495949"/>
    <w:rsid w:val="004979DB"/>
    <w:rsid w:val="004A0515"/>
    <w:rsid w:val="004A240C"/>
    <w:rsid w:val="004A4A04"/>
    <w:rsid w:val="004B1719"/>
    <w:rsid w:val="004B2920"/>
    <w:rsid w:val="004C0F3E"/>
    <w:rsid w:val="004C3771"/>
    <w:rsid w:val="004C3A2D"/>
    <w:rsid w:val="004C3C6B"/>
    <w:rsid w:val="004D1FF9"/>
    <w:rsid w:val="004D5156"/>
    <w:rsid w:val="004E0107"/>
    <w:rsid w:val="004E1633"/>
    <w:rsid w:val="004E2C79"/>
    <w:rsid w:val="004E3732"/>
    <w:rsid w:val="004E40DF"/>
    <w:rsid w:val="004E51FE"/>
    <w:rsid w:val="004E5F0A"/>
    <w:rsid w:val="004E6765"/>
    <w:rsid w:val="004E7358"/>
    <w:rsid w:val="004E75B4"/>
    <w:rsid w:val="004E78C7"/>
    <w:rsid w:val="004F1AE3"/>
    <w:rsid w:val="004F2349"/>
    <w:rsid w:val="004F2F95"/>
    <w:rsid w:val="004F604C"/>
    <w:rsid w:val="004F6FFD"/>
    <w:rsid w:val="004F71F1"/>
    <w:rsid w:val="004F7382"/>
    <w:rsid w:val="004F7CF8"/>
    <w:rsid w:val="004F7D9D"/>
    <w:rsid w:val="005024A4"/>
    <w:rsid w:val="005026F7"/>
    <w:rsid w:val="0050676D"/>
    <w:rsid w:val="00507C98"/>
    <w:rsid w:val="005104E4"/>
    <w:rsid w:val="0051118D"/>
    <w:rsid w:val="00511375"/>
    <w:rsid w:val="00511A30"/>
    <w:rsid w:val="0051269E"/>
    <w:rsid w:val="0051366E"/>
    <w:rsid w:val="00517EB0"/>
    <w:rsid w:val="00517F54"/>
    <w:rsid w:val="00522E13"/>
    <w:rsid w:val="00523D17"/>
    <w:rsid w:val="0052452C"/>
    <w:rsid w:val="00526644"/>
    <w:rsid w:val="00526ABA"/>
    <w:rsid w:val="0053048C"/>
    <w:rsid w:val="00533C80"/>
    <w:rsid w:val="005353F6"/>
    <w:rsid w:val="0053766E"/>
    <w:rsid w:val="00544EC7"/>
    <w:rsid w:val="00551C5D"/>
    <w:rsid w:val="00552A63"/>
    <w:rsid w:val="005538A6"/>
    <w:rsid w:val="00555C30"/>
    <w:rsid w:val="00556800"/>
    <w:rsid w:val="0056029A"/>
    <w:rsid w:val="005621C0"/>
    <w:rsid w:val="0056314A"/>
    <w:rsid w:val="00563A42"/>
    <w:rsid w:val="00567F4C"/>
    <w:rsid w:val="005706AC"/>
    <w:rsid w:val="00571547"/>
    <w:rsid w:val="00571FD2"/>
    <w:rsid w:val="0057525C"/>
    <w:rsid w:val="00576659"/>
    <w:rsid w:val="005807BB"/>
    <w:rsid w:val="00581076"/>
    <w:rsid w:val="0058494A"/>
    <w:rsid w:val="0058620C"/>
    <w:rsid w:val="00590470"/>
    <w:rsid w:val="00590757"/>
    <w:rsid w:val="00590D2D"/>
    <w:rsid w:val="00597F90"/>
    <w:rsid w:val="005A01FD"/>
    <w:rsid w:val="005A0E17"/>
    <w:rsid w:val="005A591C"/>
    <w:rsid w:val="005A6C41"/>
    <w:rsid w:val="005B041A"/>
    <w:rsid w:val="005B145A"/>
    <w:rsid w:val="005B1825"/>
    <w:rsid w:val="005B4E6B"/>
    <w:rsid w:val="005B5AA2"/>
    <w:rsid w:val="005B78EB"/>
    <w:rsid w:val="005C11C1"/>
    <w:rsid w:val="005C3027"/>
    <w:rsid w:val="005C51E4"/>
    <w:rsid w:val="005D1EFA"/>
    <w:rsid w:val="005E0999"/>
    <w:rsid w:val="005E2A46"/>
    <w:rsid w:val="005E4FB2"/>
    <w:rsid w:val="005E6FF7"/>
    <w:rsid w:val="005E7289"/>
    <w:rsid w:val="005F1088"/>
    <w:rsid w:val="005F143D"/>
    <w:rsid w:val="005F1A4D"/>
    <w:rsid w:val="005F2167"/>
    <w:rsid w:val="005F5E80"/>
    <w:rsid w:val="00601123"/>
    <w:rsid w:val="006037EE"/>
    <w:rsid w:val="00605DFE"/>
    <w:rsid w:val="00607171"/>
    <w:rsid w:val="0060740C"/>
    <w:rsid w:val="00612525"/>
    <w:rsid w:val="00615209"/>
    <w:rsid w:val="00623B71"/>
    <w:rsid w:val="00625DCB"/>
    <w:rsid w:val="00626323"/>
    <w:rsid w:val="00630AAF"/>
    <w:rsid w:val="006328A3"/>
    <w:rsid w:val="00632C9F"/>
    <w:rsid w:val="00644F93"/>
    <w:rsid w:val="00645D16"/>
    <w:rsid w:val="006464A4"/>
    <w:rsid w:val="006500B6"/>
    <w:rsid w:val="00651EFC"/>
    <w:rsid w:val="00654573"/>
    <w:rsid w:val="00654AA6"/>
    <w:rsid w:val="00656E5C"/>
    <w:rsid w:val="006611DE"/>
    <w:rsid w:val="0066161D"/>
    <w:rsid w:val="00663997"/>
    <w:rsid w:val="00670E76"/>
    <w:rsid w:val="00673FA5"/>
    <w:rsid w:val="00677B49"/>
    <w:rsid w:val="00682B0F"/>
    <w:rsid w:val="00684DDC"/>
    <w:rsid w:val="006869CC"/>
    <w:rsid w:val="006908CF"/>
    <w:rsid w:val="00690BD8"/>
    <w:rsid w:val="00690E53"/>
    <w:rsid w:val="006918D7"/>
    <w:rsid w:val="0069368C"/>
    <w:rsid w:val="00695C77"/>
    <w:rsid w:val="00697665"/>
    <w:rsid w:val="006A17BB"/>
    <w:rsid w:val="006A4C63"/>
    <w:rsid w:val="006A6837"/>
    <w:rsid w:val="006B1365"/>
    <w:rsid w:val="006C124D"/>
    <w:rsid w:val="006C3DA9"/>
    <w:rsid w:val="006C542B"/>
    <w:rsid w:val="006C60D2"/>
    <w:rsid w:val="006C7EC2"/>
    <w:rsid w:val="006C7FF6"/>
    <w:rsid w:val="006D27FD"/>
    <w:rsid w:val="006D3C98"/>
    <w:rsid w:val="006D7A21"/>
    <w:rsid w:val="006E2934"/>
    <w:rsid w:val="006E2A36"/>
    <w:rsid w:val="006E3927"/>
    <w:rsid w:val="006E48CA"/>
    <w:rsid w:val="006E49D7"/>
    <w:rsid w:val="006E5B43"/>
    <w:rsid w:val="006E66AD"/>
    <w:rsid w:val="006E6993"/>
    <w:rsid w:val="006E7E35"/>
    <w:rsid w:val="006F3415"/>
    <w:rsid w:val="006F3F5A"/>
    <w:rsid w:val="006F54E9"/>
    <w:rsid w:val="006F75CA"/>
    <w:rsid w:val="00701263"/>
    <w:rsid w:val="00702D64"/>
    <w:rsid w:val="00703DAD"/>
    <w:rsid w:val="00711DA7"/>
    <w:rsid w:val="0071273B"/>
    <w:rsid w:val="00715494"/>
    <w:rsid w:val="007155CD"/>
    <w:rsid w:val="007166FF"/>
    <w:rsid w:val="00716B30"/>
    <w:rsid w:val="00720802"/>
    <w:rsid w:val="007302BE"/>
    <w:rsid w:val="00731800"/>
    <w:rsid w:val="00732202"/>
    <w:rsid w:val="007348C1"/>
    <w:rsid w:val="00734E0A"/>
    <w:rsid w:val="00734FB4"/>
    <w:rsid w:val="00735E25"/>
    <w:rsid w:val="0073622A"/>
    <w:rsid w:val="00741629"/>
    <w:rsid w:val="00742BDF"/>
    <w:rsid w:val="007452B8"/>
    <w:rsid w:val="00747D9E"/>
    <w:rsid w:val="00751087"/>
    <w:rsid w:val="007511BD"/>
    <w:rsid w:val="00752C2C"/>
    <w:rsid w:val="00755133"/>
    <w:rsid w:val="007551A1"/>
    <w:rsid w:val="00755BA6"/>
    <w:rsid w:val="00757253"/>
    <w:rsid w:val="00757278"/>
    <w:rsid w:val="0076029E"/>
    <w:rsid w:val="00760D72"/>
    <w:rsid w:val="00760D77"/>
    <w:rsid w:val="00766E1A"/>
    <w:rsid w:val="00767552"/>
    <w:rsid w:val="00772783"/>
    <w:rsid w:val="007761B6"/>
    <w:rsid w:val="007816D4"/>
    <w:rsid w:val="0078244C"/>
    <w:rsid w:val="00782B67"/>
    <w:rsid w:val="00784733"/>
    <w:rsid w:val="00785E03"/>
    <w:rsid w:val="00790FEA"/>
    <w:rsid w:val="007916AA"/>
    <w:rsid w:val="00791DFD"/>
    <w:rsid w:val="0079738A"/>
    <w:rsid w:val="007A0BBD"/>
    <w:rsid w:val="007A186F"/>
    <w:rsid w:val="007A3B04"/>
    <w:rsid w:val="007A57D8"/>
    <w:rsid w:val="007A6CF6"/>
    <w:rsid w:val="007A7356"/>
    <w:rsid w:val="007B0CC9"/>
    <w:rsid w:val="007B16B0"/>
    <w:rsid w:val="007B4909"/>
    <w:rsid w:val="007B5DAA"/>
    <w:rsid w:val="007B77F7"/>
    <w:rsid w:val="007C0C6D"/>
    <w:rsid w:val="007C1B25"/>
    <w:rsid w:val="007C2C3B"/>
    <w:rsid w:val="007C53EA"/>
    <w:rsid w:val="007C63BD"/>
    <w:rsid w:val="007D2E0B"/>
    <w:rsid w:val="007D2E41"/>
    <w:rsid w:val="007D41F1"/>
    <w:rsid w:val="007D69A8"/>
    <w:rsid w:val="007E0F16"/>
    <w:rsid w:val="007E49FA"/>
    <w:rsid w:val="007E525B"/>
    <w:rsid w:val="007E52EC"/>
    <w:rsid w:val="007E6A4B"/>
    <w:rsid w:val="007F022A"/>
    <w:rsid w:val="007F3C73"/>
    <w:rsid w:val="007F3D9F"/>
    <w:rsid w:val="007F3E89"/>
    <w:rsid w:val="007F4343"/>
    <w:rsid w:val="007F5E23"/>
    <w:rsid w:val="007F74B5"/>
    <w:rsid w:val="0080659A"/>
    <w:rsid w:val="00810E74"/>
    <w:rsid w:val="008118DF"/>
    <w:rsid w:val="00811CE4"/>
    <w:rsid w:val="00812C1D"/>
    <w:rsid w:val="00813132"/>
    <w:rsid w:val="00813969"/>
    <w:rsid w:val="0082109E"/>
    <w:rsid w:val="008226AB"/>
    <w:rsid w:val="00822F04"/>
    <w:rsid w:val="008260FF"/>
    <w:rsid w:val="008432BB"/>
    <w:rsid w:val="00844C89"/>
    <w:rsid w:val="00846AE9"/>
    <w:rsid w:val="00851A39"/>
    <w:rsid w:val="008523F1"/>
    <w:rsid w:val="00857A48"/>
    <w:rsid w:val="00860027"/>
    <w:rsid w:val="00860498"/>
    <w:rsid w:val="00860CB7"/>
    <w:rsid w:val="00861EA4"/>
    <w:rsid w:val="00861F18"/>
    <w:rsid w:val="008622CB"/>
    <w:rsid w:val="00862DF0"/>
    <w:rsid w:val="0086520C"/>
    <w:rsid w:val="008701BE"/>
    <w:rsid w:val="00872277"/>
    <w:rsid w:val="00873E86"/>
    <w:rsid w:val="00875D1A"/>
    <w:rsid w:val="00875D68"/>
    <w:rsid w:val="0087631C"/>
    <w:rsid w:val="00880CF7"/>
    <w:rsid w:val="00881630"/>
    <w:rsid w:val="008824DB"/>
    <w:rsid w:val="0088519B"/>
    <w:rsid w:val="0088587C"/>
    <w:rsid w:val="00886D44"/>
    <w:rsid w:val="00893AFC"/>
    <w:rsid w:val="00894DE9"/>
    <w:rsid w:val="00895884"/>
    <w:rsid w:val="00896DFD"/>
    <w:rsid w:val="008975E3"/>
    <w:rsid w:val="008A1368"/>
    <w:rsid w:val="008A5B2B"/>
    <w:rsid w:val="008A681C"/>
    <w:rsid w:val="008B0128"/>
    <w:rsid w:val="008B3910"/>
    <w:rsid w:val="008B48D9"/>
    <w:rsid w:val="008B677D"/>
    <w:rsid w:val="008C34BC"/>
    <w:rsid w:val="008D11C5"/>
    <w:rsid w:val="008D1531"/>
    <w:rsid w:val="008D191D"/>
    <w:rsid w:val="008D38A6"/>
    <w:rsid w:val="008D38AA"/>
    <w:rsid w:val="008D3F0E"/>
    <w:rsid w:val="008D4A3B"/>
    <w:rsid w:val="008D59A3"/>
    <w:rsid w:val="008E0642"/>
    <w:rsid w:val="008E2CDB"/>
    <w:rsid w:val="008E33AF"/>
    <w:rsid w:val="008E496C"/>
    <w:rsid w:val="008E69A7"/>
    <w:rsid w:val="008F20E5"/>
    <w:rsid w:val="008F3E6B"/>
    <w:rsid w:val="008F5B9D"/>
    <w:rsid w:val="008F5D9E"/>
    <w:rsid w:val="008F6183"/>
    <w:rsid w:val="008F6B7E"/>
    <w:rsid w:val="008F7AD0"/>
    <w:rsid w:val="008F7E45"/>
    <w:rsid w:val="00900755"/>
    <w:rsid w:val="0090451B"/>
    <w:rsid w:val="00904532"/>
    <w:rsid w:val="009049A8"/>
    <w:rsid w:val="00916C36"/>
    <w:rsid w:val="00920F27"/>
    <w:rsid w:val="009226C0"/>
    <w:rsid w:val="00923443"/>
    <w:rsid w:val="009250E9"/>
    <w:rsid w:val="00930153"/>
    <w:rsid w:val="00930436"/>
    <w:rsid w:val="00930BB9"/>
    <w:rsid w:val="00930DEF"/>
    <w:rsid w:val="00932F93"/>
    <w:rsid w:val="0093348F"/>
    <w:rsid w:val="00934B68"/>
    <w:rsid w:val="0094117B"/>
    <w:rsid w:val="00941970"/>
    <w:rsid w:val="00943CCE"/>
    <w:rsid w:val="0094648F"/>
    <w:rsid w:val="009500DF"/>
    <w:rsid w:val="0095223B"/>
    <w:rsid w:val="00952641"/>
    <w:rsid w:val="0095776E"/>
    <w:rsid w:val="00957813"/>
    <w:rsid w:val="00961642"/>
    <w:rsid w:val="0096363E"/>
    <w:rsid w:val="009642BA"/>
    <w:rsid w:val="00964474"/>
    <w:rsid w:val="009667A2"/>
    <w:rsid w:val="009748E9"/>
    <w:rsid w:val="009755BE"/>
    <w:rsid w:val="0097711C"/>
    <w:rsid w:val="00977FC7"/>
    <w:rsid w:val="00981229"/>
    <w:rsid w:val="009837C2"/>
    <w:rsid w:val="00984F6B"/>
    <w:rsid w:val="00986D4C"/>
    <w:rsid w:val="00987612"/>
    <w:rsid w:val="00987AC3"/>
    <w:rsid w:val="00987C45"/>
    <w:rsid w:val="00987F50"/>
    <w:rsid w:val="009914DE"/>
    <w:rsid w:val="00992E6B"/>
    <w:rsid w:val="00994878"/>
    <w:rsid w:val="00994B93"/>
    <w:rsid w:val="00995193"/>
    <w:rsid w:val="00997557"/>
    <w:rsid w:val="009A0728"/>
    <w:rsid w:val="009A0795"/>
    <w:rsid w:val="009A1EC0"/>
    <w:rsid w:val="009A2848"/>
    <w:rsid w:val="009A2B17"/>
    <w:rsid w:val="009A5BB9"/>
    <w:rsid w:val="009A6502"/>
    <w:rsid w:val="009A78A1"/>
    <w:rsid w:val="009A7A4B"/>
    <w:rsid w:val="009A7AEB"/>
    <w:rsid w:val="009A7C03"/>
    <w:rsid w:val="009A7FE0"/>
    <w:rsid w:val="009B2450"/>
    <w:rsid w:val="009B6BEB"/>
    <w:rsid w:val="009B6DA5"/>
    <w:rsid w:val="009B79BA"/>
    <w:rsid w:val="009B7C86"/>
    <w:rsid w:val="009C1F3A"/>
    <w:rsid w:val="009C4650"/>
    <w:rsid w:val="009C727B"/>
    <w:rsid w:val="009C7A08"/>
    <w:rsid w:val="009D23BC"/>
    <w:rsid w:val="009D4B85"/>
    <w:rsid w:val="009E046E"/>
    <w:rsid w:val="009E4F09"/>
    <w:rsid w:val="009F17FD"/>
    <w:rsid w:val="009F18B0"/>
    <w:rsid w:val="009F38C0"/>
    <w:rsid w:val="009F438E"/>
    <w:rsid w:val="009F44D8"/>
    <w:rsid w:val="009F5CFD"/>
    <w:rsid w:val="009F6D80"/>
    <w:rsid w:val="009F72EA"/>
    <w:rsid w:val="00A01B09"/>
    <w:rsid w:val="00A06C66"/>
    <w:rsid w:val="00A14778"/>
    <w:rsid w:val="00A14A1B"/>
    <w:rsid w:val="00A14B23"/>
    <w:rsid w:val="00A14D8B"/>
    <w:rsid w:val="00A20D99"/>
    <w:rsid w:val="00A246ED"/>
    <w:rsid w:val="00A25859"/>
    <w:rsid w:val="00A27D08"/>
    <w:rsid w:val="00A30244"/>
    <w:rsid w:val="00A328C4"/>
    <w:rsid w:val="00A33E1C"/>
    <w:rsid w:val="00A351C1"/>
    <w:rsid w:val="00A4002B"/>
    <w:rsid w:val="00A40592"/>
    <w:rsid w:val="00A4076E"/>
    <w:rsid w:val="00A40F45"/>
    <w:rsid w:val="00A452E0"/>
    <w:rsid w:val="00A455D8"/>
    <w:rsid w:val="00A46BDA"/>
    <w:rsid w:val="00A521FB"/>
    <w:rsid w:val="00A56607"/>
    <w:rsid w:val="00A56F50"/>
    <w:rsid w:val="00A62036"/>
    <w:rsid w:val="00A62955"/>
    <w:rsid w:val="00A62F50"/>
    <w:rsid w:val="00A6394D"/>
    <w:rsid w:val="00A65372"/>
    <w:rsid w:val="00A7070E"/>
    <w:rsid w:val="00A714AE"/>
    <w:rsid w:val="00A71D0D"/>
    <w:rsid w:val="00A7273D"/>
    <w:rsid w:val="00A73A1B"/>
    <w:rsid w:val="00A74307"/>
    <w:rsid w:val="00A76312"/>
    <w:rsid w:val="00A76426"/>
    <w:rsid w:val="00A770A3"/>
    <w:rsid w:val="00A77F5B"/>
    <w:rsid w:val="00A800DB"/>
    <w:rsid w:val="00A822BB"/>
    <w:rsid w:val="00A837F3"/>
    <w:rsid w:val="00A85483"/>
    <w:rsid w:val="00A97529"/>
    <w:rsid w:val="00AA0A8F"/>
    <w:rsid w:val="00AA3960"/>
    <w:rsid w:val="00AA58DC"/>
    <w:rsid w:val="00AB0795"/>
    <w:rsid w:val="00AB134C"/>
    <w:rsid w:val="00AB3EB0"/>
    <w:rsid w:val="00AB5B76"/>
    <w:rsid w:val="00AC175F"/>
    <w:rsid w:val="00AC6493"/>
    <w:rsid w:val="00AD091F"/>
    <w:rsid w:val="00AD3F3A"/>
    <w:rsid w:val="00AD592B"/>
    <w:rsid w:val="00AD6D1B"/>
    <w:rsid w:val="00AE04EF"/>
    <w:rsid w:val="00AE364C"/>
    <w:rsid w:val="00AE5441"/>
    <w:rsid w:val="00AE617C"/>
    <w:rsid w:val="00AE67C6"/>
    <w:rsid w:val="00AF0ACB"/>
    <w:rsid w:val="00AF14F4"/>
    <w:rsid w:val="00AF303C"/>
    <w:rsid w:val="00AF72F3"/>
    <w:rsid w:val="00B00629"/>
    <w:rsid w:val="00B030EE"/>
    <w:rsid w:val="00B03A8F"/>
    <w:rsid w:val="00B04123"/>
    <w:rsid w:val="00B051B2"/>
    <w:rsid w:val="00B0666B"/>
    <w:rsid w:val="00B06707"/>
    <w:rsid w:val="00B10EC2"/>
    <w:rsid w:val="00B13919"/>
    <w:rsid w:val="00B152E1"/>
    <w:rsid w:val="00B20B2C"/>
    <w:rsid w:val="00B21966"/>
    <w:rsid w:val="00B222EC"/>
    <w:rsid w:val="00B2405C"/>
    <w:rsid w:val="00B308FE"/>
    <w:rsid w:val="00B3102B"/>
    <w:rsid w:val="00B3385B"/>
    <w:rsid w:val="00B3620E"/>
    <w:rsid w:val="00B41346"/>
    <w:rsid w:val="00B42356"/>
    <w:rsid w:val="00B42EC1"/>
    <w:rsid w:val="00B42EE8"/>
    <w:rsid w:val="00B472B5"/>
    <w:rsid w:val="00B557EA"/>
    <w:rsid w:val="00B5693B"/>
    <w:rsid w:val="00B605DE"/>
    <w:rsid w:val="00B630DC"/>
    <w:rsid w:val="00B63894"/>
    <w:rsid w:val="00B63CBA"/>
    <w:rsid w:val="00B7091A"/>
    <w:rsid w:val="00B72D8C"/>
    <w:rsid w:val="00B7739F"/>
    <w:rsid w:val="00B77B0C"/>
    <w:rsid w:val="00B812AC"/>
    <w:rsid w:val="00B82897"/>
    <w:rsid w:val="00B82C15"/>
    <w:rsid w:val="00B84AB7"/>
    <w:rsid w:val="00B86B91"/>
    <w:rsid w:val="00B877D1"/>
    <w:rsid w:val="00B91024"/>
    <w:rsid w:val="00B92746"/>
    <w:rsid w:val="00B93599"/>
    <w:rsid w:val="00B968B3"/>
    <w:rsid w:val="00BA2E53"/>
    <w:rsid w:val="00BA40F8"/>
    <w:rsid w:val="00BA4983"/>
    <w:rsid w:val="00BA5362"/>
    <w:rsid w:val="00BA5637"/>
    <w:rsid w:val="00BA5FD1"/>
    <w:rsid w:val="00BB13ED"/>
    <w:rsid w:val="00BB388C"/>
    <w:rsid w:val="00BB400B"/>
    <w:rsid w:val="00BC03C4"/>
    <w:rsid w:val="00BC153D"/>
    <w:rsid w:val="00BC1DBB"/>
    <w:rsid w:val="00BC33E4"/>
    <w:rsid w:val="00BC36BA"/>
    <w:rsid w:val="00BC47EB"/>
    <w:rsid w:val="00BC4B78"/>
    <w:rsid w:val="00BC51F7"/>
    <w:rsid w:val="00BC7A03"/>
    <w:rsid w:val="00BD174B"/>
    <w:rsid w:val="00BD2567"/>
    <w:rsid w:val="00BD3C98"/>
    <w:rsid w:val="00BE04DE"/>
    <w:rsid w:val="00BE5DD1"/>
    <w:rsid w:val="00BE6051"/>
    <w:rsid w:val="00BE619C"/>
    <w:rsid w:val="00BE6A0D"/>
    <w:rsid w:val="00BE7EEB"/>
    <w:rsid w:val="00BF1D39"/>
    <w:rsid w:val="00BF32F1"/>
    <w:rsid w:val="00BF3B86"/>
    <w:rsid w:val="00BF3E77"/>
    <w:rsid w:val="00BF5052"/>
    <w:rsid w:val="00BF6BAE"/>
    <w:rsid w:val="00BF70C6"/>
    <w:rsid w:val="00C0320A"/>
    <w:rsid w:val="00C06C82"/>
    <w:rsid w:val="00C1196E"/>
    <w:rsid w:val="00C1427E"/>
    <w:rsid w:val="00C14411"/>
    <w:rsid w:val="00C1448E"/>
    <w:rsid w:val="00C204CC"/>
    <w:rsid w:val="00C20C6B"/>
    <w:rsid w:val="00C21A16"/>
    <w:rsid w:val="00C30FAD"/>
    <w:rsid w:val="00C3392E"/>
    <w:rsid w:val="00C34045"/>
    <w:rsid w:val="00C348D2"/>
    <w:rsid w:val="00C35822"/>
    <w:rsid w:val="00C37FD5"/>
    <w:rsid w:val="00C4234B"/>
    <w:rsid w:val="00C440C2"/>
    <w:rsid w:val="00C44BD6"/>
    <w:rsid w:val="00C50800"/>
    <w:rsid w:val="00C5180F"/>
    <w:rsid w:val="00C52F33"/>
    <w:rsid w:val="00C55BBC"/>
    <w:rsid w:val="00C5719F"/>
    <w:rsid w:val="00C61407"/>
    <w:rsid w:val="00C6323B"/>
    <w:rsid w:val="00C64845"/>
    <w:rsid w:val="00C64C1F"/>
    <w:rsid w:val="00C6587A"/>
    <w:rsid w:val="00C6776B"/>
    <w:rsid w:val="00C726C3"/>
    <w:rsid w:val="00C774BB"/>
    <w:rsid w:val="00C774E0"/>
    <w:rsid w:val="00C77A64"/>
    <w:rsid w:val="00C81F89"/>
    <w:rsid w:val="00C82630"/>
    <w:rsid w:val="00C83EB1"/>
    <w:rsid w:val="00C84D07"/>
    <w:rsid w:val="00C87EF4"/>
    <w:rsid w:val="00C90A9C"/>
    <w:rsid w:val="00C91C10"/>
    <w:rsid w:val="00C92492"/>
    <w:rsid w:val="00C95EA8"/>
    <w:rsid w:val="00C963C5"/>
    <w:rsid w:val="00C97684"/>
    <w:rsid w:val="00CA00E1"/>
    <w:rsid w:val="00CA100D"/>
    <w:rsid w:val="00CA3D66"/>
    <w:rsid w:val="00CA3E30"/>
    <w:rsid w:val="00CA3E46"/>
    <w:rsid w:val="00CA6738"/>
    <w:rsid w:val="00CA687E"/>
    <w:rsid w:val="00CA77AD"/>
    <w:rsid w:val="00CA7E00"/>
    <w:rsid w:val="00CB07D7"/>
    <w:rsid w:val="00CB0F19"/>
    <w:rsid w:val="00CB142C"/>
    <w:rsid w:val="00CB21BC"/>
    <w:rsid w:val="00CB44E6"/>
    <w:rsid w:val="00CB656E"/>
    <w:rsid w:val="00CB7FA6"/>
    <w:rsid w:val="00CC0BB6"/>
    <w:rsid w:val="00CC3C48"/>
    <w:rsid w:val="00CC5A57"/>
    <w:rsid w:val="00CC74F1"/>
    <w:rsid w:val="00CD1FB4"/>
    <w:rsid w:val="00CD30B8"/>
    <w:rsid w:val="00CD4AF2"/>
    <w:rsid w:val="00CD6CF2"/>
    <w:rsid w:val="00CE663E"/>
    <w:rsid w:val="00CF06DA"/>
    <w:rsid w:val="00CF0F4A"/>
    <w:rsid w:val="00CF0F50"/>
    <w:rsid w:val="00CF32D4"/>
    <w:rsid w:val="00CF39C9"/>
    <w:rsid w:val="00CF5F5B"/>
    <w:rsid w:val="00D03786"/>
    <w:rsid w:val="00D0508B"/>
    <w:rsid w:val="00D12544"/>
    <w:rsid w:val="00D13665"/>
    <w:rsid w:val="00D13FD1"/>
    <w:rsid w:val="00D21FC0"/>
    <w:rsid w:val="00D22117"/>
    <w:rsid w:val="00D25F6E"/>
    <w:rsid w:val="00D269CE"/>
    <w:rsid w:val="00D30063"/>
    <w:rsid w:val="00D30A76"/>
    <w:rsid w:val="00D32001"/>
    <w:rsid w:val="00D32948"/>
    <w:rsid w:val="00D34365"/>
    <w:rsid w:val="00D349C4"/>
    <w:rsid w:val="00D37AD1"/>
    <w:rsid w:val="00D40190"/>
    <w:rsid w:val="00D41A7C"/>
    <w:rsid w:val="00D44ACC"/>
    <w:rsid w:val="00D45809"/>
    <w:rsid w:val="00D4654D"/>
    <w:rsid w:val="00D5102F"/>
    <w:rsid w:val="00D52443"/>
    <w:rsid w:val="00D55CB4"/>
    <w:rsid w:val="00D619F5"/>
    <w:rsid w:val="00D61F51"/>
    <w:rsid w:val="00D63212"/>
    <w:rsid w:val="00D65E71"/>
    <w:rsid w:val="00D6751A"/>
    <w:rsid w:val="00D67D7B"/>
    <w:rsid w:val="00D70F30"/>
    <w:rsid w:val="00D73C3F"/>
    <w:rsid w:val="00D75CD8"/>
    <w:rsid w:val="00D80444"/>
    <w:rsid w:val="00D80E3F"/>
    <w:rsid w:val="00D81BC3"/>
    <w:rsid w:val="00D83F84"/>
    <w:rsid w:val="00D85102"/>
    <w:rsid w:val="00D85251"/>
    <w:rsid w:val="00D85AF7"/>
    <w:rsid w:val="00D91B5D"/>
    <w:rsid w:val="00D9374E"/>
    <w:rsid w:val="00D9523D"/>
    <w:rsid w:val="00D95478"/>
    <w:rsid w:val="00D95EC4"/>
    <w:rsid w:val="00D96780"/>
    <w:rsid w:val="00DA129D"/>
    <w:rsid w:val="00DA18B6"/>
    <w:rsid w:val="00DA290E"/>
    <w:rsid w:val="00DA2B09"/>
    <w:rsid w:val="00DA3E77"/>
    <w:rsid w:val="00DA431F"/>
    <w:rsid w:val="00DA4419"/>
    <w:rsid w:val="00DA664E"/>
    <w:rsid w:val="00DA7476"/>
    <w:rsid w:val="00DB02A1"/>
    <w:rsid w:val="00DB2EFD"/>
    <w:rsid w:val="00DB482E"/>
    <w:rsid w:val="00DB49B9"/>
    <w:rsid w:val="00DB4C0C"/>
    <w:rsid w:val="00DB634B"/>
    <w:rsid w:val="00DB7B5F"/>
    <w:rsid w:val="00DB7E65"/>
    <w:rsid w:val="00DC0106"/>
    <w:rsid w:val="00DC11DA"/>
    <w:rsid w:val="00DC16D3"/>
    <w:rsid w:val="00DC4D5E"/>
    <w:rsid w:val="00DC70EC"/>
    <w:rsid w:val="00DC7504"/>
    <w:rsid w:val="00DC7F31"/>
    <w:rsid w:val="00DE26F2"/>
    <w:rsid w:val="00DE41D2"/>
    <w:rsid w:val="00DE4875"/>
    <w:rsid w:val="00DE6C97"/>
    <w:rsid w:val="00DE6DA4"/>
    <w:rsid w:val="00DF1DCA"/>
    <w:rsid w:val="00DF2379"/>
    <w:rsid w:val="00DF4A1D"/>
    <w:rsid w:val="00DF6024"/>
    <w:rsid w:val="00E02039"/>
    <w:rsid w:val="00E0206A"/>
    <w:rsid w:val="00E03D04"/>
    <w:rsid w:val="00E03F80"/>
    <w:rsid w:val="00E11506"/>
    <w:rsid w:val="00E165BF"/>
    <w:rsid w:val="00E169A7"/>
    <w:rsid w:val="00E1720B"/>
    <w:rsid w:val="00E2254D"/>
    <w:rsid w:val="00E22EA6"/>
    <w:rsid w:val="00E2335E"/>
    <w:rsid w:val="00E23DFC"/>
    <w:rsid w:val="00E24220"/>
    <w:rsid w:val="00E26912"/>
    <w:rsid w:val="00E27A47"/>
    <w:rsid w:val="00E27FAF"/>
    <w:rsid w:val="00E30538"/>
    <w:rsid w:val="00E306E9"/>
    <w:rsid w:val="00E3082F"/>
    <w:rsid w:val="00E35DD8"/>
    <w:rsid w:val="00E4516B"/>
    <w:rsid w:val="00E46930"/>
    <w:rsid w:val="00E46A9F"/>
    <w:rsid w:val="00E4710C"/>
    <w:rsid w:val="00E471F3"/>
    <w:rsid w:val="00E47569"/>
    <w:rsid w:val="00E47B9F"/>
    <w:rsid w:val="00E52DB7"/>
    <w:rsid w:val="00E6076C"/>
    <w:rsid w:val="00E60FAC"/>
    <w:rsid w:val="00E66D47"/>
    <w:rsid w:val="00E66EEE"/>
    <w:rsid w:val="00E70D04"/>
    <w:rsid w:val="00E7435C"/>
    <w:rsid w:val="00E75328"/>
    <w:rsid w:val="00E7750F"/>
    <w:rsid w:val="00E77790"/>
    <w:rsid w:val="00E77F66"/>
    <w:rsid w:val="00E81B57"/>
    <w:rsid w:val="00E81BEE"/>
    <w:rsid w:val="00E81EC1"/>
    <w:rsid w:val="00E84250"/>
    <w:rsid w:val="00E84353"/>
    <w:rsid w:val="00E86B3D"/>
    <w:rsid w:val="00E86E2E"/>
    <w:rsid w:val="00E90D9E"/>
    <w:rsid w:val="00E91078"/>
    <w:rsid w:val="00E9620A"/>
    <w:rsid w:val="00EA3744"/>
    <w:rsid w:val="00EA37B8"/>
    <w:rsid w:val="00EA4772"/>
    <w:rsid w:val="00EA4912"/>
    <w:rsid w:val="00EA5BA0"/>
    <w:rsid w:val="00EA6531"/>
    <w:rsid w:val="00EB073D"/>
    <w:rsid w:val="00EB1C75"/>
    <w:rsid w:val="00EC2117"/>
    <w:rsid w:val="00EC4FCB"/>
    <w:rsid w:val="00ED1530"/>
    <w:rsid w:val="00ED1B2B"/>
    <w:rsid w:val="00ED262B"/>
    <w:rsid w:val="00ED3E24"/>
    <w:rsid w:val="00ED3F0E"/>
    <w:rsid w:val="00EE11E1"/>
    <w:rsid w:val="00EE2F7D"/>
    <w:rsid w:val="00EE3187"/>
    <w:rsid w:val="00EE5D36"/>
    <w:rsid w:val="00EE5E97"/>
    <w:rsid w:val="00EF0573"/>
    <w:rsid w:val="00EF0CBD"/>
    <w:rsid w:val="00EF2952"/>
    <w:rsid w:val="00EF2B38"/>
    <w:rsid w:val="00EF37C0"/>
    <w:rsid w:val="00EF3FC4"/>
    <w:rsid w:val="00EF62FF"/>
    <w:rsid w:val="00F0030C"/>
    <w:rsid w:val="00F03B11"/>
    <w:rsid w:val="00F053CE"/>
    <w:rsid w:val="00F05C72"/>
    <w:rsid w:val="00F06028"/>
    <w:rsid w:val="00F1021C"/>
    <w:rsid w:val="00F11CD8"/>
    <w:rsid w:val="00F13635"/>
    <w:rsid w:val="00F15486"/>
    <w:rsid w:val="00F173A3"/>
    <w:rsid w:val="00F228B3"/>
    <w:rsid w:val="00F228D6"/>
    <w:rsid w:val="00F30A77"/>
    <w:rsid w:val="00F33875"/>
    <w:rsid w:val="00F3554A"/>
    <w:rsid w:val="00F3679D"/>
    <w:rsid w:val="00F37C05"/>
    <w:rsid w:val="00F41819"/>
    <w:rsid w:val="00F44A32"/>
    <w:rsid w:val="00F44C1E"/>
    <w:rsid w:val="00F45449"/>
    <w:rsid w:val="00F50460"/>
    <w:rsid w:val="00F54B72"/>
    <w:rsid w:val="00F55705"/>
    <w:rsid w:val="00F5656A"/>
    <w:rsid w:val="00F61295"/>
    <w:rsid w:val="00F6134A"/>
    <w:rsid w:val="00F648FA"/>
    <w:rsid w:val="00F657F2"/>
    <w:rsid w:val="00F71165"/>
    <w:rsid w:val="00F719D6"/>
    <w:rsid w:val="00F738B4"/>
    <w:rsid w:val="00F758FB"/>
    <w:rsid w:val="00F7734B"/>
    <w:rsid w:val="00F84BBB"/>
    <w:rsid w:val="00F86039"/>
    <w:rsid w:val="00F86A97"/>
    <w:rsid w:val="00F870DF"/>
    <w:rsid w:val="00F902BA"/>
    <w:rsid w:val="00F909B0"/>
    <w:rsid w:val="00F918BC"/>
    <w:rsid w:val="00F939A3"/>
    <w:rsid w:val="00F96981"/>
    <w:rsid w:val="00F975E4"/>
    <w:rsid w:val="00F979E2"/>
    <w:rsid w:val="00FA3B9D"/>
    <w:rsid w:val="00FA5050"/>
    <w:rsid w:val="00FA7AC5"/>
    <w:rsid w:val="00FB3CD5"/>
    <w:rsid w:val="00FB65A4"/>
    <w:rsid w:val="00FB6AC8"/>
    <w:rsid w:val="00FC055A"/>
    <w:rsid w:val="00FC1C2A"/>
    <w:rsid w:val="00FC2F72"/>
    <w:rsid w:val="00FC30DF"/>
    <w:rsid w:val="00FC658A"/>
    <w:rsid w:val="00FD4EC3"/>
    <w:rsid w:val="00FE0D5B"/>
    <w:rsid w:val="00FE25F0"/>
    <w:rsid w:val="00FE2D00"/>
    <w:rsid w:val="00FE7A6B"/>
    <w:rsid w:val="00FF418B"/>
    <w:rsid w:val="00FF426D"/>
    <w:rsid w:val="00FF4E45"/>
    <w:rsid w:val="01C60260"/>
    <w:rsid w:val="020A747C"/>
    <w:rsid w:val="024623F0"/>
    <w:rsid w:val="02494DA9"/>
    <w:rsid w:val="03087C7B"/>
    <w:rsid w:val="031D432A"/>
    <w:rsid w:val="038F7777"/>
    <w:rsid w:val="056E0B54"/>
    <w:rsid w:val="05EC0D19"/>
    <w:rsid w:val="06695EF7"/>
    <w:rsid w:val="06FF1354"/>
    <w:rsid w:val="07DB1D4B"/>
    <w:rsid w:val="0A0808A6"/>
    <w:rsid w:val="0A7113D6"/>
    <w:rsid w:val="0A7946A3"/>
    <w:rsid w:val="0A9631E6"/>
    <w:rsid w:val="0B456372"/>
    <w:rsid w:val="0CBF4684"/>
    <w:rsid w:val="0D95362E"/>
    <w:rsid w:val="0E5400D2"/>
    <w:rsid w:val="0E8B6D84"/>
    <w:rsid w:val="0ED71B6C"/>
    <w:rsid w:val="0FEE780A"/>
    <w:rsid w:val="10D15F87"/>
    <w:rsid w:val="12B04D1E"/>
    <w:rsid w:val="12DE4D80"/>
    <w:rsid w:val="13612E92"/>
    <w:rsid w:val="15272788"/>
    <w:rsid w:val="15BD5BCA"/>
    <w:rsid w:val="15CB136C"/>
    <w:rsid w:val="16175933"/>
    <w:rsid w:val="16B94007"/>
    <w:rsid w:val="1704608A"/>
    <w:rsid w:val="17BA13D3"/>
    <w:rsid w:val="181138A9"/>
    <w:rsid w:val="18291099"/>
    <w:rsid w:val="185062BA"/>
    <w:rsid w:val="186B2439"/>
    <w:rsid w:val="1CAD3806"/>
    <w:rsid w:val="1D3D7354"/>
    <w:rsid w:val="1DD961A3"/>
    <w:rsid w:val="1F1B5638"/>
    <w:rsid w:val="20EA62F2"/>
    <w:rsid w:val="21033FE9"/>
    <w:rsid w:val="21A712BD"/>
    <w:rsid w:val="22552289"/>
    <w:rsid w:val="22965A26"/>
    <w:rsid w:val="245C3A14"/>
    <w:rsid w:val="24D70B3C"/>
    <w:rsid w:val="25AE431A"/>
    <w:rsid w:val="279C38B9"/>
    <w:rsid w:val="27F97123"/>
    <w:rsid w:val="28211F8A"/>
    <w:rsid w:val="282D2B5E"/>
    <w:rsid w:val="28A7158F"/>
    <w:rsid w:val="28CC6688"/>
    <w:rsid w:val="28EB4394"/>
    <w:rsid w:val="2940526A"/>
    <w:rsid w:val="297F09F5"/>
    <w:rsid w:val="2A346C79"/>
    <w:rsid w:val="2A433B15"/>
    <w:rsid w:val="2B34192A"/>
    <w:rsid w:val="2C557647"/>
    <w:rsid w:val="2CD3702C"/>
    <w:rsid w:val="2D18069D"/>
    <w:rsid w:val="2F635110"/>
    <w:rsid w:val="2FF8290C"/>
    <w:rsid w:val="3017352C"/>
    <w:rsid w:val="31955511"/>
    <w:rsid w:val="32571570"/>
    <w:rsid w:val="32FD11AA"/>
    <w:rsid w:val="338B77AE"/>
    <w:rsid w:val="363016F6"/>
    <w:rsid w:val="36A87665"/>
    <w:rsid w:val="377640D4"/>
    <w:rsid w:val="378D452A"/>
    <w:rsid w:val="37C16AC8"/>
    <w:rsid w:val="38075AB0"/>
    <w:rsid w:val="38C44D65"/>
    <w:rsid w:val="3CE20532"/>
    <w:rsid w:val="3D0B4091"/>
    <w:rsid w:val="3EB827C0"/>
    <w:rsid w:val="3F9345C7"/>
    <w:rsid w:val="40273A74"/>
    <w:rsid w:val="40BE1333"/>
    <w:rsid w:val="41A83C04"/>
    <w:rsid w:val="41F566B9"/>
    <w:rsid w:val="43047FA4"/>
    <w:rsid w:val="43182BEF"/>
    <w:rsid w:val="45420AA3"/>
    <w:rsid w:val="456F3CB8"/>
    <w:rsid w:val="45860FE0"/>
    <w:rsid w:val="45B208CD"/>
    <w:rsid w:val="45F92E94"/>
    <w:rsid w:val="47003456"/>
    <w:rsid w:val="47D34AA7"/>
    <w:rsid w:val="48980BFE"/>
    <w:rsid w:val="48EA6077"/>
    <w:rsid w:val="491F760B"/>
    <w:rsid w:val="493335F8"/>
    <w:rsid w:val="49B7673D"/>
    <w:rsid w:val="4A643850"/>
    <w:rsid w:val="4BA050CC"/>
    <w:rsid w:val="4BD3755E"/>
    <w:rsid w:val="4D7F5B0B"/>
    <w:rsid w:val="4E022CFE"/>
    <w:rsid w:val="4F55411C"/>
    <w:rsid w:val="4F965762"/>
    <w:rsid w:val="50145F92"/>
    <w:rsid w:val="502169F8"/>
    <w:rsid w:val="50D86C9B"/>
    <w:rsid w:val="5189676E"/>
    <w:rsid w:val="51B73FC3"/>
    <w:rsid w:val="525B6431"/>
    <w:rsid w:val="531433DB"/>
    <w:rsid w:val="53651A24"/>
    <w:rsid w:val="538F6607"/>
    <w:rsid w:val="545E6845"/>
    <w:rsid w:val="54C518AF"/>
    <w:rsid w:val="55323770"/>
    <w:rsid w:val="557D68BD"/>
    <w:rsid w:val="56B62BEE"/>
    <w:rsid w:val="56EA64EA"/>
    <w:rsid w:val="576F457B"/>
    <w:rsid w:val="580D6A4A"/>
    <w:rsid w:val="584C32FC"/>
    <w:rsid w:val="58E30909"/>
    <w:rsid w:val="594A617A"/>
    <w:rsid w:val="598B0DE9"/>
    <w:rsid w:val="59DA14F7"/>
    <w:rsid w:val="5A646153"/>
    <w:rsid w:val="5B0E18F6"/>
    <w:rsid w:val="5B6B484D"/>
    <w:rsid w:val="5BF0507A"/>
    <w:rsid w:val="5C527AF2"/>
    <w:rsid w:val="5D0758FD"/>
    <w:rsid w:val="5D696C97"/>
    <w:rsid w:val="5EDF489B"/>
    <w:rsid w:val="5FF75BEE"/>
    <w:rsid w:val="603C6643"/>
    <w:rsid w:val="60951923"/>
    <w:rsid w:val="61552610"/>
    <w:rsid w:val="617047C9"/>
    <w:rsid w:val="622F6EC6"/>
    <w:rsid w:val="62DF135E"/>
    <w:rsid w:val="63633AA7"/>
    <w:rsid w:val="63874930"/>
    <w:rsid w:val="63916627"/>
    <w:rsid w:val="63C224F4"/>
    <w:rsid w:val="64D933E5"/>
    <w:rsid w:val="64DA4701"/>
    <w:rsid w:val="650A644C"/>
    <w:rsid w:val="65807EDB"/>
    <w:rsid w:val="66DC21C5"/>
    <w:rsid w:val="66E264B7"/>
    <w:rsid w:val="67293919"/>
    <w:rsid w:val="67E3309E"/>
    <w:rsid w:val="67E35095"/>
    <w:rsid w:val="682F42FD"/>
    <w:rsid w:val="68BA08BA"/>
    <w:rsid w:val="6902748E"/>
    <w:rsid w:val="6A6F18C3"/>
    <w:rsid w:val="6A816A82"/>
    <w:rsid w:val="6BC06B75"/>
    <w:rsid w:val="6BF76DE6"/>
    <w:rsid w:val="6CAA4B4E"/>
    <w:rsid w:val="6D730F4D"/>
    <w:rsid w:val="6DE8640C"/>
    <w:rsid w:val="6FD668B3"/>
    <w:rsid w:val="703A7EC3"/>
    <w:rsid w:val="70EC0220"/>
    <w:rsid w:val="71081111"/>
    <w:rsid w:val="715A24A9"/>
    <w:rsid w:val="72806473"/>
    <w:rsid w:val="74833309"/>
    <w:rsid w:val="756F0910"/>
    <w:rsid w:val="75B13ACD"/>
    <w:rsid w:val="75E2293F"/>
    <w:rsid w:val="75E54428"/>
    <w:rsid w:val="76DC4174"/>
    <w:rsid w:val="779115E8"/>
    <w:rsid w:val="77EC5DEC"/>
    <w:rsid w:val="77F83FBB"/>
    <w:rsid w:val="786329BF"/>
    <w:rsid w:val="78862831"/>
    <w:rsid w:val="78A31B88"/>
    <w:rsid w:val="78AE29D8"/>
    <w:rsid w:val="791F5F88"/>
    <w:rsid w:val="7A7E03EF"/>
    <w:rsid w:val="7ACC05D4"/>
    <w:rsid w:val="7B1369CF"/>
    <w:rsid w:val="7C1728A9"/>
    <w:rsid w:val="7C181C1C"/>
    <w:rsid w:val="7C320AAE"/>
    <w:rsid w:val="7C5A559E"/>
    <w:rsid w:val="7CED0803"/>
    <w:rsid w:val="7CF76E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iPriority="0" w:semiHidden="0" w:name="Body Text First Indent 2"/>
    <w:lsdException w:uiPriority="99" w:name="Note Heading"/>
    <w:lsdException w:qFormat="1" w:uiPriority="99" w:semiHidden="0" w:name="Body Text 2"/>
    <w:lsdException w:qFormat="1" w:uiPriority="99" w:semiHidden="0" w:name="Body Text 3"/>
    <w:lsdException w:qFormat="1" w:uiPriority="99"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5"/>
    <w:next w:val="6"/>
    <w:link w:val="45"/>
    <w:qFormat/>
    <w:uiPriority w:val="9"/>
    <w:pPr>
      <w:keepNext/>
      <w:keepLines/>
      <w:spacing w:before="340" w:after="330" w:line="578" w:lineRule="auto"/>
      <w:outlineLvl w:val="0"/>
    </w:pPr>
    <w:rPr>
      <w:rFonts w:ascii="Times New Roman" w:hAnsi="Times New Roman"/>
      <w:kern w:val="44"/>
      <w:sz w:val="44"/>
      <w:szCs w:val="44"/>
    </w:rPr>
  </w:style>
  <w:style w:type="paragraph" w:styleId="8">
    <w:name w:val="heading 2"/>
    <w:basedOn w:val="1"/>
    <w:next w:val="1"/>
    <w:link w:val="48"/>
    <w:qFormat/>
    <w:uiPriority w:val="0"/>
    <w:pPr>
      <w:keepNext/>
      <w:keepLines/>
      <w:spacing w:line="408" w:lineRule="auto"/>
      <w:outlineLvl w:val="1"/>
    </w:pPr>
    <w:rPr>
      <w:rFonts w:ascii="Arial" w:hAnsi="Arial" w:eastAsia="黑体"/>
      <w:b/>
      <w:bCs/>
      <w:kern w:val="0"/>
      <w:sz w:val="32"/>
      <w:szCs w:val="32"/>
    </w:rPr>
  </w:style>
  <w:style w:type="paragraph" w:styleId="9">
    <w:name w:val="heading 3"/>
    <w:basedOn w:val="1"/>
    <w:next w:val="1"/>
    <w:link w:val="49"/>
    <w:qFormat/>
    <w:uiPriority w:val="9"/>
    <w:pPr>
      <w:keepNext/>
      <w:keepLines/>
      <w:spacing w:line="360" w:lineRule="auto"/>
      <w:outlineLvl w:val="2"/>
    </w:pPr>
    <w:rPr>
      <w:b/>
      <w:bCs/>
      <w:kern w:val="0"/>
      <w:sz w:val="24"/>
      <w:szCs w:val="24"/>
    </w:rPr>
  </w:style>
  <w:style w:type="paragraph" w:styleId="10">
    <w:name w:val="heading 4"/>
    <w:basedOn w:val="1"/>
    <w:next w:val="1"/>
    <w:link w:val="50"/>
    <w:qFormat/>
    <w:uiPriority w:val="9"/>
    <w:pPr>
      <w:keepNext/>
      <w:keepLines/>
      <w:spacing w:line="360" w:lineRule="auto"/>
      <w:outlineLvl w:val="3"/>
    </w:pPr>
    <w:rPr>
      <w:rFonts w:ascii="Arial" w:hAnsi="Arial"/>
      <w:b/>
      <w:bCs/>
      <w:kern w:val="0"/>
      <w:sz w:val="20"/>
    </w:rPr>
  </w:style>
  <w:style w:type="paragraph" w:styleId="11">
    <w:name w:val="heading 6"/>
    <w:basedOn w:val="1"/>
    <w:next w:val="1"/>
    <w:link w:val="51"/>
    <w:qFormat/>
    <w:uiPriority w:val="9"/>
    <w:pPr>
      <w:keepNext/>
      <w:keepLines/>
      <w:spacing w:before="240" w:after="64" w:line="320" w:lineRule="auto"/>
      <w:outlineLvl w:val="5"/>
    </w:pPr>
    <w:rPr>
      <w:rFonts w:ascii="Cambria" w:hAnsi="Cambria"/>
      <w:b/>
      <w:bCs/>
      <w:kern w:val="0"/>
      <w:sz w:val="24"/>
      <w:szCs w:val="24"/>
    </w:rPr>
  </w:style>
  <w:style w:type="character" w:default="1" w:styleId="37">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customStyle="1" w:styleId="2">
    <w:name w:val="样式 宋体 行距: 1.5 倍行距"/>
    <w:basedOn w:val="3"/>
    <w:next w:val="1"/>
    <w:qFormat/>
    <w:uiPriority w:val="0"/>
    <w:pPr>
      <w:jc w:val="center"/>
    </w:pPr>
    <w:rPr>
      <w:rFonts w:ascii="Times New Roman" w:hAnsi="Times New Roman"/>
      <w:b/>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黑体"/>
      <w:kern w:val="2"/>
      <w:sz w:val="21"/>
      <w:szCs w:val="24"/>
      <w:lang w:val="en-US" w:eastAsia="zh-CN" w:bidi="ar-SA"/>
    </w:rPr>
  </w:style>
  <w:style w:type="paragraph" w:styleId="5">
    <w:name w:val="Title"/>
    <w:basedOn w:val="1"/>
    <w:link w:val="44"/>
    <w:qFormat/>
    <w:uiPriority w:val="10"/>
    <w:pPr>
      <w:widowControl/>
      <w:spacing w:before="240" w:after="60"/>
      <w:jc w:val="center"/>
      <w:outlineLvl w:val="0"/>
    </w:pPr>
    <w:rPr>
      <w:rFonts w:ascii="Arial" w:hAnsi="Arial"/>
      <w:b/>
      <w:bCs/>
      <w:kern w:val="0"/>
      <w:sz w:val="32"/>
      <w:szCs w:val="32"/>
    </w:rPr>
  </w:style>
  <w:style w:type="paragraph" w:styleId="6">
    <w:name w:val="Body Text First Indent"/>
    <w:basedOn w:val="7"/>
    <w:link w:val="47"/>
    <w:unhideWhenUsed/>
    <w:qFormat/>
    <w:uiPriority w:val="0"/>
    <w:pPr>
      <w:ind w:firstLine="420" w:firstLineChars="100"/>
    </w:pPr>
  </w:style>
  <w:style w:type="paragraph" w:styleId="7">
    <w:name w:val="Body Text"/>
    <w:basedOn w:val="1"/>
    <w:link w:val="46"/>
    <w:unhideWhenUsed/>
    <w:qFormat/>
    <w:uiPriority w:val="99"/>
    <w:pPr>
      <w:spacing w:before="100" w:beforeAutospacing="1"/>
    </w:pPr>
    <w:rPr>
      <w:kern w:val="0"/>
      <w:sz w:val="20"/>
    </w:rPr>
  </w:style>
  <w:style w:type="paragraph" w:styleId="12">
    <w:name w:val="toc 7"/>
    <w:basedOn w:val="1"/>
    <w:next w:val="1"/>
    <w:unhideWhenUsed/>
    <w:qFormat/>
    <w:uiPriority w:val="39"/>
    <w:pPr>
      <w:ind w:left="1260"/>
      <w:jc w:val="left"/>
    </w:pPr>
    <w:rPr>
      <w:rFonts w:ascii="Calibri" w:hAnsi="Calibri"/>
      <w:sz w:val="18"/>
      <w:szCs w:val="18"/>
    </w:rPr>
  </w:style>
  <w:style w:type="paragraph" w:styleId="13">
    <w:name w:val="Document Map"/>
    <w:basedOn w:val="1"/>
    <w:link w:val="52"/>
    <w:unhideWhenUsed/>
    <w:qFormat/>
    <w:uiPriority w:val="99"/>
    <w:pPr>
      <w:widowControl/>
      <w:jc w:val="left"/>
    </w:pPr>
    <w:rPr>
      <w:rFonts w:ascii="宋体" w:hAnsi="Calibri"/>
      <w:kern w:val="0"/>
      <w:sz w:val="18"/>
      <w:szCs w:val="18"/>
    </w:rPr>
  </w:style>
  <w:style w:type="paragraph" w:styleId="14">
    <w:name w:val="annotation text"/>
    <w:basedOn w:val="1"/>
    <w:link w:val="53"/>
    <w:unhideWhenUsed/>
    <w:qFormat/>
    <w:uiPriority w:val="99"/>
    <w:pPr>
      <w:widowControl/>
      <w:jc w:val="left"/>
    </w:pPr>
    <w:rPr>
      <w:kern w:val="0"/>
      <w:sz w:val="20"/>
      <w:szCs w:val="20"/>
    </w:rPr>
  </w:style>
  <w:style w:type="paragraph" w:styleId="15">
    <w:name w:val="Body Text 3"/>
    <w:basedOn w:val="1"/>
    <w:link w:val="54"/>
    <w:unhideWhenUsed/>
    <w:qFormat/>
    <w:uiPriority w:val="99"/>
    <w:pPr>
      <w:spacing w:after="120"/>
    </w:pPr>
    <w:rPr>
      <w:kern w:val="0"/>
      <w:sz w:val="16"/>
      <w:szCs w:val="16"/>
    </w:rPr>
  </w:style>
  <w:style w:type="paragraph" w:styleId="16">
    <w:name w:val="Body Text Indent"/>
    <w:basedOn w:val="1"/>
    <w:link w:val="55"/>
    <w:unhideWhenUsed/>
    <w:qFormat/>
    <w:uiPriority w:val="99"/>
    <w:pPr>
      <w:autoSpaceDE w:val="0"/>
      <w:autoSpaceDN w:val="0"/>
      <w:adjustRightInd w:val="0"/>
      <w:spacing w:line="0" w:lineRule="atLeast"/>
      <w:ind w:firstLine="525"/>
      <w:textAlignment w:val="top"/>
    </w:pPr>
    <w:rPr>
      <w:rFonts w:ascii="宋体" w:hAnsi="宋体"/>
      <w:color w:val="000000"/>
      <w:kern w:val="0"/>
      <w:sz w:val="20"/>
    </w:rPr>
  </w:style>
  <w:style w:type="paragraph" w:styleId="17">
    <w:name w:val="toc 5"/>
    <w:basedOn w:val="1"/>
    <w:next w:val="1"/>
    <w:unhideWhenUsed/>
    <w:qFormat/>
    <w:uiPriority w:val="39"/>
    <w:pPr>
      <w:ind w:left="840"/>
      <w:jc w:val="left"/>
    </w:pPr>
    <w:rPr>
      <w:rFonts w:ascii="Calibri" w:hAnsi="Calibri"/>
      <w:sz w:val="18"/>
      <w:szCs w:val="18"/>
    </w:rPr>
  </w:style>
  <w:style w:type="paragraph" w:styleId="18">
    <w:name w:val="toc 3"/>
    <w:basedOn w:val="1"/>
    <w:next w:val="1"/>
    <w:unhideWhenUsed/>
    <w:qFormat/>
    <w:uiPriority w:val="39"/>
    <w:pPr>
      <w:ind w:left="420"/>
      <w:jc w:val="left"/>
    </w:pPr>
    <w:rPr>
      <w:rFonts w:ascii="Calibri" w:hAnsi="Calibri"/>
      <w:i/>
      <w:iCs/>
      <w:sz w:val="20"/>
      <w:szCs w:val="20"/>
    </w:rPr>
  </w:style>
  <w:style w:type="paragraph" w:styleId="19">
    <w:name w:val="Plain Text"/>
    <w:basedOn w:val="1"/>
    <w:link w:val="56"/>
    <w:unhideWhenUsed/>
    <w:qFormat/>
    <w:uiPriority w:val="0"/>
    <w:pPr>
      <w:widowControl/>
      <w:jc w:val="left"/>
    </w:pPr>
    <w:rPr>
      <w:rFonts w:ascii="宋体" w:hAnsi="Courier New"/>
      <w:kern w:val="0"/>
      <w:sz w:val="20"/>
    </w:rPr>
  </w:style>
  <w:style w:type="paragraph" w:styleId="20">
    <w:name w:val="toc 8"/>
    <w:basedOn w:val="1"/>
    <w:next w:val="1"/>
    <w:unhideWhenUsed/>
    <w:qFormat/>
    <w:uiPriority w:val="39"/>
    <w:pPr>
      <w:ind w:left="1470"/>
      <w:jc w:val="left"/>
    </w:pPr>
    <w:rPr>
      <w:rFonts w:ascii="Calibri" w:hAnsi="Calibri"/>
      <w:sz w:val="18"/>
      <w:szCs w:val="18"/>
    </w:rPr>
  </w:style>
  <w:style w:type="paragraph" w:styleId="21">
    <w:name w:val="Date"/>
    <w:basedOn w:val="1"/>
    <w:next w:val="1"/>
    <w:link w:val="57"/>
    <w:unhideWhenUsed/>
    <w:qFormat/>
    <w:uiPriority w:val="99"/>
    <w:pPr>
      <w:ind w:left="100" w:leftChars="2500"/>
    </w:pPr>
  </w:style>
  <w:style w:type="paragraph" w:styleId="22">
    <w:name w:val="Body Text Indent 2"/>
    <w:basedOn w:val="1"/>
    <w:link w:val="58"/>
    <w:unhideWhenUsed/>
    <w:qFormat/>
    <w:uiPriority w:val="99"/>
    <w:pPr>
      <w:widowControl/>
      <w:spacing w:after="120" w:line="480" w:lineRule="auto"/>
      <w:ind w:left="420" w:leftChars="200"/>
      <w:jc w:val="left"/>
    </w:pPr>
    <w:rPr>
      <w:kern w:val="0"/>
      <w:sz w:val="20"/>
      <w:szCs w:val="20"/>
    </w:rPr>
  </w:style>
  <w:style w:type="paragraph" w:styleId="23">
    <w:name w:val="Balloon Text"/>
    <w:basedOn w:val="1"/>
    <w:link w:val="59"/>
    <w:unhideWhenUsed/>
    <w:qFormat/>
    <w:uiPriority w:val="99"/>
    <w:pPr>
      <w:widowControl/>
      <w:jc w:val="left"/>
    </w:pPr>
    <w:rPr>
      <w:rFonts w:ascii="Calibri" w:hAnsi="Calibri"/>
      <w:kern w:val="0"/>
      <w:sz w:val="18"/>
      <w:szCs w:val="18"/>
    </w:rPr>
  </w:style>
  <w:style w:type="paragraph" w:styleId="24">
    <w:name w:val="footer"/>
    <w:basedOn w:val="1"/>
    <w:link w:val="60"/>
    <w:unhideWhenUsed/>
    <w:qFormat/>
    <w:uiPriority w:val="0"/>
    <w:pPr>
      <w:snapToGrid w:val="0"/>
      <w:jc w:val="left"/>
    </w:pPr>
    <w:rPr>
      <w:kern w:val="0"/>
      <w:sz w:val="18"/>
      <w:szCs w:val="18"/>
    </w:rPr>
  </w:style>
  <w:style w:type="paragraph" w:styleId="25">
    <w:name w:val="header"/>
    <w:basedOn w:val="1"/>
    <w:link w:val="61"/>
    <w:unhideWhenUsed/>
    <w:qFormat/>
    <w:uiPriority w:val="0"/>
    <w:pPr>
      <w:snapToGrid w:val="0"/>
    </w:pPr>
    <w:rPr>
      <w:kern w:val="0"/>
      <w:sz w:val="18"/>
      <w:szCs w:val="18"/>
    </w:rPr>
  </w:style>
  <w:style w:type="paragraph" w:styleId="26">
    <w:name w:val="toc 1"/>
    <w:basedOn w:val="1"/>
    <w:next w:val="1"/>
    <w:unhideWhenUsed/>
    <w:qFormat/>
    <w:uiPriority w:val="39"/>
    <w:pPr>
      <w:spacing w:before="120" w:after="120"/>
      <w:jc w:val="left"/>
    </w:pPr>
    <w:rPr>
      <w:rFonts w:ascii="Calibri" w:hAnsi="Calibri"/>
      <w:b/>
      <w:bCs/>
      <w:caps/>
      <w:sz w:val="20"/>
      <w:szCs w:val="20"/>
    </w:rPr>
  </w:style>
  <w:style w:type="paragraph" w:styleId="27">
    <w:name w:val="toc 4"/>
    <w:basedOn w:val="1"/>
    <w:next w:val="1"/>
    <w:unhideWhenUsed/>
    <w:qFormat/>
    <w:uiPriority w:val="39"/>
    <w:pPr>
      <w:ind w:left="630"/>
      <w:jc w:val="left"/>
    </w:pPr>
    <w:rPr>
      <w:rFonts w:ascii="Calibri" w:hAnsi="Calibri"/>
      <w:sz w:val="18"/>
      <w:szCs w:val="18"/>
    </w:rPr>
  </w:style>
  <w:style w:type="paragraph" w:styleId="28">
    <w:name w:val="toc 6"/>
    <w:basedOn w:val="1"/>
    <w:next w:val="1"/>
    <w:unhideWhenUsed/>
    <w:qFormat/>
    <w:uiPriority w:val="39"/>
    <w:pPr>
      <w:ind w:left="1050"/>
      <w:jc w:val="left"/>
    </w:pPr>
    <w:rPr>
      <w:rFonts w:ascii="Calibri" w:hAnsi="Calibri"/>
      <w:sz w:val="18"/>
      <w:szCs w:val="18"/>
    </w:rPr>
  </w:style>
  <w:style w:type="paragraph" w:styleId="29">
    <w:name w:val="Body Text Indent 3"/>
    <w:basedOn w:val="1"/>
    <w:link w:val="62"/>
    <w:qFormat/>
    <w:uiPriority w:val="0"/>
    <w:pPr>
      <w:spacing w:after="120"/>
      <w:ind w:left="420" w:leftChars="200"/>
    </w:pPr>
    <w:rPr>
      <w:rFonts w:ascii="Calibri" w:hAnsi="Calibri"/>
      <w:kern w:val="0"/>
      <w:sz w:val="16"/>
      <w:szCs w:val="16"/>
    </w:rPr>
  </w:style>
  <w:style w:type="paragraph" w:styleId="30">
    <w:name w:val="toc 2"/>
    <w:basedOn w:val="1"/>
    <w:next w:val="1"/>
    <w:unhideWhenUsed/>
    <w:qFormat/>
    <w:uiPriority w:val="39"/>
    <w:pPr>
      <w:ind w:left="210"/>
      <w:jc w:val="left"/>
    </w:pPr>
    <w:rPr>
      <w:rFonts w:ascii="Calibri" w:hAnsi="Calibri"/>
      <w:smallCaps/>
      <w:sz w:val="20"/>
      <w:szCs w:val="20"/>
    </w:rPr>
  </w:style>
  <w:style w:type="paragraph" w:styleId="31">
    <w:name w:val="toc 9"/>
    <w:basedOn w:val="1"/>
    <w:next w:val="1"/>
    <w:unhideWhenUsed/>
    <w:qFormat/>
    <w:uiPriority w:val="39"/>
    <w:pPr>
      <w:ind w:left="1680"/>
      <w:jc w:val="left"/>
    </w:pPr>
    <w:rPr>
      <w:rFonts w:ascii="Calibri" w:hAnsi="Calibri"/>
      <w:sz w:val="18"/>
      <w:szCs w:val="18"/>
    </w:rPr>
  </w:style>
  <w:style w:type="paragraph" w:styleId="32">
    <w:name w:val="Body Text 2"/>
    <w:basedOn w:val="1"/>
    <w:link w:val="63"/>
    <w:unhideWhenUsed/>
    <w:qFormat/>
    <w:uiPriority w:val="99"/>
    <w:rPr>
      <w:kern w:val="0"/>
      <w:sz w:val="44"/>
      <w:szCs w:val="44"/>
    </w:rPr>
  </w:style>
  <w:style w:type="paragraph" w:styleId="33">
    <w:name w:val="Normal (Web)"/>
    <w:basedOn w:val="1"/>
    <w:unhideWhenUsed/>
    <w:qFormat/>
    <w:uiPriority w:val="0"/>
    <w:pPr>
      <w:widowControl/>
      <w:spacing w:before="100" w:beforeAutospacing="1" w:after="100" w:afterAutospacing="1"/>
      <w:jc w:val="left"/>
    </w:pPr>
    <w:rPr>
      <w:rFonts w:ascii="宋体" w:hAnsi="宋体"/>
      <w:kern w:val="0"/>
      <w:sz w:val="24"/>
      <w:szCs w:val="20"/>
    </w:rPr>
  </w:style>
  <w:style w:type="paragraph" w:styleId="34">
    <w:name w:val="annotation subject"/>
    <w:basedOn w:val="14"/>
    <w:next w:val="14"/>
    <w:link w:val="64"/>
    <w:unhideWhenUsed/>
    <w:qFormat/>
    <w:uiPriority w:val="0"/>
    <w:rPr>
      <w:b/>
      <w:bCs/>
    </w:rPr>
  </w:style>
  <w:style w:type="paragraph" w:styleId="35">
    <w:name w:val="Body Text First Indent 2"/>
    <w:basedOn w:val="16"/>
    <w:link w:val="65"/>
    <w:unhideWhenUsed/>
    <w:qFormat/>
    <w:uiPriority w:val="0"/>
    <w:pPr>
      <w:autoSpaceDE/>
      <w:autoSpaceDN/>
      <w:adjustRightInd/>
      <w:spacing w:after="120" w:line="240" w:lineRule="auto"/>
      <w:ind w:left="420" w:leftChars="200" w:firstLine="420" w:firstLineChars="200"/>
      <w:textAlignment w:val="auto"/>
    </w:pPr>
    <w:rPr>
      <w:rFonts w:ascii="Times New Roman" w:hAnsi="Times New Roman"/>
      <w:color w:val="auto"/>
      <w:kern w:val="2"/>
      <w:sz w:val="21"/>
    </w:rPr>
  </w:style>
  <w:style w:type="character" w:styleId="38">
    <w:name w:val="Strong"/>
    <w:qFormat/>
    <w:uiPriority w:val="22"/>
    <w:rPr>
      <w:b/>
      <w:bCs/>
    </w:rPr>
  </w:style>
  <w:style w:type="character" w:styleId="39">
    <w:name w:val="page number"/>
    <w:qFormat/>
    <w:uiPriority w:val="0"/>
  </w:style>
  <w:style w:type="character" w:styleId="40">
    <w:name w:val="FollowedHyperlink"/>
    <w:unhideWhenUsed/>
    <w:qFormat/>
    <w:uiPriority w:val="99"/>
    <w:rPr>
      <w:color w:val="000000"/>
      <w:u w:val="none"/>
    </w:rPr>
  </w:style>
  <w:style w:type="character" w:styleId="41">
    <w:name w:val="Hyperlink"/>
    <w:unhideWhenUsed/>
    <w:qFormat/>
    <w:uiPriority w:val="99"/>
    <w:rPr>
      <w:color w:val="000000"/>
      <w:u w:val="none"/>
    </w:rPr>
  </w:style>
  <w:style w:type="character" w:styleId="42">
    <w:name w:val="annotation reference"/>
    <w:unhideWhenUsed/>
    <w:qFormat/>
    <w:uiPriority w:val="99"/>
    <w:rPr>
      <w:sz w:val="21"/>
      <w:szCs w:val="21"/>
    </w:rPr>
  </w:style>
  <w:style w:type="paragraph" w:customStyle="1" w:styleId="43">
    <w:name w:val="公文正文"/>
    <w:next w:val="1"/>
    <w:qFormat/>
    <w:uiPriority w:val="0"/>
    <w:pPr>
      <w:widowControl w:val="0"/>
      <w:spacing w:line="360" w:lineRule="auto"/>
      <w:ind w:firstLine="629"/>
      <w:jc w:val="both"/>
    </w:pPr>
    <w:rPr>
      <w:rFonts w:ascii="仿宋_GB2312" w:hAnsi="Calisto MT" w:eastAsia="仿宋_GB2312" w:cs="仿宋_GB2312"/>
      <w:color w:val="000000"/>
      <w:sz w:val="32"/>
      <w:szCs w:val="32"/>
      <w:lang w:val="en-US" w:eastAsia="zh-CN" w:bidi="ar-SA"/>
    </w:rPr>
  </w:style>
  <w:style w:type="character" w:customStyle="1" w:styleId="44">
    <w:name w:val="标题 字符"/>
    <w:link w:val="5"/>
    <w:qFormat/>
    <w:uiPriority w:val="10"/>
    <w:rPr>
      <w:rFonts w:ascii="Arial" w:hAnsi="Arial" w:cs="Arial"/>
      <w:b/>
      <w:bCs/>
      <w:sz w:val="32"/>
      <w:szCs w:val="32"/>
    </w:rPr>
  </w:style>
  <w:style w:type="character" w:customStyle="1" w:styleId="45">
    <w:name w:val="标题 1 字符"/>
    <w:link w:val="4"/>
    <w:qFormat/>
    <w:uiPriority w:val="9"/>
    <w:rPr>
      <w:rFonts w:ascii="Times New Roman" w:hAnsi="Times New Roman" w:eastAsia="宋体" w:cs="Times New Roman"/>
      <w:b/>
      <w:bCs/>
      <w:kern w:val="44"/>
      <w:sz w:val="44"/>
      <w:szCs w:val="44"/>
    </w:rPr>
  </w:style>
  <w:style w:type="character" w:customStyle="1" w:styleId="46">
    <w:name w:val="正文文本 字符"/>
    <w:link w:val="7"/>
    <w:qFormat/>
    <w:uiPriority w:val="99"/>
    <w:rPr>
      <w:rFonts w:ascii="Times New Roman" w:hAnsi="Times New Roman" w:eastAsia="宋体" w:cs="Times New Roman"/>
      <w:szCs w:val="21"/>
    </w:rPr>
  </w:style>
  <w:style w:type="character" w:customStyle="1" w:styleId="47">
    <w:name w:val="正文文本首行缩进 字符"/>
    <w:link w:val="6"/>
    <w:qFormat/>
    <w:uiPriority w:val="0"/>
  </w:style>
  <w:style w:type="character" w:customStyle="1" w:styleId="48">
    <w:name w:val="标题 2 字符"/>
    <w:link w:val="8"/>
    <w:qFormat/>
    <w:uiPriority w:val="0"/>
    <w:rPr>
      <w:rFonts w:ascii="Arial" w:hAnsi="Arial" w:eastAsia="黑体" w:cs="Times New Roman"/>
      <w:b/>
      <w:bCs/>
      <w:kern w:val="0"/>
      <w:sz w:val="32"/>
      <w:szCs w:val="32"/>
    </w:rPr>
  </w:style>
  <w:style w:type="character" w:customStyle="1" w:styleId="49">
    <w:name w:val="标题 3 字符"/>
    <w:link w:val="9"/>
    <w:qFormat/>
    <w:uiPriority w:val="9"/>
    <w:rPr>
      <w:rFonts w:ascii="Times New Roman" w:hAnsi="Times New Roman" w:eastAsia="宋体" w:cs="Times New Roman"/>
      <w:b/>
      <w:bCs/>
      <w:kern w:val="0"/>
      <w:sz w:val="24"/>
      <w:szCs w:val="24"/>
    </w:rPr>
  </w:style>
  <w:style w:type="character" w:customStyle="1" w:styleId="50">
    <w:name w:val="标题 4 字符"/>
    <w:link w:val="10"/>
    <w:qFormat/>
    <w:uiPriority w:val="9"/>
    <w:rPr>
      <w:rFonts w:ascii="Arial" w:hAnsi="Arial" w:eastAsia="宋体" w:cs="Times New Roman"/>
      <w:b/>
      <w:bCs/>
      <w:kern w:val="0"/>
      <w:sz w:val="20"/>
      <w:szCs w:val="21"/>
    </w:rPr>
  </w:style>
  <w:style w:type="character" w:customStyle="1" w:styleId="51">
    <w:name w:val="标题 6 字符"/>
    <w:link w:val="11"/>
    <w:qFormat/>
    <w:uiPriority w:val="9"/>
    <w:rPr>
      <w:rFonts w:ascii="Cambria" w:hAnsi="Cambria" w:eastAsia="宋体" w:cs="Times New Roman"/>
      <w:b/>
      <w:bCs/>
      <w:sz w:val="24"/>
      <w:szCs w:val="24"/>
    </w:rPr>
  </w:style>
  <w:style w:type="character" w:customStyle="1" w:styleId="52">
    <w:name w:val="文档结构图 字符"/>
    <w:link w:val="13"/>
    <w:qFormat/>
    <w:uiPriority w:val="99"/>
    <w:rPr>
      <w:rFonts w:ascii="宋体"/>
      <w:sz w:val="18"/>
      <w:szCs w:val="18"/>
    </w:rPr>
  </w:style>
  <w:style w:type="character" w:customStyle="1" w:styleId="53">
    <w:name w:val="批注文字 字符"/>
    <w:link w:val="14"/>
    <w:qFormat/>
    <w:uiPriority w:val="99"/>
    <w:rPr>
      <w:rFonts w:ascii="Times New Roman" w:hAnsi="Times New Roman"/>
    </w:rPr>
  </w:style>
  <w:style w:type="character" w:customStyle="1" w:styleId="54">
    <w:name w:val="正文文本 3 字符"/>
    <w:link w:val="15"/>
    <w:qFormat/>
    <w:uiPriority w:val="99"/>
    <w:rPr>
      <w:rFonts w:ascii="Times New Roman" w:hAnsi="Times New Roman"/>
      <w:sz w:val="16"/>
      <w:szCs w:val="16"/>
    </w:rPr>
  </w:style>
  <w:style w:type="character" w:customStyle="1" w:styleId="55">
    <w:name w:val="正文文本缩进 字符"/>
    <w:link w:val="16"/>
    <w:qFormat/>
    <w:uiPriority w:val="99"/>
    <w:rPr>
      <w:rFonts w:ascii="宋体" w:hAnsi="宋体" w:eastAsia="宋体" w:cs="宋体"/>
      <w:color w:val="000000"/>
      <w:szCs w:val="21"/>
    </w:rPr>
  </w:style>
  <w:style w:type="character" w:customStyle="1" w:styleId="56">
    <w:name w:val="纯文本 字符"/>
    <w:link w:val="19"/>
    <w:qFormat/>
    <w:uiPriority w:val="0"/>
    <w:rPr>
      <w:rFonts w:ascii="宋体" w:hAnsi="Courier New" w:cs="Courier New"/>
      <w:szCs w:val="21"/>
    </w:rPr>
  </w:style>
  <w:style w:type="character" w:customStyle="1" w:styleId="57">
    <w:name w:val="日期 字符"/>
    <w:link w:val="21"/>
    <w:semiHidden/>
    <w:qFormat/>
    <w:uiPriority w:val="99"/>
    <w:rPr>
      <w:rFonts w:ascii="Times New Roman" w:hAnsi="Times New Roman"/>
      <w:kern w:val="2"/>
      <w:sz w:val="21"/>
      <w:szCs w:val="21"/>
    </w:rPr>
  </w:style>
  <w:style w:type="character" w:customStyle="1" w:styleId="58">
    <w:name w:val="正文文本缩进 2 字符"/>
    <w:link w:val="22"/>
    <w:qFormat/>
    <w:uiPriority w:val="99"/>
    <w:rPr>
      <w:rFonts w:ascii="Times New Roman" w:hAnsi="Times New Roman"/>
    </w:rPr>
  </w:style>
  <w:style w:type="character" w:customStyle="1" w:styleId="59">
    <w:name w:val="批注框文本 字符"/>
    <w:link w:val="23"/>
    <w:qFormat/>
    <w:uiPriority w:val="99"/>
    <w:rPr>
      <w:sz w:val="18"/>
      <w:szCs w:val="18"/>
    </w:rPr>
  </w:style>
  <w:style w:type="character" w:customStyle="1" w:styleId="60">
    <w:name w:val="页脚 字符"/>
    <w:link w:val="24"/>
    <w:qFormat/>
    <w:uiPriority w:val="99"/>
    <w:rPr>
      <w:rFonts w:ascii="Times New Roman" w:hAnsi="Times New Roman" w:eastAsia="宋体" w:cs="Times New Roman"/>
      <w:sz w:val="18"/>
      <w:szCs w:val="18"/>
    </w:rPr>
  </w:style>
  <w:style w:type="character" w:customStyle="1" w:styleId="61">
    <w:name w:val="页眉 字符"/>
    <w:link w:val="25"/>
    <w:qFormat/>
    <w:uiPriority w:val="99"/>
    <w:rPr>
      <w:rFonts w:ascii="Times New Roman" w:hAnsi="Times New Roman" w:eastAsia="宋体" w:cs="Times New Roman"/>
      <w:sz w:val="18"/>
      <w:szCs w:val="18"/>
    </w:rPr>
  </w:style>
  <w:style w:type="character" w:customStyle="1" w:styleId="62">
    <w:name w:val="正文文本缩进 3 字符"/>
    <w:link w:val="29"/>
    <w:qFormat/>
    <w:uiPriority w:val="0"/>
    <w:rPr>
      <w:sz w:val="16"/>
      <w:szCs w:val="16"/>
    </w:rPr>
  </w:style>
  <w:style w:type="character" w:customStyle="1" w:styleId="63">
    <w:name w:val="正文文本 2 字符"/>
    <w:link w:val="32"/>
    <w:qFormat/>
    <w:uiPriority w:val="99"/>
    <w:rPr>
      <w:rFonts w:ascii="Times New Roman" w:hAnsi="Times New Roman" w:eastAsia="宋体" w:cs="Times New Roman"/>
      <w:sz w:val="44"/>
      <w:szCs w:val="44"/>
    </w:rPr>
  </w:style>
  <w:style w:type="character" w:customStyle="1" w:styleId="64">
    <w:name w:val="批注主题 字符"/>
    <w:link w:val="34"/>
    <w:qFormat/>
    <w:uiPriority w:val="0"/>
    <w:rPr>
      <w:rFonts w:ascii="Times New Roman" w:hAnsi="Times New Roman"/>
      <w:b/>
      <w:bCs/>
    </w:rPr>
  </w:style>
  <w:style w:type="character" w:customStyle="1" w:styleId="65">
    <w:name w:val="正文文本首行缩进 2 字符"/>
    <w:link w:val="35"/>
    <w:semiHidden/>
    <w:qFormat/>
    <w:uiPriority w:val="0"/>
    <w:rPr>
      <w:rFonts w:eastAsia="宋体"/>
      <w:kern w:val="2"/>
      <w:sz w:val="21"/>
      <w:szCs w:val="21"/>
      <w:lang w:val="en-US" w:eastAsia="zh-CN" w:bidi="ar-SA"/>
    </w:rPr>
  </w:style>
  <w:style w:type="character" w:customStyle="1" w:styleId="66">
    <w:name w:val="标题 Char1"/>
    <w:qFormat/>
    <w:uiPriority w:val="10"/>
    <w:rPr>
      <w:rFonts w:ascii="Cambria" w:hAnsi="Cambria" w:eastAsia="宋体" w:cs="Times New Roman"/>
      <w:b/>
      <w:bCs/>
      <w:sz w:val="32"/>
      <w:szCs w:val="32"/>
    </w:rPr>
  </w:style>
  <w:style w:type="character" w:customStyle="1" w:styleId="67">
    <w:name w:val="标题 3 Char"/>
    <w:qFormat/>
    <w:uiPriority w:val="9"/>
    <w:rPr>
      <w:rFonts w:ascii="Times New Roman" w:hAnsi="Times New Roman" w:eastAsia="宋体" w:cs="Times New Roman"/>
      <w:b/>
      <w:bCs/>
      <w:sz w:val="32"/>
      <w:szCs w:val="32"/>
    </w:rPr>
  </w:style>
  <w:style w:type="character" w:customStyle="1" w:styleId="68">
    <w:name w:val="正文文本 2 Char1"/>
    <w:semiHidden/>
    <w:qFormat/>
    <w:uiPriority w:val="99"/>
    <w:rPr>
      <w:rFonts w:ascii="Times New Roman" w:hAnsi="Times New Roman" w:eastAsia="宋体" w:cs="Times New Roman"/>
      <w:szCs w:val="21"/>
    </w:rPr>
  </w:style>
  <w:style w:type="character" w:customStyle="1" w:styleId="69">
    <w:name w:val="页眉 Char1"/>
    <w:semiHidden/>
    <w:qFormat/>
    <w:uiPriority w:val="99"/>
    <w:rPr>
      <w:rFonts w:ascii="Times New Roman" w:hAnsi="Times New Roman" w:eastAsia="宋体" w:cs="Times New Roman"/>
      <w:sz w:val="18"/>
      <w:szCs w:val="18"/>
    </w:rPr>
  </w:style>
  <w:style w:type="character" w:customStyle="1" w:styleId="70">
    <w:name w:val="批注框文本 Char2"/>
    <w:semiHidden/>
    <w:qFormat/>
    <w:uiPriority w:val="99"/>
    <w:rPr>
      <w:rFonts w:ascii="Times New Roman" w:hAnsi="Times New Roman" w:eastAsia="宋体" w:cs="Times New Roman"/>
      <w:sz w:val="18"/>
      <w:szCs w:val="18"/>
    </w:rPr>
  </w:style>
  <w:style w:type="character" w:customStyle="1" w:styleId="71">
    <w:name w:val="批注主题 Char2"/>
    <w:semiHidden/>
    <w:qFormat/>
    <w:uiPriority w:val="99"/>
    <w:rPr>
      <w:rFonts w:ascii="Times New Roman" w:hAnsi="Times New Roman" w:eastAsia="宋体" w:cs="Times New Roman"/>
      <w:b/>
      <w:bCs/>
      <w:szCs w:val="21"/>
    </w:rPr>
  </w:style>
  <w:style w:type="character" w:customStyle="1" w:styleId="72">
    <w:name w:val="15"/>
    <w:qFormat/>
    <w:uiPriority w:val="0"/>
    <w:rPr>
      <w:rFonts w:hint="default" w:ascii="Times New Roman" w:hAnsi="Times New Roman" w:cs="Times New Roman"/>
      <w:color w:val="12477D"/>
      <w:sz w:val="21"/>
      <w:szCs w:val="21"/>
    </w:rPr>
  </w:style>
  <w:style w:type="character" w:customStyle="1" w:styleId="73">
    <w:name w:val="16"/>
    <w:qFormat/>
    <w:uiPriority w:val="0"/>
    <w:rPr>
      <w:rFonts w:hint="default" w:ascii="Times New Roman" w:hAnsi="Times New Roman" w:cs="Times New Roman"/>
      <w:i/>
      <w:iCs/>
    </w:rPr>
  </w:style>
  <w:style w:type="character" w:customStyle="1" w:styleId="74">
    <w:name w:val="Span_underline"/>
    <w:qFormat/>
    <w:uiPriority w:val="0"/>
    <w:rPr>
      <w:u w:val="single"/>
    </w:rPr>
  </w:style>
  <w:style w:type="character" w:customStyle="1" w:styleId="75">
    <w:name w:val="times"/>
    <w:qFormat/>
    <w:uiPriority w:val="0"/>
    <w:rPr>
      <w:color w:val="3399FF"/>
      <w:bdr w:val="single" w:color="D1EDF8" w:sz="4" w:space="0"/>
      <w:shd w:val="clear" w:color="auto" w:fill="EAF9FF"/>
    </w:rPr>
  </w:style>
  <w:style w:type="character" w:customStyle="1" w:styleId="76">
    <w:name w:val="批注文字 Char1"/>
    <w:semiHidden/>
    <w:qFormat/>
    <w:uiPriority w:val="99"/>
    <w:rPr>
      <w:rFonts w:ascii="Times New Roman" w:hAnsi="Times New Roman"/>
      <w:kern w:val="2"/>
      <w:sz w:val="21"/>
      <w:szCs w:val="21"/>
    </w:rPr>
  </w:style>
  <w:style w:type="character" w:customStyle="1" w:styleId="77">
    <w:name w:val="批注主题 Char1"/>
    <w:semiHidden/>
    <w:qFormat/>
    <w:uiPriority w:val="99"/>
    <w:rPr>
      <w:rFonts w:ascii="Times New Roman" w:hAnsi="Times New Roman"/>
      <w:b/>
      <w:bCs/>
      <w:kern w:val="2"/>
      <w:sz w:val="21"/>
      <w:szCs w:val="21"/>
    </w:rPr>
  </w:style>
  <w:style w:type="character" w:customStyle="1" w:styleId="78">
    <w:name w:val="10"/>
    <w:qFormat/>
    <w:uiPriority w:val="0"/>
    <w:rPr>
      <w:rFonts w:hint="default" w:ascii="Times New Roman" w:hAnsi="Times New Roman" w:cs="Times New Roman"/>
    </w:rPr>
  </w:style>
  <w:style w:type="character" w:customStyle="1" w:styleId="79">
    <w:name w:val="文档结构图 Char1"/>
    <w:semiHidden/>
    <w:qFormat/>
    <w:uiPriority w:val="99"/>
    <w:rPr>
      <w:rFonts w:ascii="宋体" w:hAnsi="Times New Roman"/>
      <w:kern w:val="2"/>
      <w:sz w:val="18"/>
      <w:szCs w:val="18"/>
    </w:rPr>
  </w:style>
  <w:style w:type="character" w:customStyle="1" w:styleId="80">
    <w:name w:val="标题 1 Char Char Char"/>
    <w:qFormat/>
    <w:uiPriority w:val="0"/>
    <w:rPr>
      <w:rFonts w:hint="eastAsia" w:ascii="宋体" w:hAnsi="宋体" w:eastAsia="宋体"/>
      <w:b/>
      <w:bCs/>
      <w:kern w:val="44"/>
      <w:sz w:val="44"/>
      <w:szCs w:val="44"/>
      <w:lang w:val="en-US" w:eastAsia="zh-CN" w:bidi="ar-SA"/>
    </w:rPr>
  </w:style>
  <w:style w:type="character" w:customStyle="1" w:styleId="81">
    <w:name w:val="普通文字 Char Char"/>
    <w:qFormat/>
    <w:uiPriority w:val="0"/>
    <w:rPr>
      <w:rFonts w:ascii="宋体" w:hAnsi="Courier New" w:eastAsia="楷体_GB2312"/>
      <w:kern w:val="2"/>
      <w:sz w:val="21"/>
      <w:szCs w:val="24"/>
      <w:lang w:val="en-US" w:eastAsia="zh-CN" w:bidi="ar-SA"/>
    </w:rPr>
  </w:style>
  <w:style w:type="character" w:customStyle="1" w:styleId="82">
    <w:name w:val="批注框文本 Char1"/>
    <w:semiHidden/>
    <w:qFormat/>
    <w:uiPriority w:val="99"/>
    <w:rPr>
      <w:rFonts w:ascii="Times New Roman" w:hAnsi="Times New Roman"/>
      <w:kern w:val="2"/>
      <w:sz w:val="18"/>
      <w:szCs w:val="18"/>
    </w:rPr>
  </w:style>
  <w:style w:type="character" w:customStyle="1" w:styleId="83">
    <w:name w:val="times1"/>
    <w:qFormat/>
    <w:uiPriority w:val="0"/>
    <w:rPr>
      <w:color w:val="CDCDCD"/>
      <w:bdr w:val="single" w:color="CDCDCD" w:sz="4" w:space="0"/>
      <w:shd w:val="clear" w:color="auto" w:fill="EFEFEF"/>
    </w:rPr>
  </w:style>
  <w:style w:type="character" w:customStyle="1" w:styleId="84">
    <w:name w:val="文一 Char"/>
    <w:link w:val="85"/>
    <w:qFormat/>
    <w:uiPriority w:val="0"/>
    <w:rPr>
      <w:snapToGrid w:val="0"/>
      <w:spacing w:val="4"/>
      <w:sz w:val="24"/>
      <w:szCs w:val="24"/>
    </w:rPr>
  </w:style>
  <w:style w:type="paragraph" w:customStyle="1" w:styleId="85">
    <w:name w:val="文一"/>
    <w:basedOn w:val="1"/>
    <w:link w:val="84"/>
    <w:qFormat/>
    <w:uiPriority w:val="0"/>
    <w:pPr>
      <w:topLinePunct/>
      <w:adjustRightInd w:val="0"/>
      <w:snapToGrid w:val="0"/>
      <w:spacing w:line="360" w:lineRule="auto"/>
      <w:ind w:firstLine="200" w:firstLineChars="200"/>
    </w:pPr>
    <w:rPr>
      <w:rFonts w:ascii="Calibri" w:hAnsi="Calibri"/>
      <w:snapToGrid w:val="0"/>
      <w:spacing w:val="4"/>
      <w:kern w:val="0"/>
      <w:sz w:val="24"/>
      <w:szCs w:val="24"/>
    </w:rPr>
  </w:style>
  <w:style w:type="character" w:customStyle="1" w:styleId="86">
    <w:name w:val="正文文本 Char"/>
    <w:qFormat/>
    <w:uiPriority w:val="99"/>
    <w:rPr>
      <w:rFonts w:ascii="Times New Roman" w:hAnsi="Times New Roman" w:eastAsia="宋体" w:cs="Times New Roman"/>
      <w:szCs w:val="21"/>
    </w:rPr>
  </w:style>
  <w:style w:type="character" w:customStyle="1" w:styleId="87">
    <w:name w:val="文档结构图 Char2"/>
    <w:semiHidden/>
    <w:qFormat/>
    <w:uiPriority w:val="99"/>
    <w:rPr>
      <w:rFonts w:ascii="宋体" w:hAnsi="Times New Roman" w:eastAsia="宋体" w:cs="Times New Roman"/>
      <w:sz w:val="18"/>
      <w:szCs w:val="18"/>
    </w:rPr>
  </w:style>
  <w:style w:type="character" w:customStyle="1" w:styleId="88">
    <w:name w:val="正文文本 Char2"/>
    <w:semiHidden/>
    <w:qFormat/>
    <w:uiPriority w:val="99"/>
    <w:rPr>
      <w:rFonts w:ascii="Times New Roman" w:hAnsi="Times New Roman" w:eastAsia="宋体" w:cs="Times New Roman"/>
      <w:szCs w:val="21"/>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正文文本缩进 Char1"/>
    <w:semiHidden/>
    <w:qFormat/>
    <w:uiPriority w:val="99"/>
    <w:rPr>
      <w:rFonts w:ascii="Times New Roman" w:hAnsi="Times New Roman" w:eastAsia="宋体" w:cs="Times New Roman"/>
      <w:szCs w:val="21"/>
    </w:rPr>
  </w:style>
  <w:style w:type="character" w:customStyle="1" w:styleId="91">
    <w:name w:val="批注文字 Char2"/>
    <w:semiHidden/>
    <w:qFormat/>
    <w:uiPriority w:val="99"/>
    <w:rPr>
      <w:rFonts w:ascii="Times New Roman" w:hAnsi="Times New Roman" w:eastAsia="宋体" w:cs="Times New Roman"/>
      <w:szCs w:val="21"/>
    </w:rPr>
  </w:style>
  <w:style w:type="character" w:customStyle="1" w:styleId="92">
    <w:name w:val="正文首行缩进 Char1"/>
    <w:semiHidden/>
    <w:qFormat/>
    <w:uiPriority w:val="99"/>
  </w:style>
  <w:style w:type="character" w:customStyle="1" w:styleId="93">
    <w:name w:val="正文文本缩进 2 Char1"/>
    <w:semiHidden/>
    <w:qFormat/>
    <w:uiPriority w:val="99"/>
    <w:rPr>
      <w:rFonts w:ascii="Times New Roman" w:hAnsi="Times New Roman" w:eastAsia="宋体" w:cs="Times New Roman"/>
      <w:szCs w:val="21"/>
    </w:rPr>
  </w:style>
  <w:style w:type="character" w:customStyle="1" w:styleId="94">
    <w:name w:val="纯文本 Char1"/>
    <w:semiHidden/>
    <w:qFormat/>
    <w:uiPriority w:val="99"/>
    <w:rPr>
      <w:rFonts w:ascii="宋体" w:hAnsi="Courier New" w:eastAsia="宋体" w:cs="Courier New"/>
      <w:szCs w:val="21"/>
    </w:rPr>
  </w:style>
  <w:style w:type="character" w:customStyle="1" w:styleId="95">
    <w:name w:val="页脚 Char1"/>
    <w:semiHidden/>
    <w:qFormat/>
    <w:uiPriority w:val="99"/>
    <w:rPr>
      <w:rFonts w:ascii="Times New Roman" w:hAnsi="Times New Roman" w:eastAsia="宋体" w:cs="Times New Roman"/>
      <w:sz w:val="18"/>
      <w:szCs w:val="18"/>
    </w:rPr>
  </w:style>
  <w:style w:type="character" w:customStyle="1" w:styleId="96">
    <w:name w:val="正文文本缩进 3 Char1"/>
    <w:semiHidden/>
    <w:qFormat/>
    <w:uiPriority w:val="99"/>
    <w:rPr>
      <w:rFonts w:ascii="Times New Roman" w:hAnsi="Times New Roman" w:eastAsia="宋体" w:cs="Times New Roman"/>
      <w:sz w:val="16"/>
      <w:szCs w:val="16"/>
    </w:rPr>
  </w:style>
  <w:style w:type="paragraph" w:customStyle="1" w:styleId="97">
    <w:name w:val="我的正文"/>
    <w:basedOn w:val="1"/>
    <w:next w:val="1"/>
    <w:qFormat/>
    <w:uiPriority w:val="0"/>
    <w:pPr>
      <w:spacing w:line="360" w:lineRule="auto"/>
      <w:ind w:firstLine="480" w:firstLineChars="200"/>
    </w:pPr>
    <w:rPr>
      <w:color w:val="FF0000"/>
      <w:sz w:val="24"/>
      <w:szCs w:val="20"/>
    </w:rPr>
  </w:style>
  <w:style w:type="paragraph" w:styleId="98">
    <w:name w:val="List Paragraph"/>
    <w:basedOn w:val="1"/>
    <w:qFormat/>
    <w:uiPriority w:val="99"/>
    <w:pPr>
      <w:widowControl/>
      <w:ind w:firstLine="420" w:firstLineChars="200"/>
      <w:jc w:val="left"/>
    </w:pPr>
    <w:rPr>
      <w:kern w:val="0"/>
      <w:sz w:val="20"/>
      <w:szCs w:val="20"/>
    </w:rPr>
  </w:style>
  <w:style w:type="paragraph" w:customStyle="1" w:styleId="99">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100">
    <w:name w:val="Heading 2"/>
    <w:basedOn w:val="1"/>
    <w:unhideWhenUsed/>
    <w:qFormat/>
    <w:uiPriority w:val="0"/>
    <w:pPr>
      <w:autoSpaceDE w:val="0"/>
      <w:autoSpaceDN w:val="0"/>
      <w:jc w:val="left"/>
      <w:outlineLvl w:val="1"/>
    </w:pPr>
    <w:rPr>
      <w:rFonts w:hint="eastAsia" w:ascii="宋体" w:hAnsi="宋体"/>
      <w:kern w:val="0"/>
      <w:sz w:val="32"/>
      <w:szCs w:val="20"/>
    </w:rPr>
  </w:style>
  <w:style w:type="paragraph" w:styleId="10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文二"/>
    <w:basedOn w:val="1"/>
    <w:qFormat/>
    <w:uiPriority w:val="0"/>
    <w:pPr>
      <w:jc w:val="left"/>
    </w:pPr>
    <w:rPr>
      <w:rFonts w:ascii="宋体" w:hAnsi="宋体" w:cs="宋体"/>
    </w:rPr>
  </w:style>
  <w:style w:type="paragraph" w:customStyle="1" w:styleId="103">
    <w:name w:val="普通 (Web)"/>
    <w:basedOn w:val="1"/>
    <w:qFormat/>
    <w:uiPriority w:val="99"/>
    <w:pPr>
      <w:widowControl/>
      <w:spacing w:before="100" w:after="100"/>
      <w:jc w:val="left"/>
    </w:pPr>
    <w:rPr>
      <w:rFonts w:ascii="Arial Unicode MS" w:hAnsi="Arial Unicode MS" w:eastAsia="Arial Unicode MS"/>
      <w:kern w:val="0"/>
      <w:sz w:val="24"/>
      <w:szCs w:val="20"/>
    </w:rPr>
  </w:style>
  <w:style w:type="paragraph" w:customStyle="1" w:styleId="104">
    <w:name w:val="_Style 103"/>
    <w:basedOn w:val="4"/>
    <w:next w:val="1"/>
    <w:qFormat/>
    <w:uiPriority w:val="39"/>
    <w:pPr>
      <w:spacing w:before="480" w:after="0" w:line="276" w:lineRule="auto"/>
      <w:outlineLvl w:val="9"/>
    </w:pPr>
    <w:rPr>
      <w:rFonts w:ascii="Cambria" w:hAnsi="Cambria"/>
      <w:color w:val="365F91"/>
      <w:kern w:val="0"/>
      <w:sz w:val="28"/>
      <w:szCs w:val="28"/>
    </w:rPr>
  </w:style>
  <w:style w:type="paragraph" w:customStyle="1" w:styleId="105">
    <w:name w:val="标题3"/>
    <w:basedOn w:val="1"/>
    <w:qFormat/>
    <w:uiPriority w:val="0"/>
    <w:pPr>
      <w:spacing w:before="50" w:beforeLines="50" w:line="240" w:lineRule="exact"/>
      <w:jc w:val="left"/>
    </w:pPr>
    <w:rPr>
      <w:b/>
      <w:bCs/>
      <w:szCs w:val="24"/>
    </w:rPr>
  </w:style>
  <w:style w:type="paragraph" w:customStyle="1" w:styleId="106">
    <w:name w:val="_Style 105"/>
    <w:unhideWhenUsed/>
    <w:qFormat/>
    <w:uiPriority w:val="99"/>
    <w:rPr>
      <w:rFonts w:ascii="Times New Roman" w:hAnsi="Times New Roman" w:eastAsia="宋体" w:cs="Times New Roman"/>
      <w:lang w:val="en-US" w:eastAsia="zh-CN" w:bidi="ar-SA"/>
    </w:rPr>
  </w:style>
  <w:style w:type="paragraph" w:customStyle="1" w:styleId="107">
    <w:name w:val="发文落款"/>
    <w:basedOn w:val="43"/>
    <w:qFormat/>
    <w:uiPriority w:val="99"/>
    <w:pPr>
      <w:ind w:left="4094" w:right="607" w:firstLine="0"/>
      <w:jc w:val="center"/>
    </w:pPr>
    <w:rPr>
      <w:rFonts w:cs="Times New Roman"/>
      <w:szCs w:val="22"/>
    </w:rPr>
  </w:style>
  <w:style w:type="table" w:customStyle="1" w:styleId="108">
    <w:name w:val="TableGrid"/>
    <w:qFormat/>
    <w:uiPriority w:val="0"/>
    <w:rPr>
      <w:kern w:val="2"/>
      <w:sz w:val="21"/>
      <w:szCs w:val="22"/>
      <w:lang w:val="en-US" w:eastAsia="zh-CN" w:bidi="ar-SA"/>
    </w:rPr>
    <w:tblPr>
      <w:tblCellMar>
        <w:top w:w="0" w:type="dxa"/>
        <w:left w:w="0" w:type="dxa"/>
        <w:bottom w:w="0" w:type="dxa"/>
        <w:right w:w="0" w:type="dxa"/>
      </w:tblCellMar>
    </w:tblPr>
  </w:style>
  <w:style w:type="paragraph" w:customStyle="1" w:styleId="109">
    <w:name w:val="para"/>
    <w:basedOn w:val="1"/>
    <w:qFormat/>
    <w:uiPriority w:val="0"/>
    <w:pPr>
      <w:spacing w:line="360" w:lineRule="auto"/>
      <w:ind w:firstLine="200" w:firstLineChars="200"/>
    </w:pPr>
    <w:rPr>
      <w:sz w:val="24"/>
      <w:szCs w:val="24"/>
    </w:rPr>
  </w:style>
  <w:style w:type="paragraph" w:customStyle="1" w:styleId="110">
    <w:name w:val="nl"/>
    <w:basedOn w:val="109"/>
    <w:qFormat/>
    <w:uiPriority w:val="0"/>
    <w:pPr>
      <w:ind w:firstLine="400" w:firstLineChars="400"/>
    </w:pPr>
  </w:style>
  <w:style w:type="paragraph" w:customStyle="1" w:styleId="111">
    <w:name w:val="公告段落"/>
    <w:basedOn w:val="7"/>
    <w:link w:val="112"/>
    <w:qFormat/>
    <w:uiPriority w:val="0"/>
    <w:pPr>
      <w:tabs>
        <w:tab w:val="left" w:pos="1343"/>
        <w:tab w:val="left" w:pos="2697"/>
        <w:tab w:val="left" w:pos="3264"/>
        <w:tab w:val="left" w:pos="4896"/>
        <w:tab w:val="left" w:pos="6005"/>
        <w:tab w:val="left" w:pos="7085"/>
        <w:tab w:val="left" w:pos="7498"/>
      </w:tabs>
      <w:snapToGrid w:val="0"/>
      <w:spacing w:before="0" w:beforeAutospacing="0" w:line="440" w:lineRule="exact"/>
      <w:ind w:firstLine="200" w:firstLineChars="200"/>
    </w:pPr>
    <w:rPr>
      <w:rFonts w:ascii="宋体" w:hAnsi="宋体"/>
      <w:sz w:val="24"/>
    </w:rPr>
  </w:style>
  <w:style w:type="character" w:customStyle="1" w:styleId="112">
    <w:name w:val="公告段落 字符"/>
    <w:link w:val="111"/>
    <w:qFormat/>
    <w:uiPriority w:val="0"/>
    <w:rPr>
      <w:rFonts w:ascii="宋体" w:hAnsi="宋体" w:eastAsia="宋体" w:cs="Times New Roman"/>
      <w:sz w:val="24"/>
      <w:szCs w:val="21"/>
    </w:rPr>
  </w:style>
  <w:style w:type="paragraph" w:customStyle="1" w:styleId="113">
    <w:name w:val="公告标题"/>
    <w:basedOn w:val="7"/>
    <w:link w:val="114"/>
    <w:qFormat/>
    <w:uiPriority w:val="0"/>
    <w:pPr>
      <w:kinsoku w:val="0"/>
      <w:overflowPunct w:val="0"/>
      <w:adjustRightInd w:val="0"/>
      <w:snapToGrid w:val="0"/>
      <w:spacing w:before="50" w:beforeLines="50" w:beforeAutospacing="0" w:line="440" w:lineRule="exact"/>
      <w:ind w:firstLine="200" w:firstLineChars="200"/>
      <w:outlineLvl w:val="2"/>
    </w:pPr>
    <w:rPr>
      <w:rFonts w:ascii="宋体" w:hAnsi="宋体"/>
      <w:b/>
      <w:bCs/>
      <w:sz w:val="32"/>
      <w:szCs w:val="32"/>
    </w:rPr>
  </w:style>
  <w:style w:type="character" w:customStyle="1" w:styleId="114">
    <w:name w:val="公告标题 字符"/>
    <w:link w:val="113"/>
    <w:qFormat/>
    <w:uiPriority w:val="0"/>
    <w:rPr>
      <w:rFonts w:ascii="宋体" w:hAnsi="宋体" w:eastAsia="宋体" w:cs="Times New Roman"/>
      <w:b/>
      <w:bCs/>
      <w:sz w:val="32"/>
      <w:szCs w:val="32"/>
    </w:rPr>
  </w:style>
  <w:style w:type="character" w:customStyle="1" w:styleId="115">
    <w:name w:val="纯文本 Char2"/>
    <w:qFormat/>
    <w:uiPriority w:val="0"/>
    <w:rPr>
      <w:rFonts w:ascii="宋体" w:hAnsi="Courier New" w:eastAsia="宋体"/>
      <w:kern w:val="2"/>
      <w:sz w:val="24"/>
      <w:szCs w:val="24"/>
      <w:lang w:val="zh-CN" w:eastAsia="zh-CN" w:bidi="ar-SA"/>
    </w:rPr>
  </w:style>
  <w:style w:type="paragraph" w:customStyle="1" w:styleId="116">
    <w:name w:val="正文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8">
    <w:name w:val="正文 New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119">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120">
    <w:name w:val="_Style 11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23779</Words>
  <Characters>25301</Characters>
  <Lines>213</Lines>
  <Paragraphs>60</Paragraphs>
  <TotalTime>5</TotalTime>
  <ScaleCrop>false</ScaleCrop>
  <LinksUpToDate>false</LinksUpToDate>
  <CharactersWithSpaces>27293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2024-03-22T07:14:00Z</dcterms:created>
  <dc:creator>Administrator</dc:creator>
  <cp:lastModifiedBy>代理单位</cp:lastModifiedBy>
  <cp:lastPrinted>2024-07-04T00:54:00Z</cp:lastPrinted>
  <dcterms:modified xsi:type="dcterms:W3CDTF">2024-08-15T01:09:42Z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6E154EF0B0A445CAB6873552FA400C60_13</vt:lpwstr>
  </property>
</Properties>
</file>