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single"/>
          <w:lang w:val="en-US" w:eastAsia="zh-CN"/>
        </w:rPr>
      </w:pPr>
      <w:bookmarkStart w:id="0" w:name="_Toc8445"/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single"/>
          <w:lang w:val="en-US" w:eastAsia="zh-CN"/>
        </w:rPr>
        <w:t>附件A-项目信息清单（标的1标段</w:t>
      </w:r>
      <w:r>
        <w:rPr>
          <w:rFonts w:hint="eastAsia" w:hAnsi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singl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single"/>
          <w:lang w:val="en-US" w:eastAsia="zh-CN"/>
        </w:rPr>
        <w:t>）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spacing w:val="0"/>
          <w:kern w:val="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kern w:val="0"/>
          <w:sz w:val="21"/>
          <w:szCs w:val="21"/>
          <w:highlight w:val="none"/>
          <w:u w:val="none"/>
          <w:lang w:val="en-US" w:eastAsia="zh-CN"/>
        </w:rPr>
        <w:t>标的名称：</w:t>
      </w: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kern w:val="0"/>
          <w:sz w:val="21"/>
          <w:szCs w:val="21"/>
          <w:highlight w:val="none"/>
          <w:u w:val="single"/>
          <w:lang w:val="en-US" w:eastAsia="zh-CN"/>
        </w:rPr>
        <w:t>500千伏德庆输变电工程（变电站建筑部分）等3项工程施工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spacing w:val="0"/>
          <w:kern w:val="0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kern w:val="0"/>
          <w:sz w:val="21"/>
          <w:szCs w:val="21"/>
          <w:highlight w:val="none"/>
          <w:u w:val="none"/>
          <w:lang w:val="en-US" w:eastAsia="zh-CN"/>
        </w:rPr>
        <w:t>标段名称：</w:t>
      </w:r>
      <w:r>
        <w:rPr>
          <w:rFonts w:hint="eastAsia" w:hAnsi="宋体" w:cs="宋体"/>
          <w:b/>
          <w:bCs/>
          <w:snapToGrid w:val="0"/>
          <w:color w:val="auto"/>
          <w:spacing w:val="0"/>
          <w:kern w:val="0"/>
          <w:sz w:val="21"/>
          <w:szCs w:val="21"/>
          <w:highlight w:val="none"/>
          <w:u w:val="single"/>
          <w:lang w:val="en-US" w:eastAsia="zh-CN"/>
        </w:rPr>
        <w:t>珠海220千伏洋环输变电工程（变电站建筑部分）施工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none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none"/>
          <w:lang w:val="en-US" w:eastAsia="zh-CN"/>
        </w:rPr>
        <w:t>项目信息表</w:t>
      </w:r>
    </w:p>
    <w:tbl>
      <w:tblPr>
        <w:tblStyle w:val="11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3097"/>
        <w:gridCol w:w="4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bookmarkStart w:id="4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817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条款名称</w:t>
            </w:r>
          </w:p>
        </w:tc>
        <w:tc>
          <w:tcPr>
            <w:tcW w:w="2735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817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可研批复文号</w:t>
            </w:r>
          </w:p>
        </w:tc>
        <w:tc>
          <w:tcPr>
            <w:tcW w:w="2735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广电规〔2023〕93号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817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项目核准备案文号</w:t>
            </w:r>
          </w:p>
        </w:tc>
        <w:tc>
          <w:tcPr>
            <w:tcW w:w="2735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2303-440402-04-01-680386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817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资金落实（投资计划）</w:t>
            </w:r>
          </w:p>
        </w:tc>
        <w:tc>
          <w:tcPr>
            <w:tcW w:w="2735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广电计财〔2024〕9号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817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初设批复文号</w:t>
            </w:r>
          </w:p>
        </w:tc>
        <w:tc>
          <w:tcPr>
            <w:tcW w:w="2735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广电建〔2024〕63号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1817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初设批复总投资</w:t>
            </w:r>
          </w:p>
        </w:tc>
        <w:tc>
          <w:tcPr>
            <w:tcW w:w="2735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22971万元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817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施工图设计批复文号</w:t>
            </w:r>
          </w:p>
        </w:tc>
        <w:tc>
          <w:tcPr>
            <w:tcW w:w="2735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广电建〔2024〕111号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1817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招标类型</w:t>
            </w:r>
          </w:p>
        </w:tc>
        <w:tc>
          <w:tcPr>
            <w:tcW w:w="2735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施设招标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817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项目建设单位</w:t>
            </w:r>
          </w:p>
        </w:tc>
        <w:tc>
          <w:tcPr>
            <w:tcW w:w="2735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珠海供电局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1817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项目建设地点</w:t>
            </w:r>
          </w:p>
        </w:tc>
        <w:tc>
          <w:tcPr>
            <w:tcW w:w="2735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珠海市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1817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工        期</w:t>
            </w:r>
          </w:p>
        </w:tc>
        <w:tc>
          <w:tcPr>
            <w:tcW w:w="2735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计划工期：335日历天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计划开工日期：2024年10月30日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计划竣工日期：2025年9月30日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1817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项目可研单位</w:t>
            </w:r>
          </w:p>
        </w:tc>
        <w:tc>
          <w:tcPr>
            <w:tcW w:w="27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珠海电力设计院有限公司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12</w:t>
            </w:r>
          </w:p>
        </w:tc>
        <w:tc>
          <w:tcPr>
            <w:tcW w:w="1817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项目勘察设计单位</w:t>
            </w:r>
          </w:p>
        </w:tc>
        <w:tc>
          <w:tcPr>
            <w:tcW w:w="27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珠海电力设计院有限公司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13</w:t>
            </w:r>
          </w:p>
        </w:tc>
        <w:tc>
          <w:tcPr>
            <w:tcW w:w="1817" w:type="pct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项目监理单位</w:t>
            </w:r>
          </w:p>
        </w:tc>
        <w:tc>
          <w:tcPr>
            <w:tcW w:w="27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暂无</w:t>
            </w:r>
          </w:p>
        </w:tc>
      </w:tr>
      <w:bookmarkEnd w:id="4"/>
    </w:tbl>
    <w:p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br w:type="page"/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（一）项目概况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：</w:t>
      </w:r>
      <w:bookmarkEnd w:id="0"/>
      <w:bookmarkStart w:id="1" w:name="_Toc28718"/>
      <w:bookmarkStart w:id="2" w:name="_Toc13498"/>
      <w:bookmarkStart w:id="3" w:name="_Toc4755"/>
    </w:p>
    <w:bookmarkEnd w:id="1"/>
    <w:bookmarkEnd w:id="2"/>
    <w:bookmarkEnd w:id="3"/>
    <w:p>
      <w:pPr>
        <w:keepNext w:val="0"/>
        <w:keepLines w:val="0"/>
        <w:pageBreakBefore w:val="0"/>
        <w:widowControl w:val="0"/>
        <w:tabs>
          <w:tab w:val="left" w:pos="1146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220千伏洋环变电站工程：本工程按最终规模一次征地，征地面积0.9981公顷（14.97亩），其中围墙内用地面积0.9562公顷（14.34亩）。全站总建筑面积8847.16平方米，其中配电装置楼建筑面积8184.88平方米。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  <w:highlight w:val="none"/>
        </w:rPr>
        <w:t>具体建设规模以施工图纸为准。</w:t>
      </w:r>
    </w:p>
    <w:p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（二）采购范围：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422" w:firstLineChars="200"/>
        <w:jc w:val="left"/>
        <w:textAlignment w:val="auto"/>
        <w:outlineLvl w:val="0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z w:val="21"/>
          <w:szCs w:val="21"/>
          <w:highlight w:val="none"/>
          <w:u w:val="single"/>
        </w:rPr>
        <w:t>包括施工图范围内的建筑、安装及调试工程。施工图范围内的下列工作内容，无□及</w:t>
      </w:r>
      <w:r>
        <w:rPr>
          <w:rFonts w:hint="eastAsia" w:ascii="宋体" w:hAnsi="宋体" w:eastAsia="宋体" w:cs="宋体"/>
          <w:b/>
          <w:bCs/>
          <w:snapToGrid w:val="0"/>
          <w:color w:val="auto"/>
          <w:sz w:val="21"/>
          <w:szCs w:val="21"/>
          <w:highlight w:val="none"/>
          <w:u w:val="single"/>
        </w:rPr>
        <w:fldChar w:fldCharType="begin"/>
      </w:r>
      <w:r>
        <w:rPr>
          <w:rFonts w:hint="eastAsia" w:ascii="宋体" w:hAnsi="宋体" w:eastAsia="宋体" w:cs="宋体"/>
          <w:b/>
          <w:bCs/>
          <w:snapToGrid w:val="0"/>
          <w:color w:val="auto"/>
          <w:sz w:val="21"/>
          <w:szCs w:val="21"/>
          <w:highlight w:val="none"/>
          <w:u w:val="single"/>
        </w:rPr>
        <w:instrText xml:space="preserve"> EQ \o\ac(</w:instrText>
      </w:r>
      <w:r>
        <w:rPr>
          <w:rFonts w:hint="eastAsia" w:ascii="宋体" w:hAnsi="宋体" w:eastAsia="宋体" w:cs="宋体"/>
          <w:b/>
          <w:bCs/>
          <w:snapToGrid w:val="0"/>
          <w:color w:val="auto"/>
          <w:position w:val="-4"/>
          <w:sz w:val="31"/>
          <w:szCs w:val="21"/>
          <w:highlight w:val="none"/>
          <w:u w:val="single"/>
        </w:rPr>
        <w:instrText xml:space="preserve">□</w:instrText>
      </w:r>
      <w:r>
        <w:rPr>
          <w:rFonts w:hint="eastAsia" w:ascii="宋体" w:hAnsi="宋体" w:eastAsia="宋体" w:cs="宋体"/>
          <w:b/>
          <w:bCs/>
          <w:snapToGrid w:val="0"/>
          <w:color w:val="auto"/>
          <w:position w:val="0"/>
          <w:sz w:val="21"/>
          <w:szCs w:val="21"/>
          <w:highlight w:val="none"/>
          <w:u w:val="single"/>
        </w:rPr>
        <w:instrText xml:space="preserve">,√)</w:instrText>
      </w:r>
      <w:r>
        <w:rPr>
          <w:rFonts w:hint="eastAsia" w:ascii="宋体" w:hAnsi="宋体" w:eastAsia="宋体" w:cs="宋体"/>
          <w:b/>
          <w:bCs/>
          <w:snapToGrid w:val="0"/>
          <w:color w:val="auto"/>
          <w:sz w:val="21"/>
          <w:szCs w:val="21"/>
          <w:highlight w:val="none"/>
          <w:u w:val="single"/>
        </w:rPr>
        <w:fldChar w:fldCharType="end"/>
      </w:r>
      <w:r>
        <w:rPr>
          <w:rFonts w:hint="eastAsia" w:ascii="宋体" w:hAnsi="宋体" w:eastAsia="宋体" w:cs="宋体"/>
          <w:b/>
          <w:bCs/>
          <w:snapToGrid w:val="0"/>
          <w:color w:val="auto"/>
          <w:sz w:val="21"/>
          <w:szCs w:val="21"/>
          <w:highlight w:val="none"/>
          <w:u w:val="single"/>
        </w:rPr>
        <w:t>的为本次报价范围；□未打√的，不在本次报价范围内，特殊情况在“其他”中说明。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  <w:t>※变电部分：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  <w:t>变电建筑工程：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  <w:t>（一）主要生产工程：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主要生产建筑，配电装置建筑，供水系统，消防系统；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  <w:t>（二）辅助生产工程：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辅助生产建筑，站区性建筑，特殊构筑物，全站沉降观测点，站区绿化；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20"/>
        <w:jc w:val="left"/>
        <w:textAlignment w:val="auto"/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（三）与站址有关的单项工程：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☑地基处理，☑站外道路（其中□桥涵），☑站外水源，☑站外排水，□站外蒸发池，☑施工降水，☑临时施工电源，□临时施工水源，☑临时施工道路，□临时施工通信线路，☑临时施工防护工程；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（四）其他费用工程：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☑白蚁防治，□拆除工程；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（五）其他：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 xml:space="preserve"> ☑与吊车有关的建筑及安装。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  <w:t>变电安装工程：</w:t>
      </w:r>
    </w:p>
    <w:p>
      <w:pPr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  <w:t>（一）主要生产工程：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1"/>
          <w:szCs w:val="21"/>
          <w:highlight w:val="none"/>
          <w:u w:val="single"/>
          <w:lang w:val="en-US" w:eastAsia="zh-CN" w:bidi="ar-SA"/>
        </w:rPr>
        <w:t>站区照明（含其连接电缆、电线、埋管），全站接地（含接地网阻抗测试，不含二次接地），综合布线。</w:t>
      </w:r>
      <w:r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  <w:br w:type="page"/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  <w:t>承包方式：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z w:val="21"/>
          <w:szCs w:val="21"/>
          <w:highlight w:val="none"/>
          <w:u w:val="single"/>
        </w:rPr>
        <w:t>包工、部分包料，施工图纸范围内如有下列设备、材料，无□及</w:t>
      </w:r>
      <w:r>
        <w:rPr>
          <w:rFonts w:hint="eastAsia" w:ascii="宋体" w:hAnsi="宋体" w:eastAsia="宋体" w:cs="宋体"/>
          <w:b/>
          <w:bCs/>
          <w:snapToGrid w:val="0"/>
          <w:color w:val="auto"/>
          <w:sz w:val="21"/>
          <w:szCs w:val="21"/>
          <w:highlight w:val="none"/>
          <w:u w:val="single"/>
        </w:rPr>
        <w:fldChar w:fldCharType="begin"/>
      </w:r>
      <w:r>
        <w:rPr>
          <w:rFonts w:hint="eastAsia" w:ascii="宋体" w:hAnsi="宋体" w:eastAsia="宋体" w:cs="宋体"/>
          <w:b/>
          <w:bCs/>
          <w:snapToGrid w:val="0"/>
          <w:color w:val="auto"/>
          <w:sz w:val="21"/>
          <w:szCs w:val="21"/>
          <w:highlight w:val="none"/>
          <w:u w:val="single"/>
        </w:rPr>
        <w:instrText xml:space="preserve"> EQ \o\ac(</w:instrText>
      </w:r>
      <w:r>
        <w:rPr>
          <w:rFonts w:hint="eastAsia" w:ascii="宋体" w:hAnsi="宋体" w:eastAsia="宋体" w:cs="宋体"/>
          <w:b/>
          <w:bCs/>
          <w:snapToGrid w:val="0"/>
          <w:color w:val="auto"/>
          <w:position w:val="-4"/>
          <w:sz w:val="31"/>
          <w:szCs w:val="21"/>
          <w:highlight w:val="none"/>
          <w:u w:val="single"/>
        </w:rPr>
        <w:instrText xml:space="preserve">□</w:instrText>
      </w:r>
      <w:r>
        <w:rPr>
          <w:rFonts w:hint="eastAsia" w:ascii="宋体" w:hAnsi="宋体" w:eastAsia="宋体" w:cs="宋体"/>
          <w:b/>
          <w:bCs/>
          <w:snapToGrid w:val="0"/>
          <w:color w:val="auto"/>
          <w:position w:val="0"/>
          <w:sz w:val="21"/>
          <w:szCs w:val="21"/>
          <w:highlight w:val="none"/>
          <w:u w:val="single"/>
        </w:rPr>
        <w:instrText xml:space="preserve">,√)</w:instrText>
      </w:r>
      <w:r>
        <w:rPr>
          <w:rFonts w:hint="eastAsia" w:ascii="宋体" w:hAnsi="宋体" w:eastAsia="宋体" w:cs="宋体"/>
          <w:b/>
          <w:bCs/>
          <w:snapToGrid w:val="0"/>
          <w:color w:val="auto"/>
          <w:sz w:val="21"/>
          <w:szCs w:val="21"/>
          <w:highlight w:val="none"/>
          <w:u w:val="single"/>
        </w:rPr>
        <w:fldChar w:fldCharType="end"/>
      </w:r>
      <w:r>
        <w:rPr>
          <w:rFonts w:hint="eastAsia" w:ascii="宋体" w:hAnsi="宋体" w:eastAsia="宋体" w:cs="宋体"/>
          <w:b/>
          <w:bCs/>
          <w:snapToGrid w:val="0"/>
          <w:color w:val="auto"/>
          <w:sz w:val="21"/>
          <w:szCs w:val="21"/>
          <w:highlight w:val="none"/>
          <w:u w:val="single"/>
        </w:rPr>
        <w:t>的为甲供，□未打√的及不在下列的为乙供。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※变电部分：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（一）甲供物资：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变电建筑工程：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i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iCs/>
          <w:color w:val="auto"/>
          <w:sz w:val="21"/>
          <w:szCs w:val="21"/>
          <w:highlight w:val="none"/>
        </w:rPr>
        <w:t>1、不锈钢材质检修电源箱，不锈钢材质配电箱（含照明和动力配电箱），电力电缆，控制电缆，低压电线，铜铝端子，铜端子，构支架钢结构（含构支架、横梁，爬梯、避雷针）、标准成品预制电缆沟盖板（包括混凝土盖板和复合盖板）、装配式变电站围墙和主变防火墙（含混凝土和复合材质，厂家包安装及基础灌浆）、电缆支架（铝合金、角钢、复合材质），电杆（含混凝土和复合材料），电缆保护管材（HDPE管、涂塑钢管、PVC管、MPP管）、电缆管塞封堵器，防爆空调（蓄电池室）、智能围栏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2、□装配式电缆沟、□消防电缆、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□吊车、□电梯（不含货物电梯）、□嵌入式空调（天井式）、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☑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专用空调（生产场所、带自动启动功能）。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br w:type="textWrapping"/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变电安装工程：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1、发电机专用开关箱，户外照明配电箱、接地铜排、站区照明照明电缆。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2、□标志牌、□吊车。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 xml:space="preserve">（二）其他甲供物资：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u w:val="single"/>
        </w:rPr>
        <w:t xml:space="preserve">    /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注：建设单位提供的设备、材料以合同附件（甲供设备材料明细表）为准。</w:t>
      </w:r>
    </w:p>
    <w:p>
      <w:pPr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  <w:br w:type="page"/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  <w:t>（四）报价表</w:t>
      </w:r>
    </w:p>
    <w:tbl>
      <w:tblPr>
        <w:tblStyle w:val="10"/>
        <w:tblW w:w="1026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2"/>
        <w:gridCol w:w="1416"/>
        <w:gridCol w:w="894"/>
        <w:gridCol w:w="1028"/>
        <w:gridCol w:w="784"/>
        <w:gridCol w:w="921"/>
        <w:gridCol w:w="720"/>
        <w:gridCol w:w="720"/>
        <w:gridCol w:w="971"/>
        <w:gridCol w:w="784"/>
        <w:gridCol w:w="1005"/>
        <w:gridCol w:w="5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序　号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工程或费用名称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最高投标限价（万元）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其中安全文明施工费（万元）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其中施工专项补助费（万元）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其中暂估价（万元）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投标费率（%）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投标报价（万元）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其中安全文明施工费（万元）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其中施工专项补助费（万元）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其中暂估价（万元）</w:t>
            </w: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备  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珠海220千伏洋环输变电工程（变电站建筑部分）施工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5656.24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117.55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合计（小写）：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5656.24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117.55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72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0262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报价要求：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、金额报价（保留两位小数），同时填报投标费率。投标费率＝[(投标报价-安全文明施工费-暂估价）/（最高投标限价-安全文明施工费-暂估价)]×100%（保留两位小数）。当投标金额报价与投标费率计算结果不一致时，以投标金额报价为准，按公式修订投标费率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  <w:t>投标人所报的金额≤最高投标限价的为有效报价，为避免恶意竞争，低于成本价报价，投标报价＜最高限价的（详见招标文件规定比例）时应在投标文件中附成本分析报告。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  <w:t>安全文明施工费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如有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  <w:t>、暂估价（如有）需按照公布的金额固定报价，不得自行变更，否则视为原则性不响应招标文件要求，作否决投标处理。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4、投标下浮率=1-投标费率。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5、施工专项补助费（如有），投标人报价时按文件要求将施工专项补助费作为“竞争性费用”列入投标报价中，报价不得高于招标文件公布的施工专项补助费，否则按否决投标处理。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i/>
          <w:iCs/>
          <w:color w:val="auto"/>
          <w:sz w:val="21"/>
          <w:szCs w:val="21"/>
          <w:highlight w:val="none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AF13F2"/>
    <w:multiLevelType w:val="singleLevel"/>
    <w:tmpl w:val="E5AF13F2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kYzY0YmM0NjMwZmQwYmQxZjM3YjBmZTBiZmI2OGUifQ=="/>
  </w:docVars>
  <w:rsids>
    <w:rsidRoot w:val="24F737D8"/>
    <w:rsid w:val="04A24F71"/>
    <w:rsid w:val="064E106A"/>
    <w:rsid w:val="066C7717"/>
    <w:rsid w:val="08BA0261"/>
    <w:rsid w:val="0BC07002"/>
    <w:rsid w:val="0BE12940"/>
    <w:rsid w:val="0D447276"/>
    <w:rsid w:val="116419AD"/>
    <w:rsid w:val="11775255"/>
    <w:rsid w:val="11DF6CFE"/>
    <w:rsid w:val="139A32B7"/>
    <w:rsid w:val="14440D4B"/>
    <w:rsid w:val="15056A61"/>
    <w:rsid w:val="15EC4D86"/>
    <w:rsid w:val="18954CE4"/>
    <w:rsid w:val="18E57496"/>
    <w:rsid w:val="18FD4CCB"/>
    <w:rsid w:val="196633D1"/>
    <w:rsid w:val="19EC72F1"/>
    <w:rsid w:val="1B663F82"/>
    <w:rsid w:val="1BE21ECD"/>
    <w:rsid w:val="1C80112D"/>
    <w:rsid w:val="20454680"/>
    <w:rsid w:val="216F4D5B"/>
    <w:rsid w:val="21D60021"/>
    <w:rsid w:val="23857FD5"/>
    <w:rsid w:val="24F737D8"/>
    <w:rsid w:val="25235569"/>
    <w:rsid w:val="25DD39AD"/>
    <w:rsid w:val="27CB53D6"/>
    <w:rsid w:val="28AD37CB"/>
    <w:rsid w:val="2FF65FF8"/>
    <w:rsid w:val="300D195C"/>
    <w:rsid w:val="30385775"/>
    <w:rsid w:val="30BF37B5"/>
    <w:rsid w:val="324F6353"/>
    <w:rsid w:val="359549F8"/>
    <w:rsid w:val="361736AD"/>
    <w:rsid w:val="36D200CF"/>
    <w:rsid w:val="37C80913"/>
    <w:rsid w:val="38382DC3"/>
    <w:rsid w:val="38DE045C"/>
    <w:rsid w:val="3C4A35F1"/>
    <w:rsid w:val="3FF31A9B"/>
    <w:rsid w:val="41101E4C"/>
    <w:rsid w:val="44D414C9"/>
    <w:rsid w:val="46472D5E"/>
    <w:rsid w:val="47064A15"/>
    <w:rsid w:val="48411198"/>
    <w:rsid w:val="4B3A1BDA"/>
    <w:rsid w:val="4D133879"/>
    <w:rsid w:val="507B3005"/>
    <w:rsid w:val="52E734B9"/>
    <w:rsid w:val="540B7B46"/>
    <w:rsid w:val="54C929C4"/>
    <w:rsid w:val="55C3156A"/>
    <w:rsid w:val="565A3DA2"/>
    <w:rsid w:val="571A3558"/>
    <w:rsid w:val="57B16E88"/>
    <w:rsid w:val="59345C58"/>
    <w:rsid w:val="608606DE"/>
    <w:rsid w:val="615D17B1"/>
    <w:rsid w:val="645B63B1"/>
    <w:rsid w:val="64E1129F"/>
    <w:rsid w:val="668869C6"/>
    <w:rsid w:val="66C35559"/>
    <w:rsid w:val="684944CF"/>
    <w:rsid w:val="699A143B"/>
    <w:rsid w:val="69B76B7E"/>
    <w:rsid w:val="6A287B5E"/>
    <w:rsid w:val="6B303A1A"/>
    <w:rsid w:val="6DAA2FDF"/>
    <w:rsid w:val="6E121228"/>
    <w:rsid w:val="6E834EF3"/>
    <w:rsid w:val="6F9465AE"/>
    <w:rsid w:val="70D1495F"/>
    <w:rsid w:val="71D47300"/>
    <w:rsid w:val="73982E36"/>
    <w:rsid w:val="784E646D"/>
    <w:rsid w:val="7E3420E0"/>
    <w:rsid w:val="7FC34554"/>
    <w:rsid w:val="7FCD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9" w:semiHidden="0" w:name="heading 1"/>
    <w:lsdException w:qFormat="1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color w:val="000000"/>
      <w:sz w:val="32"/>
    </w:rPr>
  </w:style>
  <w:style w:type="paragraph" w:styleId="5">
    <w:name w:val="heading 2"/>
    <w:basedOn w:val="1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i/>
      <w:color w:val="000000"/>
      <w:sz w:val="28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120"/>
      <w:jc w:val="both"/>
    </w:pPr>
    <w:rPr>
      <w:lang w:val="en-US" w:eastAsia="zh-CN"/>
    </w:rPr>
  </w:style>
  <w:style w:type="paragraph" w:styleId="3">
    <w:name w:val="Title"/>
    <w:basedOn w:val="1"/>
    <w:next w:val="1"/>
    <w:qFormat/>
    <w:uiPriority w:val="0"/>
    <w:pPr>
      <w:widowControl/>
      <w:spacing w:before="240" w:after="60" w:line="560" w:lineRule="exact"/>
      <w:jc w:val="center"/>
      <w:outlineLvl w:val="0"/>
    </w:pPr>
    <w:rPr>
      <w:rFonts w:ascii="Arial" w:hAnsi="Arial" w:eastAsia="华文中宋" w:cs="Arial"/>
      <w:b/>
      <w:bCs/>
      <w:color w:val="FF0000"/>
      <w:kern w:val="0"/>
      <w:sz w:val="84"/>
      <w:szCs w:val="32"/>
    </w:rPr>
  </w:style>
  <w:style w:type="paragraph" w:styleId="6">
    <w:name w:val="Normal Indent"/>
    <w:basedOn w:val="1"/>
    <w:qFormat/>
    <w:uiPriority w:val="0"/>
    <w:pPr>
      <w:ind w:firstLine="420"/>
    </w:pPr>
    <w:rPr>
      <w:rFonts w:ascii="Times New Roman" w:hAnsi="Times New Roman" w:cs="Times New Roman"/>
      <w:kern w:val="0"/>
      <w:sz w:val="20"/>
      <w:szCs w:val="20"/>
    </w:r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Body Text Indent"/>
    <w:basedOn w:val="1"/>
    <w:qFormat/>
    <w:uiPriority w:val="0"/>
    <w:pPr>
      <w:spacing w:after="120"/>
      <w:ind w:left="420" w:leftChars="200"/>
    </w:pPr>
  </w:style>
  <w:style w:type="paragraph" w:styleId="9">
    <w:name w:val="Plain Text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jc w:val="both"/>
    </w:pPr>
    <w:rPr>
      <w:rFonts w:ascii="宋体" w:hAnsi="Courier New"/>
      <w:kern w:val="0"/>
      <w:sz w:val="20"/>
      <w:szCs w:val="20"/>
      <w:lang w:val="en-US" w:eastAsia="zh-CN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目录 21"/>
    <w:basedOn w:val="1"/>
    <w:next w:val="1"/>
    <w:qFormat/>
    <w:uiPriority w:val="0"/>
    <w:pPr>
      <w:spacing w:before="100" w:beforeAutospacing="1" w:after="100" w:afterAutospacing="1"/>
      <w:ind w:left="420" w:leftChars="200"/>
    </w:pPr>
  </w:style>
  <w:style w:type="paragraph" w:customStyle="1" w:styleId="14">
    <w:name w:val="样式 宋体 四号 首行缩进:  2 字符"/>
    <w:basedOn w:val="1"/>
    <w:qFormat/>
    <w:uiPriority w:val="0"/>
    <w:pPr>
      <w:widowControl/>
    </w:pPr>
    <w:rPr>
      <w:rFonts w:cs="宋体"/>
      <w:color w:val="000000"/>
      <w:kern w:val="0"/>
      <w:szCs w:val="20"/>
    </w:rPr>
  </w:style>
  <w:style w:type="paragraph" w:customStyle="1" w:styleId="15">
    <w:name w:val="报告正文"/>
    <w:basedOn w:val="1"/>
    <w:qFormat/>
    <w:uiPriority w:val="0"/>
    <w:pPr>
      <w:ind w:firstLine="200" w:firstLineChars="200"/>
      <w:textAlignment w:val="baseline"/>
    </w:pPr>
    <w:rPr>
      <w:color w:val="FF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2021-02-24T07:45:00Z</dcterms:created>
  <dc:creator>maja</dc:creator>
  <cp:lastModifiedBy>何定安</cp:lastModifiedBy>
  <dcterms:modified xsi:type="dcterms:W3CDTF">2024-08-02T07:40:34Z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71A695512AD54C2FADD29DB3551318B0</vt:lpwstr>
  </property>
</Properties>
</file>