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C1A47">
      <w:pPr>
        <w:spacing w:line="360" w:lineRule="auto"/>
        <w:jc w:val="center"/>
        <w:rPr>
          <w:rFonts w:hint="eastAsia" w:ascii="宋体" w:hAnsi="宋体" w:eastAsia="宋体" w:cs="宋体"/>
          <w:b/>
          <w:color w:val="auto"/>
          <w:spacing w:val="40"/>
          <w:kern w:val="0"/>
          <w:sz w:val="52"/>
          <w:szCs w:val="52"/>
          <w:highlight w:val="none"/>
          <w:u w:val="single"/>
        </w:rPr>
      </w:pPr>
      <w:r>
        <w:rPr>
          <w:rFonts w:hint="eastAsia" w:ascii="宋体" w:hAnsi="宋体" w:eastAsia="宋体" w:cs="宋体"/>
          <w:b/>
          <w:color w:val="auto"/>
          <w:spacing w:val="40"/>
          <w:kern w:val="0"/>
          <w:sz w:val="52"/>
          <w:szCs w:val="52"/>
          <w:highlight w:val="none"/>
        </w:rPr>
        <w:t>项目</w:t>
      </w:r>
    </w:p>
    <w:p w14:paraId="02BD795E">
      <w:pPr>
        <w:spacing w:line="360" w:lineRule="auto"/>
        <w:ind w:right="1120"/>
        <w:rPr>
          <w:rFonts w:hint="eastAsia" w:ascii="宋体" w:hAnsi="宋体" w:eastAsia="宋体" w:cs="宋体"/>
          <w:color w:val="auto"/>
          <w:sz w:val="28"/>
          <w:highlight w:val="none"/>
        </w:rPr>
      </w:pPr>
    </w:p>
    <w:p w14:paraId="31FE85D7">
      <w:pPr>
        <w:spacing w:line="360" w:lineRule="auto"/>
        <w:rPr>
          <w:rFonts w:hint="eastAsia" w:ascii="宋体" w:hAnsi="宋体" w:eastAsia="宋体" w:cs="宋体"/>
          <w:color w:val="auto"/>
          <w:highlight w:val="none"/>
        </w:rPr>
      </w:pPr>
    </w:p>
    <w:p w14:paraId="48D0231C">
      <w:pPr>
        <w:spacing w:line="360" w:lineRule="auto"/>
        <w:rPr>
          <w:rFonts w:hint="eastAsia" w:ascii="宋体" w:hAnsi="宋体" w:eastAsia="宋体" w:cs="宋体"/>
          <w:color w:val="auto"/>
          <w:highlight w:val="none"/>
        </w:rPr>
      </w:pPr>
      <w:bookmarkStart w:id="0" w:name="_GoBack"/>
      <w:bookmarkEnd w:id="0"/>
    </w:p>
    <w:p w14:paraId="572E5C93">
      <w:pPr>
        <w:spacing w:line="360" w:lineRule="auto"/>
        <w:rPr>
          <w:rFonts w:hint="eastAsia" w:ascii="宋体" w:hAnsi="宋体" w:eastAsia="宋体" w:cs="宋体"/>
          <w:color w:val="auto"/>
          <w:highlight w:val="none"/>
        </w:rPr>
      </w:pPr>
    </w:p>
    <w:p w14:paraId="3892FBBD">
      <w:pPr>
        <w:spacing w:line="36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监理合同</w:t>
      </w:r>
    </w:p>
    <w:p w14:paraId="07C06CCD">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（监理合同范本（最终以签订为准）</w:t>
      </w:r>
    </w:p>
    <w:p w14:paraId="456492DB">
      <w:pPr>
        <w:spacing w:line="360" w:lineRule="auto"/>
        <w:jc w:val="center"/>
        <w:rPr>
          <w:rFonts w:hint="eastAsia" w:ascii="宋体" w:hAnsi="宋体" w:eastAsia="宋体" w:cs="宋体"/>
          <w:color w:val="auto"/>
          <w:sz w:val="28"/>
          <w:highlight w:val="none"/>
        </w:rPr>
      </w:pPr>
    </w:p>
    <w:p w14:paraId="217A8B94">
      <w:pPr>
        <w:spacing w:line="360" w:lineRule="auto"/>
        <w:jc w:val="center"/>
        <w:rPr>
          <w:rFonts w:hint="eastAsia" w:ascii="宋体" w:hAnsi="宋体" w:eastAsia="宋体" w:cs="宋体"/>
          <w:b/>
          <w:color w:val="auto"/>
          <w:spacing w:val="20"/>
          <w:position w:val="-32"/>
          <w:highlight w:val="none"/>
        </w:rPr>
      </w:pPr>
      <w:r>
        <w:rPr>
          <w:rFonts w:hint="eastAsia" w:ascii="宋体" w:hAnsi="宋体" w:eastAsia="宋体" w:cs="宋体"/>
          <w:color w:val="auto"/>
          <w:sz w:val="28"/>
          <w:highlight w:val="none"/>
        </w:rPr>
        <w:t>合同编号：</w:t>
      </w:r>
    </w:p>
    <w:p w14:paraId="136167E6">
      <w:pPr>
        <w:spacing w:line="360" w:lineRule="auto"/>
        <w:jc w:val="center"/>
        <w:rPr>
          <w:rFonts w:hint="eastAsia" w:ascii="宋体" w:hAnsi="宋体" w:eastAsia="宋体" w:cs="宋体"/>
          <w:b/>
          <w:color w:val="auto"/>
          <w:spacing w:val="20"/>
          <w:position w:val="-32"/>
          <w:highlight w:val="none"/>
        </w:rPr>
      </w:pPr>
    </w:p>
    <w:p w14:paraId="1E8F7CFD">
      <w:pPr>
        <w:spacing w:line="360" w:lineRule="auto"/>
        <w:jc w:val="center"/>
        <w:rPr>
          <w:rFonts w:hint="eastAsia" w:ascii="宋体" w:hAnsi="宋体" w:eastAsia="宋体" w:cs="宋体"/>
          <w:b/>
          <w:color w:val="auto"/>
          <w:spacing w:val="20"/>
          <w:position w:val="-32"/>
          <w:highlight w:val="none"/>
        </w:rPr>
      </w:pPr>
    </w:p>
    <w:p w14:paraId="527483FB">
      <w:pPr>
        <w:spacing w:line="360" w:lineRule="auto"/>
        <w:jc w:val="center"/>
        <w:rPr>
          <w:rFonts w:hint="eastAsia" w:ascii="宋体" w:hAnsi="宋体" w:eastAsia="宋体" w:cs="宋体"/>
          <w:b/>
          <w:color w:val="auto"/>
          <w:spacing w:val="20"/>
          <w:position w:val="-32"/>
          <w:highlight w:val="none"/>
        </w:rPr>
      </w:pPr>
    </w:p>
    <w:p w14:paraId="26834F0F">
      <w:pPr>
        <w:spacing w:line="360" w:lineRule="auto"/>
        <w:jc w:val="center"/>
        <w:rPr>
          <w:rFonts w:hint="eastAsia" w:ascii="宋体" w:hAnsi="宋体" w:eastAsia="宋体" w:cs="宋体"/>
          <w:b/>
          <w:color w:val="auto"/>
          <w:spacing w:val="20"/>
          <w:position w:val="-32"/>
          <w:highlight w:val="none"/>
        </w:rPr>
      </w:pPr>
    </w:p>
    <w:p w14:paraId="46BD92B0">
      <w:pPr>
        <w:spacing w:line="360" w:lineRule="auto"/>
        <w:jc w:val="center"/>
        <w:rPr>
          <w:rFonts w:hint="eastAsia" w:ascii="宋体" w:hAnsi="宋体" w:eastAsia="宋体" w:cs="宋体"/>
          <w:b/>
          <w:color w:val="auto"/>
          <w:spacing w:val="20"/>
          <w:position w:val="-32"/>
          <w:highlight w:val="none"/>
        </w:rPr>
      </w:pPr>
    </w:p>
    <w:p w14:paraId="534E365B">
      <w:pPr>
        <w:spacing w:line="360" w:lineRule="auto"/>
        <w:jc w:val="center"/>
        <w:rPr>
          <w:rFonts w:hint="eastAsia" w:ascii="宋体" w:hAnsi="宋体" w:eastAsia="宋体" w:cs="宋体"/>
          <w:b/>
          <w:color w:val="auto"/>
          <w:spacing w:val="20"/>
          <w:position w:val="-32"/>
          <w:highlight w:val="none"/>
        </w:rPr>
      </w:pPr>
    </w:p>
    <w:p w14:paraId="0EF9DDB0">
      <w:pPr>
        <w:spacing w:line="360" w:lineRule="auto"/>
        <w:jc w:val="center"/>
        <w:rPr>
          <w:rFonts w:hint="eastAsia" w:ascii="宋体" w:hAnsi="宋体" w:eastAsia="宋体" w:cs="宋体"/>
          <w:b/>
          <w:color w:val="auto"/>
          <w:spacing w:val="20"/>
          <w:position w:val="-32"/>
          <w:highlight w:val="none"/>
        </w:rPr>
      </w:pPr>
    </w:p>
    <w:p w14:paraId="62B75DD9">
      <w:pPr>
        <w:spacing w:line="360" w:lineRule="auto"/>
        <w:jc w:val="center"/>
        <w:rPr>
          <w:rFonts w:hint="eastAsia" w:ascii="宋体" w:hAnsi="宋体" w:eastAsia="宋体" w:cs="宋体"/>
          <w:b/>
          <w:color w:val="auto"/>
          <w:spacing w:val="20"/>
          <w:position w:val="-32"/>
          <w:highlight w:val="none"/>
        </w:rPr>
      </w:pPr>
    </w:p>
    <w:p w14:paraId="0A1646CA">
      <w:pPr>
        <w:spacing w:line="360" w:lineRule="auto"/>
        <w:ind w:firstLine="1400" w:firstLineChars="5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委 托 人：</w:t>
      </w:r>
    </w:p>
    <w:p w14:paraId="16F312E4">
      <w:pPr>
        <w:spacing w:line="360" w:lineRule="auto"/>
        <w:ind w:firstLine="1400" w:firstLineChars="5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监 理 人：</w:t>
      </w:r>
    </w:p>
    <w:p w14:paraId="030BB50E">
      <w:pPr>
        <w:spacing w:line="360" w:lineRule="auto"/>
        <w:rPr>
          <w:rFonts w:hint="eastAsia" w:ascii="宋体" w:hAnsi="宋体" w:eastAsia="宋体" w:cs="宋体"/>
          <w:color w:val="auto"/>
          <w:spacing w:val="20"/>
          <w:position w:val="-32"/>
          <w:highlight w:val="none"/>
        </w:rPr>
      </w:pPr>
    </w:p>
    <w:p w14:paraId="6D4774D0">
      <w:pPr>
        <w:pStyle w:val="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二〇   年   月  </w:t>
      </w:r>
    </w:p>
    <w:p w14:paraId="5C2B4BFC">
      <w:pPr>
        <w:spacing w:line="360" w:lineRule="auto"/>
        <w:rPr>
          <w:rFonts w:hint="eastAsia" w:ascii="宋体" w:hAnsi="宋体" w:eastAsia="宋体" w:cs="宋体"/>
          <w:color w:val="auto"/>
          <w:highlight w:val="none"/>
        </w:rPr>
      </w:pPr>
    </w:p>
    <w:p w14:paraId="1E0EDF7F">
      <w:pPr>
        <w:spacing w:line="360" w:lineRule="auto"/>
        <w:rPr>
          <w:rFonts w:hint="eastAsia" w:ascii="宋体" w:hAnsi="宋体" w:eastAsia="宋体" w:cs="宋体"/>
          <w:color w:val="auto"/>
          <w:highlight w:val="none"/>
        </w:rPr>
      </w:pPr>
    </w:p>
    <w:p w14:paraId="253862E7">
      <w:pPr>
        <w:pStyle w:val="4"/>
        <w:spacing w:line="360" w:lineRule="auto"/>
        <w:jc w:val="center"/>
        <w:rPr>
          <w:rFonts w:hint="eastAsia" w:ascii="宋体" w:hAnsi="宋体" w:eastAsia="宋体" w:cs="宋体"/>
          <w:b/>
          <w:color w:val="auto"/>
          <w:sz w:val="36"/>
          <w:szCs w:val="32"/>
          <w:highlight w:val="none"/>
        </w:rPr>
      </w:pPr>
    </w:p>
    <w:p w14:paraId="1E194A41">
      <w:pPr>
        <w:pStyle w:val="4"/>
        <w:spacing w:line="360" w:lineRule="auto"/>
        <w:jc w:val="center"/>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第一部分  委托监理协议书</w:t>
      </w:r>
    </w:p>
    <w:p w14:paraId="3A94C4B8">
      <w:pPr>
        <w:spacing w:line="360" w:lineRule="auto"/>
        <w:jc w:val="center"/>
        <w:rPr>
          <w:rFonts w:hint="eastAsia" w:ascii="宋体" w:hAnsi="宋体" w:eastAsia="宋体" w:cs="宋体"/>
          <w:b/>
          <w:color w:val="auto"/>
          <w:spacing w:val="20"/>
          <w:position w:val="-32"/>
          <w:sz w:val="24"/>
          <w:highlight w:val="none"/>
        </w:rPr>
      </w:pPr>
    </w:p>
    <w:p w14:paraId="4EADBAEB">
      <w:pPr>
        <w:pStyle w:val="4"/>
        <w:spacing w:line="360" w:lineRule="auto"/>
        <w:jc w:val="center"/>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水利工程施工监理合同书</w:t>
      </w:r>
    </w:p>
    <w:p w14:paraId="01515E6F">
      <w:pPr>
        <w:spacing w:line="360" w:lineRule="auto"/>
        <w:rPr>
          <w:rFonts w:hint="eastAsia" w:ascii="宋体" w:hAnsi="宋体" w:eastAsia="宋体" w:cs="宋体"/>
          <w:color w:val="auto"/>
          <w:sz w:val="24"/>
          <w:highlight w:val="none"/>
        </w:rPr>
      </w:pPr>
    </w:p>
    <w:p w14:paraId="5FE53ACE">
      <w:pPr>
        <w:pStyle w:val="5"/>
        <w:spacing w:line="360" w:lineRule="auto"/>
        <w:ind w:firstLine="480" w:firstLineChars="200"/>
        <w:rPr>
          <w:rFonts w:hint="eastAsia" w:ascii="宋体" w:hAnsi="宋体" w:eastAsia="宋体" w:cs="宋体"/>
          <w:bCs/>
          <w:color w:val="auto"/>
          <w:sz w:val="24"/>
          <w:szCs w:val="24"/>
          <w:highlight w:val="none"/>
          <w:u w:val="single"/>
        </w:rPr>
      </w:pPr>
      <w:r>
        <w:rPr>
          <w:rFonts w:ascii="宋体" w:hAnsi="宋体" w:eastAsia="宋体" w:cs="宋体"/>
          <w:color w:val="auto"/>
          <w:sz w:val="24"/>
          <w:highlight w:val="none"/>
        </w:rPr>
        <w:t>委托人：</w:t>
      </w:r>
    </w:p>
    <w:p w14:paraId="27626B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w:t>
      </w:r>
    </w:p>
    <w:p w14:paraId="160561CA">
      <w:pP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依据国家有关法律、法规，（以下简称委托人）委托（以下简称</w:t>
      </w:r>
      <w:r>
        <w:rPr>
          <w:rFonts w:hint="eastAsia" w:ascii="宋体" w:hAnsi="宋体" w:eastAsia="宋体" w:cs="宋体"/>
          <w:color w:val="auto"/>
          <w:sz w:val="24"/>
          <w:highlight w:val="none"/>
          <w:u w:val="single"/>
        </w:rPr>
        <w:t>监理人</w:t>
      </w:r>
      <w:r>
        <w:rPr>
          <w:rFonts w:hint="eastAsia" w:ascii="宋体" w:hAnsi="宋体" w:eastAsia="宋体" w:cs="宋体"/>
          <w:color w:val="auto"/>
          <w:sz w:val="24"/>
          <w:highlight w:val="none"/>
        </w:rPr>
        <w:t>）提供监理服务，经双方协商一致，订立本合同。</w:t>
      </w:r>
    </w:p>
    <w:p w14:paraId="58BBD27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一、工程概况</w:t>
      </w:r>
    </w:p>
    <w:p w14:paraId="070B923D">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1、工程名称：</w:t>
      </w:r>
    </w:p>
    <w:p w14:paraId="0D61A8A7">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2、建设地点：</w:t>
      </w:r>
    </w:p>
    <w:p w14:paraId="59096FAD">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3、工程等别（级）：</w:t>
      </w:r>
    </w:p>
    <w:p w14:paraId="133C01D4">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4、工程总投资(人民币，下同)：</w:t>
      </w:r>
    </w:p>
    <w:p w14:paraId="0D445532">
      <w:pPr>
        <w:spacing w:line="360" w:lineRule="auto"/>
        <w:ind w:firstLine="720" w:firstLineChars="3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5、工期：</w:t>
      </w:r>
    </w:p>
    <w:p w14:paraId="4FACD6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二、监理范围</w:t>
      </w:r>
    </w:p>
    <w:p w14:paraId="798B208A">
      <w:pPr>
        <w:spacing w:line="360" w:lineRule="auto"/>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1、监理项目名称：</w:t>
      </w:r>
    </w:p>
    <w:p w14:paraId="5CB0CCB0">
      <w:pPr>
        <w:spacing w:line="360" w:lineRule="auto"/>
        <w:ind w:firstLine="616" w:firstLineChars="257"/>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2、监理项目内容及主要特性参数：</w:t>
      </w:r>
    </w:p>
    <w:p w14:paraId="40BDE7CE">
      <w:pPr>
        <w:spacing w:line="360" w:lineRule="auto"/>
        <w:ind w:firstLine="616" w:firstLineChars="257"/>
        <w:rPr>
          <w:rFonts w:hint="eastAsia" w:ascii="宋体" w:hAnsi="宋体" w:eastAsia="宋体" w:cs="宋体"/>
          <w:color w:val="auto"/>
          <w:sz w:val="24"/>
          <w:highlight w:val="none"/>
        </w:rPr>
      </w:pPr>
      <w:r>
        <w:rPr>
          <w:rFonts w:hint="eastAsia" w:ascii="宋体" w:hAnsi="宋体" w:eastAsia="宋体" w:cs="宋体"/>
          <w:color w:val="auto"/>
          <w:sz w:val="24"/>
          <w:highlight w:val="none"/>
        </w:rPr>
        <w:t>3、监理阶段：</w:t>
      </w:r>
      <w:r>
        <w:rPr>
          <w:rFonts w:hint="eastAsia" w:ascii="宋体" w:hAnsi="宋体" w:eastAsia="宋体" w:cs="宋体"/>
          <w:color w:val="auto"/>
          <w:sz w:val="24"/>
          <w:highlight w:val="none"/>
          <w:u w:val="single"/>
        </w:rPr>
        <w:t>施工准备阶段、施工阶段及保修阶段</w:t>
      </w:r>
    </w:p>
    <w:p w14:paraId="654515D3">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三、监理服务内容、期限</w:t>
      </w:r>
    </w:p>
    <w:p w14:paraId="0A7CE77F">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1、监理服务内容：按专用合同条款约定。</w:t>
      </w:r>
    </w:p>
    <w:p w14:paraId="039AD4E0">
      <w:pPr>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sz w:val="24"/>
          <w:highlight w:val="none"/>
        </w:rPr>
        <w:t>2、监理服务期限：自签订合同之日起至工程质量保修期满之日止。</w:t>
      </w:r>
    </w:p>
    <w:p w14:paraId="094836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四、监理服务酬金及支付方式</w:t>
      </w:r>
    </w:p>
    <w:p w14:paraId="6FE049F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4.1监理正常服务酬金</w:t>
      </w:r>
      <w:r>
        <w:rPr>
          <w:rFonts w:hint="eastAsia" w:ascii="宋体" w:hAnsi="宋体" w:eastAsia="宋体" w:cs="宋体"/>
          <w:b/>
          <w:color w:val="auto"/>
          <w:sz w:val="24"/>
          <w:highlight w:val="none"/>
        </w:rPr>
        <w:t>暂定</w:t>
      </w:r>
      <w:r>
        <w:rPr>
          <w:rFonts w:hint="eastAsia" w:ascii="宋体" w:hAnsi="宋体" w:eastAsia="宋体" w:cs="宋体"/>
          <w:color w:val="auto"/>
          <w:sz w:val="24"/>
          <w:highlight w:val="none"/>
        </w:rPr>
        <w:t>为（大写）（小写：￥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。最终以审定的工程概算中的</w:t>
      </w:r>
      <w:r>
        <w:rPr>
          <w:rFonts w:hint="eastAsia" w:ascii="宋体" w:hAnsi="宋体" w:eastAsia="宋体" w:cs="宋体"/>
          <w:b/>
          <w:color w:val="auto"/>
          <w:sz w:val="24"/>
          <w:highlight w:val="none"/>
        </w:rPr>
        <w:t>建筑安装工程费</w:t>
      </w:r>
      <w:r>
        <w:rPr>
          <w:rFonts w:hint="eastAsia" w:ascii="宋体" w:hAnsi="宋体" w:eastAsia="宋体" w:cs="宋体"/>
          <w:color w:val="auto"/>
          <w:sz w:val="24"/>
          <w:highlight w:val="none"/>
        </w:rPr>
        <w:t>为计费额，</w:t>
      </w:r>
      <w:r>
        <w:rPr>
          <w:rFonts w:hint="eastAsia" w:ascii="宋体" w:hAnsi="宋体" w:eastAsia="宋体" w:cs="宋体"/>
          <w:color w:val="auto"/>
          <w:sz w:val="24"/>
          <w:highlight w:val="none"/>
          <w:lang w:eastAsia="zh-CN"/>
        </w:rPr>
        <w:t>参照</w:t>
      </w:r>
      <w:r>
        <w:rPr>
          <w:rFonts w:hint="eastAsia" w:ascii="宋体" w:hAnsi="宋体" w:eastAsia="宋体" w:cs="宋体"/>
          <w:color w:val="auto"/>
          <w:sz w:val="24"/>
          <w:highlight w:val="none"/>
        </w:rPr>
        <w:t>《建设工程监理与相关服务收费标准》（发改价格[2007]670号）计算，并下浮（中标下浮率）执行。</w:t>
      </w:r>
    </w:p>
    <w:p w14:paraId="60DA7B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4.2监理费的支付方式</w:t>
      </w:r>
    </w:p>
    <w:p w14:paraId="3E04EA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委托人按专用合同条款约定的方式、时间向监理人支付。但发生合同变更或终止情形时，监理服务合同金额及支付方式按合同专用条款约定执行。</w:t>
      </w:r>
    </w:p>
    <w:p w14:paraId="4B53A79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五、监理合同的组成文件及解释顺序</w:t>
      </w:r>
    </w:p>
    <w:p w14:paraId="3EF8090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构成合同的文件被认为是互为说明的，如果在文件中出现歧义或不一致时，则根据如下次序来判断：</w:t>
      </w:r>
    </w:p>
    <w:p w14:paraId="0029D386">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1、监理合同书(含补充协议)；</w:t>
      </w:r>
    </w:p>
    <w:p w14:paraId="32396075">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2、中标通知书；</w:t>
      </w:r>
    </w:p>
    <w:p w14:paraId="50D094DE">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3、专用合同条款；</w:t>
      </w:r>
    </w:p>
    <w:p w14:paraId="38D13347">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4、通用合同条款；</w:t>
      </w:r>
    </w:p>
    <w:p w14:paraId="3225842A">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5、监理大纲；</w:t>
      </w:r>
    </w:p>
    <w:p w14:paraId="1EF24002">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6、双方确认需进入合同的其他文件。</w:t>
      </w:r>
    </w:p>
    <w:p w14:paraId="7B854635">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六、本合同书经双方法定代表人或其授权代表人签名并加盖本单位公章后生效。</w:t>
      </w:r>
    </w:p>
    <w:p w14:paraId="685BD2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七、本合同书正本一式</w:t>
      </w:r>
      <w:r>
        <w:rPr>
          <w:rFonts w:hint="eastAsia" w:ascii="宋体" w:hAnsi="宋体" w:eastAsia="宋体" w:cs="宋体"/>
          <w:color w:val="auto"/>
          <w:sz w:val="24"/>
          <w:highlight w:val="none"/>
          <w:u w:val="single"/>
        </w:rPr>
        <w:t>叁</w:t>
      </w:r>
      <w:r>
        <w:rPr>
          <w:rFonts w:hint="eastAsia" w:ascii="宋体" w:hAnsi="宋体" w:eastAsia="宋体" w:cs="宋体"/>
          <w:color w:val="auto"/>
          <w:sz w:val="24"/>
          <w:highlight w:val="none"/>
        </w:rPr>
        <w:t>份签约各方各执</w:t>
      </w:r>
      <w:r>
        <w:rPr>
          <w:rFonts w:hint="eastAsia" w:ascii="宋体" w:hAnsi="宋体" w:eastAsia="宋体" w:cs="宋体"/>
          <w:color w:val="auto"/>
          <w:sz w:val="24"/>
          <w:highlight w:val="none"/>
          <w:u w:val="single"/>
        </w:rPr>
        <w:t>壹</w:t>
      </w:r>
      <w:r>
        <w:rPr>
          <w:rFonts w:hint="eastAsia" w:ascii="宋体" w:hAnsi="宋体" w:eastAsia="宋体" w:cs="宋体"/>
          <w:color w:val="auto"/>
          <w:sz w:val="24"/>
          <w:highlight w:val="none"/>
        </w:rPr>
        <w:t>份，具有同等法律效力；副本</w:t>
      </w:r>
      <w:r>
        <w:rPr>
          <w:rFonts w:hint="eastAsia" w:ascii="宋体" w:hAnsi="宋体" w:eastAsia="宋体" w:cs="宋体"/>
          <w:color w:val="auto"/>
          <w:sz w:val="24"/>
          <w:highlight w:val="none"/>
          <w:u w:val="single"/>
        </w:rPr>
        <w:t>玖</w:t>
      </w:r>
      <w:r>
        <w:rPr>
          <w:rFonts w:hint="eastAsia" w:ascii="宋体" w:hAnsi="宋体" w:eastAsia="宋体" w:cs="宋体"/>
          <w:color w:val="auto"/>
          <w:sz w:val="24"/>
          <w:highlight w:val="none"/>
        </w:rPr>
        <w:t>份，签约各方各执</w:t>
      </w:r>
      <w:r>
        <w:rPr>
          <w:rFonts w:hint="eastAsia" w:ascii="宋体" w:hAnsi="宋体" w:eastAsia="宋体" w:cs="宋体"/>
          <w:color w:val="auto"/>
          <w:sz w:val="24"/>
          <w:highlight w:val="none"/>
          <w:u w:val="single"/>
        </w:rPr>
        <w:t>叁</w:t>
      </w:r>
      <w:r>
        <w:rPr>
          <w:rFonts w:hint="eastAsia" w:ascii="宋体" w:hAnsi="宋体" w:eastAsia="宋体" w:cs="宋体"/>
          <w:color w:val="auto"/>
          <w:sz w:val="24"/>
          <w:highlight w:val="none"/>
        </w:rPr>
        <w:t>份。（以下无正文）</w:t>
      </w:r>
    </w:p>
    <w:p w14:paraId="47C8BF5D">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24"/>
          <w:highlight w:val="none"/>
        </w:rPr>
        <w:t xml:space="preserve">发包人(建设单位)：                     </w:t>
      </w:r>
    </w:p>
    <w:p w14:paraId="721822BB">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公章) </w:t>
      </w:r>
    </w:p>
    <w:p w14:paraId="669194EB">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负 责 人：　　　　　　　　　　             　　　　　　　　</w:t>
      </w:r>
    </w:p>
    <w:p w14:paraId="5602C9F1">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委托代表人：                               </w:t>
      </w:r>
    </w:p>
    <w:p w14:paraId="43CC21C7">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联 系 人：                                          </w:t>
      </w:r>
    </w:p>
    <w:p w14:paraId="2A8A4880">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地    址：　　　　　　　　　　            　       　</w:t>
      </w:r>
    </w:p>
    <w:p w14:paraId="35222FFC">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　　　　　　　　　　　          　　　　　　　　</w:t>
      </w:r>
    </w:p>
    <w:p w14:paraId="5A6312F1">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传    真：　　　　　　　　　　　　         　　　　　　　　　　　　　　　</w:t>
      </w:r>
    </w:p>
    <w:p w14:paraId="27BDE9A6">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邮政编码：　　　　　　　　　　　           </w:t>
      </w:r>
    </w:p>
    <w:p w14:paraId="1ECFDDAB">
      <w:pPr>
        <w:spacing w:line="360" w:lineRule="auto"/>
        <w:ind w:right="31" w:rightChars="15"/>
        <w:rPr>
          <w:rFonts w:hint="eastAsia" w:ascii="宋体" w:hAnsi="宋体" w:eastAsia="宋体" w:cs="宋体"/>
          <w:b/>
          <w:color w:val="auto"/>
          <w:sz w:val="24"/>
          <w:highlight w:val="none"/>
        </w:rPr>
      </w:pPr>
    </w:p>
    <w:p w14:paraId="69349603">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监理人:</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rPr>
        <w:t xml:space="preserve">公章)                                                                                                                                               </w:t>
      </w:r>
    </w:p>
    <w:p w14:paraId="097FB840">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法人代表：　　　　　　　</w:t>
      </w:r>
    </w:p>
    <w:p w14:paraId="022AE688">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委托代表人：  </w:t>
      </w:r>
    </w:p>
    <w:p w14:paraId="5C7F83AE">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联 系 人：           </w:t>
      </w:r>
    </w:p>
    <w:p w14:paraId="5CC906AF">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地    址：　　       　</w:t>
      </w:r>
    </w:p>
    <w:p w14:paraId="2D3CEBFC">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联系电话：　　　　　　　　　</w:t>
      </w:r>
    </w:p>
    <w:p w14:paraId="16B5A817">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传     真：　　　　　　　　　　　　　　　　　</w:t>
      </w:r>
    </w:p>
    <w:p w14:paraId="3352C9C8">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 户 银行：　</w:t>
      </w:r>
    </w:p>
    <w:p w14:paraId="0EA8FF99">
      <w:pPr>
        <w:spacing w:line="360" w:lineRule="auto"/>
        <w:ind w:right="31" w:rightChars="1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帐      号：</w:t>
      </w:r>
    </w:p>
    <w:p w14:paraId="680432B4">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邮 政 编码：　　　</w:t>
      </w:r>
    </w:p>
    <w:p w14:paraId="1A4FDAD4">
      <w:pPr>
        <w:spacing w:line="360" w:lineRule="auto"/>
        <w:rPr>
          <w:rFonts w:hint="eastAsia" w:ascii="宋体" w:hAnsi="宋体" w:eastAsia="宋体" w:cs="宋体"/>
          <w:color w:val="auto"/>
          <w:sz w:val="24"/>
          <w:highlight w:val="none"/>
        </w:rPr>
      </w:pPr>
    </w:p>
    <w:p w14:paraId="58847B80">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签订地点</w:t>
      </w:r>
      <w:r>
        <w:rPr>
          <w:rFonts w:hint="eastAsia" w:ascii="宋体" w:hAnsi="宋体" w:eastAsia="宋体" w:cs="宋体"/>
          <w:b/>
          <w:bCs/>
          <w:color w:val="auto"/>
          <w:sz w:val="24"/>
          <w:highlight w:val="none"/>
        </w:rPr>
        <w:t>：广州市南沙区</w:t>
      </w:r>
    </w:p>
    <w:p w14:paraId="315B95C8">
      <w:pPr>
        <w:spacing w:line="360" w:lineRule="auto"/>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签订时间</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w:t>
      </w:r>
    </w:p>
    <w:p w14:paraId="311DFF4C">
      <w:pPr>
        <w:spacing w:line="360" w:lineRule="auto"/>
        <w:jc w:val="center"/>
        <w:outlineLvl w:val="0"/>
        <w:rPr>
          <w:rFonts w:hint="eastAsia" w:ascii="宋体" w:hAnsi="宋体" w:eastAsia="宋体" w:cs="宋体"/>
          <w:b/>
          <w:bCs/>
          <w:color w:val="auto"/>
          <w:sz w:val="24"/>
          <w:highlight w:val="none"/>
        </w:rPr>
      </w:pPr>
    </w:p>
    <w:p w14:paraId="7251BC96">
      <w:pPr>
        <w:spacing w:line="360" w:lineRule="auto"/>
        <w:jc w:val="center"/>
        <w:outlineLvl w:val="0"/>
        <w:rPr>
          <w:rFonts w:hint="eastAsia" w:ascii="宋体" w:hAnsi="宋体" w:eastAsia="宋体" w:cs="宋体"/>
          <w:b/>
          <w:bCs/>
          <w:color w:val="auto"/>
          <w:sz w:val="24"/>
          <w:highlight w:val="none"/>
        </w:rPr>
      </w:pPr>
    </w:p>
    <w:p w14:paraId="46A0D395">
      <w:pPr>
        <w:spacing w:line="360" w:lineRule="auto"/>
        <w:jc w:val="center"/>
        <w:outlineLvl w:val="0"/>
        <w:rPr>
          <w:rFonts w:hint="eastAsia" w:ascii="宋体" w:hAnsi="宋体" w:eastAsia="宋体" w:cs="宋体"/>
          <w:b/>
          <w:bCs/>
          <w:color w:val="auto"/>
          <w:sz w:val="24"/>
          <w:highlight w:val="none"/>
        </w:rPr>
      </w:pPr>
    </w:p>
    <w:p w14:paraId="3B59457F">
      <w:pPr>
        <w:spacing w:line="360" w:lineRule="auto"/>
        <w:jc w:val="center"/>
        <w:outlineLvl w:val="0"/>
        <w:rPr>
          <w:rFonts w:hint="eastAsia" w:ascii="宋体" w:hAnsi="宋体" w:eastAsia="宋体" w:cs="宋体"/>
          <w:b/>
          <w:bCs/>
          <w:color w:val="auto"/>
          <w:sz w:val="24"/>
          <w:highlight w:val="none"/>
        </w:rPr>
      </w:pPr>
    </w:p>
    <w:p w14:paraId="7A3E4A85">
      <w:pPr>
        <w:spacing w:line="360" w:lineRule="auto"/>
        <w:jc w:val="center"/>
        <w:outlineLvl w:val="0"/>
        <w:rPr>
          <w:rFonts w:hint="eastAsia" w:ascii="宋体" w:hAnsi="宋体" w:eastAsia="宋体" w:cs="宋体"/>
          <w:b/>
          <w:bCs/>
          <w:color w:val="auto"/>
          <w:sz w:val="24"/>
          <w:highlight w:val="none"/>
        </w:rPr>
      </w:pPr>
    </w:p>
    <w:p w14:paraId="35E26474">
      <w:pPr>
        <w:spacing w:line="360" w:lineRule="auto"/>
        <w:jc w:val="center"/>
        <w:outlineLvl w:val="0"/>
        <w:rPr>
          <w:rFonts w:hint="eastAsia" w:ascii="宋体" w:hAnsi="宋体" w:eastAsia="宋体" w:cs="宋体"/>
          <w:b/>
          <w:bCs/>
          <w:color w:val="auto"/>
          <w:sz w:val="24"/>
          <w:highlight w:val="none"/>
        </w:rPr>
      </w:pPr>
    </w:p>
    <w:p w14:paraId="630B8965">
      <w:pPr>
        <w:spacing w:line="360" w:lineRule="auto"/>
        <w:jc w:val="center"/>
        <w:outlineLvl w:val="0"/>
        <w:rPr>
          <w:rFonts w:hint="eastAsia" w:ascii="宋体" w:hAnsi="宋体" w:eastAsia="宋体" w:cs="宋体"/>
          <w:color w:val="auto"/>
          <w:spacing w:val="40"/>
          <w:highlight w:val="none"/>
        </w:rPr>
      </w:pPr>
    </w:p>
    <w:p w14:paraId="34F1B0B4">
      <w:pP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color w:val="auto"/>
          <w:spacing w:val="40"/>
          <w:highlight w:val="none"/>
        </w:rPr>
        <w:t>（附件：发包通知书复印件）</w:t>
      </w:r>
      <w:r>
        <w:rPr>
          <w:rFonts w:hint="eastAsia" w:ascii="宋体" w:hAnsi="宋体" w:eastAsia="宋体" w:cs="宋体"/>
          <w:b/>
          <w:bCs/>
          <w:color w:val="auto"/>
          <w:sz w:val="24"/>
          <w:highlight w:val="none"/>
        </w:rPr>
        <w:br w:type="column"/>
      </w:r>
      <w:r>
        <w:rPr>
          <w:rFonts w:hint="eastAsia" w:ascii="宋体" w:hAnsi="宋体" w:eastAsia="宋体" w:cs="宋体"/>
          <w:b/>
          <w:bCs/>
          <w:color w:val="auto"/>
          <w:sz w:val="24"/>
          <w:highlight w:val="none"/>
        </w:rPr>
        <w:t>第一部分通用合同条款</w:t>
      </w:r>
    </w:p>
    <w:p w14:paraId="197F1D3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词语涵义及适用语言</w:t>
      </w:r>
    </w:p>
    <w:p w14:paraId="7E90EA9F">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第一条</w:t>
      </w:r>
      <w:r>
        <w:rPr>
          <w:rFonts w:hint="eastAsia" w:ascii="宋体" w:hAnsi="宋体" w:eastAsia="宋体" w:cs="宋体"/>
          <w:color w:val="auto"/>
          <w:sz w:val="24"/>
          <w:highlight w:val="none"/>
        </w:rPr>
        <w:t>下列名词和用语，除上下文另有约定外，具有本条所赋予的涵义：</w:t>
      </w:r>
    </w:p>
    <w:p w14:paraId="45669C7E">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一、“委托人“指承担工程建设项目直接建设管理责任，委托监理业务的法人或其合法继承人。</w:t>
      </w:r>
    </w:p>
    <w:p w14:paraId="78B2E67F">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二、“监理人“指受委托人委托，提供监理服务的法人或其合法继承人。</w:t>
      </w:r>
    </w:p>
    <w:p w14:paraId="0035965F">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三、“承包人“指与委托人(发包人)签订了施工合同，承担工程施工的法人或其合法继承人。</w:t>
      </w:r>
    </w:p>
    <w:p w14:paraId="6B3116F7">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四、“监理机构“指监理人派驻工程现场直接开展监理业务的组织，由总监理工程师、监理工程师和监理员以及其他人员组成。</w:t>
      </w:r>
    </w:p>
    <w:p w14:paraId="707EAC56">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五、“监理项目“是指委托人委托监理人实施建设监理的工程建设项目。</w:t>
      </w:r>
    </w:p>
    <w:p w14:paraId="79DDAEC7">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六、“服务“是指监理人根据监理合同约定所承担的各项工作，包括正常服务和附加服务。</w:t>
      </w:r>
    </w:p>
    <w:p w14:paraId="363DED42">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七、“正常服务“指监理人按照合同约定的监理范围、内容和期限所提供的服务。</w:t>
      </w:r>
    </w:p>
    <w:p w14:paraId="22523636">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八、“附加服务“指监理人为委托人提供正常服务以外的服务。</w:t>
      </w:r>
    </w:p>
    <w:p w14:paraId="76A5710E">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九、“服务酬金“指本合同中监理人完成“正常服务“、“附加服务“应得到的正常服务酬金和附加服务酬金。</w:t>
      </w:r>
    </w:p>
    <w:p w14:paraId="267D67CA">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十、“天“指日历天。</w:t>
      </w:r>
    </w:p>
    <w:p w14:paraId="3708BB7E">
      <w:pPr>
        <w:tabs>
          <w:tab w:val="left" w:pos="-180"/>
        </w:tabs>
        <w:spacing w:line="360" w:lineRule="auto"/>
        <w:ind w:firstLine="480" w:firstLineChars="200"/>
        <w:rPr>
          <w:rFonts w:hint="eastAsia" w:ascii="宋体" w:hAnsi="宋体" w:eastAsia="宋体" w:cs="宋体"/>
          <w:color w:val="auto"/>
          <w:sz w:val="24"/>
          <w:highlight w:val="none"/>
          <w:shd w:val="pct10" w:color="auto" w:fill="FFFFFF"/>
        </w:rPr>
      </w:pPr>
      <w:r>
        <w:rPr>
          <w:rFonts w:hint="eastAsia" w:ascii="宋体" w:hAnsi="宋体" w:eastAsia="宋体" w:cs="宋体"/>
          <w:color w:val="auto"/>
          <w:sz w:val="24"/>
          <w:highlight w:val="none"/>
        </w:rPr>
        <w:t>十一、“现场“指监理项目实施的场所。</w:t>
      </w:r>
    </w:p>
    <w:p w14:paraId="14161BF5">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第二条</w:t>
      </w:r>
      <w:r>
        <w:rPr>
          <w:rFonts w:hint="eastAsia" w:ascii="宋体" w:hAnsi="宋体" w:eastAsia="宋体" w:cs="宋体"/>
          <w:color w:val="auto"/>
          <w:sz w:val="24"/>
          <w:highlight w:val="none"/>
        </w:rPr>
        <w:t>本合同适用的语言文字为汉语文字。</w:t>
      </w:r>
    </w:p>
    <w:p w14:paraId="76971218">
      <w:pPr>
        <w:tabs>
          <w:tab w:val="left" w:pos="-180"/>
        </w:tabs>
        <w:spacing w:line="360" w:lineRule="auto"/>
        <w:rPr>
          <w:rFonts w:hint="eastAsia" w:ascii="宋体" w:hAnsi="宋体" w:eastAsia="宋体" w:cs="宋体"/>
          <w:color w:val="auto"/>
          <w:sz w:val="24"/>
          <w:highlight w:val="none"/>
        </w:rPr>
      </w:pPr>
    </w:p>
    <w:p w14:paraId="4514421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监理依据</w:t>
      </w:r>
    </w:p>
    <w:p w14:paraId="0C48021E">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第三条</w:t>
      </w:r>
      <w:r>
        <w:rPr>
          <w:rFonts w:hint="eastAsia" w:ascii="宋体" w:hAnsi="宋体" w:eastAsia="宋体" w:cs="宋体"/>
          <w:color w:val="auto"/>
          <w:sz w:val="24"/>
          <w:highlight w:val="none"/>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14:paraId="262633E5">
      <w:pPr>
        <w:tabs>
          <w:tab w:val="left" w:pos="-180"/>
        </w:tabs>
        <w:spacing w:line="360" w:lineRule="auto"/>
        <w:ind w:firstLine="800" w:firstLineChars="200"/>
        <w:rPr>
          <w:rFonts w:hint="eastAsia" w:ascii="宋体" w:hAnsi="宋体" w:eastAsia="宋体" w:cs="宋体"/>
          <w:color w:val="auto"/>
          <w:spacing w:val="80"/>
          <w:sz w:val="24"/>
          <w:highlight w:val="none"/>
        </w:rPr>
      </w:pPr>
    </w:p>
    <w:p w14:paraId="4D44DBB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通知和联系</w:t>
      </w:r>
    </w:p>
    <w:p w14:paraId="56E44C88">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第四条</w:t>
      </w:r>
      <w:r>
        <w:rPr>
          <w:rFonts w:hint="eastAsia" w:ascii="宋体" w:hAnsi="宋体" w:eastAsia="宋体" w:cs="宋体"/>
          <w:color w:val="auto"/>
          <w:sz w:val="24"/>
          <w:highlight w:val="none"/>
        </w:rPr>
        <w:t>委托人应指定一名联系人，负责与监理机构联系。更换联系人时，应提前通知监理人。</w:t>
      </w:r>
    </w:p>
    <w:p w14:paraId="3CF8A21E">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第五条</w:t>
      </w:r>
      <w:r>
        <w:rPr>
          <w:rFonts w:hint="eastAsia" w:ascii="宋体" w:hAnsi="宋体" w:eastAsia="宋体" w:cs="宋体"/>
          <w:color w:val="auto"/>
          <w:sz w:val="24"/>
          <w:highlight w:val="none"/>
        </w:rPr>
        <w:t>在监理合同实施过程中，双方的联系均应以书面函件为准。在不做出紧急处理即可能导致安全、质量事故的情况下，可先以口头形式通知，并在48小时内补做书面通知。</w:t>
      </w:r>
    </w:p>
    <w:p w14:paraId="1A19946A">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第六条</w:t>
      </w:r>
      <w:r>
        <w:rPr>
          <w:rFonts w:hint="eastAsia" w:ascii="宋体" w:hAnsi="宋体" w:eastAsia="宋体" w:cs="宋体"/>
          <w:color w:val="auto"/>
          <w:sz w:val="24"/>
          <w:highlight w:val="none"/>
        </w:rPr>
        <w:t>委托人对委托监理范围内工程项目实施的意见和决策，应通过监理机构下达，法律、法规另有规定的除外。</w:t>
      </w:r>
    </w:p>
    <w:p w14:paraId="022EF08D">
      <w:pPr>
        <w:tabs>
          <w:tab w:val="left" w:pos="-180"/>
        </w:tabs>
        <w:spacing w:line="360" w:lineRule="auto"/>
        <w:ind w:firstLine="480" w:firstLineChars="200"/>
        <w:rPr>
          <w:rFonts w:hint="eastAsia" w:ascii="宋体" w:hAnsi="宋体" w:eastAsia="宋体" w:cs="宋体"/>
          <w:color w:val="auto"/>
          <w:sz w:val="24"/>
          <w:highlight w:val="none"/>
        </w:rPr>
      </w:pPr>
    </w:p>
    <w:p w14:paraId="38B7AB7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委托人的权利</w:t>
      </w:r>
    </w:p>
    <w:p w14:paraId="2641E5D3">
      <w:pPr>
        <w:numPr>
          <w:ilvl w:val="0"/>
          <w:numId w:val="1"/>
        </w:numPr>
        <w:tabs>
          <w:tab w:val="left" w:pos="-18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委托人享有如下权利：</w:t>
      </w:r>
    </w:p>
    <w:p w14:paraId="605A2801">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一、对监理工作进行监督、检查，并提出撤换不能胜任监理工作人员的建议或要求；</w:t>
      </w:r>
    </w:p>
    <w:p w14:paraId="1AE64376">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color w:val="auto"/>
          <w:sz w:val="24"/>
          <w:highlight w:val="none"/>
        </w:rPr>
        <w:t>对工程建设中质量、安全、投资、进度方面的重大问题的决策权；</w:t>
      </w:r>
    </w:p>
    <w:p w14:paraId="48B76B30">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三、</w:t>
      </w:r>
      <w:r>
        <w:rPr>
          <w:rFonts w:hint="eastAsia" w:ascii="宋体" w:hAnsi="宋体" w:eastAsia="宋体" w:cs="宋体"/>
          <w:bCs/>
          <w:color w:val="auto"/>
          <w:sz w:val="24"/>
          <w:highlight w:val="none"/>
        </w:rPr>
        <w:t>核定监理人签发的工程计量、付款凭证</w:t>
      </w:r>
      <w:r>
        <w:rPr>
          <w:rFonts w:hint="eastAsia" w:ascii="宋体" w:hAnsi="宋体" w:eastAsia="宋体" w:cs="宋体"/>
          <w:color w:val="auto"/>
          <w:sz w:val="24"/>
          <w:highlight w:val="none"/>
        </w:rPr>
        <w:t>；</w:t>
      </w:r>
    </w:p>
    <w:p w14:paraId="54F772EB">
      <w:pPr>
        <w:tabs>
          <w:tab w:val="left" w:pos="-180"/>
        </w:tabs>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四、要求监理人提交监理月报、监理专题报告、监理工作报告和监理工作总结报告；</w:t>
      </w:r>
    </w:p>
    <w:p w14:paraId="2C64359A">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w:t>
      </w:r>
      <w:r>
        <w:rPr>
          <w:rFonts w:hint="eastAsia" w:ascii="宋体" w:hAnsi="宋体" w:eastAsia="宋体" w:cs="宋体"/>
          <w:bCs/>
          <w:color w:val="auto"/>
          <w:sz w:val="24"/>
          <w:highlight w:val="none"/>
        </w:rPr>
        <w:t>当</w:t>
      </w:r>
      <w:r>
        <w:rPr>
          <w:rFonts w:hint="eastAsia" w:ascii="宋体" w:hAnsi="宋体" w:eastAsia="宋体" w:cs="宋体"/>
          <w:color w:val="auto"/>
          <w:sz w:val="24"/>
          <w:highlight w:val="none"/>
        </w:rPr>
        <w:t>监理人发生本合同专用条款约定的违约情形时，有权解除本合同。</w:t>
      </w:r>
    </w:p>
    <w:p w14:paraId="63AAE1B8">
      <w:pPr>
        <w:tabs>
          <w:tab w:val="left" w:pos="-180"/>
        </w:tabs>
        <w:spacing w:line="360" w:lineRule="auto"/>
        <w:ind w:firstLine="482" w:firstLineChars="200"/>
        <w:rPr>
          <w:rFonts w:hint="eastAsia" w:ascii="宋体" w:hAnsi="宋体" w:eastAsia="宋体" w:cs="宋体"/>
          <w:b/>
          <w:color w:val="auto"/>
          <w:sz w:val="24"/>
          <w:highlight w:val="none"/>
        </w:rPr>
      </w:pPr>
    </w:p>
    <w:p w14:paraId="3844515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监理人的权利</w:t>
      </w:r>
    </w:p>
    <w:p w14:paraId="0884404E">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第八条</w:t>
      </w:r>
      <w:r>
        <w:rPr>
          <w:rFonts w:hint="eastAsia" w:ascii="宋体" w:hAnsi="宋体" w:eastAsia="宋体" w:cs="宋体"/>
          <w:color w:val="auto"/>
          <w:sz w:val="24"/>
          <w:highlight w:val="none"/>
        </w:rPr>
        <w:t>委托人赋予监理人如下权利：</w:t>
      </w:r>
    </w:p>
    <w:p w14:paraId="08234CE3">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一、审查承包人拟选择的分包项目和分包人，报委托人批准；</w:t>
      </w:r>
    </w:p>
    <w:p w14:paraId="6D0E508C">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二、审查承包人提交的施工组织设计、安全技术措施及专项施工方案等各类文件；</w:t>
      </w:r>
    </w:p>
    <w:p w14:paraId="694E5EA2">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三、核查并签发施工图纸；</w:t>
      </w:r>
    </w:p>
    <w:p w14:paraId="71D2EBB0">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四、签发合同项目开工令、暂停施工</w:t>
      </w:r>
      <w:r>
        <w:rPr>
          <w:rFonts w:hint="eastAsia" w:ascii="宋体" w:hAnsi="宋体" w:eastAsia="宋体" w:cs="宋体"/>
          <w:color w:val="auto"/>
          <w:sz w:val="24"/>
          <w:highlight w:val="none"/>
          <w:shd w:val="clear" w:color="auto" w:fill="FFFFFF"/>
        </w:rPr>
        <w:t>指示</w:t>
      </w:r>
      <w:r>
        <w:rPr>
          <w:rFonts w:hint="eastAsia" w:ascii="宋体" w:hAnsi="宋体" w:eastAsia="宋体" w:cs="宋体"/>
          <w:color w:val="auto"/>
          <w:sz w:val="24"/>
          <w:highlight w:val="none"/>
        </w:rPr>
        <w:t>，但应事先征得委托人同意；并</w:t>
      </w:r>
      <w:r>
        <w:rPr>
          <w:rFonts w:hint="eastAsia" w:ascii="宋体" w:hAnsi="宋体" w:eastAsia="宋体" w:cs="宋体"/>
          <w:color w:val="auto"/>
          <w:sz w:val="24"/>
          <w:highlight w:val="none"/>
          <w:shd w:val="clear" w:color="auto" w:fill="FFFFFF"/>
        </w:rPr>
        <w:t>签发</w:t>
      </w:r>
      <w:r>
        <w:rPr>
          <w:rFonts w:hint="eastAsia" w:ascii="宋体" w:hAnsi="宋体" w:eastAsia="宋体" w:cs="宋体"/>
          <w:color w:val="auto"/>
          <w:sz w:val="24"/>
          <w:highlight w:val="none"/>
        </w:rPr>
        <w:t>通知、指示、批复、签认等各种文件；</w:t>
      </w:r>
    </w:p>
    <w:p w14:paraId="7AC9636E">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五、审核和签发工程计量、付款凭证；</w:t>
      </w:r>
    </w:p>
    <w:p w14:paraId="73DF7BF5">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六、核查承包人现场工作人员数量及相应岗位资格，有权要求承包人撤换不称职的现场工作人员；</w:t>
      </w:r>
    </w:p>
    <w:p w14:paraId="25841D37">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七、发现承包人使用的施工设备影响工程质量或进度时，有权要求承包人增加或更换施工设备；</w:t>
      </w:r>
    </w:p>
    <w:p w14:paraId="6A19434C">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八、专用合同条款约定的其他权利。</w:t>
      </w:r>
    </w:p>
    <w:p w14:paraId="46F91469">
      <w:pPr>
        <w:tabs>
          <w:tab w:val="left" w:pos="-180"/>
        </w:tabs>
        <w:spacing w:line="360" w:lineRule="auto"/>
        <w:ind w:firstLine="480" w:firstLineChars="200"/>
        <w:rPr>
          <w:rFonts w:hint="eastAsia" w:ascii="宋体" w:hAnsi="宋体" w:eastAsia="宋体" w:cs="宋体"/>
          <w:color w:val="auto"/>
          <w:sz w:val="24"/>
          <w:highlight w:val="none"/>
        </w:rPr>
      </w:pPr>
    </w:p>
    <w:p w14:paraId="6F7E1A2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委托人的义务</w:t>
      </w:r>
    </w:p>
    <w:p w14:paraId="1C578FD4">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第九条</w:t>
      </w:r>
      <w:r>
        <w:rPr>
          <w:rFonts w:hint="eastAsia" w:ascii="宋体" w:hAnsi="宋体" w:eastAsia="宋体" w:cs="宋体"/>
          <w:color w:val="auto"/>
          <w:sz w:val="24"/>
          <w:highlight w:val="none"/>
        </w:rPr>
        <w:t>工程建设外部环境的协调工作。</w:t>
      </w:r>
    </w:p>
    <w:p w14:paraId="61D6D691">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第十条</w:t>
      </w:r>
      <w:r>
        <w:rPr>
          <w:rFonts w:hint="eastAsia" w:ascii="宋体" w:hAnsi="宋体" w:eastAsia="宋体" w:cs="宋体"/>
          <w:color w:val="auto"/>
          <w:sz w:val="24"/>
          <w:highlight w:val="none"/>
        </w:rPr>
        <w:t>按专用合同条款约定的时间、数量、方式，免费向监理机构提供开展监理服务的有关本工程建设的资料。</w:t>
      </w:r>
    </w:p>
    <w:p w14:paraId="607D2625">
      <w:pPr>
        <w:tabs>
          <w:tab w:val="left" w:pos="-180"/>
        </w:tabs>
        <w:spacing w:line="360" w:lineRule="auto"/>
        <w:ind w:firstLine="482" w:firstLineChars="200"/>
        <w:rPr>
          <w:rFonts w:hint="eastAsia" w:ascii="宋体" w:hAnsi="宋体" w:eastAsia="宋体" w:cs="宋体"/>
          <w:dstrike/>
          <w:color w:val="auto"/>
          <w:sz w:val="24"/>
          <w:highlight w:val="none"/>
        </w:rPr>
      </w:pPr>
      <w:r>
        <w:rPr>
          <w:rFonts w:hint="eastAsia" w:ascii="宋体" w:hAnsi="宋体" w:eastAsia="宋体" w:cs="宋体"/>
          <w:b/>
          <w:color w:val="auto"/>
          <w:sz w:val="24"/>
          <w:highlight w:val="none"/>
        </w:rPr>
        <w:t>第十一条</w:t>
      </w:r>
      <w:r>
        <w:rPr>
          <w:rFonts w:hint="eastAsia" w:ascii="宋体" w:hAnsi="宋体" w:eastAsia="宋体" w:cs="宋体"/>
          <w:color w:val="auto"/>
          <w:sz w:val="24"/>
          <w:highlight w:val="none"/>
        </w:rPr>
        <w:t>在专用合同条款约定的时间内，就监理机构书面提交并要求作出决定的问题作出书面决定，并及时送达监理机构。</w:t>
      </w:r>
    </w:p>
    <w:p w14:paraId="736E3767">
      <w:pPr>
        <w:tabs>
          <w:tab w:val="left" w:pos="-180"/>
        </w:tabs>
        <w:spacing w:line="360" w:lineRule="auto"/>
        <w:ind w:firstLine="482" w:firstLineChars="200"/>
        <w:rPr>
          <w:rFonts w:hint="eastAsia" w:ascii="宋体" w:hAnsi="宋体" w:eastAsia="宋体" w:cs="宋体"/>
          <w:color w:val="auto"/>
          <w:sz w:val="24"/>
          <w:highlight w:val="none"/>
          <w:shd w:val="pct10" w:color="auto" w:fill="FFFFFF"/>
        </w:rPr>
      </w:pPr>
      <w:r>
        <w:rPr>
          <w:rFonts w:hint="eastAsia" w:ascii="宋体" w:hAnsi="宋体" w:eastAsia="宋体" w:cs="宋体"/>
          <w:b/>
          <w:color w:val="auto"/>
          <w:sz w:val="24"/>
          <w:highlight w:val="none"/>
        </w:rPr>
        <w:t>第十二条</w:t>
      </w:r>
      <w:r>
        <w:rPr>
          <w:rFonts w:hint="eastAsia" w:ascii="宋体" w:hAnsi="宋体" w:eastAsia="宋体" w:cs="宋体"/>
          <w:color w:val="auto"/>
          <w:sz w:val="24"/>
          <w:highlight w:val="none"/>
          <w:shd w:val="clear" w:color="auto" w:fill="FFFFFF"/>
        </w:rPr>
        <w:t>与承包人签订的施工合同中明确其赋予监理人的权限，并在工程开工前将监理单位、总监理工程师通知承包人。</w:t>
      </w:r>
    </w:p>
    <w:p w14:paraId="16E0F812">
      <w:pPr>
        <w:tabs>
          <w:tab w:val="left" w:pos="-180"/>
        </w:tabs>
        <w:spacing w:line="360" w:lineRule="auto"/>
        <w:ind w:firstLine="482" w:firstLineChars="200"/>
        <w:rPr>
          <w:rFonts w:hint="eastAsia" w:ascii="宋体" w:hAnsi="宋体" w:eastAsia="宋体" w:cs="宋体"/>
          <w:color w:val="auto"/>
          <w:sz w:val="24"/>
          <w:highlight w:val="none"/>
          <w:shd w:val="clear" w:color="auto" w:fill="FFFFFF"/>
        </w:rPr>
      </w:pPr>
      <w:r>
        <w:rPr>
          <w:rFonts w:hint="eastAsia" w:ascii="宋体" w:hAnsi="宋体" w:eastAsia="宋体" w:cs="宋体"/>
          <w:b/>
          <w:color w:val="auto"/>
          <w:sz w:val="24"/>
          <w:highlight w:val="none"/>
        </w:rPr>
        <w:t>第十三条</w:t>
      </w:r>
      <w:r>
        <w:rPr>
          <w:rFonts w:hint="eastAsia" w:ascii="宋体" w:hAnsi="宋体" w:eastAsia="宋体" w:cs="宋体"/>
          <w:color w:val="auto"/>
          <w:sz w:val="24"/>
          <w:highlight w:val="none"/>
          <w:shd w:val="clear" w:color="auto" w:fill="FFFFFF"/>
        </w:rPr>
        <w:t>提供监理人员在现场的工作和生活条件，具体内容在专用合同条款中明确。如果不能提供上述条件的，应按实际发生费用给予监理人补偿。</w:t>
      </w:r>
    </w:p>
    <w:p w14:paraId="4FA7C43F">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第十四条</w:t>
      </w:r>
      <w:r>
        <w:rPr>
          <w:rFonts w:hint="eastAsia" w:ascii="宋体" w:hAnsi="宋体" w:eastAsia="宋体" w:cs="宋体"/>
          <w:color w:val="auto"/>
          <w:sz w:val="24"/>
          <w:highlight w:val="none"/>
        </w:rPr>
        <w:t>按本合同约定及时、足额支付监理服务酬金。</w:t>
      </w:r>
    </w:p>
    <w:p w14:paraId="38F455DD">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第十五条</w:t>
      </w:r>
      <w:r>
        <w:rPr>
          <w:rFonts w:hint="eastAsia" w:ascii="宋体" w:hAnsi="宋体" w:eastAsia="宋体" w:cs="宋体"/>
          <w:color w:val="auto"/>
          <w:sz w:val="24"/>
          <w:highlight w:val="none"/>
        </w:rPr>
        <w:t>为监理机构指定具有检验、试验资质的机构并承担检验、试验相关费用。</w:t>
      </w:r>
    </w:p>
    <w:p w14:paraId="44C0863D">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第十六条</w:t>
      </w:r>
      <w:r>
        <w:rPr>
          <w:rFonts w:hint="eastAsia" w:ascii="宋体" w:hAnsi="宋体" w:eastAsia="宋体" w:cs="宋体"/>
          <w:color w:val="auto"/>
          <w:sz w:val="24"/>
          <w:highlight w:val="none"/>
        </w:rPr>
        <w:t>维护监理机构工作的独立性，不干涉监理机构正常开展监理业务，不擅自作出有悖于监理机构在合同授权范围内所作出的指示的决定；未经监理机构签字确认，不得支付工程款。</w:t>
      </w:r>
    </w:p>
    <w:p w14:paraId="3D271AB4">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第十七条</w:t>
      </w:r>
      <w:r>
        <w:rPr>
          <w:rFonts w:hint="eastAsia" w:ascii="宋体" w:hAnsi="宋体" w:eastAsia="宋体" w:cs="宋体"/>
          <w:color w:val="auto"/>
          <w:sz w:val="24"/>
          <w:highlight w:val="none"/>
        </w:rPr>
        <w:t>为监理人员投保人身意外伤害险和第三者责任险。如要求监理人自己投保，则应同意监理人将投保的费用计入报价中。</w:t>
      </w:r>
    </w:p>
    <w:p w14:paraId="59C849EA">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第十八条</w:t>
      </w:r>
      <w:r>
        <w:rPr>
          <w:rFonts w:hint="eastAsia" w:ascii="宋体" w:hAnsi="宋体" w:eastAsia="宋体" w:cs="宋体"/>
          <w:color w:val="auto"/>
          <w:sz w:val="24"/>
          <w:highlight w:val="none"/>
        </w:rPr>
        <w:t>将投保工程险的保险合同提供给监理人作为工程合同管理的一部分。</w:t>
      </w:r>
    </w:p>
    <w:p w14:paraId="2D458A2F">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第十九条</w:t>
      </w:r>
      <w:r>
        <w:rPr>
          <w:rFonts w:hint="eastAsia" w:ascii="宋体" w:hAnsi="宋体" w:eastAsia="宋体" w:cs="宋体"/>
          <w:color w:val="auto"/>
          <w:sz w:val="24"/>
          <w:highlight w:val="none"/>
        </w:rPr>
        <w:t>未经监理人同意，不得将监理人用于本工程监理服务的</w:t>
      </w:r>
      <w:r>
        <w:rPr>
          <w:rFonts w:hint="eastAsia" w:ascii="宋体" w:hAnsi="宋体" w:eastAsia="宋体" w:cs="宋体"/>
          <w:color w:val="auto"/>
          <w:sz w:val="24"/>
          <w:highlight w:val="none"/>
          <w:shd w:val="clear" w:color="auto" w:fill="FFFFFF"/>
        </w:rPr>
        <w:t>任何</w:t>
      </w:r>
      <w:r>
        <w:rPr>
          <w:rFonts w:hint="eastAsia" w:ascii="宋体" w:hAnsi="宋体" w:eastAsia="宋体" w:cs="宋体"/>
          <w:color w:val="auto"/>
          <w:sz w:val="24"/>
          <w:highlight w:val="none"/>
        </w:rPr>
        <w:t>文件直接或间接用于其他工程建设之中。</w:t>
      </w:r>
    </w:p>
    <w:p w14:paraId="6A199068">
      <w:pPr>
        <w:tabs>
          <w:tab w:val="left" w:pos="-180"/>
        </w:tabs>
        <w:spacing w:line="360" w:lineRule="auto"/>
        <w:ind w:firstLine="480" w:firstLineChars="200"/>
        <w:rPr>
          <w:rFonts w:hint="eastAsia" w:ascii="宋体" w:hAnsi="宋体" w:eastAsia="宋体" w:cs="宋体"/>
          <w:color w:val="auto"/>
          <w:sz w:val="24"/>
          <w:highlight w:val="none"/>
        </w:rPr>
      </w:pPr>
    </w:p>
    <w:p w14:paraId="1FD5B5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监理人的义务</w:t>
      </w:r>
    </w:p>
    <w:p w14:paraId="330B5D15">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第二十条</w:t>
      </w:r>
      <w:r>
        <w:rPr>
          <w:rFonts w:hint="eastAsia" w:ascii="宋体" w:hAnsi="宋体" w:eastAsia="宋体" w:cs="宋体"/>
          <w:color w:val="auto"/>
          <w:sz w:val="24"/>
          <w:highlight w:val="none"/>
        </w:rPr>
        <w:t>本着“守法、诚信、公正、科学“的原则，按专用合同条款约定的监理服务内容为委托人提供优质服务。</w:t>
      </w:r>
    </w:p>
    <w:p w14:paraId="025B078F">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第二十一条</w:t>
      </w:r>
      <w:r>
        <w:rPr>
          <w:rFonts w:hint="eastAsia" w:ascii="宋体" w:hAnsi="宋体" w:eastAsia="宋体" w:cs="宋体"/>
          <w:color w:val="auto"/>
          <w:sz w:val="24"/>
          <w:highlight w:val="none"/>
        </w:rPr>
        <w:t>在专用合同条款约定的时间内组建监理机构，并进驻现场。及时将监理规划、监理机构及其主要人员名单提交委托人，将监理机构及其人员名单、监理工程师和监理员的授权范围通知承包人；实施期间有变化的，应当及时通知承包人。更换总监理工程师和其他主要监理人员应征得委托人同意。</w:t>
      </w:r>
    </w:p>
    <w:p w14:paraId="63B04953">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第二十二条</w:t>
      </w:r>
      <w:r>
        <w:rPr>
          <w:rFonts w:hint="eastAsia" w:ascii="宋体" w:hAnsi="宋体" w:eastAsia="宋体" w:cs="宋体"/>
          <w:color w:val="auto"/>
          <w:sz w:val="24"/>
          <w:highlight w:val="none"/>
        </w:rPr>
        <w:t>发现设计文件不符合有关规定或合同约定时，应向委托人报告。</w:t>
      </w:r>
    </w:p>
    <w:p w14:paraId="3C25D289">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第二十三条 </w:t>
      </w:r>
      <w:r>
        <w:rPr>
          <w:rFonts w:hint="eastAsia" w:ascii="宋体" w:hAnsi="宋体" w:eastAsia="宋体" w:cs="宋体"/>
          <w:color w:val="auto"/>
          <w:sz w:val="24"/>
          <w:highlight w:val="none"/>
        </w:rPr>
        <w:t>核验建筑材料、建筑构配件和设备质量，检查、检验并确认工程的施工质量；检查施工安全生产情况。发现存在质量、安全事故隐患，或发生质量、安全事故，应按有关规定及时采取相应的监理措施。</w:t>
      </w:r>
    </w:p>
    <w:p w14:paraId="387E27AD">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第二十</w:t>
      </w:r>
      <w:r>
        <w:rPr>
          <w:rFonts w:hint="eastAsia" w:ascii="宋体" w:hAnsi="宋体" w:eastAsia="宋体" w:cs="宋体"/>
          <w:b/>
          <w:color w:val="auto"/>
          <w:sz w:val="24"/>
          <w:highlight w:val="none"/>
        </w:rPr>
        <w:t>四</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监督、检查工程施工进度。</w:t>
      </w:r>
    </w:p>
    <w:p w14:paraId="3CBCB29D">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w:t>
      </w:r>
      <w:r>
        <w:rPr>
          <w:rFonts w:hint="eastAsia" w:ascii="宋体" w:hAnsi="宋体" w:eastAsia="宋体" w:cs="宋体"/>
          <w:b/>
          <w:bCs/>
          <w:color w:val="auto"/>
          <w:sz w:val="24"/>
          <w:highlight w:val="none"/>
        </w:rPr>
        <w:t>五</w:t>
      </w:r>
      <w:r>
        <w:rPr>
          <w:rFonts w:hint="eastAsia" w:ascii="宋体" w:hAnsi="宋体" w:eastAsia="宋体" w:cs="宋体"/>
          <w:b/>
          <w:color w:val="auto"/>
          <w:sz w:val="24"/>
          <w:highlight w:val="none"/>
        </w:rPr>
        <w:t>条</w:t>
      </w:r>
      <w:r>
        <w:rPr>
          <w:rFonts w:hint="eastAsia" w:ascii="宋体" w:hAnsi="宋体" w:eastAsia="宋体" w:cs="宋体"/>
          <w:color w:val="auto"/>
          <w:sz w:val="24"/>
          <w:highlight w:val="none"/>
        </w:rPr>
        <w:t>按照委托人签订的工程保险合同，做好施工现场工程保险合同的管理。协助委托人向保险公司及时提供一切必要的材料和证据。</w:t>
      </w:r>
    </w:p>
    <w:p w14:paraId="74194461">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第二十六条</w:t>
      </w:r>
      <w:r>
        <w:rPr>
          <w:rFonts w:hint="eastAsia" w:ascii="宋体" w:hAnsi="宋体" w:eastAsia="宋体" w:cs="宋体"/>
          <w:color w:val="auto"/>
          <w:sz w:val="24"/>
          <w:highlight w:val="none"/>
        </w:rPr>
        <w:t>协调施工合同各方之间的关系。</w:t>
      </w:r>
    </w:p>
    <w:p w14:paraId="6C82AA93">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第二十七条</w:t>
      </w:r>
      <w:r>
        <w:rPr>
          <w:rFonts w:hint="eastAsia" w:ascii="宋体" w:hAnsi="宋体" w:eastAsia="宋体" w:cs="宋体"/>
          <w:color w:val="auto"/>
          <w:sz w:val="24"/>
          <w:highlight w:val="none"/>
        </w:rPr>
        <w:t>按照施工作业程序，采取旁站、巡视、跟踪检测和平行检测等方法实施监理。需要旁站的重要部位和关键工序在专用合同条款中约定。</w:t>
      </w:r>
    </w:p>
    <w:p w14:paraId="627F58FC">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第二十八条</w:t>
      </w:r>
      <w:r>
        <w:rPr>
          <w:rFonts w:hint="eastAsia" w:ascii="宋体" w:hAnsi="宋体" w:eastAsia="宋体" w:cs="宋体"/>
          <w:color w:val="auto"/>
          <w:sz w:val="24"/>
          <w:highlight w:val="none"/>
        </w:rPr>
        <w:t>及时做好工程施工</w:t>
      </w:r>
      <w:r>
        <w:rPr>
          <w:rFonts w:hint="eastAsia" w:ascii="宋体" w:hAnsi="宋体" w:eastAsia="宋体" w:cs="宋体"/>
          <w:color w:val="auto"/>
          <w:sz w:val="24"/>
          <w:highlight w:val="none"/>
          <w:shd w:val="clear" w:color="auto" w:fill="FFFFFF"/>
        </w:rPr>
        <w:t>过程</w:t>
      </w:r>
      <w:r>
        <w:rPr>
          <w:rFonts w:hint="eastAsia" w:ascii="宋体" w:hAnsi="宋体" w:eastAsia="宋体" w:cs="宋体"/>
          <w:color w:val="auto"/>
          <w:sz w:val="24"/>
          <w:highlight w:val="none"/>
        </w:rPr>
        <w:t>各种监理信息的收集、整理和归档，并保证现场记录、试验、检验、检查等资料的完整和真实。</w:t>
      </w:r>
    </w:p>
    <w:p w14:paraId="0DEE5DD5">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第二十九条</w:t>
      </w:r>
      <w:r>
        <w:rPr>
          <w:rFonts w:hint="eastAsia" w:ascii="宋体" w:hAnsi="宋体" w:eastAsia="宋体" w:cs="宋体"/>
          <w:color w:val="auto"/>
          <w:sz w:val="24"/>
          <w:highlight w:val="none"/>
        </w:rPr>
        <w:t>编制《监理日志》，并向委托人提交监理月报、监理专题报告、监理工作报告和监理工作总结报告。</w:t>
      </w:r>
    </w:p>
    <w:p w14:paraId="5511F77B">
      <w:pPr>
        <w:tabs>
          <w:tab w:val="left" w:pos="-180"/>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第三十条</w:t>
      </w:r>
      <w:r>
        <w:rPr>
          <w:rFonts w:hint="eastAsia" w:ascii="宋体" w:hAnsi="宋体" w:eastAsia="宋体" w:cs="宋体"/>
          <w:color w:val="auto"/>
          <w:sz w:val="24"/>
          <w:highlight w:val="none"/>
        </w:rPr>
        <w:t>按有关规定参加工程验收，做好相关配合工作。</w:t>
      </w:r>
      <w:r>
        <w:rPr>
          <w:rFonts w:hint="eastAsia" w:ascii="宋体" w:hAnsi="宋体" w:eastAsia="宋体" w:cs="宋体"/>
          <w:bCs/>
          <w:color w:val="auto"/>
          <w:sz w:val="24"/>
          <w:highlight w:val="none"/>
        </w:rPr>
        <w:t>委托人委托监理人主持的分部工程验收由专用合同条款约定。</w:t>
      </w:r>
    </w:p>
    <w:p w14:paraId="1B038C35">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第三十一条</w:t>
      </w:r>
      <w:r>
        <w:rPr>
          <w:rFonts w:hint="eastAsia" w:ascii="宋体" w:hAnsi="宋体" w:eastAsia="宋体" w:cs="宋体"/>
          <w:color w:val="auto"/>
          <w:sz w:val="24"/>
          <w:highlight w:val="none"/>
        </w:rPr>
        <w:t>妥善做好委托人所提供的工程建设文件资料的保存、回收及保密工作。在本合同期限内或</w:t>
      </w:r>
      <w:r>
        <w:rPr>
          <w:rFonts w:hint="eastAsia" w:ascii="宋体" w:hAnsi="宋体" w:eastAsia="宋体" w:cs="宋体"/>
          <w:color w:val="auto"/>
          <w:sz w:val="24"/>
          <w:highlight w:val="none"/>
          <w:shd w:val="clear" w:color="auto" w:fill="FFFFFF"/>
        </w:rPr>
        <w:t>专用合同条款约定的合同终止后的一定期限内</w:t>
      </w:r>
      <w:r>
        <w:rPr>
          <w:rFonts w:hint="eastAsia" w:ascii="宋体" w:hAnsi="宋体" w:eastAsia="宋体" w:cs="宋体"/>
          <w:color w:val="auto"/>
          <w:sz w:val="24"/>
          <w:highlight w:val="none"/>
        </w:rPr>
        <w:t>，未征得委托人同意，不得公开涉及委托人的专利、专有技术或其他需保密的资料，不得泄露与本合同业务有关的技术、商务等</w:t>
      </w:r>
      <w:r>
        <w:rPr>
          <w:rFonts w:hint="eastAsia" w:ascii="宋体" w:hAnsi="宋体" w:eastAsia="宋体" w:cs="宋体"/>
          <w:color w:val="auto"/>
          <w:sz w:val="24"/>
          <w:highlight w:val="none"/>
          <w:shd w:val="clear" w:color="auto" w:fill="FFFFFF"/>
        </w:rPr>
        <w:t>秘密</w:t>
      </w:r>
      <w:r>
        <w:rPr>
          <w:rFonts w:hint="eastAsia" w:ascii="宋体" w:hAnsi="宋体" w:eastAsia="宋体" w:cs="宋体"/>
          <w:color w:val="auto"/>
          <w:sz w:val="24"/>
          <w:highlight w:val="none"/>
        </w:rPr>
        <w:t>。</w:t>
      </w:r>
    </w:p>
    <w:p w14:paraId="1A52E09A">
      <w:pPr>
        <w:spacing w:line="360" w:lineRule="auto"/>
        <w:rPr>
          <w:rFonts w:hint="eastAsia" w:ascii="宋体" w:hAnsi="宋体" w:eastAsia="宋体" w:cs="宋体"/>
          <w:color w:val="auto"/>
          <w:highlight w:val="none"/>
        </w:rPr>
      </w:pPr>
    </w:p>
    <w:p w14:paraId="56F1975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监理服务酬金</w:t>
      </w:r>
    </w:p>
    <w:p w14:paraId="0BCD6DCC">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第三十二条</w:t>
      </w:r>
      <w:r>
        <w:rPr>
          <w:rFonts w:hint="eastAsia" w:ascii="宋体" w:hAnsi="宋体" w:eastAsia="宋体" w:cs="宋体"/>
          <w:color w:val="auto"/>
          <w:sz w:val="24"/>
          <w:highlight w:val="none"/>
        </w:rPr>
        <w:t>监理正常服务酬金的支付时间和支付方式在专用合同条款中约定。</w:t>
      </w:r>
    </w:p>
    <w:p w14:paraId="6A5DDC94">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第三十三条</w:t>
      </w:r>
      <w:r>
        <w:rPr>
          <w:rFonts w:hint="eastAsia" w:ascii="宋体" w:hAnsi="宋体" w:eastAsia="宋体" w:cs="宋体"/>
          <w:color w:val="auto"/>
          <w:sz w:val="24"/>
          <w:highlight w:val="none"/>
        </w:rPr>
        <w:t>除</w:t>
      </w:r>
      <w:r>
        <w:rPr>
          <w:rFonts w:hint="eastAsia" w:ascii="宋体" w:hAnsi="宋体" w:eastAsia="宋体" w:cs="宋体"/>
          <w:bCs/>
          <w:color w:val="auto"/>
          <w:sz w:val="24"/>
          <w:highlight w:val="none"/>
        </w:rPr>
        <w:t>不可抗力外，</w:t>
      </w:r>
      <w:r>
        <w:rPr>
          <w:rFonts w:hint="eastAsia" w:ascii="宋体" w:hAnsi="宋体" w:eastAsia="宋体" w:cs="宋体"/>
          <w:color w:val="auto"/>
          <w:sz w:val="24"/>
          <w:highlight w:val="none"/>
        </w:rPr>
        <w:t>有下列情形之一且由此引起监理工作量增加或服务期限延长，经双方书面确认后均应视为监理机构的附加服务，监理人应得到监理附加服务酬金：</w:t>
      </w:r>
    </w:p>
    <w:p w14:paraId="4AEE5472">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一、由于委托人、第三方责任、设计变更及不良地质条件等非监理人原因致使正常的监理服务受到阻碍或延误；</w:t>
      </w:r>
    </w:p>
    <w:p w14:paraId="46BA981D">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二、在本合同履行过程中，委托人要求监理机构完成监理合同约定范围和内容以外的服务；</w:t>
      </w:r>
    </w:p>
    <w:p w14:paraId="5E884B56">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三、由于非监理人原因暂停或终止监理业务时，其善后工作或恢复执行监理业务的工作。</w:t>
      </w:r>
    </w:p>
    <w:p w14:paraId="3046CBC1">
      <w:pPr>
        <w:tabs>
          <w:tab w:val="left" w:pos="-1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监理人完成附加服务应得到的酬金，按</w:t>
      </w:r>
      <w:r>
        <w:rPr>
          <w:rFonts w:hint="eastAsia" w:ascii="宋体" w:hAnsi="宋体" w:eastAsia="宋体" w:cs="宋体"/>
          <w:color w:val="auto"/>
          <w:sz w:val="24"/>
          <w:highlight w:val="none"/>
          <w:shd w:val="clear" w:color="auto" w:fill="FFFFFF"/>
        </w:rPr>
        <w:t>专用合同条款约定的方法或</w:t>
      </w:r>
      <w:r>
        <w:rPr>
          <w:rFonts w:hint="eastAsia" w:ascii="宋体" w:hAnsi="宋体" w:eastAsia="宋体" w:cs="宋体"/>
          <w:color w:val="auto"/>
          <w:sz w:val="24"/>
          <w:highlight w:val="none"/>
        </w:rPr>
        <w:t>监理补充协议计取和支付。</w:t>
      </w:r>
    </w:p>
    <w:p w14:paraId="1CF9B2B4">
      <w:pPr>
        <w:tabs>
          <w:tab w:val="left" w:pos="-180"/>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第三十四条</w:t>
      </w:r>
      <w:r>
        <w:rPr>
          <w:rFonts w:hint="eastAsia" w:ascii="宋体" w:hAnsi="宋体" w:eastAsia="宋体" w:cs="宋体"/>
          <w:color w:val="auto"/>
          <w:sz w:val="24"/>
          <w:highlight w:val="none"/>
        </w:rPr>
        <w:t>国家有关法律、法规、规章和监理酬金标准发生变化时，应按有关规定调整监理服务酬金。</w:t>
      </w:r>
    </w:p>
    <w:p w14:paraId="1F3F9C42">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第三十五条</w:t>
      </w:r>
      <w:r>
        <w:rPr>
          <w:rFonts w:hint="eastAsia" w:ascii="宋体" w:hAnsi="宋体" w:eastAsia="宋体" w:cs="宋体"/>
          <w:color w:val="auto"/>
          <w:sz w:val="24"/>
          <w:highlight w:val="none"/>
        </w:rPr>
        <w:t>委托人对监理人</w:t>
      </w:r>
      <w:r>
        <w:rPr>
          <w:rFonts w:hint="eastAsia" w:ascii="宋体" w:hAnsi="宋体" w:eastAsia="宋体" w:cs="宋体"/>
          <w:color w:val="auto"/>
          <w:sz w:val="24"/>
          <w:highlight w:val="none"/>
          <w:shd w:val="clear" w:color="auto" w:fill="FFFFFF"/>
        </w:rPr>
        <w:t>申请支付的</w:t>
      </w:r>
      <w:r>
        <w:rPr>
          <w:rFonts w:hint="eastAsia" w:ascii="宋体" w:hAnsi="宋体" w:eastAsia="宋体" w:cs="宋体"/>
          <w:color w:val="auto"/>
          <w:sz w:val="24"/>
          <w:highlight w:val="none"/>
        </w:rPr>
        <w:t>监理酬金项目及金额有异议时，应当在收到监理人支付申请书</w:t>
      </w:r>
      <w:r>
        <w:rPr>
          <w:rFonts w:hint="eastAsia" w:ascii="宋体" w:hAnsi="宋体" w:eastAsia="宋体" w:cs="宋体"/>
          <w:color w:val="auto"/>
          <w:sz w:val="24"/>
          <w:highlight w:val="none"/>
          <w:shd w:val="clear" w:color="auto" w:fill="FFFFFF"/>
        </w:rPr>
        <w:t>后</w:t>
      </w:r>
      <w:r>
        <w:rPr>
          <w:rFonts w:hint="eastAsia" w:ascii="宋体" w:hAnsi="宋体" w:eastAsia="宋体" w:cs="宋体"/>
          <w:color w:val="auto"/>
          <w:sz w:val="24"/>
          <w:highlight w:val="none"/>
        </w:rPr>
        <w:t>7天内向监理人发出异议通知，由双方协商解决。7天内未发出异议通知，则按通用合同条款第三十二条、第三十三条、第三十四条的约定支付。</w:t>
      </w:r>
    </w:p>
    <w:p w14:paraId="29A555EB">
      <w:pPr>
        <w:spacing w:line="360" w:lineRule="auto"/>
        <w:rPr>
          <w:rFonts w:hint="eastAsia" w:ascii="宋体" w:hAnsi="宋体" w:eastAsia="宋体" w:cs="宋体"/>
          <w:color w:val="auto"/>
          <w:highlight w:val="none"/>
        </w:rPr>
      </w:pPr>
    </w:p>
    <w:p w14:paraId="16FD41D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合同变更与终止</w:t>
      </w:r>
    </w:p>
    <w:p w14:paraId="1D4BCFCF">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第三十六条</w:t>
      </w:r>
      <w:r>
        <w:rPr>
          <w:rFonts w:hint="eastAsia" w:ascii="宋体" w:hAnsi="宋体" w:eastAsia="宋体" w:cs="宋体"/>
          <w:color w:val="auto"/>
          <w:sz w:val="24"/>
          <w:highlight w:val="none"/>
        </w:rPr>
        <w:t>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14:paraId="1AA39044">
      <w:pPr>
        <w:tabs>
          <w:tab w:val="left" w:pos="-180"/>
        </w:tabs>
        <w:spacing w:line="360" w:lineRule="auto"/>
        <w:ind w:firstLine="482" w:firstLineChars="200"/>
        <w:rPr>
          <w:rFonts w:hint="eastAsia" w:ascii="宋体" w:hAnsi="宋体" w:eastAsia="宋体" w:cs="宋体"/>
          <w:color w:val="auto"/>
          <w:sz w:val="24"/>
          <w:highlight w:val="none"/>
          <w:u w:val="single"/>
          <w:shd w:val="pct10" w:color="auto" w:fill="FFFFFF"/>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shd w:val="clear" w:color="auto" w:fill="FFFFFF"/>
        </w:rPr>
        <w:t>三十</w:t>
      </w:r>
      <w:r>
        <w:rPr>
          <w:rFonts w:hint="eastAsia" w:ascii="宋体" w:hAnsi="宋体" w:eastAsia="宋体" w:cs="宋体"/>
          <w:b/>
          <w:color w:val="auto"/>
          <w:sz w:val="24"/>
          <w:highlight w:val="none"/>
        </w:rPr>
        <w:t>七</w:t>
      </w:r>
      <w:r>
        <w:rPr>
          <w:rFonts w:hint="eastAsia" w:ascii="宋体" w:hAnsi="宋体" w:eastAsia="宋体" w:cs="宋体"/>
          <w:b/>
          <w:color w:val="auto"/>
          <w:sz w:val="24"/>
          <w:highlight w:val="none"/>
          <w:shd w:val="clear" w:color="auto" w:fill="FFFFFF"/>
        </w:rPr>
        <w:t>条</w:t>
      </w:r>
      <w:r>
        <w:rPr>
          <w:rFonts w:hint="eastAsia" w:ascii="宋体" w:hAnsi="宋体" w:eastAsia="宋体" w:cs="宋体"/>
          <w:color w:val="auto"/>
          <w:sz w:val="24"/>
          <w:highlight w:val="none"/>
          <w:shd w:val="clear" w:color="auto" w:fill="FFFFFF"/>
        </w:rPr>
        <w:t>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14:paraId="7CBB25F9">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第三十八条</w:t>
      </w:r>
      <w:r>
        <w:rPr>
          <w:rFonts w:hint="eastAsia" w:ascii="宋体" w:hAnsi="宋体" w:eastAsia="宋体" w:cs="宋体"/>
          <w:color w:val="auto"/>
          <w:sz w:val="24"/>
          <w:highlight w:val="none"/>
        </w:rPr>
        <w:t>在监理服务期内，由于国家政策致使工程建设计划重大调整，或不可抗力致使合同不能履行时，双方协商解决因合同终止所产生的遗留问题。</w:t>
      </w:r>
    </w:p>
    <w:p w14:paraId="2565059A">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第三十九条</w:t>
      </w:r>
      <w:r>
        <w:rPr>
          <w:rFonts w:hint="eastAsia" w:ascii="宋体" w:hAnsi="宋体" w:eastAsia="宋体" w:cs="宋体"/>
          <w:color w:val="auto"/>
          <w:sz w:val="24"/>
          <w:highlight w:val="none"/>
        </w:rPr>
        <w:t>本合同在监理期限届满并结清监理服务酬金后即终止。</w:t>
      </w:r>
    </w:p>
    <w:p w14:paraId="367BB8D3">
      <w:pPr>
        <w:spacing w:line="360" w:lineRule="auto"/>
        <w:jc w:val="center"/>
        <w:rPr>
          <w:rFonts w:hint="eastAsia" w:ascii="宋体" w:hAnsi="宋体" w:eastAsia="宋体" w:cs="宋体"/>
          <w:b/>
          <w:color w:val="auto"/>
          <w:sz w:val="24"/>
          <w:highlight w:val="none"/>
        </w:rPr>
      </w:pPr>
    </w:p>
    <w:p w14:paraId="141B349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违约责任</w:t>
      </w:r>
    </w:p>
    <w:p w14:paraId="1BDCF2C3">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第四十条</w:t>
      </w:r>
      <w:r>
        <w:rPr>
          <w:rFonts w:hint="eastAsia" w:ascii="宋体" w:hAnsi="宋体" w:eastAsia="宋体" w:cs="宋体"/>
          <w:color w:val="auto"/>
          <w:sz w:val="24"/>
          <w:highlight w:val="none"/>
        </w:rPr>
        <w:t>委托人未履行合同条款第十条、第十一条、第十三条、第十四条、第十五条、第十六条、第十七条、第十九条约定的义务和责任，除按专用合同条款约定向监理人支付违约金外，还应继续履行合同约定的义务和责任。</w:t>
      </w:r>
    </w:p>
    <w:p w14:paraId="0EF70F24">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第四十一条</w:t>
      </w:r>
      <w:r>
        <w:rPr>
          <w:rFonts w:hint="eastAsia" w:ascii="宋体" w:hAnsi="宋体" w:eastAsia="宋体" w:cs="宋体"/>
          <w:color w:val="auto"/>
          <w:sz w:val="24"/>
          <w:highlight w:val="none"/>
        </w:rPr>
        <w:t>委托人未按合同条款第三十二条、第三十三条、第三十四条约定支付监理服务酬金，除按专用合同条款约定向监理人支付逾期付款违约金外，还应继续履行合同约定的支付义务。</w:t>
      </w:r>
    </w:p>
    <w:p w14:paraId="53E3643C">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第四十二条 </w:t>
      </w:r>
      <w:r>
        <w:rPr>
          <w:rFonts w:hint="eastAsia" w:ascii="宋体" w:hAnsi="宋体" w:eastAsia="宋体" w:cs="宋体"/>
          <w:color w:val="auto"/>
          <w:sz w:val="24"/>
          <w:highlight w:val="none"/>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p>
    <w:p w14:paraId="1711B923">
      <w:pPr>
        <w:spacing w:line="360" w:lineRule="auto"/>
        <w:jc w:val="center"/>
        <w:rPr>
          <w:rFonts w:hint="eastAsia" w:ascii="宋体" w:hAnsi="宋体" w:eastAsia="宋体" w:cs="宋体"/>
          <w:b/>
          <w:color w:val="auto"/>
          <w:sz w:val="24"/>
          <w:highlight w:val="none"/>
        </w:rPr>
      </w:pPr>
    </w:p>
    <w:p w14:paraId="380A645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争议的解决</w:t>
      </w:r>
    </w:p>
    <w:p w14:paraId="1DDF5E53">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第四十三条</w:t>
      </w:r>
      <w:r>
        <w:rPr>
          <w:rFonts w:hint="eastAsia" w:ascii="宋体" w:hAnsi="宋体" w:eastAsia="宋体" w:cs="宋体"/>
          <w:color w:val="auto"/>
          <w:sz w:val="24"/>
          <w:highlight w:val="none"/>
        </w:rPr>
        <w:t>本合同发生争议，由当事人双方协商解决；也可由工程项目主管部门或合同争议调解机构调解；协商或调解未果时，经当事人双方同意可向人民法院起诉。争议调解机构法院在专用合同条款中约定。</w:t>
      </w:r>
    </w:p>
    <w:p w14:paraId="2AD9A893">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第四十四条</w:t>
      </w:r>
      <w:r>
        <w:rPr>
          <w:rFonts w:hint="eastAsia" w:ascii="宋体" w:hAnsi="宋体" w:eastAsia="宋体" w:cs="宋体"/>
          <w:color w:val="auto"/>
          <w:sz w:val="24"/>
          <w:highlight w:val="none"/>
        </w:rPr>
        <w:t>在争议协商、调解、仲裁或起诉过程中，双方仍应继续履行本合同约定的责任和义务。</w:t>
      </w:r>
    </w:p>
    <w:p w14:paraId="1F6721FD">
      <w:pPr>
        <w:spacing w:line="360" w:lineRule="auto"/>
        <w:jc w:val="center"/>
        <w:rPr>
          <w:rFonts w:hint="eastAsia" w:ascii="宋体" w:hAnsi="宋体" w:eastAsia="宋体" w:cs="宋体"/>
          <w:b/>
          <w:color w:val="auto"/>
          <w:sz w:val="24"/>
          <w:highlight w:val="none"/>
        </w:rPr>
      </w:pPr>
    </w:p>
    <w:p w14:paraId="3CC1888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   他</w:t>
      </w:r>
    </w:p>
    <w:p w14:paraId="5773CCD5">
      <w:pPr>
        <w:tabs>
          <w:tab w:val="left" w:pos="-180"/>
        </w:tabs>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第四十五条</w:t>
      </w:r>
      <w:r>
        <w:rPr>
          <w:rFonts w:hint="eastAsia" w:ascii="宋体" w:hAnsi="宋体" w:eastAsia="宋体" w:cs="宋体"/>
          <w:color w:val="auto"/>
          <w:sz w:val="24"/>
          <w:highlight w:val="none"/>
        </w:rPr>
        <w:t>委托人可以对监理人提出并落实的合理化建议给予奖励。奖励办法在专用合同条款中约定。</w:t>
      </w:r>
    </w:p>
    <w:p w14:paraId="335E7335">
      <w:pPr>
        <w:tabs>
          <w:tab w:val="left" w:pos="-180"/>
        </w:tabs>
        <w:spacing w:line="360" w:lineRule="auto"/>
        <w:ind w:firstLine="480" w:firstLineChars="200"/>
        <w:rPr>
          <w:rFonts w:hint="eastAsia" w:ascii="宋体" w:hAnsi="宋体" w:eastAsia="宋体" w:cs="宋体"/>
          <w:color w:val="auto"/>
          <w:sz w:val="24"/>
          <w:highlight w:val="none"/>
        </w:rPr>
        <w:sectPr>
          <w:footerReference r:id="rId6" w:type="first"/>
          <w:headerReference r:id="rId3" w:type="default"/>
          <w:footerReference r:id="rId4" w:type="default"/>
          <w:footerReference r:id="rId5" w:type="even"/>
          <w:pgSz w:w="11907" w:h="16839"/>
          <w:pgMar w:top="1418" w:right="1418" w:bottom="1418" w:left="1418" w:header="851" w:footer="851" w:gutter="0"/>
          <w:pgNumType w:start="0"/>
          <w:cols w:space="720" w:num="1"/>
          <w:titlePg/>
          <w:docGrid w:type="lines" w:linePitch="312" w:charSpace="0"/>
        </w:sectPr>
      </w:pPr>
    </w:p>
    <w:p w14:paraId="2D6FEA2F">
      <w:pPr>
        <w:spacing w:line="360" w:lineRule="auto"/>
        <w:jc w:val="center"/>
        <w:outlineLvl w:val="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第二部分  专用合同条款</w:t>
      </w:r>
    </w:p>
    <w:p w14:paraId="03010BF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监理依据</w:t>
      </w:r>
    </w:p>
    <w:p w14:paraId="68FE98EB">
      <w:pPr>
        <w:pStyle w:val="5"/>
        <w:numPr>
          <w:ilvl w:val="0"/>
          <w:numId w:val="2"/>
        </w:numPr>
        <w:spacing w:line="360" w:lineRule="auto"/>
        <w:rPr>
          <w:rFonts w:hint="eastAsia" w:ascii="宋体" w:hAnsi="宋体" w:eastAsia="宋体" w:cs="宋体"/>
          <w:color w:val="auto"/>
          <w:sz w:val="24"/>
          <w:highlight w:val="none"/>
        </w:rPr>
      </w:pPr>
      <w:r>
        <w:rPr>
          <w:rFonts w:ascii="宋体" w:hAnsi="宋体" w:eastAsia="宋体" w:cs="宋体"/>
          <w:color w:val="auto"/>
          <w:sz w:val="24"/>
          <w:highlight w:val="none"/>
        </w:rPr>
        <w:t>下列名词和用语，除上下文另有约定外，具有本条所赋予的涵义。</w:t>
      </w:r>
    </w:p>
    <w:p w14:paraId="3F65E91E">
      <w:pPr>
        <w:pStyle w:val="5"/>
        <w:spacing w:line="360" w:lineRule="auto"/>
        <w:ind w:firstLine="354" w:firstLineChars="147"/>
        <w:rPr>
          <w:rFonts w:hint="eastAsia" w:ascii="宋体" w:hAnsi="宋体" w:eastAsia="宋体" w:cs="宋体"/>
          <w:color w:val="auto"/>
          <w:sz w:val="24"/>
          <w:szCs w:val="24"/>
          <w:highlight w:val="none"/>
          <w:u w:val="single"/>
        </w:rPr>
      </w:pPr>
      <w:r>
        <w:rPr>
          <w:rFonts w:ascii="宋体" w:hAnsi="宋体" w:eastAsia="宋体" w:cs="宋体"/>
          <w:b/>
          <w:color w:val="auto"/>
          <w:sz w:val="24"/>
          <w:szCs w:val="24"/>
          <w:highlight w:val="none"/>
        </w:rPr>
        <w:t>第二条</w:t>
      </w:r>
      <w:r>
        <w:rPr>
          <w:rFonts w:ascii="宋体" w:hAnsi="宋体" w:eastAsia="宋体" w:cs="宋体"/>
          <w:color w:val="auto"/>
          <w:sz w:val="24"/>
          <w:szCs w:val="24"/>
          <w:highlight w:val="none"/>
        </w:rPr>
        <w:t>本合同的监理依据为：</w:t>
      </w:r>
    </w:p>
    <w:p w14:paraId="7E02B368">
      <w:pPr>
        <w:numPr>
          <w:ilvl w:val="0"/>
          <w:numId w:val="0"/>
        </w:numPr>
        <w:tabs>
          <w:tab w:val="left" w:pos="90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w:t>
      </w:r>
      <w:r>
        <w:rPr>
          <w:rStyle w:val="14"/>
          <w:rFonts w:hint="eastAsia" w:ascii="宋体" w:hAnsi="宋体" w:cs="宋体"/>
          <w:b w:val="0"/>
          <w:color w:val="auto"/>
          <w:sz w:val="24"/>
          <w:highlight w:val="none"/>
        </w:rPr>
        <w:t>《中华人民共和国安全生产法》；</w:t>
      </w:r>
    </w:p>
    <w:p w14:paraId="243F403B">
      <w:pPr>
        <w:numPr>
          <w:ilvl w:val="0"/>
          <w:numId w:val="0"/>
        </w:numPr>
        <w:tabs>
          <w:tab w:val="left" w:pos="90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2、</w:t>
      </w:r>
      <w:r>
        <w:rPr>
          <w:rStyle w:val="14"/>
          <w:rFonts w:hint="eastAsia" w:ascii="宋体" w:hAnsi="宋体" w:cs="宋体"/>
          <w:b w:val="0"/>
          <w:color w:val="auto"/>
          <w:sz w:val="24"/>
          <w:highlight w:val="none"/>
        </w:rPr>
        <w:t>《建设工程质量管理条例》；</w:t>
      </w:r>
    </w:p>
    <w:p w14:paraId="17860EAF">
      <w:pPr>
        <w:numPr>
          <w:ilvl w:val="0"/>
          <w:numId w:val="0"/>
        </w:numPr>
        <w:tabs>
          <w:tab w:val="left" w:pos="90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3、</w:t>
      </w:r>
      <w:r>
        <w:rPr>
          <w:rStyle w:val="14"/>
          <w:rFonts w:hint="eastAsia" w:ascii="宋体" w:hAnsi="宋体" w:cs="宋体"/>
          <w:b w:val="0"/>
          <w:color w:val="auto"/>
          <w:sz w:val="24"/>
          <w:highlight w:val="none"/>
        </w:rPr>
        <w:t>《建设工程安全生产管理条例》；</w:t>
      </w:r>
    </w:p>
    <w:p w14:paraId="2F1D8266">
      <w:pPr>
        <w:numPr>
          <w:ilvl w:val="0"/>
          <w:numId w:val="0"/>
        </w:numPr>
        <w:tabs>
          <w:tab w:val="left" w:pos="90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4、</w:t>
      </w:r>
      <w:r>
        <w:rPr>
          <w:rStyle w:val="14"/>
          <w:rFonts w:hint="eastAsia" w:ascii="宋体" w:hAnsi="宋体" w:cs="宋体"/>
          <w:b w:val="0"/>
          <w:color w:val="auto"/>
          <w:sz w:val="24"/>
          <w:highlight w:val="none"/>
        </w:rPr>
        <w:t>水利部《水利建设市场主体不良行为记录公告暂行办法》；</w:t>
      </w:r>
    </w:p>
    <w:p w14:paraId="072116C7">
      <w:pPr>
        <w:numPr>
          <w:ilvl w:val="0"/>
          <w:numId w:val="0"/>
        </w:numPr>
        <w:tabs>
          <w:tab w:val="left" w:pos="90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5、</w:t>
      </w:r>
      <w:r>
        <w:rPr>
          <w:rStyle w:val="14"/>
          <w:rFonts w:hint="eastAsia" w:ascii="宋体" w:hAnsi="宋体" w:cs="宋体"/>
          <w:b w:val="0"/>
          <w:color w:val="auto"/>
          <w:sz w:val="24"/>
          <w:highlight w:val="none"/>
        </w:rPr>
        <w:t>建设部《建筑市场诚信行为信息管理办法》；</w:t>
      </w:r>
    </w:p>
    <w:p w14:paraId="0EB76788">
      <w:pPr>
        <w:numPr>
          <w:ilvl w:val="0"/>
          <w:numId w:val="0"/>
        </w:numPr>
        <w:tabs>
          <w:tab w:val="left" w:pos="90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6、</w:t>
      </w:r>
      <w:r>
        <w:rPr>
          <w:rStyle w:val="14"/>
          <w:rFonts w:hint="eastAsia" w:ascii="宋体" w:hAnsi="宋体" w:cs="宋体"/>
          <w:b w:val="0"/>
          <w:color w:val="auto"/>
          <w:sz w:val="24"/>
          <w:highlight w:val="none"/>
        </w:rPr>
        <w:t>广东省水利厅《关于政府投资项目水利工程建设市场不良行为处理办法（试行）》；</w:t>
      </w:r>
    </w:p>
    <w:p w14:paraId="5BB5F3AD">
      <w:pPr>
        <w:numPr>
          <w:ilvl w:val="0"/>
          <w:numId w:val="0"/>
        </w:numPr>
        <w:tabs>
          <w:tab w:val="left" w:pos="90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7、</w:t>
      </w:r>
      <w:r>
        <w:rPr>
          <w:rStyle w:val="14"/>
          <w:rFonts w:hint="eastAsia" w:ascii="宋体" w:hAnsi="宋体" w:cs="宋体"/>
          <w:b w:val="0"/>
          <w:color w:val="auto"/>
          <w:sz w:val="24"/>
          <w:highlight w:val="none"/>
        </w:rPr>
        <w:t>广州市水利局《广州市水利建设市场诚信行为管理办法》；</w:t>
      </w:r>
    </w:p>
    <w:p w14:paraId="1207A67F">
      <w:pPr>
        <w:numPr>
          <w:ilvl w:val="0"/>
          <w:numId w:val="0"/>
        </w:numPr>
        <w:tabs>
          <w:tab w:val="left" w:pos="90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8、</w:t>
      </w:r>
      <w:r>
        <w:rPr>
          <w:rStyle w:val="14"/>
          <w:rFonts w:hint="eastAsia" w:ascii="宋体" w:hAnsi="宋体" w:cs="宋体"/>
          <w:b w:val="0"/>
          <w:color w:val="auto"/>
          <w:sz w:val="24"/>
          <w:highlight w:val="none"/>
        </w:rPr>
        <w:t>水利部《水利工程建设监理规定》（水利部令28号）；</w:t>
      </w:r>
    </w:p>
    <w:p w14:paraId="7BEE4BE4">
      <w:pPr>
        <w:numPr>
          <w:ilvl w:val="0"/>
          <w:numId w:val="0"/>
        </w:numPr>
        <w:tabs>
          <w:tab w:val="left" w:pos="90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9、</w:t>
      </w:r>
      <w:r>
        <w:rPr>
          <w:rStyle w:val="14"/>
          <w:rFonts w:hint="eastAsia" w:ascii="宋体" w:hAnsi="宋体" w:cs="宋体"/>
          <w:b w:val="0"/>
          <w:color w:val="auto"/>
          <w:sz w:val="24"/>
          <w:highlight w:val="none"/>
        </w:rPr>
        <w:t>广东省建设工程监理条例；</w:t>
      </w:r>
    </w:p>
    <w:p w14:paraId="38D0A348">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10、</w:t>
      </w:r>
      <w:r>
        <w:rPr>
          <w:rStyle w:val="14"/>
          <w:rFonts w:hint="eastAsia" w:ascii="宋体" w:hAnsi="宋体" w:cs="宋体"/>
          <w:b w:val="0"/>
          <w:color w:val="auto"/>
          <w:sz w:val="24"/>
          <w:highlight w:val="none"/>
        </w:rPr>
        <w:t>水利工程建设项目施工监理规范（SL288-2003）；</w:t>
      </w:r>
    </w:p>
    <w:p w14:paraId="509133EF">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11、</w:t>
      </w:r>
      <w:r>
        <w:rPr>
          <w:rStyle w:val="14"/>
          <w:rFonts w:hint="eastAsia" w:ascii="宋体" w:hAnsi="宋体" w:cs="宋体"/>
          <w:b w:val="0"/>
          <w:color w:val="auto"/>
          <w:sz w:val="24"/>
          <w:highlight w:val="none"/>
        </w:rPr>
        <w:t>建设部《关于落实建设工程安全生产监理责任的若干意见》（建市〔2006〕248号）；</w:t>
      </w:r>
    </w:p>
    <w:p w14:paraId="6BC0783E">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12、</w:t>
      </w:r>
      <w:r>
        <w:rPr>
          <w:rStyle w:val="14"/>
          <w:rFonts w:hint="eastAsia" w:ascii="宋体" w:hAnsi="宋体" w:cs="宋体"/>
          <w:b w:val="0"/>
          <w:color w:val="auto"/>
          <w:sz w:val="24"/>
          <w:highlight w:val="none"/>
        </w:rPr>
        <w:t>《水利水电工程验收规程》（SL223-2008）；</w:t>
      </w:r>
    </w:p>
    <w:p w14:paraId="6F2E0AA9">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13、</w:t>
      </w:r>
      <w:r>
        <w:rPr>
          <w:rStyle w:val="14"/>
          <w:rFonts w:hint="eastAsia" w:ascii="宋体" w:hAnsi="宋体" w:cs="宋体"/>
          <w:b w:val="0"/>
          <w:color w:val="auto"/>
          <w:sz w:val="24"/>
          <w:highlight w:val="none"/>
        </w:rPr>
        <w:t>《水利水电工程施工质量检验与评定规程》（SL176-2007）；</w:t>
      </w:r>
    </w:p>
    <w:p w14:paraId="2EE04E33">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14、</w:t>
      </w:r>
      <w:r>
        <w:rPr>
          <w:rStyle w:val="14"/>
          <w:rFonts w:hint="eastAsia" w:ascii="宋体" w:hAnsi="宋体" w:cs="宋体"/>
          <w:b w:val="0"/>
          <w:color w:val="auto"/>
          <w:sz w:val="24"/>
          <w:highlight w:val="none"/>
        </w:rPr>
        <w:t>《水利水电工程施工通用安全技术规程》（SL398-2007）、《水利水电工程土建施工安全技术规程》（SL399-2007）、《水利水电工程金属结构与机电设备安装安全技术规程》（SL400-2007）、《水利水电工程施工作业人员安全操作规程》（SL401-2007）；</w:t>
      </w:r>
    </w:p>
    <w:p w14:paraId="11A0EFD2">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15、</w:t>
      </w:r>
      <w:r>
        <w:rPr>
          <w:rStyle w:val="14"/>
          <w:rFonts w:hint="eastAsia" w:ascii="宋体" w:hAnsi="宋体" w:cs="宋体"/>
          <w:b w:val="0"/>
          <w:color w:val="auto"/>
          <w:sz w:val="24"/>
          <w:highlight w:val="none"/>
        </w:rPr>
        <w:t>《广州市南沙区环保水务局工程设计变更工作指引》及其补充通知；</w:t>
      </w:r>
    </w:p>
    <w:p w14:paraId="5332831A">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16、</w:t>
      </w:r>
      <w:r>
        <w:rPr>
          <w:rStyle w:val="14"/>
          <w:rFonts w:hint="eastAsia" w:ascii="宋体" w:hAnsi="宋体" w:cs="宋体"/>
          <w:b w:val="0"/>
          <w:color w:val="auto"/>
          <w:sz w:val="24"/>
          <w:highlight w:val="none"/>
        </w:rPr>
        <w:t>《广州市南沙区环保水务局工程款支付制度》；</w:t>
      </w:r>
    </w:p>
    <w:p w14:paraId="4E95F867">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17、</w:t>
      </w:r>
      <w:r>
        <w:rPr>
          <w:rStyle w:val="14"/>
          <w:rFonts w:hint="eastAsia" w:ascii="宋体" w:hAnsi="宋体" w:cs="宋体"/>
          <w:b w:val="0"/>
          <w:color w:val="auto"/>
          <w:sz w:val="24"/>
          <w:highlight w:val="none"/>
        </w:rPr>
        <w:t>《水利工程建设项目档案管理规定》；</w:t>
      </w:r>
    </w:p>
    <w:p w14:paraId="67C91298">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18、</w:t>
      </w:r>
      <w:r>
        <w:rPr>
          <w:rStyle w:val="14"/>
          <w:rFonts w:hint="eastAsia" w:ascii="宋体" w:hAnsi="宋体" w:cs="宋体"/>
          <w:b w:val="0"/>
          <w:color w:val="auto"/>
          <w:sz w:val="24"/>
          <w:highlight w:val="none"/>
        </w:rPr>
        <w:t>国家和水利行业其他有关工程建设的法律、法规和规章或技术标准及其强制性条文；</w:t>
      </w:r>
    </w:p>
    <w:p w14:paraId="5743B565">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19、</w:t>
      </w:r>
      <w:r>
        <w:rPr>
          <w:rStyle w:val="14"/>
          <w:rFonts w:hint="eastAsia" w:ascii="宋体" w:hAnsi="宋体" w:cs="宋体"/>
          <w:b w:val="0"/>
          <w:color w:val="auto"/>
          <w:sz w:val="24"/>
          <w:highlight w:val="none"/>
        </w:rPr>
        <w:t>经批准的工程建设项目设计文件及其他相关文件；</w:t>
      </w:r>
    </w:p>
    <w:p w14:paraId="43D2B49D">
      <w:pPr>
        <w:numPr>
          <w:ilvl w:val="0"/>
          <w:numId w:val="0"/>
        </w:numPr>
        <w:tabs>
          <w:tab w:val="left" w:pos="1080"/>
        </w:tabs>
        <w:spacing w:line="360" w:lineRule="auto"/>
        <w:ind w:left="0" w:firstLine="480" w:firstLineChars="200"/>
        <w:rPr>
          <w:rStyle w:val="14"/>
          <w:rFonts w:hint="eastAsia" w:ascii="宋体" w:hAnsi="宋体" w:cs="宋体"/>
          <w:b w:val="0"/>
          <w:color w:val="auto"/>
          <w:sz w:val="24"/>
          <w:highlight w:val="none"/>
        </w:rPr>
      </w:pPr>
      <w:r>
        <w:rPr>
          <w:rFonts w:hint="eastAsia" w:ascii="宋体" w:hAnsi="宋体" w:eastAsia="宋体" w:cs="宋体"/>
          <w:b w:val="0"/>
          <w:bCs/>
          <w:color w:val="auto"/>
          <w:kern w:val="2"/>
          <w:sz w:val="24"/>
          <w:szCs w:val="32"/>
          <w:highlight w:val="none"/>
          <w:lang w:val="en-US" w:eastAsia="zh-CN" w:bidi="ar-SA"/>
        </w:rPr>
        <w:t>20、</w:t>
      </w:r>
      <w:r>
        <w:rPr>
          <w:rStyle w:val="14"/>
          <w:rFonts w:hint="eastAsia" w:ascii="宋体" w:hAnsi="宋体" w:cs="宋体"/>
          <w:b w:val="0"/>
          <w:color w:val="auto"/>
          <w:sz w:val="24"/>
          <w:highlight w:val="none"/>
        </w:rPr>
        <w:t>本监理合同、本项目施工合同等合同文件。</w:t>
      </w:r>
    </w:p>
    <w:p w14:paraId="3F927ED1">
      <w:pPr>
        <w:spacing w:line="360" w:lineRule="auto"/>
        <w:jc w:val="center"/>
        <w:rPr>
          <w:rFonts w:hint="eastAsia" w:ascii="宋体" w:hAnsi="宋体" w:eastAsia="宋体" w:cs="宋体"/>
          <w:bCs/>
          <w:color w:val="auto"/>
          <w:highlight w:val="none"/>
        </w:rPr>
      </w:pPr>
    </w:p>
    <w:p w14:paraId="4BEE790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委托人的权利</w:t>
      </w:r>
    </w:p>
    <w:p w14:paraId="1C24A455">
      <w:pPr>
        <w:spacing w:line="360" w:lineRule="auto"/>
        <w:ind w:firstLine="472" w:firstLineChars="196"/>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第三条</w:t>
      </w:r>
    </w:p>
    <w:p w14:paraId="305A59C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五、当监理人发生下列违约情形时，委托人有权解除合同：</w:t>
      </w:r>
    </w:p>
    <w:p w14:paraId="30F35DA9">
      <w:pPr>
        <w:spacing w:line="360" w:lineRule="auto"/>
        <w:ind w:firstLine="480" w:firstLineChars="200"/>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u w:val="single"/>
        </w:rPr>
        <w:t>1、本合同执行过程中，监理人服务质量不满足合同要求，委托人要求整改【】次后仍达不到合同要求的；</w:t>
      </w:r>
    </w:p>
    <w:p w14:paraId="067FB9C2">
      <w:pPr>
        <w:spacing w:line="360" w:lineRule="auto"/>
        <w:ind w:firstLine="480" w:firstLineChars="200"/>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u w:val="single"/>
        </w:rPr>
        <w:t>2、本合同执行过程中，单方或与工程其他参建方串通损害委托人利益造成经济损失的；</w:t>
      </w:r>
    </w:p>
    <w:p w14:paraId="53D3B158">
      <w:pPr>
        <w:spacing w:line="360" w:lineRule="auto"/>
        <w:ind w:firstLine="480" w:firstLineChars="200"/>
        <w:rPr>
          <w:rFonts w:hint="eastAsia" w:ascii="宋体" w:hAnsi="宋体" w:eastAsia="宋体" w:cs="宋体"/>
          <w:bCs/>
          <w:color w:val="auto"/>
          <w:sz w:val="24"/>
          <w:szCs w:val="21"/>
          <w:highlight w:val="none"/>
          <w:u w:val="single"/>
        </w:rPr>
      </w:pPr>
      <w:r>
        <w:rPr>
          <w:rFonts w:hint="eastAsia" w:ascii="宋体" w:hAnsi="宋体" w:eastAsia="宋体" w:cs="宋体"/>
          <w:bCs/>
          <w:color w:val="auto"/>
          <w:sz w:val="24"/>
          <w:szCs w:val="21"/>
          <w:highlight w:val="none"/>
          <w:u w:val="single"/>
        </w:rPr>
        <w:t>3、发生本合同约定的可以解除合同的其他情形。</w:t>
      </w:r>
    </w:p>
    <w:p w14:paraId="7D003F8D">
      <w:pPr>
        <w:spacing w:line="360" w:lineRule="auto"/>
        <w:jc w:val="center"/>
        <w:rPr>
          <w:rFonts w:hint="eastAsia" w:ascii="宋体" w:hAnsi="宋体" w:eastAsia="宋体" w:cs="宋体"/>
          <w:b/>
          <w:bCs/>
          <w:color w:val="auto"/>
          <w:sz w:val="24"/>
          <w:highlight w:val="none"/>
        </w:rPr>
      </w:pPr>
    </w:p>
    <w:p w14:paraId="0A79C8F4">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监理人的权利</w:t>
      </w:r>
    </w:p>
    <w:p w14:paraId="1DDA40A9">
      <w:pPr>
        <w:spacing w:line="360" w:lineRule="auto"/>
        <w:ind w:firstLine="354" w:firstLineChars="147"/>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第四条 </w:t>
      </w:r>
    </w:p>
    <w:p w14:paraId="7787A8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八、当委托人发生下列违约情形时，监理人有权解除合同：</w:t>
      </w:r>
    </w:p>
    <w:p w14:paraId="0FB344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未按本合同支付监理服务酬金，且无正当理由，经监理人书面催告后仍未支付的。</w:t>
      </w:r>
    </w:p>
    <w:p w14:paraId="3D7644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九、委托人赋予监理人的其他权利：无。</w:t>
      </w:r>
    </w:p>
    <w:p w14:paraId="4051B9DA">
      <w:pPr>
        <w:spacing w:line="360" w:lineRule="auto"/>
        <w:jc w:val="center"/>
        <w:rPr>
          <w:rFonts w:hint="eastAsia" w:ascii="宋体" w:hAnsi="宋体" w:eastAsia="宋体" w:cs="宋体"/>
          <w:b/>
          <w:bCs/>
          <w:color w:val="auto"/>
          <w:sz w:val="24"/>
          <w:highlight w:val="none"/>
        </w:rPr>
      </w:pPr>
    </w:p>
    <w:p w14:paraId="4B878254">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委托人的义务</w:t>
      </w:r>
    </w:p>
    <w:p w14:paraId="55493946">
      <w:pPr>
        <w:spacing w:line="360" w:lineRule="auto"/>
        <w:ind w:firstLine="354" w:firstLineChars="147"/>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 xml:space="preserve">第五条 </w:t>
      </w:r>
      <w:r>
        <w:rPr>
          <w:rFonts w:hint="eastAsia" w:ascii="宋体" w:hAnsi="宋体" w:eastAsia="宋体" w:cs="宋体"/>
          <w:bCs/>
          <w:color w:val="auto"/>
          <w:sz w:val="24"/>
          <w:highlight w:val="none"/>
        </w:rPr>
        <w:t>委托人向监理机构免费提供的资料为（监理机构应主动索取）：</w:t>
      </w:r>
    </w:p>
    <w:tbl>
      <w:tblPr>
        <w:tblStyle w:val="10"/>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700"/>
        <w:gridCol w:w="720"/>
        <w:gridCol w:w="1260"/>
        <w:gridCol w:w="1260"/>
        <w:gridCol w:w="2160"/>
      </w:tblGrid>
      <w:tr w14:paraId="76E5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14:paraId="6A748C0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700" w:type="dxa"/>
          </w:tcPr>
          <w:p w14:paraId="529E177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资料名称</w:t>
            </w:r>
          </w:p>
        </w:tc>
        <w:tc>
          <w:tcPr>
            <w:tcW w:w="720" w:type="dxa"/>
          </w:tcPr>
          <w:p w14:paraId="011EC19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份数</w:t>
            </w:r>
          </w:p>
        </w:tc>
        <w:tc>
          <w:tcPr>
            <w:tcW w:w="1260" w:type="dxa"/>
          </w:tcPr>
          <w:p w14:paraId="7924FA8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提供时间</w:t>
            </w:r>
          </w:p>
        </w:tc>
        <w:tc>
          <w:tcPr>
            <w:tcW w:w="1260" w:type="dxa"/>
          </w:tcPr>
          <w:p w14:paraId="6022904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收回时间</w:t>
            </w:r>
          </w:p>
        </w:tc>
        <w:tc>
          <w:tcPr>
            <w:tcW w:w="2160" w:type="dxa"/>
          </w:tcPr>
          <w:p w14:paraId="714DA4A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保存和保密要求</w:t>
            </w:r>
          </w:p>
        </w:tc>
      </w:tr>
      <w:tr w14:paraId="4F56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85327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700" w:type="dxa"/>
            <w:vAlign w:val="center"/>
          </w:tcPr>
          <w:p w14:paraId="68F5290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上级部门批准的建设文件及附件</w:t>
            </w:r>
          </w:p>
        </w:tc>
        <w:tc>
          <w:tcPr>
            <w:tcW w:w="720" w:type="dxa"/>
            <w:vAlign w:val="center"/>
          </w:tcPr>
          <w:p w14:paraId="0DE21E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60" w:type="dxa"/>
            <w:vAlign w:val="center"/>
          </w:tcPr>
          <w:p w14:paraId="1DB912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合同生效后</w:t>
            </w:r>
          </w:p>
        </w:tc>
        <w:tc>
          <w:tcPr>
            <w:tcW w:w="1260" w:type="dxa"/>
            <w:vAlign w:val="center"/>
          </w:tcPr>
          <w:p w14:paraId="40A16D9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合同终止时</w:t>
            </w:r>
          </w:p>
        </w:tc>
        <w:tc>
          <w:tcPr>
            <w:tcW w:w="2160" w:type="dxa"/>
            <w:vAlign w:val="center"/>
          </w:tcPr>
          <w:p w14:paraId="1DA1BD6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保密</w:t>
            </w:r>
          </w:p>
        </w:tc>
      </w:tr>
      <w:tr w14:paraId="4969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2AD2F04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700" w:type="dxa"/>
            <w:vAlign w:val="center"/>
          </w:tcPr>
          <w:p w14:paraId="2994106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设计文件、图纸、设计变更</w:t>
            </w:r>
          </w:p>
        </w:tc>
        <w:tc>
          <w:tcPr>
            <w:tcW w:w="720" w:type="dxa"/>
            <w:vAlign w:val="center"/>
          </w:tcPr>
          <w:p w14:paraId="2457B82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260" w:type="dxa"/>
            <w:vAlign w:val="center"/>
          </w:tcPr>
          <w:p w14:paraId="0CC03FC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合同生效后</w:t>
            </w:r>
          </w:p>
        </w:tc>
        <w:tc>
          <w:tcPr>
            <w:tcW w:w="1260" w:type="dxa"/>
            <w:vAlign w:val="center"/>
          </w:tcPr>
          <w:p w14:paraId="0521687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合同终止时</w:t>
            </w:r>
          </w:p>
        </w:tc>
        <w:tc>
          <w:tcPr>
            <w:tcW w:w="2160" w:type="dxa"/>
            <w:vAlign w:val="center"/>
          </w:tcPr>
          <w:p w14:paraId="28BA670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不得流入非相关单位及个人</w:t>
            </w:r>
          </w:p>
        </w:tc>
      </w:tr>
      <w:tr w14:paraId="740B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14D253D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700" w:type="dxa"/>
            <w:vAlign w:val="center"/>
          </w:tcPr>
          <w:p w14:paraId="3360A3B1">
            <w:pPr>
              <w:pStyle w:val="9"/>
              <w:pBdr>
                <w:bottom w:val="none" w:color="auto" w:sz="0" w:space="0"/>
              </w:pBdr>
              <w:tabs>
                <w:tab w:val="clear" w:pos="4153"/>
                <w:tab w:val="clear" w:pos="8306"/>
              </w:tabs>
              <w:snapToGrid/>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有关技术资料</w:t>
            </w:r>
          </w:p>
        </w:tc>
        <w:tc>
          <w:tcPr>
            <w:tcW w:w="720" w:type="dxa"/>
            <w:vAlign w:val="center"/>
          </w:tcPr>
          <w:p w14:paraId="2AB7C4C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60" w:type="dxa"/>
            <w:vAlign w:val="center"/>
          </w:tcPr>
          <w:p w14:paraId="47D6DC2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合同生效后</w:t>
            </w:r>
          </w:p>
        </w:tc>
        <w:tc>
          <w:tcPr>
            <w:tcW w:w="1260" w:type="dxa"/>
            <w:vAlign w:val="center"/>
          </w:tcPr>
          <w:p w14:paraId="60F6085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合同终止时</w:t>
            </w:r>
          </w:p>
        </w:tc>
        <w:tc>
          <w:tcPr>
            <w:tcW w:w="2160" w:type="dxa"/>
            <w:vAlign w:val="center"/>
          </w:tcPr>
          <w:p w14:paraId="03CAF45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不得流入非相关单位及个人</w:t>
            </w:r>
          </w:p>
        </w:tc>
      </w:tr>
      <w:tr w14:paraId="651E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14:paraId="50116CB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2700" w:type="dxa"/>
            <w:vAlign w:val="center"/>
          </w:tcPr>
          <w:p w14:paraId="5AA32526">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施工承包合同</w:t>
            </w:r>
          </w:p>
        </w:tc>
        <w:tc>
          <w:tcPr>
            <w:tcW w:w="720" w:type="dxa"/>
            <w:vAlign w:val="center"/>
          </w:tcPr>
          <w:p w14:paraId="36596A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60" w:type="dxa"/>
            <w:vAlign w:val="center"/>
          </w:tcPr>
          <w:p w14:paraId="2794878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合同生效后</w:t>
            </w:r>
          </w:p>
        </w:tc>
        <w:tc>
          <w:tcPr>
            <w:tcW w:w="1260" w:type="dxa"/>
            <w:vAlign w:val="center"/>
          </w:tcPr>
          <w:p w14:paraId="3A6A0AE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合同终止时</w:t>
            </w:r>
          </w:p>
        </w:tc>
        <w:tc>
          <w:tcPr>
            <w:tcW w:w="2160" w:type="dxa"/>
            <w:vAlign w:val="center"/>
          </w:tcPr>
          <w:p w14:paraId="2E767FE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永久、保密</w:t>
            </w:r>
          </w:p>
        </w:tc>
      </w:tr>
    </w:tbl>
    <w:p w14:paraId="554596F7">
      <w:pPr>
        <w:spacing w:line="360" w:lineRule="auto"/>
        <w:ind w:firstLine="482"/>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第六条</w:t>
      </w:r>
      <w:r>
        <w:rPr>
          <w:rFonts w:hint="eastAsia" w:ascii="宋体" w:hAnsi="宋体" w:eastAsia="宋体" w:cs="宋体"/>
          <w:color w:val="auto"/>
          <w:sz w:val="24"/>
          <w:highlight w:val="none"/>
        </w:rPr>
        <w:t>委托人对监理机构书面提交并要求作出决定的事宜作出书面决定并送达的时限：</w:t>
      </w:r>
    </w:p>
    <w:p w14:paraId="05938400">
      <w:pPr>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一般文件</w:t>
      </w:r>
      <w:r>
        <w:rPr>
          <w:rFonts w:hint="eastAsia" w:ascii="宋体" w:hAnsi="宋体" w:eastAsia="宋体" w:cs="宋体"/>
          <w:color w:val="auto"/>
          <w:sz w:val="24"/>
          <w:highlight w:val="none"/>
          <w:u w:val="single"/>
        </w:rPr>
        <w:t>14</w:t>
      </w:r>
      <w:r>
        <w:rPr>
          <w:rFonts w:hint="eastAsia" w:ascii="宋体" w:hAnsi="宋体" w:eastAsia="宋体" w:cs="宋体"/>
          <w:color w:val="auto"/>
          <w:sz w:val="24"/>
          <w:highlight w:val="none"/>
        </w:rPr>
        <w:t>天；紧急事项</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天；变更文件</w:t>
      </w:r>
      <w:r>
        <w:rPr>
          <w:rFonts w:hint="eastAsia" w:ascii="宋体" w:hAnsi="宋体" w:eastAsia="宋体" w:cs="宋体"/>
          <w:color w:val="auto"/>
          <w:sz w:val="24"/>
          <w:highlight w:val="none"/>
          <w:u w:val="single"/>
        </w:rPr>
        <w:t>7</w:t>
      </w:r>
      <w:r>
        <w:rPr>
          <w:rFonts w:hint="eastAsia" w:ascii="宋体" w:hAnsi="宋体" w:eastAsia="宋体" w:cs="宋体"/>
          <w:color w:val="auto"/>
          <w:sz w:val="24"/>
          <w:highlight w:val="none"/>
        </w:rPr>
        <w:t>天。</w:t>
      </w:r>
    </w:p>
    <w:p w14:paraId="5FCA3B5E">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第七条</w:t>
      </w:r>
      <w:r>
        <w:rPr>
          <w:rFonts w:hint="eastAsia" w:ascii="宋体" w:hAnsi="宋体" w:eastAsia="宋体" w:cs="宋体"/>
          <w:color w:val="auto"/>
          <w:sz w:val="24"/>
          <w:highlight w:val="none"/>
        </w:rPr>
        <w:t>委托人无偿向监理机构提供的工作、生活条件为：</w:t>
      </w:r>
    </w:p>
    <w:p w14:paraId="6227FFFC">
      <w:pPr>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委托人可协助监理机构协调外部关系。</w:t>
      </w:r>
    </w:p>
    <w:p w14:paraId="191FEA37">
      <w:pPr>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委托人不向监理机构提供任何设施、设备，也不向监理机构支付房屋、设施、设备的使用、维护与运行等费用，有关费用包含在监理服务酬金中。</w:t>
      </w:r>
    </w:p>
    <w:p w14:paraId="3A810187">
      <w:pPr>
        <w:spacing w:line="360" w:lineRule="auto"/>
        <w:jc w:val="center"/>
        <w:rPr>
          <w:rFonts w:hint="eastAsia" w:ascii="宋体" w:hAnsi="宋体" w:eastAsia="宋体" w:cs="宋体"/>
          <w:b/>
          <w:color w:val="auto"/>
          <w:sz w:val="24"/>
          <w:highlight w:val="none"/>
        </w:rPr>
      </w:pPr>
    </w:p>
    <w:p w14:paraId="2DA8114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监理人的义务</w:t>
      </w:r>
    </w:p>
    <w:p w14:paraId="73A62E41">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第八条</w:t>
      </w:r>
      <w:r>
        <w:rPr>
          <w:rFonts w:hint="eastAsia" w:ascii="宋体" w:hAnsi="宋体" w:eastAsia="宋体" w:cs="宋体"/>
          <w:bCs/>
          <w:color w:val="auto"/>
          <w:sz w:val="24"/>
          <w:highlight w:val="none"/>
        </w:rPr>
        <w:t>监理服务内容：</w:t>
      </w:r>
      <w:r>
        <w:rPr>
          <w:rFonts w:hint="eastAsia" w:ascii="宋体" w:hAnsi="宋体" w:eastAsia="宋体" w:cs="宋体"/>
          <w:bCs/>
          <w:color w:val="auto"/>
          <w:sz w:val="24"/>
          <w:highlight w:val="none"/>
          <w:u w:val="single"/>
        </w:rPr>
        <w:t>本工程施工及保修阶段监理</w:t>
      </w:r>
      <w:r>
        <w:rPr>
          <w:rFonts w:hint="eastAsia" w:ascii="宋体" w:hAnsi="宋体" w:eastAsia="宋体" w:cs="宋体"/>
          <w:bCs/>
          <w:color w:val="auto"/>
          <w:sz w:val="24"/>
          <w:highlight w:val="none"/>
        </w:rPr>
        <w:t>。</w:t>
      </w:r>
    </w:p>
    <w:p w14:paraId="2D37E42F">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sz w:val="24"/>
          <w:highlight w:val="none"/>
        </w:rPr>
        <w:t>第九条</w:t>
      </w:r>
      <w:r>
        <w:rPr>
          <w:rFonts w:hint="eastAsia" w:ascii="宋体" w:hAnsi="宋体" w:eastAsia="宋体" w:cs="宋体"/>
          <w:color w:val="auto"/>
          <w:sz w:val="24"/>
          <w:highlight w:val="none"/>
        </w:rPr>
        <w:t>监理人应当在本合同生效后</w:t>
      </w:r>
      <w:r>
        <w:rPr>
          <w:rFonts w:hint="eastAsia" w:ascii="宋体" w:hAnsi="宋体" w:eastAsia="宋体" w:cs="宋体"/>
          <w:color w:val="auto"/>
          <w:sz w:val="24"/>
          <w:highlight w:val="none"/>
          <w:u w:val="single"/>
        </w:rPr>
        <w:t>十五</w:t>
      </w:r>
      <w:r>
        <w:rPr>
          <w:rFonts w:hint="eastAsia" w:ascii="宋体" w:hAnsi="宋体" w:eastAsia="宋体" w:cs="宋体"/>
          <w:color w:val="auto"/>
          <w:sz w:val="24"/>
          <w:highlight w:val="none"/>
        </w:rPr>
        <w:t>天内组建监理机构，并进驻现场。</w:t>
      </w:r>
    </w:p>
    <w:p w14:paraId="4B487572">
      <w:pPr>
        <w:spacing w:line="360" w:lineRule="auto"/>
        <w:ind w:firstLine="472" w:firstLineChars="196"/>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第十条</w:t>
      </w:r>
      <w:r>
        <w:rPr>
          <w:rFonts w:hint="eastAsia" w:ascii="宋体" w:hAnsi="宋体" w:eastAsia="宋体" w:cs="宋体"/>
          <w:color w:val="auto"/>
          <w:sz w:val="24"/>
          <w:highlight w:val="none"/>
        </w:rPr>
        <w:t>需旁站监理的工程重要部位是（如果有）：</w:t>
      </w:r>
    </w:p>
    <w:p w14:paraId="34FCEDD0">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抛石护岸工程</w:t>
      </w:r>
      <w:r>
        <w:rPr>
          <w:rFonts w:hint="eastAsia" w:ascii="宋体" w:hAnsi="宋体" w:eastAsia="宋体" w:cs="宋体"/>
          <w:color w:val="auto"/>
          <w:sz w:val="24"/>
          <w:highlight w:val="none"/>
        </w:rPr>
        <w:t>；</w:t>
      </w:r>
    </w:p>
    <w:p w14:paraId="6832D80B">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基础处理工程</w:t>
      </w:r>
      <w:r>
        <w:rPr>
          <w:rFonts w:hint="eastAsia" w:ascii="宋体" w:hAnsi="宋体" w:eastAsia="宋体" w:cs="宋体"/>
          <w:color w:val="auto"/>
          <w:sz w:val="24"/>
          <w:highlight w:val="none"/>
        </w:rPr>
        <w:t>；</w:t>
      </w:r>
    </w:p>
    <w:p w14:paraId="5C3EAFD4">
      <w:pPr>
        <w:spacing w:line="360" w:lineRule="auto"/>
        <w:ind w:firstLine="540" w:firstLineChars="22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重要隐蔽部位；</w:t>
      </w:r>
    </w:p>
    <w:p w14:paraId="5073C074">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穿堤建筑物。</w:t>
      </w:r>
    </w:p>
    <w:p w14:paraId="50791B3F">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需旁站监理的关键工序是（如果有）：</w:t>
      </w:r>
    </w:p>
    <w:p w14:paraId="47B229C1">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砌石砂浆拌和过程、试件采样过程</w:t>
      </w:r>
      <w:r>
        <w:rPr>
          <w:rFonts w:hint="eastAsia" w:ascii="宋体" w:hAnsi="宋体" w:eastAsia="宋体" w:cs="宋体"/>
          <w:color w:val="auto"/>
          <w:sz w:val="24"/>
          <w:highlight w:val="none"/>
        </w:rPr>
        <w:t>；</w:t>
      </w:r>
    </w:p>
    <w:p w14:paraId="0CD2EEA8">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浆砌石砌筑过程</w:t>
      </w:r>
      <w:r>
        <w:rPr>
          <w:rFonts w:hint="eastAsia" w:ascii="宋体" w:hAnsi="宋体" w:eastAsia="宋体" w:cs="宋体"/>
          <w:color w:val="auto"/>
          <w:sz w:val="24"/>
          <w:highlight w:val="none"/>
        </w:rPr>
        <w:t>；</w:t>
      </w:r>
    </w:p>
    <w:p w14:paraId="2E912EDB">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自拌混凝土搅拌过程、试件采样过程</w:t>
      </w:r>
      <w:r>
        <w:rPr>
          <w:rFonts w:hint="eastAsia" w:ascii="宋体" w:hAnsi="宋体" w:eastAsia="宋体" w:cs="宋体"/>
          <w:color w:val="auto"/>
          <w:sz w:val="24"/>
          <w:highlight w:val="none"/>
        </w:rPr>
        <w:t>；</w:t>
      </w:r>
    </w:p>
    <w:p w14:paraId="3F241049">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混凝土浇筑过程</w:t>
      </w:r>
      <w:r>
        <w:rPr>
          <w:rFonts w:hint="eastAsia" w:ascii="宋体" w:hAnsi="宋体" w:eastAsia="宋体" w:cs="宋体"/>
          <w:color w:val="auto"/>
          <w:sz w:val="24"/>
          <w:highlight w:val="none"/>
        </w:rPr>
        <w:t>；</w:t>
      </w:r>
    </w:p>
    <w:p w14:paraId="7FB697DB">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u w:val="single"/>
        </w:rPr>
        <w:t>水泥搅拌桩或其他桩基础施工过程</w:t>
      </w:r>
      <w:r>
        <w:rPr>
          <w:rFonts w:hint="eastAsia" w:ascii="宋体" w:hAnsi="宋体" w:eastAsia="宋体" w:cs="宋体"/>
          <w:color w:val="auto"/>
          <w:sz w:val="24"/>
          <w:highlight w:val="none"/>
        </w:rPr>
        <w:t>；</w:t>
      </w:r>
    </w:p>
    <w:p w14:paraId="6FAE12BB">
      <w:pPr>
        <w:spacing w:line="360" w:lineRule="auto"/>
        <w:ind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u w:val="single"/>
        </w:rPr>
        <w:t>委托人在工程施工过程中提出的其他工序</w:t>
      </w:r>
      <w:r>
        <w:rPr>
          <w:rFonts w:hint="eastAsia" w:ascii="宋体" w:hAnsi="宋体" w:eastAsia="宋体" w:cs="宋体"/>
          <w:color w:val="auto"/>
          <w:sz w:val="24"/>
          <w:highlight w:val="none"/>
        </w:rPr>
        <w:t>。</w:t>
      </w:r>
    </w:p>
    <w:p w14:paraId="4018F19C">
      <w:pPr>
        <w:tabs>
          <w:tab w:val="left" w:pos="-180"/>
        </w:tabs>
        <w:spacing w:line="360" w:lineRule="auto"/>
        <w:ind w:firstLine="463" w:firstLineChars="192"/>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第十一条</w:t>
      </w:r>
      <w:r>
        <w:rPr>
          <w:rFonts w:hint="eastAsia" w:ascii="宋体" w:hAnsi="宋体" w:eastAsia="宋体" w:cs="宋体"/>
          <w:bCs/>
          <w:color w:val="auto"/>
          <w:sz w:val="24"/>
          <w:highlight w:val="none"/>
        </w:rPr>
        <w:t>委托人委托监理人主持的分部工程验收：</w:t>
      </w:r>
      <w:r>
        <w:rPr>
          <w:rFonts w:hint="eastAsia" w:ascii="宋体" w:hAnsi="宋体" w:eastAsia="宋体" w:cs="宋体"/>
          <w:color w:val="auto"/>
          <w:sz w:val="24"/>
          <w:highlight w:val="none"/>
          <w:u w:val="single"/>
        </w:rPr>
        <w:t>无</w:t>
      </w:r>
      <w:r>
        <w:rPr>
          <w:rFonts w:hint="eastAsia" w:ascii="宋体" w:hAnsi="宋体" w:eastAsia="宋体" w:cs="宋体"/>
          <w:color w:val="auto"/>
          <w:sz w:val="24"/>
          <w:highlight w:val="none"/>
        </w:rPr>
        <w:t>。</w:t>
      </w:r>
    </w:p>
    <w:p w14:paraId="0A88E302">
      <w:pPr>
        <w:spacing w:line="360" w:lineRule="auto"/>
        <w:ind w:firstLine="463" w:firstLineChars="192"/>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第十二条</w:t>
      </w:r>
      <w:r>
        <w:rPr>
          <w:rFonts w:hint="eastAsia" w:ascii="宋体" w:hAnsi="宋体" w:eastAsia="宋体" w:cs="宋体"/>
          <w:color w:val="auto"/>
          <w:sz w:val="24"/>
          <w:highlight w:val="none"/>
        </w:rPr>
        <w:t>在本合同终止后</w:t>
      </w:r>
      <w:r>
        <w:rPr>
          <w:rFonts w:hint="eastAsia" w:ascii="宋体" w:hAnsi="宋体" w:eastAsia="宋体" w:cs="宋体"/>
          <w:color w:val="auto"/>
          <w:sz w:val="24"/>
          <w:highlight w:val="none"/>
          <w:u w:val="single"/>
          <w:shd w:val="clear" w:color="auto" w:fill="FFFFFF"/>
        </w:rPr>
        <w:t>，</w:t>
      </w:r>
      <w:r>
        <w:rPr>
          <w:rFonts w:hint="eastAsia" w:ascii="宋体" w:hAnsi="宋体" w:eastAsia="宋体" w:cs="宋体"/>
          <w:color w:val="auto"/>
          <w:sz w:val="24"/>
          <w:highlight w:val="none"/>
        </w:rPr>
        <w:t>未征得委托人同意，不得泄露与本合同业务有关的技术、商务等</w:t>
      </w:r>
      <w:r>
        <w:rPr>
          <w:rFonts w:hint="eastAsia" w:ascii="宋体" w:hAnsi="宋体" w:eastAsia="宋体" w:cs="宋体"/>
          <w:color w:val="auto"/>
          <w:sz w:val="24"/>
          <w:highlight w:val="none"/>
          <w:shd w:val="clear" w:color="auto" w:fill="FFFFFF"/>
        </w:rPr>
        <w:t>秘密</w:t>
      </w:r>
      <w:r>
        <w:rPr>
          <w:rFonts w:hint="eastAsia" w:ascii="宋体" w:hAnsi="宋体" w:eastAsia="宋体" w:cs="宋体"/>
          <w:color w:val="auto"/>
          <w:sz w:val="24"/>
          <w:highlight w:val="none"/>
        </w:rPr>
        <w:t>。</w:t>
      </w:r>
    </w:p>
    <w:p w14:paraId="2EE872C3">
      <w:pPr>
        <w:spacing w:line="360" w:lineRule="auto"/>
        <w:jc w:val="center"/>
        <w:rPr>
          <w:rFonts w:hint="eastAsia" w:ascii="宋体" w:hAnsi="宋体" w:eastAsia="宋体" w:cs="宋体"/>
          <w:b/>
          <w:color w:val="auto"/>
          <w:sz w:val="24"/>
          <w:highlight w:val="none"/>
        </w:rPr>
      </w:pPr>
    </w:p>
    <w:p w14:paraId="106ACFF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监理服务酬金</w:t>
      </w:r>
    </w:p>
    <w:p w14:paraId="249B1B18">
      <w:pPr>
        <w:pStyle w:val="5"/>
        <w:spacing w:line="360" w:lineRule="auto"/>
        <w:ind w:firstLine="482" w:firstLineChars="200"/>
        <w:rPr>
          <w:rFonts w:hint="eastAsia" w:ascii="宋体" w:hAnsi="宋体" w:eastAsia="宋体" w:cs="宋体"/>
          <w:color w:val="auto"/>
          <w:sz w:val="24"/>
          <w:szCs w:val="24"/>
          <w:highlight w:val="none"/>
        </w:rPr>
      </w:pPr>
      <w:r>
        <w:rPr>
          <w:rFonts w:ascii="宋体" w:hAnsi="宋体" w:eastAsia="宋体" w:cs="宋体"/>
          <w:b/>
          <w:color w:val="auto"/>
          <w:sz w:val="24"/>
          <w:highlight w:val="none"/>
        </w:rPr>
        <w:t>第十三条</w:t>
      </w:r>
      <w:r>
        <w:rPr>
          <w:rFonts w:ascii="宋体" w:hAnsi="宋体" w:eastAsia="宋体" w:cs="宋体"/>
          <w:color w:val="auto"/>
          <w:sz w:val="24"/>
          <w:szCs w:val="24"/>
          <w:highlight w:val="none"/>
        </w:rPr>
        <w:t>监理正常服务酬金支付方法：</w:t>
      </w:r>
    </w:p>
    <w:p w14:paraId="358CE730">
      <w:pPr>
        <w:pStyle w:val="15"/>
        <w:numPr>
          <w:ilvl w:val="0"/>
          <w:numId w:val="3"/>
        </w:numPr>
        <w:tabs>
          <w:tab w:val="left" w:pos="900"/>
          <w:tab w:val="clear" w:pos="1200"/>
        </w:tabs>
        <w:spacing w:line="360" w:lineRule="auto"/>
        <w:ind w:left="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本项目不支付预付款。</w:t>
      </w:r>
    </w:p>
    <w:p w14:paraId="630BC147">
      <w:pPr>
        <w:pStyle w:val="15"/>
        <w:numPr>
          <w:ilvl w:val="0"/>
          <w:numId w:val="3"/>
        </w:numPr>
        <w:tabs>
          <w:tab w:val="left" w:pos="900"/>
          <w:tab w:val="clear" w:pos="1200"/>
        </w:tabs>
        <w:spacing w:line="360" w:lineRule="auto"/>
        <w:ind w:left="0"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按照南沙区和委托人制定实施的工程款支付制度，严格审核经验收符合质量要求（包括施工现场和档案资料）的工程量对应的施工进度比例，按照监理服务合同价格对应施工进度比例的80%支付进度款。</w:t>
      </w:r>
    </w:p>
    <w:p w14:paraId="44BCFEC2">
      <w:pPr>
        <w:pStyle w:val="15"/>
        <w:numPr>
          <w:ilvl w:val="0"/>
          <w:numId w:val="3"/>
        </w:numPr>
        <w:tabs>
          <w:tab w:val="left" w:pos="900"/>
          <w:tab w:val="clear" w:pos="12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工程单位工程验收通过后，监理服务费最多支付至该工程合同监理服务费的80%。</w:t>
      </w:r>
    </w:p>
    <w:p w14:paraId="17E0C52D">
      <w:pPr>
        <w:pStyle w:val="15"/>
        <w:numPr>
          <w:ilvl w:val="0"/>
          <w:numId w:val="3"/>
        </w:numPr>
        <w:tabs>
          <w:tab w:val="left" w:pos="900"/>
          <w:tab w:val="clear" w:pos="12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当累计支付比例达到或超过酬金的80%时，监理服务费结算价须经审定。工程通过竣工验收并完成施工结算评审，监理服务费最多支付至该工程合同监理服务费结算价的90%。</w:t>
      </w:r>
    </w:p>
    <w:p w14:paraId="2774938F">
      <w:pPr>
        <w:pStyle w:val="15"/>
        <w:numPr>
          <w:ilvl w:val="0"/>
          <w:numId w:val="3"/>
        </w:numPr>
        <w:tabs>
          <w:tab w:val="left" w:pos="900"/>
          <w:tab w:val="clear" w:pos="12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工程缺陷责任期期满，认为无质量遗留问题并取得工程缺陷责任期终止证书，支付监理服务费结算价的余款。</w:t>
      </w:r>
    </w:p>
    <w:p w14:paraId="62832802">
      <w:pPr>
        <w:pStyle w:val="15"/>
        <w:numPr>
          <w:ilvl w:val="0"/>
          <w:numId w:val="3"/>
        </w:numPr>
        <w:tabs>
          <w:tab w:val="left" w:pos="900"/>
          <w:tab w:val="clear" w:pos="12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由于支付</w:t>
      </w:r>
      <w:r>
        <w:rPr>
          <w:rFonts w:hint="eastAsia" w:ascii="宋体" w:hAnsi="宋体" w:eastAsia="宋体" w:cs="宋体"/>
          <w:color w:val="auto"/>
          <w:sz w:val="24"/>
          <w:highlight w:val="none"/>
          <w:lang w:eastAsia="zh-CN"/>
        </w:rPr>
        <w:t>审批</w:t>
      </w:r>
      <w:r>
        <w:rPr>
          <w:rFonts w:hint="eastAsia" w:ascii="宋体" w:hAnsi="宋体" w:eastAsia="宋体" w:cs="宋体"/>
          <w:color w:val="auto"/>
          <w:sz w:val="24"/>
          <w:highlight w:val="none"/>
        </w:rPr>
        <w:t>，委托人不承担非委托人原因引起的支付延误责任。</w:t>
      </w:r>
    </w:p>
    <w:p w14:paraId="3AC0D077">
      <w:pPr>
        <w:pStyle w:val="15"/>
        <w:numPr>
          <w:ilvl w:val="0"/>
          <w:numId w:val="3"/>
        </w:numPr>
        <w:tabs>
          <w:tab w:val="left" w:pos="900"/>
          <w:tab w:val="clear" w:pos="12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监理人员的人身意外伤害险和第三者责任险由监理人投保，相关费用已包含在监理服务酬金内。</w:t>
      </w:r>
    </w:p>
    <w:p w14:paraId="34B6DD35">
      <w:pPr>
        <w:pStyle w:val="1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合同变更引起的监理服务酬金按以下方式调整：</w:t>
      </w:r>
    </w:p>
    <w:p w14:paraId="0B414CD0">
      <w:pPr>
        <w:pStyle w:val="1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1、因合同变更（不含项目部分或全部施工合同内容甩项）和施工工期变化引起的监理工作量变化原则上不调整监理服务费。</w:t>
      </w:r>
    </w:p>
    <w:p w14:paraId="14A8DE0C">
      <w:pPr>
        <w:pStyle w:val="1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项目部分或全部施工合同内容甩项，根据招标时依据的施工图预算书，按照甩项部分占总预算的比例相应扣减监理服务费，但发生合同外增加项目及委托人原因造成的工期延误时，被扣减的监理服务费应予以减少，但减少额最多不超过被扣减额。具体按下式计算：</w:t>
      </w:r>
    </w:p>
    <w:p w14:paraId="06EA1406">
      <w:pPr>
        <w:pStyle w:val="15"/>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B＝A·（C－D ）/E－A·F·（H－G）/（E·G）（当B&gt;0时）或B＝0（当B&lt;0时）</w:t>
      </w:r>
    </w:p>
    <w:p w14:paraId="1BEC0C2C">
      <w:pPr>
        <w:pStyle w:val="15"/>
        <w:numPr>
          <w:ilvl w:val="0"/>
          <w:numId w:val="4"/>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合同正常监理服务费（元）；</w:t>
      </w:r>
    </w:p>
    <w:p w14:paraId="7120E445">
      <w:pPr>
        <w:pStyle w:val="15"/>
        <w:numPr>
          <w:ilvl w:val="0"/>
          <w:numId w:val="4"/>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因项目部分或全部施工合同内容甩项需要扣减的监理服务费（元）；</w:t>
      </w:r>
    </w:p>
    <w:p w14:paraId="76A12765">
      <w:pPr>
        <w:pStyle w:val="15"/>
        <w:numPr>
          <w:ilvl w:val="0"/>
          <w:numId w:val="4"/>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招标时甩项部分施工预算（元）；</w:t>
      </w:r>
    </w:p>
    <w:p w14:paraId="65A869AA">
      <w:pPr>
        <w:pStyle w:val="15"/>
        <w:numPr>
          <w:ilvl w:val="0"/>
          <w:numId w:val="4"/>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合同外增加项目经委托人审定的变更预算（元）；</w:t>
      </w:r>
    </w:p>
    <w:p w14:paraId="19D78724">
      <w:pPr>
        <w:pStyle w:val="15"/>
        <w:numPr>
          <w:ilvl w:val="0"/>
          <w:numId w:val="4"/>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招标时施工图总预算（元）；</w:t>
      </w:r>
    </w:p>
    <w:p w14:paraId="7A6D06C9">
      <w:pPr>
        <w:pStyle w:val="15"/>
        <w:numPr>
          <w:ilvl w:val="0"/>
          <w:numId w:val="4"/>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项目被延误部分施工预算或经委托人审定的变更预算（元）；</w:t>
      </w:r>
    </w:p>
    <w:p w14:paraId="4FCBE12B">
      <w:pPr>
        <w:pStyle w:val="15"/>
        <w:numPr>
          <w:ilvl w:val="0"/>
          <w:numId w:val="4"/>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项目被延误部分按投标文件确定的工期（天）；</w:t>
      </w:r>
    </w:p>
    <w:p w14:paraId="2020CD12">
      <w:pPr>
        <w:pStyle w:val="15"/>
        <w:numPr>
          <w:ilvl w:val="0"/>
          <w:numId w:val="4"/>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项目被延误部分实际工期（天）；</w:t>
      </w:r>
    </w:p>
    <w:p w14:paraId="752CC496">
      <w:pPr>
        <w:pStyle w:val="15"/>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合同非正常终止时，最终结算应支付的监理服务酬金按以下方式计算：</w:t>
      </w:r>
    </w:p>
    <w:p w14:paraId="3D186DE2">
      <w:pPr>
        <w:pStyle w:val="15"/>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A＝B·D/C－E+F</w:t>
      </w:r>
    </w:p>
    <w:p w14:paraId="5FA328DC">
      <w:pPr>
        <w:pStyle w:val="15"/>
        <w:numPr>
          <w:ilvl w:val="0"/>
          <w:numId w:val="5"/>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最终结算应支付的监理服务费（元）；</w:t>
      </w:r>
    </w:p>
    <w:p w14:paraId="72D60511">
      <w:pPr>
        <w:pStyle w:val="15"/>
        <w:numPr>
          <w:ilvl w:val="0"/>
          <w:numId w:val="5"/>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合同终止前已经完工并经验收合格的工程投资（元）；</w:t>
      </w:r>
    </w:p>
    <w:p w14:paraId="7500BB42">
      <w:pPr>
        <w:pStyle w:val="15"/>
        <w:numPr>
          <w:ilvl w:val="0"/>
          <w:numId w:val="5"/>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工程总投资（元）；</w:t>
      </w:r>
    </w:p>
    <w:p w14:paraId="4A8A2E87">
      <w:pPr>
        <w:pStyle w:val="15"/>
        <w:numPr>
          <w:ilvl w:val="0"/>
          <w:numId w:val="5"/>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合同正常监理服务费（元）；</w:t>
      </w:r>
    </w:p>
    <w:p w14:paraId="71FFB2B9">
      <w:pPr>
        <w:pStyle w:val="15"/>
        <w:numPr>
          <w:ilvl w:val="0"/>
          <w:numId w:val="5"/>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按合同约定监理人应向委托人支付的违约金或赔偿金（元）；</w:t>
      </w:r>
    </w:p>
    <w:p w14:paraId="7DD709A8">
      <w:pPr>
        <w:pStyle w:val="15"/>
        <w:numPr>
          <w:ilvl w:val="0"/>
          <w:numId w:val="5"/>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按合同约定委托人应向监理人支付的违约金或赔偿金（元）。</w:t>
      </w:r>
    </w:p>
    <w:p w14:paraId="443775B2">
      <w:pPr>
        <w:pStyle w:val="15"/>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如果按规定监理费结算价需要</w:t>
      </w:r>
      <w:r>
        <w:rPr>
          <w:rFonts w:hint="eastAsia" w:ascii="宋体" w:hAnsi="宋体" w:eastAsia="宋体" w:cs="宋体"/>
          <w:color w:val="auto"/>
          <w:sz w:val="24"/>
          <w:highlight w:val="none"/>
          <w:lang w:eastAsia="zh-CN"/>
        </w:rPr>
        <w:t>第三方</w:t>
      </w:r>
      <w:r>
        <w:rPr>
          <w:rFonts w:hint="eastAsia" w:ascii="宋体" w:hAnsi="宋体" w:eastAsia="宋体" w:cs="宋体"/>
          <w:color w:val="auto"/>
          <w:sz w:val="24"/>
          <w:highlight w:val="none"/>
        </w:rPr>
        <w:t>审定，则监理服务费最终结算价以</w:t>
      </w:r>
      <w:r>
        <w:rPr>
          <w:rFonts w:hint="eastAsia" w:ascii="宋体" w:hAnsi="宋体" w:eastAsia="宋体" w:cs="宋体"/>
          <w:color w:val="auto"/>
          <w:sz w:val="24"/>
          <w:highlight w:val="none"/>
          <w:lang w:eastAsia="zh-CN"/>
        </w:rPr>
        <w:t>第三方</w:t>
      </w:r>
      <w:r>
        <w:rPr>
          <w:rFonts w:hint="eastAsia" w:ascii="宋体" w:hAnsi="宋体" w:eastAsia="宋体" w:cs="宋体"/>
          <w:color w:val="auto"/>
          <w:sz w:val="24"/>
          <w:highlight w:val="none"/>
        </w:rPr>
        <w:t>审定为准。</w:t>
      </w:r>
    </w:p>
    <w:p w14:paraId="20334B64">
      <w:pPr>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在本合同约定的服务范围内，当工程量增加、或设计变更、或设计规模变化时，承包人工作的变化均应视为本合同约定的工作。</w:t>
      </w:r>
    </w:p>
    <w:p w14:paraId="5CF1FDFC">
      <w:pPr>
        <w:spacing w:line="360" w:lineRule="auto"/>
        <w:jc w:val="center"/>
        <w:rPr>
          <w:rFonts w:hint="eastAsia" w:ascii="宋体" w:hAnsi="宋体" w:eastAsia="宋体" w:cs="宋体"/>
          <w:b/>
          <w:color w:val="auto"/>
          <w:sz w:val="24"/>
          <w:highlight w:val="none"/>
        </w:rPr>
      </w:pPr>
    </w:p>
    <w:p w14:paraId="7856E16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违约责任</w:t>
      </w:r>
    </w:p>
    <w:p w14:paraId="2BA889BF">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第十四条</w:t>
      </w:r>
      <w:r>
        <w:rPr>
          <w:rFonts w:hint="eastAsia" w:ascii="宋体" w:hAnsi="宋体" w:eastAsia="宋体" w:cs="宋体"/>
          <w:color w:val="auto"/>
          <w:sz w:val="24"/>
          <w:highlight w:val="none"/>
        </w:rPr>
        <w:t>委托人违约，应支付给监理人违约金。</w:t>
      </w:r>
    </w:p>
    <w:p w14:paraId="53DD262A">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违约金：</w:t>
      </w:r>
      <w:r>
        <w:rPr>
          <w:rFonts w:hint="eastAsia" w:ascii="宋体" w:hAnsi="宋体" w:eastAsia="宋体" w:cs="宋体"/>
          <w:bCs/>
          <w:color w:val="auto"/>
          <w:sz w:val="24"/>
          <w:highlight w:val="none"/>
          <w:u w:val="single"/>
        </w:rPr>
        <w:t>每次叁仟元</w:t>
      </w:r>
      <w:r>
        <w:rPr>
          <w:rFonts w:hint="eastAsia" w:ascii="宋体" w:hAnsi="宋体" w:eastAsia="宋体" w:cs="宋体"/>
          <w:color w:val="auto"/>
          <w:sz w:val="24"/>
          <w:highlight w:val="none"/>
        </w:rPr>
        <w:t>。</w:t>
      </w:r>
    </w:p>
    <w:p w14:paraId="4D5251DF">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第十五条</w:t>
      </w:r>
      <w:r>
        <w:rPr>
          <w:rFonts w:hint="eastAsia" w:ascii="宋体" w:hAnsi="宋体" w:eastAsia="宋体" w:cs="宋体"/>
          <w:color w:val="auto"/>
          <w:sz w:val="24"/>
          <w:highlight w:val="none"/>
        </w:rPr>
        <w:t>因委托人延期支付监理服务酬金而向监理人支付逾期付款违约金的计算办法：</w:t>
      </w:r>
      <w:r>
        <w:rPr>
          <w:rFonts w:hint="eastAsia" w:ascii="宋体" w:hAnsi="宋体" w:eastAsia="宋体" w:cs="宋体"/>
          <w:color w:val="auto"/>
          <w:sz w:val="24"/>
          <w:szCs w:val="21"/>
          <w:highlight w:val="none"/>
          <w:u w:val="single"/>
        </w:rPr>
        <w:t>延期支付的监理服务酬金金额×拖欠天数×同期全国银行间同业拆借中心公布的一年期贷款市场报价利率</w:t>
      </w:r>
      <w:r>
        <w:rPr>
          <w:rFonts w:hint="eastAsia" w:ascii="宋体" w:hAnsi="宋体" w:eastAsia="宋体" w:cs="宋体"/>
          <w:color w:val="auto"/>
          <w:sz w:val="24"/>
          <w:szCs w:val="21"/>
          <w:highlight w:val="none"/>
        </w:rPr>
        <w:t>。</w:t>
      </w:r>
    </w:p>
    <w:p w14:paraId="415A379A">
      <w:pPr>
        <w:spacing w:line="360" w:lineRule="auto"/>
        <w:ind w:firstLine="54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第十六条</w:t>
      </w:r>
      <w:r>
        <w:rPr>
          <w:rFonts w:hint="eastAsia" w:ascii="宋体" w:hAnsi="宋体" w:eastAsia="宋体" w:cs="宋体"/>
          <w:color w:val="auto"/>
          <w:sz w:val="24"/>
          <w:highlight w:val="none"/>
        </w:rPr>
        <w:t>监理人违约，应支付给委托人违约金。</w:t>
      </w:r>
    </w:p>
    <w:p w14:paraId="0F3860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违约金的支付采取扣减监理服务酬金的方式，同时给建设单位带来经济损失，由监理人负责赔偿，违约金为【】元。</w:t>
      </w:r>
    </w:p>
    <w:p w14:paraId="2275B7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监理人违约的，除承担违约责任外，还应承担由此导致的委托人全部损失，包括但不限于委托人因主张权利支出的诉讼费、律师费、保全费、担保费、鉴定费、公证费等。</w:t>
      </w:r>
    </w:p>
    <w:p w14:paraId="0F2D16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监理人违约，违反规定，发生不良行为，给委托人工程施工监理工作造成不良影响和后果的，按以下方式处理（不在建设单位监理服务企业库，免予在库服务资格处罚但记录不良行为并按主场主体不良行为处理有关规定执行）：</w:t>
      </w:r>
    </w:p>
    <w:p w14:paraId="16008CC1">
      <w:pPr>
        <w:numPr>
          <w:ilvl w:val="0"/>
          <w:numId w:val="6"/>
        </w:numPr>
        <w:tabs>
          <w:tab w:val="left" w:pos="144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符合下列条件之一的，认定1次轻微不良行为，给予警告和暂停在库服务资格1个月，整改完成前不予拨付监理服务费的处罚：</w:t>
      </w:r>
    </w:p>
    <w:p w14:paraId="73A6BC15">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被各级政府和行政主管部门认定为不良行为，积极整改，对施工监理工作造成一定影响和后果1次的。</w:t>
      </w:r>
    </w:p>
    <w:p w14:paraId="55496DD6">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未能及时发现质量和安全问题或隐患（可能造成最严重后果尚未构成质量或安全事故的）或发现质量和安全问题或隐患未能及时督促承包人整改或暂停施工的；</w:t>
      </w:r>
    </w:p>
    <w:p w14:paraId="44826691">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发生违反规定，未依法依规和依据合同及监理人内部管理规章制度和委托人公布实施的有关制度、办法、指引等开展水利工程施工监理工作的行为，情节轻微，积极整改，对工程实施造成一定影响和后果累计1次的；</w:t>
      </w:r>
    </w:p>
    <w:p w14:paraId="2ED61F71">
      <w:pPr>
        <w:numPr>
          <w:ilvl w:val="0"/>
          <w:numId w:val="6"/>
        </w:numPr>
        <w:tabs>
          <w:tab w:val="left" w:pos="144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符合下列条件之一的，认定1次比较严重不良行为，给予通报和暂停在库服务资格6个月，扣除监理服务费10%，整改完成前不予拨付监理服务费的处罚：</w:t>
      </w:r>
    </w:p>
    <w:p w14:paraId="3A2EA20A">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未依照施工合同文件对进场的施工人员和施工机械设备进行核查的；</w:t>
      </w:r>
    </w:p>
    <w:p w14:paraId="48590D68">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未按承诺和合同及时选派满足监理工作要求的总监理工程师、监理工程师、安全员、监理员等组建项目监理机构，进驻现场的；</w:t>
      </w:r>
    </w:p>
    <w:p w14:paraId="5EEEF159">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工程开工前未向委托人报送符合实际和规定要求的监理规划和可操作的监理细则的；</w:t>
      </w:r>
    </w:p>
    <w:p w14:paraId="337C35D7">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未履行相关手续，擅自更换总监理工程师和监理工程师的；</w:t>
      </w:r>
    </w:p>
    <w:p w14:paraId="36AFD8EF">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本工程具备开工条件时未及时签发开工令（开工通知），延迟达到合同工期1/20或5天及以上的；</w:t>
      </w:r>
    </w:p>
    <w:p w14:paraId="66E0DEDC">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发现承包人工期、质量、安全、进度、变更、档案管理、环保、工程保修等方面存在问题或其他违反承包合同的行为，未及时依法依规和按照施工合同和监理合同文件进行处理或处理力度不够的；</w:t>
      </w:r>
    </w:p>
    <w:p w14:paraId="6A1EE43D">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未能及时发现质量和安全事故问题或隐患的；</w:t>
      </w:r>
    </w:p>
    <w:p w14:paraId="368651EF">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监理人员空岗或巡视不到位的；</w:t>
      </w:r>
    </w:p>
    <w:p w14:paraId="6CFEE4A5">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监理人越权审批的；</w:t>
      </w:r>
    </w:p>
    <w:p w14:paraId="77892C42">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未按规定或委托人要求报送监理月报及其他相关材料的；</w:t>
      </w:r>
    </w:p>
    <w:p w14:paraId="50958361">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未按规定进行档案资料的收集、整理、归档、移交的；</w:t>
      </w:r>
    </w:p>
    <w:p w14:paraId="24D91E4F">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无正当理由不参加摇珠或摇珠中标后又不按时签订合同、不接受委托业务、放弃中标1次的；</w:t>
      </w:r>
    </w:p>
    <w:p w14:paraId="7F31EEA8">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被各级政府和行政主管部门认定为不良行为，拒不整改、整改不力，对施工监理工作造成较大影响和后果1次的。</w:t>
      </w:r>
    </w:p>
    <w:p w14:paraId="2A767BF5">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拒签委托人文件或拒绝执行委托人已经生效的指令（危及生命财产安全的指令除外）的。</w:t>
      </w:r>
    </w:p>
    <w:p w14:paraId="5E5D43E2">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违反规定，未依法依规和依据合同及监理人内部管理规章制度和委托人公布实施的有关制度、办法、指引等开展水利工程施工监理工作的行为，情节比较严重，拒不整改、整改不力，对工程实施造成较大影响和后果1次的；</w:t>
      </w:r>
    </w:p>
    <w:p w14:paraId="7370400F">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有第（一）项所述情形累计2次的。</w:t>
      </w:r>
    </w:p>
    <w:p w14:paraId="4DB0AAB2">
      <w:pPr>
        <w:numPr>
          <w:ilvl w:val="0"/>
          <w:numId w:val="6"/>
        </w:numPr>
        <w:tabs>
          <w:tab w:val="left" w:pos="144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符合下列条件之一的，认定1次严重不良行为，给予上报上级有关部门处理和暂停在库服务资格1年，扣除监理服务费20%，整改完成前不予拨付监理服务费的处罚：</w:t>
      </w:r>
    </w:p>
    <w:p w14:paraId="6D48BB9A">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项目监理人员无相应岗位证书的；</w:t>
      </w:r>
    </w:p>
    <w:p w14:paraId="302999CC">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项目监理人员和常规检测设备不满足相关工程监理需要的；</w:t>
      </w:r>
    </w:p>
    <w:p w14:paraId="7FEB106A">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未按规定进行旁站监理的；</w:t>
      </w:r>
    </w:p>
    <w:p w14:paraId="4A3219FD">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未按规定进行平行检测的；</w:t>
      </w:r>
    </w:p>
    <w:p w14:paraId="3685E09E">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未对施工组织设计中的安全技术措施或者专项施工方案进行审查和督促落实的；</w:t>
      </w:r>
    </w:p>
    <w:p w14:paraId="6A9EA0C4">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发现质量和安全事故隐患未及时要求承包人整改或者暂时停止施工的；</w:t>
      </w:r>
    </w:p>
    <w:p w14:paraId="0A19FBAF">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承包人拒不执行监理指令，未及时向委托人上报的；</w:t>
      </w:r>
    </w:p>
    <w:p w14:paraId="6FBFE0C6">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利用工作便利与承包人以及建筑材料、建筑构配件和设备供应单位串通，谋取不正当利益的；</w:t>
      </w:r>
    </w:p>
    <w:p w14:paraId="040207BF">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隐瞒有关情况、拒绝提供材料或者提供虚假材料的；</w:t>
      </w:r>
    </w:p>
    <w:p w14:paraId="22E40938">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监理人员利用执（从）业上的便利，索取或者收受承包人以及建筑材料、建筑构配件和设备供应单位财物的；</w:t>
      </w:r>
    </w:p>
    <w:p w14:paraId="1586BAEF">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监理人员与承包人以及建筑材料、建筑构配件和设备供应单位串通，谋取不正当利益的；</w:t>
      </w:r>
    </w:p>
    <w:p w14:paraId="0AABCA1F">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监理人员非法泄露本工程应当保守的秘密的；</w:t>
      </w:r>
    </w:p>
    <w:p w14:paraId="78B0968F">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监理人员故意刁难承包人，以谋取私利的；</w:t>
      </w:r>
    </w:p>
    <w:p w14:paraId="03B98975">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合同正常履行期间未能保证履约保函和预付款保函按合同约定持续有效的；</w:t>
      </w:r>
    </w:p>
    <w:p w14:paraId="6A220AF9">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被各级政府和行政主管部门认定为不良行为，拒不整改、整改不力，对施工监理工作造成重大影响和后果1次的；</w:t>
      </w:r>
    </w:p>
    <w:p w14:paraId="7FB2786C">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违法违规违纪行为被审计、稽查、纪检、监察等部门确认但未被问责的，或发生一般举报投诉并被确认有效的；</w:t>
      </w:r>
    </w:p>
    <w:p w14:paraId="3BF14D51">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违反规定，未依法依规和依据合同及监理人内部管理规章制度和委托人公布实施的有关制度、办法、指引等开展水利工程施工监理工作的行为，情节严重，拒不整改、整改不力，对工程实施造成重大影响和后果1次的；</w:t>
      </w:r>
    </w:p>
    <w:p w14:paraId="43A4DAE5">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有第（二）项所述情形累计2次的。</w:t>
      </w:r>
    </w:p>
    <w:p w14:paraId="2F876FEA">
      <w:pPr>
        <w:numPr>
          <w:ilvl w:val="0"/>
          <w:numId w:val="6"/>
        </w:numPr>
        <w:tabs>
          <w:tab w:val="left" w:pos="144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符合下列条件之一的，认定1次特别严重不良行为，扣除全部监理服务费，终止监理服务合同，给予上报上级有关部门处理和取消在库服务资格的处罚：</w:t>
      </w:r>
    </w:p>
    <w:p w14:paraId="0585FFAE">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允许其他单位或者个人以监理人名义承揽工程水利工程施工监理业务的；</w:t>
      </w:r>
    </w:p>
    <w:p w14:paraId="410E7EE7">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经委托人对监理人进行资质复核审查，所提交的资料无效、有虚假情况或不满足资质条件的；</w:t>
      </w:r>
    </w:p>
    <w:p w14:paraId="604C1661">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与承包人以及建筑材料、建筑构配件和设备供应单位有隶属关系或者其他利害关系，却承担本项工程建设监理业务的；</w:t>
      </w:r>
    </w:p>
    <w:p w14:paraId="4BFB2DF8">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工程发生质量和安全生产事故隐瞒不报、谎报或者拖延报告的；</w:t>
      </w:r>
    </w:p>
    <w:p w14:paraId="4CDFA576">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因监理人员过错或管理不力，造成质量事故、安全生产事故、环境污染事故的；</w:t>
      </w:r>
    </w:p>
    <w:p w14:paraId="098D89A3">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将不合格的工程、建筑材料、建筑构配件和设备按照合格签字的；</w:t>
      </w:r>
    </w:p>
    <w:p w14:paraId="6F1998CF">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蓄意损害委托人或承包人利益的；</w:t>
      </w:r>
    </w:p>
    <w:p w14:paraId="4F0C2738">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与承包人串通，弄虚作假，降低工程质量或骗取国家建设资金的；</w:t>
      </w:r>
    </w:p>
    <w:p w14:paraId="01B352ED">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提供虚假工程预付款保函和履约保函的；</w:t>
      </w:r>
    </w:p>
    <w:p w14:paraId="50E0479E">
      <w:pPr>
        <w:numPr>
          <w:ilvl w:val="1"/>
          <w:numId w:val="6"/>
        </w:numPr>
        <w:tabs>
          <w:tab w:val="left" w:pos="90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其他违反第规定，未依法依规和依据合同及监理人内部管理规章制度和委托人公布实施的有关制度、办法、指引等开展水利工程施工监理工作的行为，情节特别严重，对工程实施造成特别重大影响和后果的；</w:t>
      </w:r>
    </w:p>
    <w:p w14:paraId="374A59B0">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被各级政府和行政主管部门认定为不良行为，对施工监理工作造成特别重大影响和后果的；</w:t>
      </w:r>
    </w:p>
    <w:p w14:paraId="4714E28D">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其他特别严重的工作失误或违法违规行为被审计、稽查、纪检、监察等部门确认并被问责的，或发生重大举报投诉并被确认有效的，或构成犯罪的；</w:t>
      </w:r>
    </w:p>
    <w:p w14:paraId="2FF24280">
      <w:pPr>
        <w:numPr>
          <w:ilvl w:val="1"/>
          <w:numId w:val="6"/>
        </w:numPr>
        <w:tabs>
          <w:tab w:val="left" w:pos="1080"/>
          <w:tab w:val="clear" w:pos="78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有第（三）项所述情形累计2次及以上的。</w:t>
      </w:r>
    </w:p>
    <w:p w14:paraId="2CD9E4B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以上”一般举报投诉”是指：举报投诉人关于摇珠存在一般违法违规违纪行为但尚不影响摇珠结果，或关于工程施工监理工作存在一般违法违规违纪行为，造成较大及以下经济和社会影响的举报投诉。</w:t>
      </w:r>
    </w:p>
    <w:p w14:paraId="12FCDBC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“重大举报投诉”是指：举报投诉人关于摇珠存在重大违法违规违纪行为，实质性影响摇珠结果，或关于工程施工监理工作存在重大违法违规违纪行为，造成重大及以上经济和社会影响的的举报投诉。</w:t>
      </w:r>
    </w:p>
    <w:p w14:paraId="248D27E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一定影响和后果”是指：不良行为情节轻微，经整改后，工程实施所受影响轻微，尚未造成不良经济和社会影响，因监理人过错违反施工监理工作目标符合附表关于工程实施中违反施工监理工作目标认定标准所列情形的。</w:t>
      </w:r>
    </w:p>
    <w:p w14:paraId="30FACAD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较大影响和后果”是指：不良行为情节比较严重，经整改后，工程实施受到较大影响但尚未受到实质性影响，造成一定经济和社会影响，因监理人过错违反施工监理工作目标符合附表关于工程实施中违反施工监理工作目标认定标准所列情形的。</w:t>
      </w:r>
    </w:p>
    <w:p w14:paraId="73F003F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重大影响和后果”是指：不良行为情节严重，经整改后，施工监理工作受到实质性影响，但施工监理工作仍可以继续推进，造成严重经济和社会影响，因监理人过错违反施工监理工作目标符合附表关于工程实施中违反施工监理工作目标认定标准所列情形的。</w:t>
      </w:r>
    </w:p>
    <w:p w14:paraId="421F27FA">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别重大影响和后果”是指：不良行为情节特别严重，且已经不具备整改条件，对工程实施造成特别严重经济和社会影响，因监理人过错违反施工监理工作目标符合附表关于工程实施中违反施工监理工作目标认定标准所列情形的。</w:t>
      </w:r>
    </w:p>
    <w:p w14:paraId="50BE92A3">
      <w:pPr>
        <w:spacing w:line="360" w:lineRule="auto"/>
        <w:ind w:firstLine="360" w:firstLineChars="15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附表：工程实施阶段违反施工监理工作目标认定标准</w:t>
      </w:r>
    </w:p>
    <w:tbl>
      <w:tblPr>
        <w:tblStyle w:val="10"/>
        <w:tblW w:w="103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371"/>
        <w:gridCol w:w="2371"/>
        <w:gridCol w:w="2371"/>
        <w:gridCol w:w="2372"/>
      </w:tblGrid>
      <w:tr w14:paraId="07174A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Merge w:val="restart"/>
            <w:vAlign w:val="center"/>
          </w:tcPr>
          <w:p w14:paraId="6A54A086">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b/>
                <w:color w:val="auto"/>
                <w:szCs w:val="21"/>
                <w:highlight w:val="none"/>
              </w:rPr>
              <w:t>监理工作目标</w:t>
            </w:r>
          </w:p>
        </w:tc>
        <w:tc>
          <w:tcPr>
            <w:tcW w:w="9485" w:type="dxa"/>
            <w:gridSpan w:val="4"/>
          </w:tcPr>
          <w:p w14:paraId="0168A5A4">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b/>
                <w:color w:val="auto"/>
                <w:szCs w:val="21"/>
                <w:highlight w:val="none"/>
              </w:rPr>
              <w:t>对工程实施造成影响的认定标准（各目标对应影响等级以满足表格所列条件之一为准）</w:t>
            </w:r>
          </w:p>
        </w:tc>
      </w:tr>
      <w:tr w14:paraId="7EF509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Merge w:val="continue"/>
            <w:vAlign w:val="center"/>
          </w:tcPr>
          <w:p w14:paraId="794D2D1C">
            <w:pPr>
              <w:snapToGrid w:val="0"/>
              <w:spacing w:line="360" w:lineRule="auto"/>
              <w:jc w:val="center"/>
              <w:rPr>
                <w:rFonts w:hint="eastAsia" w:ascii="宋体" w:hAnsi="宋体" w:eastAsia="宋体" w:cs="宋体"/>
                <w:color w:val="auto"/>
                <w:sz w:val="18"/>
                <w:szCs w:val="18"/>
                <w:highlight w:val="none"/>
              </w:rPr>
            </w:pPr>
          </w:p>
        </w:tc>
        <w:tc>
          <w:tcPr>
            <w:tcW w:w="2371" w:type="dxa"/>
            <w:vAlign w:val="center"/>
          </w:tcPr>
          <w:p w14:paraId="3231DE8E">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b/>
                <w:color w:val="auto"/>
                <w:szCs w:val="21"/>
                <w:highlight w:val="none"/>
              </w:rPr>
              <w:t>一定影响和后果</w:t>
            </w:r>
          </w:p>
        </w:tc>
        <w:tc>
          <w:tcPr>
            <w:tcW w:w="2371" w:type="dxa"/>
            <w:vAlign w:val="center"/>
          </w:tcPr>
          <w:p w14:paraId="10282E62">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b/>
                <w:color w:val="auto"/>
                <w:szCs w:val="21"/>
                <w:highlight w:val="none"/>
              </w:rPr>
              <w:t>较大影响和后果</w:t>
            </w:r>
          </w:p>
        </w:tc>
        <w:tc>
          <w:tcPr>
            <w:tcW w:w="2371" w:type="dxa"/>
            <w:vAlign w:val="center"/>
          </w:tcPr>
          <w:p w14:paraId="18F3857F">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b/>
                <w:color w:val="auto"/>
                <w:szCs w:val="21"/>
                <w:highlight w:val="none"/>
              </w:rPr>
              <w:t>重大影响和后果</w:t>
            </w:r>
          </w:p>
        </w:tc>
        <w:tc>
          <w:tcPr>
            <w:tcW w:w="2372" w:type="dxa"/>
            <w:vAlign w:val="center"/>
          </w:tcPr>
          <w:p w14:paraId="46BC3095">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b/>
                <w:color w:val="auto"/>
                <w:szCs w:val="21"/>
                <w:highlight w:val="none"/>
              </w:rPr>
              <w:t>特别重大影响和后果</w:t>
            </w:r>
          </w:p>
        </w:tc>
      </w:tr>
      <w:tr w14:paraId="0006EE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4C30BF91">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工期</w:t>
            </w:r>
          </w:p>
          <w:p w14:paraId="6278156E">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w:t>
            </w:r>
          </w:p>
        </w:tc>
        <w:tc>
          <w:tcPr>
            <w:tcW w:w="2371" w:type="dxa"/>
            <w:vAlign w:val="center"/>
          </w:tcPr>
          <w:p w14:paraId="3DDCE463">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1、延误超出合同工期1/10；</w:t>
            </w:r>
          </w:p>
          <w:p w14:paraId="07BA6DB2">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2、延误15天及以内的。</w:t>
            </w:r>
          </w:p>
        </w:tc>
        <w:tc>
          <w:tcPr>
            <w:tcW w:w="2371" w:type="dxa"/>
            <w:vAlign w:val="center"/>
          </w:tcPr>
          <w:p w14:paraId="5E7426C5">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1、延误超出合同工期1/10-1/5(含)；</w:t>
            </w:r>
          </w:p>
          <w:p w14:paraId="404E1983">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2、延误15-30天（含）。</w:t>
            </w:r>
          </w:p>
        </w:tc>
        <w:tc>
          <w:tcPr>
            <w:tcW w:w="2371" w:type="dxa"/>
            <w:vAlign w:val="center"/>
          </w:tcPr>
          <w:p w14:paraId="6A3ABE4E">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1、延误超出合同工期1/5-1/3（含）；</w:t>
            </w:r>
          </w:p>
          <w:p w14:paraId="2F2582A7">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2、延误30-60天（含）。</w:t>
            </w:r>
          </w:p>
        </w:tc>
        <w:tc>
          <w:tcPr>
            <w:tcW w:w="2372" w:type="dxa"/>
            <w:vAlign w:val="center"/>
          </w:tcPr>
          <w:p w14:paraId="0B8FCFE7">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1、延误超出合同工期1/3；</w:t>
            </w:r>
          </w:p>
          <w:p w14:paraId="590F49C7">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2、延误60天以上的。</w:t>
            </w:r>
          </w:p>
        </w:tc>
      </w:tr>
      <w:tr w14:paraId="533C74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1330D878">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质量</w:t>
            </w:r>
          </w:p>
          <w:p w14:paraId="6D62F2CF">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w:t>
            </w:r>
          </w:p>
        </w:tc>
        <w:tc>
          <w:tcPr>
            <w:tcW w:w="2371" w:type="dxa"/>
            <w:vAlign w:val="center"/>
          </w:tcPr>
          <w:p w14:paraId="1663F970">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1、被发现1次及以上较大及以下质量问题或隐患，尚未造成质量缺陷；</w:t>
            </w:r>
          </w:p>
          <w:p w14:paraId="682B7F68">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2、发生一般质量缺陷的。</w:t>
            </w:r>
          </w:p>
          <w:p w14:paraId="5497E487">
            <w:pPr>
              <w:snapToGrid w:val="0"/>
              <w:spacing w:line="360" w:lineRule="auto"/>
              <w:rPr>
                <w:rFonts w:hint="eastAsia" w:ascii="宋体" w:hAnsi="宋体" w:eastAsia="宋体" w:cs="宋体"/>
                <w:color w:val="auto"/>
                <w:sz w:val="18"/>
                <w:szCs w:val="18"/>
                <w:highlight w:val="none"/>
              </w:rPr>
            </w:pPr>
          </w:p>
        </w:tc>
        <w:tc>
          <w:tcPr>
            <w:tcW w:w="2371" w:type="dxa"/>
            <w:vAlign w:val="center"/>
          </w:tcPr>
          <w:p w14:paraId="1D4108E2">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1、被发现1次及以上较大及以下质量问题或隐患，造成严重及以上质量缺陷的；</w:t>
            </w:r>
          </w:p>
          <w:p w14:paraId="36E62726">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2、被发现1次及以上重大及以上质量问题或隐患，尚未造成严重及以上质量缺陷的。</w:t>
            </w:r>
          </w:p>
        </w:tc>
        <w:tc>
          <w:tcPr>
            <w:tcW w:w="2371" w:type="dxa"/>
            <w:vAlign w:val="center"/>
          </w:tcPr>
          <w:p w14:paraId="7056A96B">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1、被发现1次及以上重大及以上质量问题或隐患，造成严重及以上质量缺陷但尚未造成质量事故的；</w:t>
            </w:r>
          </w:p>
          <w:p w14:paraId="43ED6E50">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2、经质量监督部门核定达不到施工合同质量等级的。</w:t>
            </w:r>
          </w:p>
        </w:tc>
        <w:tc>
          <w:tcPr>
            <w:tcW w:w="2372" w:type="dxa"/>
            <w:vAlign w:val="center"/>
          </w:tcPr>
          <w:p w14:paraId="02BBDC71">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发生质量事故的。</w:t>
            </w:r>
          </w:p>
        </w:tc>
      </w:tr>
      <w:tr w14:paraId="0C7EE8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1FF09682">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安全</w:t>
            </w:r>
          </w:p>
          <w:p w14:paraId="0DC0D1E2">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生产</w:t>
            </w:r>
          </w:p>
        </w:tc>
        <w:tc>
          <w:tcPr>
            <w:tcW w:w="2371" w:type="dxa"/>
            <w:vAlign w:val="center"/>
          </w:tcPr>
          <w:p w14:paraId="246C8C37">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1、被发现1次及以上较大及以下安全问题或隐患，尚未造成人员受伤或经济损失的；</w:t>
            </w:r>
          </w:p>
          <w:p w14:paraId="4857384B">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3、发生不安全不文明施工行为且未造成社会影响的。</w:t>
            </w:r>
          </w:p>
        </w:tc>
        <w:tc>
          <w:tcPr>
            <w:tcW w:w="2371" w:type="dxa"/>
            <w:vAlign w:val="center"/>
          </w:tcPr>
          <w:p w14:paraId="3015AF61">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1、被发现1次及以上较大及以下安全问题或隐患，造成一定人员受伤或经济损失且尚未构成安全生产事故的；</w:t>
            </w:r>
          </w:p>
          <w:p w14:paraId="2B69445A">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2、被发现1次及以上重大及以上安全问题或隐患，尚未造成人员受伤或经济损失的；</w:t>
            </w:r>
          </w:p>
          <w:p w14:paraId="52BC5F5B">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3、发生不安全不文明施工行为且造成较大及以下社会影响的。</w:t>
            </w:r>
          </w:p>
        </w:tc>
        <w:tc>
          <w:tcPr>
            <w:tcW w:w="2371" w:type="dxa"/>
            <w:vAlign w:val="center"/>
          </w:tcPr>
          <w:p w14:paraId="2B854848">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1、被发现1次及以上重大及以上安全问题或隐患，造成一定人员受伤和经济损失的但尚未构成安全生产事故的；</w:t>
            </w:r>
          </w:p>
          <w:p w14:paraId="05211763">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2、发生不安全不文明施工行为且造成重大及以上社会影响的。</w:t>
            </w:r>
          </w:p>
        </w:tc>
        <w:tc>
          <w:tcPr>
            <w:tcW w:w="2372" w:type="dxa"/>
            <w:vAlign w:val="center"/>
          </w:tcPr>
          <w:p w14:paraId="30988A29">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发生安全生产事故的。</w:t>
            </w:r>
          </w:p>
        </w:tc>
      </w:tr>
      <w:tr w14:paraId="1B25F5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2C174572">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进度</w:t>
            </w:r>
          </w:p>
          <w:p w14:paraId="4BC584EA">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w:t>
            </w:r>
          </w:p>
        </w:tc>
        <w:tc>
          <w:tcPr>
            <w:tcW w:w="2371" w:type="dxa"/>
            <w:vAlign w:val="center"/>
          </w:tcPr>
          <w:p w14:paraId="7C0F771A">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1、延误超出进度计划工期1/10；</w:t>
            </w:r>
          </w:p>
          <w:p w14:paraId="4DEF1B1E">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2、延误15天及以内的。</w:t>
            </w:r>
          </w:p>
        </w:tc>
        <w:tc>
          <w:tcPr>
            <w:tcW w:w="2371" w:type="dxa"/>
            <w:vAlign w:val="center"/>
          </w:tcPr>
          <w:p w14:paraId="10F459AA">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1、延误超出进度计划工期1/10-1/5(含)；</w:t>
            </w:r>
          </w:p>
          <w:p w14:paraId="18FD4E5B">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2、延误15-30天（含）。</w:t>
            </w:r>
          </w:p>
        </w:tc>
        <w:tc>
          <w:tcPr>
            <w:tcW w:w="2371" w:type="dxa"/>
            <w:vAlign w:val="center"/>
          </w:tcPr>
          <w:p w14:paraId="58EBA59E">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1、延误超出进度计划工期1/5-1/3（含）；</w:t>
            </w:r>
          </w:p>
          <w:p w14:paraId="30F0AE36">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2、延误30-45天（含）。</w:t>
            </w:r>
          </w:p>
        </w:tc>
        <w:tc>
          <w:tcPr>
            <w:tcW w:w="2372" w:type="dxa"/>
            <w:vAlign w:val="center"/>
          </w:tcPr>
          <w:p w14:paraId="655F9877">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1、延误超出进度计划工期1/3；</w:t>
            </w:r>
          </w:p>
          <w:p w14:paraId="2D1DAC96">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2、延误45天以上的。</w:t>
            </w:r>
          </w:p>
        </w:tc>
      </w:tr>
      <w:tr w14:paraId="047F96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2F468011">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变更</w:t>
            </w:r>
          </w:p>
          <w:p w14:paraId="3566B724">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w:t>
            </w:r>
          </w:p>
        </w:tc>
        <w:tc>
          <w:tcPr>
            <w:tcW w:w="2371" w:type="dxa"/>
            <w:vAlign w:val="center"/>
          </w:tcPr>
          <w:p w14:paraId="6CF830E7">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发生1次违规变更行为，但尚未造成不良后果的</w:t>
            </w:r>
          </w:p>
        </w:tc>
        <w:tc>
          <w:tcPr>
            <w:tcW w:w="2371" w:type="dxa"/>
            <w:vAlign w:val="center"/>
          </w:tcPr>
          <w:p w14:paraId="7D7314CA">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1、发生2 次及以上违规变更行为，但尚未造成不良后果的；</w:t>
            </w:r>
          </w:p>
          <w:p w14:paraId="76E2BDFC">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2、发生1次违规变更行为，单项变更增减不超过50万元或累计变更造价变化不超过合同价10%的且未给委托人带来经济损害的。</w:t>
            </w:r>
          </w:p>
        </w:tc>
        <w:tc>
          <w:tcPr>
            <w:tcW w:w="2371" w:type="dxa"/>
            <w:vAlign w:val="center"/>
          </w:tcPr>
          <w:p w14:paraId="35407C86">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1、发生2次及以上违规变更行为，单项变更增减不超过50万元或累计变更造价变化不超过合同价10%的；</w:t>
            </w:r>
          </w:p>
          <w:p w14:paraId="08F5FDCB">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2、发生违规变更行为，给委托人带来经济损害10万元及以下的。</w:t>
            </w:r>
          </w:p>
        </w:tc>
        <w:tc>
          <w:tcPr>
            <w:tcW w:w="2372" w:type="dxa"/>
            <w:vAlign w:val="center"/>
          </w:tcPr>
          <w:p w14:paraId="5E2DA259">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发生违规变更行为，给委托人带来经济损害10万元以上的。</w:t>
            </w:r>
          </w:p>
        </w:tc>
      </w:tr>
      <w:tr w14:paraId="3DB49A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342F2DEF">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投资</w:t>
            </w:r>
          </w:p>
          <w:p w14:paraId="6742CAFA">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控制</w:t>
            </w:r>
          </w:p>
        </w:tc>
        <w:tc>
          <w:tcPr>
            <w:tcW w:w="2371" w:type="dxa"/>
            <w:vAlign w:val="center"/>
          </w:tcPr>
          <w:p w14:paraId="309AAE03">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因投资控制不合理，工程施工结算送审价超出施工合同价（不含补充协议部分和甩项部分）但不超施工招标上限价（不含甩项部分）的</w:t>
            </w:r>
          </w:p>
        </w:tc>
        <w:tc>
          <w:tcPr>
            <w:tcW w:w="2371" w:type="dxa"/>
            <w:vAlign w:val="center"/>
          </w:tcPr>
          <w:p w14:paraId="646DDB0A">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因投资控制不合理，工程施工结算送审价超出施工招标上限价（不含甩项部分）但未超出施工概算评审价（不含甩项部分）的</w:t>
            </w:r>
          </w:p>
        </w:tc>
        <w:tc>
          <w:tcPr>
            <w:tcW w:w="2371" w:type="dxa"/>
            <w:vAlign w:val="center"/>
          </w:tcPr>
          <w:p w14:paraId="03D68157">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因投资控制不合理，工程施工结算送审价超出施工概算评审价（含甩项部分）但尚未导致工程总投资突破初步设计总概算的</w:t>
            </w:r>
          </w:p>
        </w:tc>
        <w:tc>
          <w:tcPr>
            <w:tcW w:w="2372" w:type="dxa"/>
            <w:vAlign w:val="center"/>
          </w:tcPr>
          <w:p w14:paraId="714292D9">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因投资控制不合理，导致工程总投资突破初步设计总概算，必须调整概算的</w:t>
            </w:r>
          </w:p>
        </w:tc>
      </w:tr>
      <w:tr w14:paraId="38E092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66C95287">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工程款支付</w:t>
            </w:r>
          </w:p>
        </w:tc>
        <w:tc>
          <w:tcPr>
            <w:tcW w:w="2371" w:type="dxa"/>
            <w:vAlign w:val="center"/>
          </w:tcPr>
          <w:p w14:paraId="6C8F6A21">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不执行工程支付制度及有关规定，漏拨、迟拨工程款的</w:t>
            </w:r>
          </w:p>
        </w:tc>
        <w:tc>
          <w:tcPr>
            <w:tcW w:w="2371" w:type="dxa"/>
            <w:vAlign w:val="center"/>
          </w:tcPr>
          <w:p w14:paraId="04AE5F10">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错拨、超拨工程款占合同价1/5或100万元及以内的，但尚未导致不良后果，未影响资金安全的</w:t>
            </w:r>
          </w:p>
        </w:tc>
        <w:tc>
          <w:tcPr>
            <w:tcW w:w="2371" w:type="dxa"/>
            <w:vAlign w:val="center"/>
          </w:tcPr>
          <w:p w14:paraId="46B91273">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1、错拨、超拨工程款占合同价1/5或100万元及以内，且导致不良后果，影响资金安全的；</w:t>
            </w:r>
          </w:p>
          <w:p w14:paraId="4160D7D5">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2、错拨、超拨工程款占合同价1/5-1/2（含）或100-200万元（含）的，但尚未导致不良后果，未影响资金安全的</w:t>
            </w:r>
          </w:p>
        </w:tc>
        <w:tc>
          <w:tcPr>
            <w:tcW w:w="2372" w:type="dxa"/>
            <w:vAlign w:val="center"/>
          </w:tcPr>
          <w:p w14:paraId="2ADCC10C">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1、错拨、超拨工程款占合同价1/5-1/2（含）或100-200万元（含）的，且导致不良后果，影响资金安全的；</w:t>
            </w:r>
          </w:p>
          <w:p w14:paraId="3A27496E">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2、错拨、超拨工程款占合同价1/2或200万元以上的</w:t>
            </w:r>
          </w:p>
          <w:p w14:paraId="51C10457">
            <w:pPr>
              <w:snapToGrid w:val="0"/>
              <w:spacing w:line="360" w:lineRule="auto"/>
              <w:rPr>
                <w:rFonts w:hint="eastAsia" w:ascii="宋体" w:hAnsi="宋体" w:eastAsia="宋体" w:cs="宋体"/>
                <w:color w:val="auto"/>
                <w:sz w:val="18"/>
                <w:szCs w:val="18"/>
                <w:highlight w:val="none"/>
              </w:rPr>
            </w:pPr>
          </w:p>
        </w:tc>
      </w:tr>
      <w:tr w14:paraId="218CA2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497323DE">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w:t>
            </w:r>
          </w:p>
          <w:p w14:paraId="6B767E5F">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验收</w:t>
            </w:r>
          </w:p>
        </w:tc>
        <w:tc>
          <w:tcPr>
            <w:tcW w:w="2371" w:type="dxa"/>
            <w:vAlign w:val="center"/>
          </w:tcPr>
          <w:p w14:paraId="7B61B6E3">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1、验收组织不及时，延误为验收对象合同施工工期1/5或10天及以内的；</w:t>
            </w:r>
          </w:p>
          <w:p w14:paraId="4C7B6296">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2、违反验收规范规程要求，不具备验收条件组织验收且未予通过的；</w:t>
            </w:r>
          </w:p>
          <w:p w14:paraId="0BE1F121">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3、验收工作不规范，验收组成人员不符合规定；</w:t>
            </w:r>
          </w:p>
          <w:p w14:paraId="7AF7CC3D">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4、单元工程验收没有1次通过的。</w:t>
            </w:r>
          </w:p>
        </w:tc>
        <w:tc>
          <w:tcPr>
            <w:tcW w:w="2371" w:type="dxa"/>
            <w:vAlign w:val="center"/>
          </w:tcPr>
          <w:p w14:paraId="7C012F8A">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1、验收组织不及时，延误为验收对象合同施工工期1/5或10天以上的；</w:t>
            </w:r>
          </w:p>
          <w:p w14:paraId="2B60A4D7">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2、单元工程验收2次及以上没有通过的；</w:t>
            </w:r>
          </w:p>
          <w:p w14:paraId="62903D90">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3、分部工程验收、隐蔽工程验收、单位工程验收、档案验收没有1次通过且达到施工合同规定的质量等级的。</w:t>
            </w:r>
          </w:p>
          <w:p w14:paraId="2D3C233D">
            <w:pPr>
              <w:snapToGrid w:val="0"/>
              <w:spacing w:line="360" w:lineRule="auto"/>
              <w:rPr>
                <w:rFonts w:hint="eastAsia" w:ascii="宋体" w:hAnsi="宋体" w:eastAsia="宋体" w:cs="宋体"/>
                <w:color w:val="auto"/>
                <w:sz w:val="18"/>
                <w:szCs w:val="18"/>
                <w:highlight w:val="none"/>
              </w:rPr>
            </w:pPr>
          </w:p>
        </w:tc>
        <w:tc>
          <w:tcPr>
            <w:tcW w:w="2371" w:type="dxa"/>
            <w:vAlign w:val="center"/>
          </w:tcPr>
          <w:p w14:paraId="474DB742">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1、分部工程验收、隐蔽工程验收、单位工程验收、档案验收2次及以上不能通过且达到施工合同规定的质量等级的；</w:t>
            </w:r>
          </w:p>
          <w:p w14:paraId="0331B961">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2、工程竣工验收没有1次通过的；</w:t>
            </w:r>
          </w:p>
          <w:p w14:paraId="635C08AF">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3、未按规定组织验收导致验收通过后发生一般质量安全事故的。</w:t>
            </w:r>
          </w:p>
        </w:tc>
        <w:tc>
          <w:tcPr>
            <w:tcW w:w="2372" w:type="dxa"/>
            <w:vAlign w:val="center"/>
          </w:tcPr>
          <w:p w14:paraId="7491489E">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1、违反验收规范规程，将不合格工程按合格或优良工程验收或者将合格工程按优良工程验收的；</w:t>
            </w:r>
          </w:p>
          <w:p w14:paraId="484E38AB">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2、未按规定组织验收导致验收通过后发生重大及以上质量安全事故的；</w:t>
            </w:r>
          </w:p>
          <w:p w14:paraId="22FF5F94">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3、工程竣工验收不能通过的。</w:t>
            </w:r>
          </w:p>
        </w:tc>
      </w:tr>
      <w:tr w14:paraId="77D5EC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4603DFF7">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w:t>
            </w:r>
          </w:p>
          <w:p w14:paraId="09036016">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结算</w:t>
            </w:r>
          </w:p>
        </w:tc>
        <w:tc>
          <w:tcPr>
            <w:tcW w:w="2371" w:type="dxa"/>
            <w:vAlign w:val="center"/>
          </w:tcPr>
          <w:p w14:paraId="5348C04C">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1、超出施工合同规定时间30天及以内审核并完成上报工程结算书和竣工图纸的；</w:t>
            </w:r>
          </w:p>
          <w:p w14:paraId="51225EC4">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2、工程结算书和竣工图纸内容不完整、不准确的</w:t>
            </w:r>
          </w:p>
        </w:tc>
        <w:tc>
          <w:tcPr>
            <w:tcW w:w="2371" w:type="dxa"/>
            <w:vAlign w:val="center"/>
          </w:tcPr>
          <w:p w14:paraId="14FAD6DF">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1、超出施工合同规定时间30天以上审核并完成上报工程结算书和竣工图纸的；</w:t>
            </w:r>
          </w:p>
          <w:p w14:paraId="33352275">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2、工程结算书和竣工图纸内容存在重大疏漏或错误的；</w:t>
            </w:r>
          </w:p>
          <w:p w14:paraId="2307C008">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3、施工结算价和送审价相比，核减率在5%-10%（含）的。</w:t>
            </w:r>
          </w:p>
        </w:tc>
        <w:tc>
          <w:tcPr>
            <w:tcW w:w="2371" w:type="dxa"/>
            <w:vAlign w:val="center"/>
          </w:tcPr>
          <w:p w14:paraId="23148B4D">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施工结算价和送审价相比，核减率在10%-20%（含）的。</w:t>
            </w:r>
          </w:p>
        </w:tc>
        <w:tc>
          <w:tcPr>
            <w:tcW w:w="2372" w:type="dxa"/>
            <w:vAlign w:val="center"/>
          </w:tcPr>
          <w:p w14:paraId="69D69CFA">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施工结算价和送审价相比，核减率在20%以上的。</w:t>
            </w:r>
          </w:p>
        </w:tc>
      </w:tr>
      <w:tr w14:paraId="11B091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308A0441">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档案</w:t>
            </w:r>
          </w:p>
          <w:p w14:paraId="2247D5A8">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管理</w:t>
            </w:r>
          </w:p>
        </w:tc>
        <w:tc>
          <w:tcPr>
            <w:tcW w:w="2371" w:type="dxa"/>
            <w:vAlign w:val="center"/>
          </w:tcPr>
          <w:p w14:paraId="41979936">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按已经按规范完成档案资料整理部分工程施工造价占全部已经完工部分工程总施工造价的比例认定，核定不同步比例10-20%（含）的</w:t>
            </w:r>
          </w:p>
        </w:tc>
        <w:tc>
          <w:tcPr>
            <w:tcW w:w="2371" w:type="dxa"/>
            <w:vAlign w:val="center"/>
          </w:tcPr>
          <w:p w14:paraId="2C0FA7F4">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1、核定档案与建设不同步比例20%以上的；</w:t>
            </w:r>
          </w:p>
          <w:p w14:paraId="1EC971EE">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2、发生因档案资料错误、遗漏、丢失、损毁等且但经整改仍能正常进行质量评定和验收的；</w:t>
            </w:r>
          </w:p>
          <w:p w14:paraId="43B5B4D0">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3、档案专项验收不能1次通过的。</w:t>
            </w:r>
          </w:p>
        </w:tc>
        <w:tc>
          <w:tcPr>
            <w:tcW w:w="2371" w:type="dxa"/>
            <w:vAlign w:val="center"/>
          </w:tcPr>
          <w:p w14:paraId="3AFA04EA">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1、发生因档案资料错误、遗漏、丢失、损毁等且无法整改导致工程不能正常进行质量评定和验收的；</w:t>
            </w:r>
          </w:p>
          <w:p w14:paraId="1ACD0C72">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2、档案专项验收2次及以上不能通过的。</w:t>
            </w:r>
          </w:p>
        </w:tc>
        <w:tc>
          <w:tcPr>
            <w:tcW w:w="2372" w:type="dxa"/>
            <w:vAlign w:val="center"/>
          </w:tcPr>
          <w:p w14:paraId="4E7D88E2">
            <w:pPr>
              <w:snapToGrid w:val="0"/>
              <w:spacing w:line="360" w:lineRule="auto"/>
              <w:rPr>
                <w:rFonts w:hint="eastAsia" w:ascii="宋体" w:hAnsi="宋体" w:eastAsia="宋体" w:cs="宋体"/>
                <w:color w:val="auto"/>
                <w:sz w:val="18"/>
                <w:szCs w:val="18"/>
                <w:highlight w:val="none"/>
              </w:rPr>
            </w:pPr>
          </w:p>
        </w:tc>
      </w:tr>
      <w:tr w14:paraId="3F157C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00" w:type="dxa"/>
            <w:vAlign w:val="center"/>
          </w:tcPr>
          <w:p w14:paraId="0614E9CF">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w:t>
            </w:r>
          </w:p>
          <w:p w14:paraId="7B46AF16">
            <w:pPr>
              <w:snapToGrid w:val="0"/>
              <w:spacing w:line="360" w:lineRule="auto"/>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保修</w:t>
            </w:r>
          </w:p>
        </w:tc>
        <w:tc>
          <w:tcPr>
            <w:tcW w:w="2371" w:type="dxa"/>
            <w:vAlign w:val="center"/>
          </w:tcPr>
          <w:p w14:paraId="71368FB3">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1、发生因工程保修不及时导致工程设计功能发挥受到较大及以下影响的事件；</w:t>
            </w:r>
          </w:p>
          <w:p w14:paraId="08C669F1">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2、保修期满15天内未能但于30天（含）内全部完成保修任务且通过保修期满验收。</w:t>
            </w:r>
          </w:p>
        </w:tc>
        <w:tc>
          <w:tcPr>
            <w:tcW w:w="2371" w:type="dxa"/>
            <w:vAlign w:val="center"/>
          </w:tcPr>
          <w:p w14:paraId="363997BA">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1、发生因工程保修不及时导致工程设计功能发挥受到重大影响的事件；</w:t>
            </w:r>
          </w:p>
          <w:p w14:paraId="2EB9EBE0">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2、保修期满30天内未能但于60天（含）内全部完成保修任务且通过保修期满验收。</w:t>
            </w:r>
          </w:p>
        </w:tc>
        <w:tc>
          <w:tcPr>
            <w:tcW w:w="2371" w:type="dxa"/>
            <w:vAlign w:val="center"/>
          </w:tcPr>
          <w:p w14:paraId="6F19C13E">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1、发生因工程保修不及时导致工程设计功能发挥受到特别重大影响的事件；</w:t>
            </w:r>
          </w:p>
          <w:p w14:paraId="629A61CD">
            <w:pPr>
              <w:snapToGrid w:val="0"/>
              <w:spacing w:line="360" w:lineRule="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2、保修期满60天以上保修任务没有完成且通过保修期满验收。</w:t>
            </w:r>
          </w:p>
        </w:tc>
        <w:tc>
          <w:tcPr>
            <w:tcW w:w="2372" w:type="dxa"/>
            <w:vAlign w:val="center"/>
          </w:tcPr>
          <w:p w14:paraId="45A6FA78">
            <w:pPr>
              <w:snapToGrid w:val="0"/>
              <w:spacing w:line="360" w:lineRule="auto"/>
              <w:rPr>
                <w:rFonts w:hint="eastAsia" w:ascii="宋体" w:hAnsi="宋体" w:eastAsia="宋体" w:cs="宋体"/>
                <w:color w:val="auto"/>
                <w:sz w:val="18"/>
                <w:szCs w:val="18"/>
                <w:highlight w:val="none"/>
              </w:rPr>
            </w:pPr>
          </w:p>
        </w:tc>
      </w:tr>
    </w:tbl>
    <w:p w14:paraId="1206214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备注：1、质量或安全问题或隐患的等级以可能造成的最高质量或安全事故等级来确定，质量缺陷等级以返工所需的施工直接费来确定，一般质量缺陷为5万元（含），严重质量缺陷为5-10万元（含），特别严重质量缺陷为10-20万元。</w:t>
      </w:r>
    </w:p>
    <w:p w14:paraId="0F36697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争议的解决</w:t>
      </w:r>
    </w:p>
    <w:p w14:paraId="789FADBA">
      <w:pPr>
        <w:spacing w:line="360" w:lineRule="auto"/>
        <w:ind w:left="435" w:firstLine="89" w:firstLineChars="37"/>
        <w:rPr>
          <w:rFonts w:hint="eastAsia" w:ascii="宋体" w:hAnsi="宋体" w:eastAsia="宋体" w:cs="宋体"/>
          <w:color w:val="auto"/>
          <w:sz w:val="24"/>
          <w:highlight w:val="none"/>
        </w:rPr>
      </w:pPr>
      <w:r>
        <w:rPr>
          <w:rFonts w:hint="eastAsia" w:ascii="宋体" w:hAnsi="宋体" w:eastAsia="宋体" w:cs="宋体"/>
          <w:b/>
          <w:color w:val="auto"/>
          <w:sz w:val="24"/>
          <w:highlight w:val="none"/>
        </w:rPr>
        <w:t>第十七条</w:t>
      </w:r>
      <w:r>
        <w:rPr>
          <w:rFonts w:hint="eastAsia" w:ascii="宋体" w:hAnsi="宋体" w:eastAsia="宋体" w:cs="宋体"/>
          <w:color w:val="auto"/>
          <w:sz w:val="24"/>
          <w:highlight w:val="none"/>
        </w:rPr>
        <w:t>争议解决机构为：向工程所在地人民法院提起诉讼</w:t>
      </w:r>
    </w:p>
    <w:p w14:paraId="33535B18">
      <w:pPr>
        <w:spacing w:line="360" w:lineRule="auto"/>
        <w:ind w:left="435" w:firstLine="89" w:firstLineChars="37"/>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其他</w:t>
      </w:r>
    </w:p>
    <w:p w14:paraId="3873A570">
      <w:pPr>
        <w:spacing w:line="360" w:lineRule="auto"/>
        <w:ind w:firstLine="472" w:firstLineChars="196"/>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第十八条</w:t>
      </w:r>
      <w:r>
        <w:rPr>
          <w:rFonts w:hint="eastAsia" w:ascii="宋体" w:hAnsi="宋体" w:eastAsia="宋体" w:cs="宋体"/>
          <w:bCs/>
          <w:color w:val="auto"/>
          <w:sz w:val="24"/>
          <w:highlight w:val="none"/>
        </w:rPr>
        <w:t>委托人对监理人提出并落实的合理化建议的奖励办法为：</w:t>
      </w:r>
      <w:r>
        <w:rPr>
          <w:rFonts w:hint="eastAsia" w:ascii="宋体" w:hAnsi="宋体" w:eastAsia="宋体" w:cs="宋体"/>
          <w:color w:val="auto"/>
          <w:sz w:val="24"/>
          <w:highlight w:val="none"/>
        </w:rPr>
        <w:t>_</w:t>
      </w:r>
      <w:r>
        <w:rPr>
          <w:rFonts w:hint="eastAsia" w:ascii="宋体" w:hAnsi="宋体" w:eastAsia="宋体" w:cs="宋体"/>
          <w:color w:val="auto"/>
          <w:sz w:val="24"/>
          <w:highlight w:val="none"/>
          <w:u w:val="single"/>
        </w:rPr>
        <w:t>无</w:t>
      </w:r>
      <w:r>
        <w:rPr>
          <w:rFonts w:hint="eastAsia" w:ascii="宋体" w:hAnsi="宋体" w:eastAsia="宋体" w:cs="宋体"/>
          <w:bCs/>
          <w:color w:val="auto"/>
          <w:sz w:val="24"/>
          <w:highlight w:val="none"/>
        </w:rPr>
        <w:t>。</w:t>
      </w:r>
    </w:p>
    <w:p w14:paraId="7A4D2842">
      <w:pPr>
        <w:spacing w:line="360" w:lineRule="auto"/>
        <w:ind w:left="403" w:leftChars="192" w:firstLine="2244" w:firstLineChars="935"/>
        <w:rPr>
          <w:rFonts w:hint="eastAsia" w:ascii="宋体" w:hAnsi="宋体" w:eastAsia="宋体" w:cs="宋体"/>
          <w:color w:val="auto"/>
          <w:sz w:val="24"/>
          <w:highlight w:val="none"/>
        </w:rPr>
        <w:sectPr>
          <w:type w:val="continuous"/>
          <w:pgSz w:w="11907" w:h="16839"/>
          <w:pgMar w:top="1418" w:right="1418" w:bottom="1418" w:left="1418" w:header="851" w:footer="992" w:gutter="0"/>
          <w:cols w:space="720" w:num="1"/>
          <w:docGrid w:type="lines" w:linePitch="312" w:charSpace="0"/>
        </w:sectPr>
      </w:pPr>
    </w:p>
    <w:p w14:paraId="1D73C4D5">
      <w:pPr>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第三部分  合同附件</w:t>
      </w:r>
    </w:p>
    <w:p w14:paraId="7CD92582">
      <w:pPr>
        <w:numPr>
          <w:ilvl w:val="0"/>
          <w:numId w:val="7"/>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监理服务目标</w:t>
      </w:r>
    </w:p>
    <w:p w14:paraId="698FF612">
      <w:pPr>
        <w:tabs>
          <w:tab w:val="left" w:pos="900"/>
        </w:tabs>
        <w:spacing w:line="360" w:lineRule="auto"/>
        <w:ind w:left="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施工监理工作目标包括：工期、质量、安全、进度、变更控制、投资控制、工程款支付、工程验收、工程结算、档案管理、工程保修目标。</w:t>
      </w:r>
    </w:p>
    <w:p w14:paraId="11468804">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工期目标：按施工合同确定的施工工期；</w:t>
      </w:r>
    </w:p>
    <w:p w14:paraId="44CBE1DB">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质量目标：优良，达到施工合同确定的工程质量等级，且不发生1宗质量事故；</w:t>
      </w:r>
    </w:p>
    <w:p w14:paraId="0FB0834A">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安全目标：不发生1宗安全事故；</w:t>
      </w:r>
    </w:p>
    <w:p w14:paraId="425B9FD1">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进度目标：不发生1次施工组织总计划、分项或专项计划因主观原因延误；</w:t>
      </w:r>
    </w:p>
    <w:p w14:paraId="6551358A">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变更控制目标：单项变更增减不超过50万元或累计变更造价变化不超过合同价10%，不发生1次违规工程变更行为；</w:t>
      </w:r>
    </w:p>
    <w:p w14:paraId="63E22C3B">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投资控制目标：工程施工结算送审价控制在招标时确定的施工合同价范围内；</w:t>
      </w:r>
    </w:p>
    <w:p w14:paraId="26284BD2">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工程款支付目标：不发生1次错拨、漏拨、迟拨或超拨工程款；</w:t>
      </w:r>
    </w:p>
    <w:p w14:paraId="5CF709A7">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工程验收目标：不发生1次验收不及时或违反规定通过验收，验收规程规定的各类验收1次通过且达到工程施工质量目标；</w:t>
      </w:r>
    </w:p>
    <w:p w14:paraId="094090DA">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工程结算目标：施工结算价和送审价相比，核减率控制在5%以内；</w:t>
      </w:r>
    </w:p>
    <w:p w14:paraId="602C3EFB">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档案管理目标：档案资料和工程建设同步，不发生1次因档案资料错误、遗漏、丢失、损毁等且无法整改导致工程不能正常进行质量评定和验收的事件，工程档案验收1次通过；</w:t>
      </w:r>
    </w:p>
    <w:p w14:paraId="47864D95">
      <w:pPr>
        <w:numPr>
          <w:ilvl w:val="0"/>
          <w:numId w:val="8"/>
        </w:numPr>
        <w:tabs>
          <w:tab w:val="left" w:pos="1080"/>
          <w:tab w:val="clear" w:pos="72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工程保修目标：不发生1次因工程保修不及时导致工程设计功能发挥受到较大及以上影响的事件，保修期满15天内保修任务全部完成且通过保修期满验收。</w:t>
      </w:r>
    </w:p>
    <w:p w14:paraId="3528F4BC">
      <w:pPr>
        <w:numPr>
          <w:ilvl w:val="0"/>
          <w:numId w:val="7"/>
        </w:numPr>
        <w:spacing w:line="360" w:lineRule="auto"/>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监理服务内容</w:t>
      </w:r>
    </w:p>
    <w:p w14:paraId="570CEB63">
      <w:pPr>
        <w:numPr>
          <w:ilvl w:val="1"/>
          <w:numId w:val="7"/>
        </w:numPr>
        <w:tabs>
          <w:tab w:val="left" w:pos="90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全面管理工程施工合同。</w:t>
      </w:r>
    </w:p>
    <w:p w14:paraId="04F92EE2">
      <w:pPr>
        <w:numPr>
          <w:ilvl w:val="1"/>
          <w:numId w:val="7"/>
        </w:numPr>
        <w:tabs>
          <w:tab w:val="left" w:pos="90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核查并签发施工图，包括工程变更图纸，发现问题向建设单位反映，重大问题向建设单位做专题报告。</w:t>
      </w:r>
    </w:p>
    <w:p w14:paraId="1F51E963">
      <w:pPr>
        <w:numPr>
          <w:ilvl w:val="1"/>
          <w:numId w:val="7"/>
        </w:numPr>
        <w:tabs>
          <w:tab w:val="left" w:pos="90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主持或与建设单位联合主持设计技术交底会议，编写会议纪要。</w:t>
      </w:r>
    </w:p>
    <w:p w14:paraId="385473C3">
      <w:pPr>
        <w:numPr>
          <w:ilvl w:val="1"/>
          <w:numId w:val="7"/>
        </w:numPr>
        <w:tabs>
          <w:tab w:val="left" w:pos="90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协助建设单位会同设计人对重大技术问题和优化设计进行专题讨论。</w:t>
      </w:r>
    </w:p>
    <w:p w14:paraId="737E1F56">
      <w:pPr>
        <w:numPr>
          <w:ilvl w:val="1"/>
          <w:numId w:val="7"/>
        </w:numPr>
        <w:tabs>
          <w:tab w:val="left" w:pos="90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审核承包人对施工图的意见和建议，协助建设单位会同设计人进行研究。</w:t>
      </w:r>
    </w:p>
    <w:p w14:paraId="18463A23">
      <w:pPr>
        <w:numPr>
          <w:ilvl w:val="1"/>
          <w:numId w:val="7"/>
        </w:numPr>
        <w:tabs>
          <w:tab w:val="left" w:pos="90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督促建设单位按工程施工合同的约定落实，必须提供的施工条件；签发工程开工令。</w:t>
      </w:r>
    </w:p>
    <w:p w14:paraId="060945FF">
      <w:pPr>
        <w:numPr>
          <w:ilvl w:val="1"/>
          <w:numId w:val="7"/>
        </w:numPr>
        <w:tabs>
          <w:tab w:val="left" w:pos="90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检查承包人的开工准备工作；督促承包人按承诺落实现场管理机构、施工人员、施工机械设备。</w:t>
      </w:r>
    </w:p>
    <w:p w14:paraId="34EEA503">
      <w:pPr>
        <w:numPr>
          <w:ilvl w:val="1"/>
          <w:numId w:val="7"/>
        </w:numPr>
        <w:tabs>
          <w:tab w:val="left" w:pos="90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审核施工合同文件中约定的应由承包人提交的设计文件。</w:t>
      </w:r>
    </w:p>
    <w:p w14:paraId="248E7338">
      <w:pPr>
        <w:numPr>
          <w:ilvl w:val="1"/>
          <w:numId w:val="7"/>
        </w:numPr>
        <w:tabs>
          <w:tab w:val="left" w:pos="90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审查承包人提交的施工组织设计、施工进度计划、施工技术措施、作业规程工艺试验成果、临时工程设计以及使用的原材料等。</w:t>
      </w:r>
    </w:p>
    <w:p w14:paraId="0A4D4F71">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进度控制。编制控制性进度目标和总进度计划，审批承包人编制的施工实施进度计划，检查其实施情况，督促承包人采取措施，实现合同工期目标。当实施进度发生较大偏差时，要求承包人调整进度计划向建设单位提出调整控制性进度计划的建议。</w:t>
      </w:r>
    </w:p>
    <w:p w14:paraId="2F5B0910">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质量控制。审查承包人的质量保证体系和措施，核实质量文件；审查承包人的实验室条件；依据工程施工合同文件、设计文件、技术标准，对施工全过程进行检查，对重要部位、隐蔽工程以及关键工序进行旁站监理；按照有关规定，对承包人进场的工程设备、建筑材料、建筑构配件、中间产品进行跟踪检测和平行检测，复核承包人自评的工程质量等级；调查和处理工程质量缺陷和事故，审核承包人提出的工程质量缺陷处理方案。</w:t>
      </w:r>
    </w:p>
    <w:p w14:paraId="51669005">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投资控制。协助建设单位编制付款计划；审查承包人提交的资金流计划；审核承包人完成的工程量、单价和合价以及承包人提交的支付申请，签发付款凭证；审核承包人提交的完工结算报告；协调合同争议，提出处理意见；参与处理工程变更，审核工程变更方案、变更图纸和变更造价，按施工合同条款约定提出变更价款处理意见。</w:t>
      </w:r>
    </w:p>
    <w:p w14:paraId="09633E6F">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安全控制、文明施工和环境保护管理。检查施工单位在工程项目上的安全生产规章制度和安全监管机构的建立、健全及专职安全生产管理人员配备情况，督促施工单位检查各分包单位的安全生产规章制度的建立情况。审查施工单位资质和安全生产许可证是否合法有效，审查项目经理和专职安全生产管理人员是否具备合法资格，是否与投标文件相一致，审核特种作业人员的特种作业操作资格证书是否合法有效，审核施工单位应急救援预案和安全防护措施费用使用计划。审查承包人提出的安全技术措施、专项施工方案、文明施工方案、环境保护方案，并监督其实施；检查督促承包人落实防汛防台风措施；参与安全事故调查。</w:t>
      </w:r>
    </w:p>
    <w:p w14:paraId="6359C812">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协调工程建设各方之间的关系，编制施工协调会议纪要。</w:t>
      </w:r>
    </w:p>
    <w:p w14:paraId="6086D1FA">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工程验收。协助建设单位检查承包人的合同执行情况；做好工程验收的各项准备工作或者配合工作；按规定参加或主持工程各类验收。</w:t>
      </w:r>
    </w:p>
    <w:p w14:paraId="787C308B">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档案管理。做好施工现场的监理记录、信息反馈及文档管理工作；及时编制监理日志，时提交监理月报、专题报告、工作报告、工作总结报告；按照档案管理要求，及时对工程监理资料进行整理、归档，合同期限届满时移交建设单位；督促承包人按规定完成工程施工档案资料的收集、整理、归案、交接工作，审核承包人提交的工程施工档案资料；协助建设单位完成竣工验收资料的整理工作。</w:t>
      </w:r>
    </w:p>
    <w:p w14:paraId="06929E2B">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监督承包人执行保修期工作计划，检查和验收尾工项目，对已交接的工程中出现的质量缺陷进行调查并提出处理意见。</w:t>
      </w:r>
    </w:p>
    <w:p w14:paraId="0C59FF22">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按照建设单位签订的工程保险合同，做好施工现场工程保险合同的管理。协助建设单位向保险公司及时提供一切必要的材料和证据</w:t>
      </w:r>
    </w:p>
    <w:p w14:paraId="4703373C">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按施工合同文件对承包人的违约行为进行处理。</w:t>
      </w:r>
    </w:p>
    <w:p w14:paraId="10411F6D">
      <w:pPr>
        <w:numPr>
          <w:ilvl w:val="1"/>
          <w:numId w:val="7"/>
        </w:numPr>
        <w:tabs>
          <w:tab w:val="left" w:pos="1080"/>
          <w:tab w:val="clear" w:pos="126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监理工作依据规定的其他相关工作。</w:t>
      </w:r>
    </w:p>
    <w:p w14:paraId="50E85612">
      <w:pPr>
        <w:numPr>
          <w:ilvl w:val="0"/>
          <w:numId w:val="7"/>
        </w:num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监理服务要求</w:t>
      </w:r>
    </w:p>
    <w:p w14:paraId="27E098CD">
      <w:pPr>
        <w:numPr>
          <w:ilvl w:val="2"/>
          <w:numId w:val="7"/>
        </w:numPr>
        <w:tabs>
          <w:tab w:val="left" w:pos="1260"/>
          <w:tab w:val="clear" w:pos="204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人员及其他投入要求</w:t>
      </w:r>
    </w:p>
    <w:p w14:paraId="1A0079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签订后3天内投入满足业务开展所需的必备办公条件（配备电话机、计算机、复印机、传真机、互联网络等），并按以下要求投入专职人员及其他车辆设备专门服务于中标项目水利工程施工监理工作，同时人员及其他投入不满足监理工作需要时，及时调整充实和配置。</w:t>
      </w:r>
    </w:p>
    <w:p w14:paraId="2F87600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1、对于施工合同价在500万元以下（含500万元）的，按不低于以下标准投入：</w:t>
      </w:r>
    </w:p>
    <w:p w14:paraId="3638A3CC">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（1）项目负责人具有水利工程建设总监理工程师执业资格满2年，熟悉水利工程施工监理业务和招标服务内容，且从事水利工程建设监理业务不少于3年；</w:t>
      </w:r>
    </w:p>
    <w:p w14:paraId="6D6782E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（2）监理工程师1人、监理员1人、资料员1人；</w:t>
      </w:r>
    </w:p>
    <w:p w14:paraId="2AF8FCA9">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（3）具有注册造价工程师执业资格的人员1人；</w:t>
      </w:r>
    </w:p>
    <w:p w14:paraId="300B3F3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（4）项目涉及的主要专业，应当配备具有中级技术职称人员1人。不含项目负责人，配备具有助理级以上技术职称的不同专业技术人员总数不少于</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rPr>
        <w:t>人；</w:t>
      </w:r>
    </w:p>
    <w:p w14:paraId="4E86DD76">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（5）设备及其他投入：五座以上小汽车1辆,水准仪1台，常用简易测量工具1套。</w:t>
      </w:r>
    </w:p>
    <w:p w14:paraId="67E1AB62">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2、对于施工合同价在500万元以上，1500万元以下（含1500万元）的，按不低于以下标准投入：</w:t>
      </w:r>
    </w:p>
    <w:p w14:paraId="5439BF4D">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（1）项目负责人具有水利工程建设总监理工程师执业资格满3年，熟悉水利工程施工监理业务和招标服务内容，且从事水利工程建设监理业务不少于5年；</w:t>
      </w:r>
    </w:p>
    <w:p w14:paraId="0D252933">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（2）监理工程师1人、监理员1人、安全员1人、资料员1人；</w:t>
      </w:r>
    </w:p>
    <w:p w14:paraId="07C76B2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（3）具有注册造价工程师执业资格的人员1人；</w:t>
      </w:r>
    </w:p>
    <w:p w14:paraId="72C5510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（4）项目涉及的主要专业，应当配备具有中级技术职称人员1人。不含项目负责人，配备具有助理级以上技术职称的不同专业技术人员总数不少于</w:t>
      </w: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rPr>
        <w:t>人，其中具有高级技术职称的人员不少于1人；</w:t>
      </w:r>
    </w:p>
    <w:p w14:paraId="33AC883F">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（5）设备及其他投入：五座以上小汽车1辆,水准仪1台，常用简易测量工具1套。</w:t>
      </w:r>
    </w:p>
    <w:p w14:paraId="24E2F47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3、对于施工合同价在1500万元以上的，按不低于以下标准投入：</w:t>
      </w:r>
    </w:p>
    <w:p w14:paraId="5DD6D6D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（1）项目负责人具有水利工程建设总监理工程师执业资格满5年，熟悉水利工程施工监理业务和招标服务内容，且从事水利工程建设监理业务8年以上；</w:t>
      </w:r>
    </w:p>
    <w:p w14:paraId="5A53ED9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（2）监理工程师2人、监理员2人、安全员1人、资料员1人；</w:t>
      </w:r>
    </w:p>
    <w:p w14:paraId="2D1FBC7E">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（3）具有注册造价工程师执业资格的人员1人；</w:t>
      </w:r>
    </w:p>
    <w:p w14:paraId="1FAB4120">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（4）项目涉及的主要专业，应当配备具有中级技术职称人员1人。不含项目负责人，配备具有助理级以上技术职称的不同专业技术人员总数不少于</w:t>
      </w: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rPr>
        <w:t>人，其中具有高级技术职称的人员不少于2人；</w:t>
      </w:r>
    </w:p>
    <w:p w14:paraId="67ACFC97">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（5）设备及其他投入：五座以上小汽车2辆,水准仪1台，常用简易测量工具1套。</w:t>
      </w:r>
    </w:p>
    <w:p w14:paraId="150695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专职人员的要求如下：（1）应当能提供身份证、任职文件、职称证书或者工程建设类注册执业资格证书、社会保险证明、劳动合同、人事档案代理证明以及业绩证明；（2）总监、监理工程师、安全员、监理员、资料员必须常驻施工现场，其他专职人员必须确保根据现场需要和建设单位要求及时进驻施工现场，不影响工程正常推进；（3）专职人员更换和常驻人员暂时离开现场必须经过建设单位同意且另行派遣有相当资历人员承担有关工作。</w:t>
      </w:r>
    </w:p>
    <w:p w14:paraId="7BF072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发生项目停工延期、部分或全部内容取消以及其他项目非正常终止情况时，监理人可书面向建设单位提出申请，经批准后可对现场服务人员做出调整。</w:t>
      </w:r>
    </w:p>
    <w:p w14:paraId="1D37B6F0">
      <w:pPr>
        <w:numPr>
          <w:ilvl w:val="2"/>
          <w:numId w:val="7"/>
        </w:numPr>
        <w:tabs>
          <w:tab w:val="left" w:pos="1260"/>
          <w:tab w:val="clear" w:pos="2040"/>
        </w:tabs>
        <w:spacing w:line="360" w:lineRule="auto"/>
        <w:ind w:lef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工作进度要求</w:t>
      </w:r>
    </w:p>
    <w:p w14:paraId="0FBDC749">
      <w:pPr>
        <w:numPr>
          <w:ilvl w:val="0"/>
          <w:numId w:val="9"/>
        </w:numPr>
        <w:tabs>
          <w:tab w:val="left" w:pos="9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签订后3天内按（一）项要求选派满足监理工作要求的总监理工程师、监理工程师、造价工程师、安全员、监理员、资料员组建项目监理机构报建设单位批准，建设单位要求调整的，3天内完成调整和报批，常驻人员进驻现场。</w:t>
      </w:r>
    </w:p>
    <w:p w14:paraId="1140F95D">
      <w:pPr>
        <w:numPr>
          <w:ilvl w:val="0"/>
          <w:numId w:val="9"/>
        </w:numPr>
        <w:tabs>
          <w:tab w:val="left" w:pos="9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进场7天内且于工程开工3天前，编制监理规划，明确项目监理机构的工作范围、内容、目标和依据，确定监理工作制度、程序、方法和措施，并报建设单位批准。</w:t>
      </w:r>
    </w:p>
    <w:p w14:paraId="3FA11AF4">
      <w:pPr>
        <w:numPr>
          <w:ilvl w:val="0"/>
          <w:numId w:val="9"/>
        </w:numPr>
        <w:tabs>
          <w:tab w:val="left" w:pos="9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进场3天内，组织设计技术交底，7天内，完成施工图审核和签认。</w:t>
      </w:r>
    </w:p>
    <w:p w14:paraId="565C61D1">
      <w:pPr>
        <w:numPr>
          <w:ilvl w:val="0"/>
          <w:numId w:val="9"/>
        </w:numPr>
        <w:tabs>
          <w:tab w:val="left" w:pos="9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督促施工承包人按施工合同要求提交施工组织设计和施工进度计划，7天内审核完毕送建设单位批准。</w:t>
      </w:r>
    </w:p>
    <w:p w14:paraId="4C548085">
      <w:pPr>
        <w:numPr>
          <w:ilvl w:val="0"/>
          <w:numId w:val="9"/>
        </w:numPr>
        <w:tabs>
          <w:tab w:val="left" w:pos="9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进度计划批准7天内且于工程开工前，分专业编制监理实施细则完成并报建设单位批准，建设单位要求调整的，3天内完成调整和报批。监理实施细则必须明确所有施工工序的监理、验收、计量办法，特别是需要旁站和重点监理的工序。</w:t>
      </w:r>
    </w:p>
    <w:p w14:paraId="0427EE6D">
      <w:pPr>
        <w:numPr>
          <w:ilvl w:val="0"/>
          <w:numId w:val="9"/>
        </w:numPr>
        <w:tabs>
          <w:tab w:val="left" w:pos="9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按照监理规划和监理实施细则开展监理工作，编制并提交监理报告。</w:t>
      </w:r>
    </w:p>
    <w:p w14:paraId="3BC30B68">
      <w:pPr>
        <w:numPr>
          <w:ilvl w:val="0"/>
          <w:numId w:val="9"/>
        </w:numPr>
        <w:tabs>
          <w:tab w:val="left" w:pos="9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具备进场施工条件3天内，签发进场施工通知或开工令，起算工期。</w:t>
      </w:r>
    </w:p>
    <w:p w14:paraId="142A4895">
      <w:pPr>
        <w:numPr>
          <w:ilvl w:val="0"/>
          <w:numId w:val="9"/>
        </w:numPr>
        <w:tabs>
          <w:tab w:val="left" w:pos="90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监理业务完成后，按照监理合同及时向建设单位提交监理工作报告、移交档案资料。</w:t>
      </w:r>
    </w:p>
    <w:p w14:paraId="49EC88E2">
      <w:pPr>
        <w:numPr>
          <w:ilvl w:val="0"/>
          <w:numId w:val="10"/>
        </w:numPr>
        <w:tabs>
          <w:tab w:val="left" w:pos="900"/>
        </w:tabs>
        <w:spacing w:line="360" w:lineRule="auto"/>
        <w:ind w:left="48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其他工作要求</w:t>
      </w:r>
    </w:p>
    <w:p w14:paraId="04FBD3E1">
      <w:pPr>
        <w:tabs>
          <w:tab w:val="left" w:pos="900"/>
        </w:tabs>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工程中如有使用混凝土管材的，应督促及监督施工单位使用植入带有唯一识别芯片的管材，并且积极配合区水务质量监督部门，将混凝土管材的使用情况纳入“广州市水务工程混凝土管质量监管系统”中接受监管，验收时，将系统相关资料打印并纳入验收技术资料。在使用系统时，应按照系统要求，认真、准确、实时录入各类信息，并督促项目各方做好系统信息上报工作及组织实施混凝土管材的电子追踪管理。</w:t>
      </w:r>
    </w:p>
    <w:p w14:paraId="08BE1E61">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（此页以下无正文）</w:t>
      </w:r>
    </w:p>
    <w:p w14:paraId="2A8B762E">
      <w:pPr>
        <w:spacing w:line="360" w:lineRule="auto"/>
        <w:rPr>
          <w:rFonts w:hint="eastAsia" w:ascii="宋体" w:hAnsi="宋体" w:eastAsia="宋体" w:cs="宋体"/>
          <w:color w:val="auto"/>
          <w:highlight w:val="none"/>
        </w:rPr>
      </w:pPr>
    </w:p>
    <w:p w14:paraId="64922A47">
      <w:pPr>
        <w:spacing w:line="360" w:lineRule="auto"/>
        <w:rPr>
          <w:rFonts w:hint="eastAsia" w:ascii="宋体" w:hAnsi="宋体" w:eastAsia="宋体" w:cs="宋体"/>
          <w:color w:val="auto"/>
          <w:highlight w:val="none"/>
        </w:rPr>
      </w:pPr>
    </w:p>
    <w:p w14:paraId="1C91C526">
      <w:pPr>
        <w:spacing w:line="360" w:lineRule="auto"/>
        <w:rPr>
          <w:rFonts w:hint="eastAsia" w:ascii="宋体" w:hAnsi="宋体" w:eastAsia="宋体" w:cs="宋体"/>
          <w:color w:val="auto"/>
          <w:highlight w:val="none"/>
        </w:rPr>
      </w:pPr>
    </w:p>
    <w:p w14:paraId="78D70399">
      <w:pPr>
        <w:spacing w:line="360" w:lineRule="auto"/>
        <w:rPr>
          <w:rFonts w:hint="eastAsia" w:ascii="宋体" w:hAnsi="宋体" w:eastAsia="宋体" w:cs="宋体"/>
          <w:color w:val="auto"/>
          <w:highlight w:val="none"/>
        </w:rPr>
      </w:pPr>
    </w:p>
    <w:p w14:paraId="7FC857B6">
      <w:pPr>
        <w:spacing w:line="360" w:lineRule="auto"/>
        <w:rPr>
          <w:rFonts w:hint="eastAsia" w:ascii="宋体" w:hAnsi="宋体" w:eastAsia="宋体" w:cs="宋体"/>
          <w:color w:val="auto"/>
          <w:highlight w:val="none"/>
        </w:rPr>
      </w:pPr>
    </w:p>
    <w:p w14:paraId="4BE0920D">
      <w:pPr>
        <w:spacing w:line="360" w:lineRule="auto"/>
        <w:rPr>
          <w:rFonts w:hint="eastAsia" w:ascii="宋体" w:hAnsi="宋体" w:eastAsia="宋体" w:cs="宋体"/>
          <w:color w:val="auto"/>
          <w:highlight w:val="none"/>
        </w:rPr>
      </w:pPr>
    </w:p>
    <w:p w14:paraId="7F2B7A1C">
      <w:pPr>
        <w:spacing w:line="360" w:lineRule="auto"/>
        <w:rPr>
          <w:rFonts w:hint="eastAsia" w:ascii="宋体" w:hAnsi="宋体" w:eastAsia="宋体" w:cs="宋体"/>
          <w:color w:val="auto"/>
          <w:highlight w:val="none"/>
        </w:rPr>
      </w:pPr>
    </w:p>
    <w:p w14:paraId="3E1815E9">
      <w:pPr>
        <w:spacing w:line="360" w:lineRule="auto"/>
        <w:rPr>
          <w:rFonts w:hint="eastAsia" w:ascii="宋体" w:hAnsi="宋体" w:eastAsia="宋体" w:cs="宋体"/>
          <w:color w:val="auto"/>
          <w:highlight w:val="none"/>
        </w:rPr>
      </w:pPr>
    </w:p>
    <w:p w14:paraId="44EE39E2">
      <w:pPr>
        <w:spacing w:line="360" w:lineRule="auto"/>
        <w:rPr>
          <w:rFonts w:hint="eastAsia" w:ascii="宋体" w:hAnsi="宋体" w:eastAsia="宋体" w:cs="宋体"/>
          <w:color w:val="auto"/>
          <w:highlight w:val="none"/>
        </w:rPr>
      </w:pPr>
    </w:p>
    <w:p w14:paraId="30A1CE45">
      <w:pPr>
        <w:spacing w:line="360" w:lineRule="auto"/>
        <w:rPr>
          <w:rFonts w:hint="eastAsia" w:ascii="宋体" w:hAnsi="宋体" w:eastAsia="宋体" w:cs="宋体"/>
          <w:color w:val="auto"/>
          <w:highlight w:val="none"/>
        </w:rPr>
      </w:pPr>
    </w:p>
    <w:p w14:paraId="7F0EDF40">
      <w:pPr>
        <w:spacing w:line="360" w:lineRule="auto"/>
        <w:rPr>
          <w:rFonts w:hint="eastAsia" w:ascii="宋体" w:hAnsi="宋体" w:eastAsia="宋体" w:cs="宋体"/>
          <w:color w:val="auto"/>
          <w:highlight w:val="none"/>
        </w:rPr>
      </w:pPr>
    </w:p>
    <w:p w14:paraId="61D09CDE">
      <w:pPr>
        <w:spacing w:line="360" w:lineRule="auto"/>
        <w:rPr>
          <w:rFonts w:hint="eastAsia" w:ascii="宋体" w:hAnsi="宋体" w:eastAsia="宋体" w:cs="宋体"/>
          <w:color w:val="auto"/>
          <w:highlight w:val="none"/>
        </w:rPr>
      </w:pPr>
    </w:p>
    <w:p w14:paraId="2E987682">
      <w:pPr>
        <w:spacing w:line="360" w:lineRule="auto"/>
        <w:rPr>
          <w:rFonts w:hint="eastAsia" w:ascii="宋体" w:hAnsi="宋体" w:eastAsia="宋体" w:cs="宋体"/>
          <w:color w:val="auto"/>
          <w:highlight w:val="none"/>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7007F">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18</w:t>
    </w:r>
    <w:r>
      <w:fldChar w:fldCharType="end"/>
    </w:r>
  </w:p>
  <w:p w14:paraId="03076D07">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67F74">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60</w:t>
    </w:r>
    <w:r>
      <w:fldChar w:fldCharType="end"/>
    </w:r>
  </w:p>
  <w:p w14:paraId="0573C241">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282D1">
    <w:pPr>
      <w:pStyle w:val="8"/>
      <w:ind w:right="360"/>
      <w:rPr>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622E8">
    <w:pPr>
      <w:pStyle w:val="8"/>
      <w:ind w:right="-17" w:firstLine="360"/>
      <w:jc w:val="right"/>
      <w:rPr>
        <w:rFonts w:ascii="仿宋_GB2312" w:eastAsia="仿宋_GB2312"/>
        <w:sz w:val="28"/>
        <w:szCs w:val="28"/>
      </w:rPr>
    </w:pPr>
    <w:r>
      <w:rPr>
        <w:sz w:val="28"/>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path/>
          <v:fill on="f" focussize="0,0"/>
          <v:stroke on="f" joinstyle="miter"/>
          <v:imagedata o:title=""/>
          <o:lock v:ext="edit"/>
          <v:textbox inset="0mm,0mm,0mm,0mm" style="mso-fit-shape-to-text:t;">
            <w:txbxContent>
              <w:p w14:paraId="6831F6E3">
                <w:pPr>
                  <w:pStyle w:val="8"/>
                  <w:rPr>
                    <w:rFonts w:eastAsia="宋体"/>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cs="宋体"/>
                    <w:sz w:val="28"/>
                    <w:szCs w:val="28"/>
                  </w:rPr>
                  <w:t>11</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762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960"/>
        </w:tabs>
        <w:ind w:left="96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E"/>
    <w:multiLevelType w:val="multilevel"/>
    <w:tmpl w:val="0000000E"/>
    <w:lvl w:ilvl="0" w:tentative="0">
      <w:start w:val="7"/>
      <w:numFmt w:val="japaneseCounting"/>
      <w:lvlText w:val="第%1条"/>
      <w:lvlJc w:val="left"/>
      <w:pPr>
        <w:tabs>
          <w:tab w:val="left" w:pos="1702"/>
        </w:tabs>
        <w:ind w:left="1702" w:hanging="1140"/>
      </w:pPr>
      <w:rPr>
        <w:rFonts w:hint="eastAsia"/>
        <w:b/>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abstractNum w:abstractNumId="4">
    <w:nsid w:val="0000000F"/>
    <w:multiLevelType w:val="multilevel"/>
    <w:tmpl w:val="0000000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1"/>
    <w:multiLevelType w:val="multilevel"/>
    <w:tmpl w:val="00000011"/>
    <w:lvl w:ilvl="0" w:tentative="0">
      <w:start w:val="1"/>
      <w:numFmt w:val="upperLetter"/>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multilevel"/>
    <w:tmpl w:val="00000013"/>
    <w:lvl w:ilvl="0" w:tentative="0">
      <w:start w:val="1"/>
      <w:numFmt w:val="japaneseCounting"/>
      <w:lvlText w:val="%1、"/>
      <w:lvlJc w:val="left"/>
      <w:pPr>
        <w:tabs>
          <w:tab w:val="left" w:pos="960"/>
        </w:tabs>
        <w:ind w:left="960" w:hanging="480"/>
      </w:pPr>
      <w:rPr>
        <w:rFonts w:hint="default"/>
      </w:rPr>
    </w:lvl>
    <w:lvl w:ilvl="1" w:tentative="0">
      <w:start w:val="1"/>
      <w:numFmt w:val="decimal"/>
      <w:lvlText w:val="%2、"/>
      <w:lvlJc w:val="left"/>
      <w:pPr>
        <w:tabs>
          <w:tab w:val="left" w:pos="1260"/>
        </w:tabs>
        <w:ind w:left="1260" w:hanging="360"/>
      </w:pPr>
      <w:rPr>
        <w:rFonts w:hint="default"/>
      </w:rPr>
    </w:lvl>
    <w:lvl w:ilvl="2" w:tentative="0">
      <w:start w:val="1"/>
      <w:numFmt w:val="japaneseCounting"/>
      <w:lvlText w:val="（%3）"/>
      <w:lvlJc w:val="left"/>
      <w:pPr>
        <w:tabs>
          <w:tab w:val="left" w:pos="2040"/>
        </w:tabs>
        <w:ind w:left="2040" w:hanging="720"/>
      </w:pPr>
      <w:rPr>
        <w:rFonts w:hint="default"/>
      </w:rPr>
    </w:lvl>
    <w:lvl w:ilvl="3" w:tentative="0">
      <w:start w:val="1"/>
      <w:numFmt w:val="decimal"/>
      <w:lvlText w:val="（%4）"/>
      <w:lvlJc w:val="left"/>
      <w:pPr>
        <w:tabs>
          <w:tab w:val="left" w:pos="2460"/>
        </w:tabs>
        <w:ind w:left="2460" w:hanging="720"/>
      </w:pPr>
      <w:rPr>
        <w:rFonts w:hint="default"/>
      </w:r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4"/>
    <w:multiLevelType w:val="multilevel"/>
    <w:tmpl w:val="00000014"/>
    <w:lvl w:ilvl="0" w:tentative="0">
      <w:start w:val="1"/>
      <w:numFmt w:val="japaneseCounting"/>
      <w:lvlText w:val="第%1条"/>
      <w:lvlJc w:val="left"/>
      <w:pPr>
        <w:tabs>
          <w:tab w:val="left" w:pos="1235"/>
        </w:tabs>
        <w:ind w:left="1235" w:hanging="855"/>
      </w:pPr>
      <w:rPr>
        <w:rFonts w:hint="default"/>
        <w:b/>
      </w:rPr>
    </w:lvl>
    <w:lvl w:ilvl="1" w:tentative="0">
      <w:start w:val="1"/>
      <w:numFmt w:val="lowerLetter"/>
      <w:lvlText w:val="%2)"/>
      <w:lvlJc w:val="left"/>
      <w:pPr>
        <w:tabs>
          <w:tab w:val="left" w:pos="1220"/>
        </w:tabs>
        <w:ind w:left="1220" w:hanging="420"/>
      </w:pPr>
    </w:lvl>
    <w:lvl w:ilvl="2" w:tentative="0">
      <w:start w:val="1"/>
      <w:numFmt w:val="lowerRoman"/>
      <w:lvlText w:val="%3."/>
      <w:lvlJc w:val="right"/>
      <w:pPr>
        <w:tabs>
          <w:tab w:val="left" w:pos="1640"/>
        </w:tabs>
        <w:ind w:left="1640" w:hanging="420"/>
      </w:pPr>
    </w:lvl>
    <w:lvl w:ilvl="3" w:tentative="0">
      <w:start w:val="1"/>
      <w:numFmt w:val="decimal"/>
      <w:lvlText w:val="%4."/>
      <w:lvlJc w:val="left"/>
      <w:pPr>
        <w:tabs>
          <w:tab w:val="left" w:pos="2060"/>
        </w:tabs>
        <w:ind w:left="2060" w:hanging="420"/>
      </w:pPr>
    </w:lvl>
    <w:lvl w:ilvl="4" w:tentative="0">
      <w:start w:val="1"/>
      <w:numFmt w:val="lowerLetter"/>
      <w:lvlText w:val="%5)"/>
      <w:lvlJc w:val="left"/>
      <w:pPr>
        <w:tabs>
          <w:tab w:val="left" w:pos="2480"/>
        </w:tabs>
        <w:ind w:left="2480" w:hanging="420"/>
      </w:pPr>
    </w:lvl>
    <w:lvl w:ilvl="5" w:tentative="0">
      <w:start w:val="1"/>
      <w:numFmt w:val="lowerRoman"/>
      <w:lvlText w:val="%6."/>
      <w:lvlJc w:val="right"/>
      <w:pPr>
        <w:tabs>
          <w:tab w:val="left" w:pos="2900"/>
        </w:tabs>
        <w:ind w:left="2900" w:hanging="420"/>
      </w:pPr>
    </w:lvl>
    <w:lvl w:ilvl="6" w:tentative="0">
      <w:start w:val="1"/>
      <w:numFmt w:val="decimal"/>
      <w:lvlText w:val="%7."/>
      <w:lvlJc w:val="left"/>
      <w:pPr>
        <w:tabs>
          <w:tab w:val="left" w:pos="3320"/>
        </w:tabs>
        <w:ind w:left="3320" w:hanging="420"/>
      </w:pPr>
    </w:lvl>
    <w:lvl w:ilvl="7" w:tentative="0">
      <w:start w:val="1"/>
      <w:numFmt w:val="lowerLetter"/>
      <w:lvlText w:val="%8)"/>
      <w:lvlJc w:val="left"/>
      <w:pPr>
        <w:tabs>
          <w:tab w:val="left" w:pos="3740"/>
        </w:tabs>
        <w:ind w:left="3740" w:hanging="420"/>
      </w:pPr>
    </w:lvl>
    <w:lvl w:ilvl="8" w:tentative="0">
      <w:start w:val="1"/>
      <w:numFmt w:val="lowerRoman"/>
      <w:lvlText w:val="%9."/>
      <w:lvlJc w:val="right"/>
      <w:pPr>
        <w:tabs>
          <w:tab w:val="left" w:pos="4160"/>
        </w:tabs>
        <w:ind w:left="4160" w:hanging="420"/>
      </w:pPr>
    </w:lvl>
  </w:abstractNum>
  <w:abstractNum w:abstractNumId="8">
    <w:nsid w:val="00000015"/>
    <w:multiLevelType w:val="multilevel"/>
    <w:tmpl w:val="00000015"/>
    <w:lvl w:ilvl="0" w:tentative="0">
      <w:start w:val="1"/>
      <w:numFmt w:val="upperLetter"/>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ACD74B7"/>
    <w:multiLevelType w:val="singleLevel"/>
    <w:tmpl w:val="5ACD74B7"/>
    <w:lvl w:ilvl="0" w:tentative="0">
      <w:start w:val="3"/>
      <w:numFmt w:val="chineseCounting"/>
      <w:suff w:val="nothing"/>
      <w:lvlText w:val="（%1）"/>
      <w:lvlJc w:val="left"/>
    </w:lvl>
  </w:abstractNum>
  <w:num w:numId="1">
    <w:abstractNumId w:val="3"/>
  </w:num>
  <w:num w:numId="2">
    <w:abstractNumId w:val="7"/>
  </w:num>
  <w:num w:numId="3">
    <w:abstractNumId w:val="2"/>
  </w:num>
  <w:num w:numId="4">
    <w:abstractNumId w:val="5"/>
  </w:num>
  <w:num w:numId="5">
    <w:abstractNumId w:val="8"/>
  </w:num>
  <w:num w:numId="6">
    <w:abstractNumId w:val="1"/>
  </w:num>
  <w:num w:numId="7">
    <w:abstractNumId w:val="6"/>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VjZjJkZjQ4MTdmMTMwMzc1YjVkY2EwMDM3ZDVhZWUifQ=="/>
  </w:docVars>
  <w:rsids>
    <w:rsidRoot w:val="4639428A"/>
    <w:rsid w:val="00011585"/>
    <w:rsid w:val="000212D1"/>
    <w:rsid w:val="00060B82"/>
    <w:rsid w:val="00064B30"/>
    <w:rsid w:val="00142773"/>
    <w:rsid w:val="00194972"/>
    <w:rsid w:val="001C1F18"/>
    <w:rsid w:val="001C7E62"/>
    <w:rsid w:val="0022693B"/>
    <w:rsid w:val="002A067E"/>
    <w:rsid w:val="002D1E60"/>
    <w:rsid w:val="003C2043"/>
    <w:rsid w:val="003E3246"/>
    <w:rsid w:val="004A3F00"/>
    <w:rsid w:val="00621748"/>
    <w:rsid w:val="0062259E"/>
    <w:rsid w:val="00715DA4"/>
    <w:rsid w:val="00730442"/>
    <w:rsid w:val="00805915"/>
    <w:rsid w:val="0087422C"/>
    <w:rsid w:val="008857DC"/>
    <w:rsid w:val="0094707B"/>
    <w:rsid w:val="009F5DAE"/>
    <w:rsid w:val="00AC7AFA"/>
    <w:rsid w:val="00AD6D87"/>
    <w:rsid w:val="00AF1F8D"/>
    <w:rsid w:val="00B02B9A"/>
    <w:rsid w:val="00B606C5"/>
    <w:rsid w:val="00BA7FDC"/>
    <w:rsid w:val="00C643B8"/>
    <w:rsid w:val="00CA1A00"/>
    <w:rsid w:val="00DA64C4"/>
    <w:rsid w:val="00E711C0"/>
    <w:rsid w:val="00E92867"/>
    <w:rsid w:val="00F9684E"/>
    <w:rsid w:val="03F124C5"/>
    <w:rsid w:val="04302A87"/>
    <w:rsid w:val="10FD0A8F"/>
    <w:rsid w:val="13DC6DEE"/>
    <w:rsid w:val="142C4F55"/>
    <w:rsid w:val="16B90CA6"/>
    <w:rsid w:val="1D1C3D97"/>
    <w:rsid w:val="1DED0125"/>
    <w:rsid w:val="2E2662EF"/>
    <w:rsid w:val="2F1F2F49"/>
    <w:rsid w:val="352446A9"/>
    <w:rsid w:val="4639428A"/>
    <w:rsid w:val="49CA6226"/>
    <w:rsid w:val="4D4B1CA0"/>
    <w:rsid w:val="4FEB462D"/>
    <w:rsid w:val="61944DAE"/>
    <w:rsid w:val="6FA34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4"/>
    <w:unhideWhenUsed/>
    <w:qFormat/>
    <w:uiPriority w:val="0"/>
    <w:pPr>
      <w:keepNext/>
      <w:keepLines/>
      <w:spacing w:line="416" w:lineRule="auto"/>
      <w:outlineLvl w:val="2"/>
    </w:pPr>
    <w:rPr>
      <w:rFonts w:eastAsia="宋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ind w:left="420" w:leftChars="200"/>
    </w:pPr>
  </w:style>
  <w:style w:type="paragraph" w:styleId="5">
    <w:name w:val="Plain Text"/>
    <w:basedOn w:val="1"/>
    <w:qFormat/>
    <w:uiPriority w:val="0"/>
    <w:rPr>
      <w:rFonts w:hint="eastAsia" w:ascii="宋体" w:hAnsi="Courier New" w:cs="Courier New"/>
      <w:szCs w:val="21"/>
    </w:rPr>
  </w:style>
  <w:style w:type="paragraph" w:styleId="6">
    <w:name w:val="Date"/>
    <w:basedOn w:val="1"/>
    <w:next w:val="1"/>
    <w:qFormat/>
    <w:uiPriority w:val="0"/>
    <w:rPr>
      <w:szCs w:val="20"/>
    </w:r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rFonts w:eastAsia="长城仿宋"/>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标题 3 Char"/>
    <w:basedOn w:val="11"/>
    <w:link w:val="2"/>
    <w:qFormat/>
    <w:uiPriority w:val="0"/>
    <w:rPr>
      <w:rFonts w:eastAsia="宋体"/>
      <w:b/>
      <w:bCs/>
      <w:kern w:val="2"/>
      <w:sz w:val="32"/>
      <w:szCs w:val="32"/>
      <w:lang w:val="en-US" w:eastAsia="zh-CN" w:bidi="ar-SA"/>
    </w:rPr>
  </w:style>
  <w:style w:type="paragraph" w:customStyle="1" w:styleId="15">
    <w:name w:val="文书"/>
    <w:basedOn w:val="1"/>
    <w:qFormat/>
    <w:uiPriority w:val="0"/>
    <w:pPr>
      <w:ind w:firstLine="560" w:firstLineChars="200"/>
    </w:pPr>
    <w:rPr>
      <w:sz w:val="28"/>
    </w:rPr>
  </w:style>
  <w:style w:type="character" w:customStyle="1" w:styleId="16">
    <w:name w:val="批注框文本 Char"/>
    <w:basedOn w:val="11"/>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16522</Words>
  <Characters>16803</Characters>
  <Lines>142</Lines>
  <Paragraphs>40</Paragraphs>
  <TotalTime>73</TotalTime>
  <ScaleCrop>false</ScaleCrop>
  <LinksUpToDate>false</LinksUpToDate>
  <CharactersWithSpaces>17382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2022-02-16T08:05:00Z</dcterms:created>
  <dc:creator>我是天蝎座1374216953</dc:creator>
  <cp:lastModifiedBy>WPS_1559521901</cp:lastModifiedBy>
  <cp:lastPrinted>2023-10-23T01:17:00Z</cp:lastPrinted>
  <dcterms:modified xsi:type="dcterms:W3CDTF">2024-08-30T09:01:50Z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CC835E760E4046D6ACC7E0D6F5F0385B_13</vt:lpwstr>
  </property>
</Properties>
</file>