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440101-2024-16973</w:t>
      </w:r>
    </w:p>
    <w:p>
      <w:pPr>
        <w:pStyle w:val="null3"/>
        <w:jc w:val="center"/>
        <w:outlineLvl w:val="3"/>
      </w:pPr>
      <w:r>
        <w:rPr>
          <w:sz w:val="24"/>
          <w:b/>
        </w:rPr>
        <w:t>采购项目编号：</w:t>
      </w:r>
      <w:r>
        <w:rPr>
          <w:sz w:val="24"/>
          <w:b/>
        </w:rPr>
        <w:t>CC2024-0187</w:t>
      </w:r>
    </w:p>
    <w:p>
      <w:pPr>
        <w:pStyle w:val="null3"/>
        <w:jc w:val="center"/>
        <w:outlineLvl w:val="3"/>
      </w:pPr>
      <w:r>
        <w:rPr>
          <w:sz w:val="24"/>
          <w:b/>
        </w:rPr>
        <w:t>项目名称：</w:t>
      </w:r>
      <w:r>
        <w:rPr>
          <w:sz w:val="24"/>
          <w:b/>
        </w:rPr>
        <w:t>中共广州市委政法委员会2024-2025年信息化运维项目监理服务项目</w:t>
      </w:r>
    </w:p>
    <w:p>
      <w:pPr>
        <w:pStyle w:val="null3"/>
        <w:jc w:val="center"/>
        <w:outlineLvl w:val="3"/>
      </w:pPr>
      <w:r>
        <w:rPr>
          <w:sz w:val="24"/>
          <w:b/>
        </w:rPr>
        <w:t>采购人：</w:t>
      </w:r>
      <w:r>
        <w:rPr>
          <w:sz w:val="24"/>
          <w:b/>
        </w:rPr>
        <w:t>中共广州市委政法委员会</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中共广州市委政法委员会</w:t>
      </w:r>
      <w:r>
        <w:rPr/>
        <w:t>的委托，采用</w:t>
      </w:r>
      <w:r>
        <w:rPr/>
        <w:t>竞争性磋商</w:t>
      </w:r>
      <w:r>
        <w:rPr/>
        <w:t>方式组织采购</w:t>
      </w:r>
      <w:r>
        <w:rPr/>
        <w:t>中共广州市委政法委员会2024-2025年信息化运维项目监理服务项目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中共广州市委政法委员会2024-2025年信息化运维项目监理服务项目</w:t>
      </w:r>
    </w:p>
    <w:p>
      <w:pPr>
        <w:pStyle w:val="null3"/>
        <w:ind w:firstLine="480"/>
      </w:pPr>
      <w:r>
        <w:rPr/>
        <w:t>采购计划编号：</w:t>
      </w:r>
      <w:r>
        <w:rPr/>
        <w:t>440101-2024-16973</w:t>
      </w:r>
    </w:p>
    <w:p>
      <w:pPr>
        <w:pStyle w:val="null3"/>
        <w:ind w:firstLine="480"/>
      </w:pPr>
      <w:r>
        <w:rPr/>
        <w:t>采购项目编号：</w:t>
      </w:r>
      <w:r>
        <w:rPr/>
        <w:t>CC2024-0187</w:t>
      </w:r>
    </w:p>
    <w:p>
      <w:pPr>
        <w:pStyle w:val="null3"/>
        <w:ind w:firstLine="480"/>
      </w:pPr>
      <w:r>
        <w:rPr/>
        <w:t>采购方式：</w:t>
      </w:r>
      <w:r>
        <w:rPr/>
        <w:t>竞争性磋商</w:t>
      </w:r>
    </w:p>
    <w:p>
      <w:pPr>
        <w:pStyle w:val="null3"/>
        <w:ind w:firstLine="480"/>
      </w:pPr>
      <w:r>
        <w:rPr/>
        <w:t>预算金额：</w:t>
      </w:r>
      <w:r>
        <w:rPr/>
        <w:t>76,800.00</w:t>
      </w:r>
      <w:r>
        <w:rPr/>
        <w:t>元</w:t>
      </w:r>
    </w:p>
    <w:p>
      <w:pPr>
        <w:pStyle w:val="null3"/>
        <w:outlineLvl w:val="3"/>
      </w:pPr>
      <w:r>
        <w:rPr>
          <w:sz w:val="24"/>
          <w:b/>
        </w:rPr>
        <w:t>2.项目内容及需求情况（采购项目技术规格、参数及要求）</w:t>
      </w:r>
    </w:p>
    <w:p>
      <w:pPr>
        <w:pStyle w:val="null3"/>
      </w:pPr>
      <w:r>
        <w:rPr/>
        <w:t>采购包1(中共广州市委政法委员会2024-2025年信息化运维项目监理服务项目):</w:t>
      </w:r>
    </w:p>
    <w:p>
      <w:pPr>
        <w:pStyle w:val="null3"/>
      </w:pPr>
      <w:r>
        <w:rPr/>
        <w:t>采购包预算金额：76,800.00元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信息化工程监理服务</w:t>
            </w:r>
          </w:p>
        </w:tc>
        <w:tc>
          <w:tcPr>
            <w:tcW w:type="dxa" w:w="2052"/>
          </w:tcPr>
          <w:p>
            <w:pPr>
              <w:pStyle w:val="null3"/>
            </w:pPr>
            <w:r>
              <w:rPr/>
              <w:t>对中共广州市委政法委员会2024-2025年信息化运维项目的全过程进行监理，包括为项目招标、实施、培训、验收等全过程提供监理服务。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76,800.00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合同履行期限：自监理合同签订之日起至所监理项目全部实施完毕并通过广州市信息化主管部门组织的项目最终验收为止。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采购包1（中共广州市委政法委员会2024-2025年信息化运维项目监理服务项目）：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采购包1（中共广州市委政法委员会2024-2025年信息化运维项目监理服务项目）：</w:t>
      </w:r>
    </w:p>
    <w:p>
      <w:pPr>
        <w:pStyle w:val="null3"/>
      </w:pPr>
      <w:r>
        <w:rPr/>
        <w:t>1) 1）本项目不接受联合体响应。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中共广州市委政法委员会</w:t>
      </w:r>
    </w:p>
    <w:p>
      <w:pPr>
        <w:pStyle w:val="null3"/>
        <w:ind w:firstLine="480"/>
      </w:pPr>
      <w:r>
        <w:rPr/>
        <w:t>地址：</w:t>
      </w:r>
      <w:r>
        <w:rPr/>
        <w:t>广州市越秀区法政路30号</w:t>
      </w:r>
    </w:p>
    <w:p>
      <w:pPr>
        <w:pStyle w:val="null3"/>
        <w:ind w:firstLine="480"/>
      </w:pPr>
      <w:r>
        <w:rPr/>
        <w:t>联系方式：</w:t>
      </w:r>
      <w:r>
        <w:rPr/>
        <w:t>020-83551120</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28866235、28866163</w:t>
      </w:r>
    </w:p>
    <w:p>
      <w:pPr>
        <w:pStyle w:val="null3"/>
        <w:outlineLvl w:val="3"/>
      </w:pPr>
      <w:r>
        <w:rPr>
          <w:sz w:val="24"/>
          <w:b/>
        </w:rPr>
        <w:t xml:space="preserve"> 3.项目联系方式</w:t>
      </w:r>
    </w:p>
    <w:p>
      <w:pPr>
        <w:pStyle w:val="null3"/>
        <w:ind w:firstLine="480"/>
      </w:pPr>
      <w:r>
        <w:rPr/>
        <w:t xml:space="preserve"> 项目联系人：</w:t>
      </w:r>
      <w:r>
        <w:rPr/>
        <w:t>梁浩华（采购文件咨询）、何晓蕾（质疑受理）</w:t>
      </w:r>
    </w:p>
    <w:p>
      <w:pPr>
        <w:pStyle w:val="null3"/>
        <w:ind w:firstLine="480"/>
      </w:pPr>
      <w:r>
        <w:rPr/>
        <w:t xml:space="preserve"> 电话：</w:t>
      </w:r>
      <w:r>
        <w:rPr/>
        <w:t>28866235、28866163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w:t>
      </w:r>
    </w:p>
    <w:p>
      <w:pPr>
        <w:pStyle w:val="null3"/>
      </w:pPr>
      <w:r>
        <w:rPr/>
        <w:t>采购包1（中共广州市委政法委员会2024-2025年信息化运维项目监理服务项目）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自监理合同签订之日起至所监理项目全部实施完毕并通过广州市信息化主管部门组织的项目最终验收为止。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1期：支付比例100%,详见第二章采购需求，如上下文表述不一致，按采购需求为准。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1期：详见第二章采购需求，如上下文表述不一致，按采购需求为准。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信息化工程监理服务</w:t>
            </w:r>
          </w:p>
        </w:tc>
        <w:tc>
          <w:tcPr>
            <w:tcW w:type="dxa" w:w="933"/>
          </w:tcPr>
          <w:p>
            <w:pPr>
              <w:pStyle w:val="null3"/>
              <w:jc w:val="left"/>
            </w:pPr>
            <w:r>
              <w:rPr/>
              <w:t>对中共广州市委政法委员会2024-2025年信息化运维项目的全过程进行监理，包括为项目招标、实施、培训、验收等全过程提供监理服务。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76,800.00</w:t>
            </w:r>
          </w:p>
        </w:tc>
        <w:tc>
          <w:tcPr>
            <w:tcW w:type="dxa" w:w="933"/>
          </w:tcPr>
          <w:p>
            <w:pPr>
              <w:pStyle w:val="null3"/>
              <w:jc w:val="right"/>
            </w:pPr>
            <w:r>
              <w:rPr/>
              <w:t>76,800.00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对中共广州市委政法委员会2024-2025年信息化运维项目的全过程进行监理，包括为项目招标、实施、培训、验收等全过程提供监理服务。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中共广州市委政法委员会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成交供应商应承担所有与编写和提交投标文件有关的费用。2.采购人支付公共资源交易服务费，由采购人支付公共资源交易服务费后，采购人、中标人方可下载打印电子《中标通知书》。3.采购人可选用以下两种方式支付公共资源交易服务费：（1）现场支付：采购人携现金前往市政府采购中心大厅西侧建设银行天润路支行交款，交款后前往财务专窗办理支付确认。（2）汇款支付：采购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采购人支付公共资源交易服务费并确认后，向采购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成交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信息，一、综合信用得分。（一）本项目商务评分部分的综合信用得分运用广州公共资源交易政府采购领域信用评价体系3.0（以下简称“政府采购信用3.0”）。供应商应在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由采购人负责对成交供应商的履约行为进行评价，采购人在合同备案后可通过广东政府采购智慧云平台-诚信管理-评价管理进行评价。评价结果会影响供应商的综合信用得分。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、广州交易集团有限公司（http://www.gzggzy.cn）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、广州交易集团有限公司（http://www.gzggzy.cn）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共广州市委政法委员会2024-2025年信息化运维项目监理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采购包1（中共广州市委政法委员会2024-2025年信息化运维项目监理服务项目）：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采购包1（中共广州市委政法委员会2024-2025年信息化运维项目监理服务项目）：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 xml:space="preserve"> 1）本项目不接受联合体响应。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采购包1（中共广州市委政法委员会2024-2025年信息化运维项目监理服务项目）：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1.报价确定且不高于采购预算；如磋商小组没有对磋商文件作实质性变动增加新的需求，最后报价不得高于首次报价；未被认定低于其成本报价。2.有盖章、签署要求的格式文件已按要求盖章、签署。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评审期间，磋商供应商没有按磋商小组的要求提交澄清、说明或更正的。（3）磋商供应商对采购人、采购代理机构、磋商小组及其工作人员施加影响，有碍政府采购公平、公 正的。（4）法律、法规和磋商文件规定的其他无效情形。（5）磋商小组认为，供应商的最后报价明显不合理或者明显低于其他供应商报价，有可能影响商品质量和不能诚信履约的，应当要求该供应商作出书面说明并提供相关证明材料。供应商不能合理说明或者不能提供相关证明材料的，由磋商小组认定该供应商为低于成本报 价，响应无效。（6）对不通过资格性和符合性审查的供应商，磋商小组应告知该供应商并说明理由。（7）通过资格性和符合性审查的有效供应商方可进入综合评分阶段。如通过资格性和符合性审查少于3家时，磋商小组宣布项目采购失败 。</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采购包1(中共广州市委政法委员会2024-2025年信息化运维项目监理服务项目):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重点、难点的措施1 (4.0分)</w:t>
            </w:r>
          </w:p>
        </w:tc>
        <w:tc>
          <w:tcPr>
            <w:tcW w:type="dxa" w:w="5076"/>
          </w:tcPr>
          <w:p>
            <w:pPr>
              <w:pStyle w:val="null3"/>
              <w:jc w:val="left"/>
            </w:pPr>
            <w:r>
              <w:rPr/>
              <w:t>供应商每提供1条，重点、难点相应监理策略与措施，得2分，最高得4分，不提供或提供其它内容不得分。如未提交的，以下重点、难点的措施2评分项均不得分。</w:t>
            </w:r>
          </w:p>
        </w:tc>
      </w:tr>
      <w:tr>
        <w:tc>
          <w:tcPr>
            <w:tcW w:type="dxa" w:w="922"/>
            <w:gridSpan w:val="2"/>
            <w:vMerge/>
          </w:tcPr>
          <w:p/>
        </w:tc>
        <w:tc>
          <w:tcPr>
            <w:tcW w:type="dxa" w:w="2307"/>
          </w:tcPr>
          <w:p>
            <w:pPr>
              <w:pStyle w:val="null3"/>
              <w:jc w:val="left"/>
            </w:pPr>
            <w:r>
              <w:rPr/>
              <w:t>重点、难点的措施2 (4.0分)</w:t>
            </w:r>
          </w:p>
        </w:tc>
        <w:tc>
          <w:tcPr>
            <w:tcW w:type="dxa" w:w="5076"/>
          </w:tcPr>
          <w:p>
            <w:pPr>
              <w:pStyle w:val="null3"/>
              <w:jc w:val="left"/>
            </w:pPr>
            <w:r>
              <w:rPr/>
              <w:t>根据重点、难点的措施：优于采购需求，得4分；完全满足采购需求的，得3分；部分满足采购需求的，得2分，不满足采购需求的或其他的，得0分。</w:t>
            </w:r>
          </w:p>
        </w:tc>
      </w:tr>
      <w:tr>
        <w:tc>
          <w:tcPr>
            <w:tcW w:type="dxa" w:w="922"/>
            <w:gridSpan w:val="2"/>
            <w:vMerge/>
          </w:tcPr>
          <w:p/>
        </w:tc>
        <w:tc>
          <w:tcPr>
            <w:tcW w:type="dxa" w:w="2307"/>
          </w:tcPr>
          <w:p>
            <w:pPr>
              <w:pStyle w:val="null3"/>
              <w:jc w:val="left"/>
            </w:pPr>
            <w:r>
              <w:rPr/>
              <w:t>项目质量保证方案1 (3.0分)</w:t>
            </w:r>
          </w:p>
        </w:tc>
        <w:tc>
          <w:tcPr>
            <w:tcW w:type="dxa" w:w="5076"/>
          </w:tcPr>
          <w:p>
            <w:pPr>
              <w:pStyle w:val="null3"/>
              <w:jc w:val="left"/>
            </w:pPr>
            <w:r>
              <w:rPr/>
              <w:t>根据供应商对本项目所提供的项目质量控制的方法和措施方案进行评审： 内容包含：质量控制的监理方法、质量控制的监理措施、监理质量监督服务管理体系，每提供一项得1分，最高得3分；不提供或提供其它内容不得分。</w:t>
            </w:r>
          </w:p>
        </w:tc>
      </w:tr>
      <w:tr>
        <w:tc>
          <w:tcPr>
            <w:tcW w:type="dxa" w:w="922"/>
            <w:gridSpan w:val="2"/>
            <w:vMerge/>
          </w:tcPr>
          <w:p/>
        </w:tc>
        <w:tc>
          <w:tcPr>
            <w:tcW w:type="dxa" w:w="2307"/>
          </w:tcPr>
          <w:p>
            <w:pPr>
              <w:pStyle w:val="null3"/>
              <w:jc w:val="left"/>
            </w:pPr>
            <w:r>
              <w:rPr/>
              <w:t>项目质量保证方案2 (5.0分)</w:t>
            </w:r>
          </w:p>
        </w:tc>
        <w:tc>
          <w:tcPr>
            <w:tcW w:type="dxa" w:w="5076"/>
          </w:tcPr>
          <w:p>
            <w:pPr>
              <w:pStyle w:val="null3"/>
              <w:jc w:val="left"/>
            </w:pPr>
            <w:r>
              <w:rPr/>
              <w:t>根据供应商对本项目所提供的项目质量保证方案进行评审： 1、优于采购需求得5分；2、完全满足采购需求，得3分；3、部分满足采购需求，得2分； 4、不提供，得0分。</w:t>
            </w:r>
          </w:p>
        </w:tc>
      </w:tr>
      <w:tr>
        <w:tc>
          <w:tcPr>
            <w:tcW w:type="dxa" w:w="922"/>
            <w:gridSpan w:val="2"/>
            <w:vMerge/>
          </w:tcPr>
          <w:p/>
        </w:tc>
        <w:tc>
          <w:tcPr>
            <w:tcW w:type="dxa" w:w="2307"/>
          </w:tcPr>
          <w:p>
            <w:pPr>
              <w:pStyle w:val="null3"/>
              <w:jc w:val="left"/>
            </w:pPr>
            <w:r>
              <w:rPr/>
              <w:t>项目进度保证方案1 (4.0分)</w:t>
            </w:r>
          </w:p>
        </w:tc>
        <w:tc>
          <w:tcPr>
            <w:tcW w:type="dxa" w:w="5076"/>
          </w:tcPr>
          <w:p>
            <w:pPr>
              <w:pStyle w:val="null3"/>
              <w:jc w:val="left"/>
            </w:pPr>
            <w:r>
              <w:rPr/>
              <w:t>根据供应商对项目进度保证方案进行综合评分： 1、能提供项目进度保证方案，得2分，如未能提供项目进度保证方案的，以下第2点评分项均不得分。 2、项目进度保证方案同时包括:项目的进度目标控制模型、项目进度控制的监理方法、项目进度控制的监理协调措施，得2分。内容不全的不得分。</w:t>
            </w:r>
          </w:p>
        </w:tc>
      </w:tr>
      <w:tr>
        <w:tc>
          <w:tcPr>
            <w:tcW w:type="dxa" w:w="922"/>
            <w:gridSpan w:val="2"/>
            <w:vMerge/>
          </w:tcPr>
          <w:p/>
        </w:tc>
        <w:tc>
          <w:tcPr>
            <w:tcW w:type="dxa" w:w="2307"/>
          </w:tcPr>
          <w:p>
            <w:pPr>
              <w:pStyle w:val="null3"/>
              <w:jc w:val="left"/>
            </w:pPr>
            <w:r>
              <w:rPr/>
              <w:t>项目进度保证方案2 (4.0分)</w:t>
            </w:r>
          </w:p>
        </w:tc>
        <w:tc>
          <w:tcPr>
            <w:tcW w:type="dxa" w:w="5076"/>
          </w:tcPr>
          <w:p>
            <w:pPr>
              <w:pStyle w:val="null3"/>
              <w:jc w:val="left"/>
            </w:pPr>
            <w:r>
              <w:rPr/>
              <w:t>根据供应商对项目进度保证方案进行综合评分： 针对项目进度保证方案中项目进度控制的监理方法能优于采购需求的，得4分；完全满足采购需求的，得3分，部分满足采购需求，得2分；不能满足采购需求的，不得分。</w:t>
            </w:r>
          </w:p>
        </w:tc>
      </w:tr>
      <w:tr>
        <w:tc>
          <w:tcPr>
            <w:tcW w:type="dxa" w:w="922"/>
            <w:gridSpan w:val="2"/>
            <w:vMerge/>
          </w:tcPr>
          <w:p/>
        </w:tc>
        <w:tc>
          <w:tcPr>
            <w:tcW w:type="dxa" w:w="2307"/>
          </w:tcPr>
          <w:p>
            <w:pPr>
              <w:pStyle w:val="null3"/>
              <w:jc w:val="left"/>
            </w:pPr>
            <w:r>
              <w:rPr/>
              <w:t>项目合同管理和信息管理方案1 (4.0分)</w:t>
            </w:r>
          </w:p>
        </w:tc>
        <w:tc>
          <w:tcPr>
            <w:tcW w:type="dxa" w:w="5076"/>
          </w:tcPr>
          <w:p>
            <w:pPr>
              <w:pStyle w:val="null3"/>
              <w:jc w:val="left"/>
            </w:pPr>
            <w:r>
              <w:rPr/>
              <w:t>供应商在投标文件中提供的项目合同管理和信息管理方案，进行评审：供应商提供的项目合同管理和信息管理方案包含：合同管理，得4分，其他或未提交或不能同时涵盖的，不得分。如不能同时涵盖以上内容或未提交的，以下项目合同管理和信息管理方案2评分项均不得分。</w:t>
            </w:r>
          </w:p>
        </w:tc>
      </w:tr>
      <w:tr>
        <w:tc>
          <w:tcPr>
            <w:tcW w:type="dxa" w:w="922"/>
            <w:gridSpan w:val="2"/>
            <w:vMerge/>
          </w:tcPr>
          <w:p/>
        </w:tc>
        <w:tc>
          <w:tcPr>
            <w:tcW w:type="dxa" w:w="2307"/>
          </w:tcPr>
          <w:p>
            <w:pPr>
              <w:pStyle w:val="null3"/>
              <w:jc w:val="left"/>
            </w:pPr>
            <w:r>
              <w:rPr/>
              <w:t>项目合同管理和信息管理方案2 (3.0分)</w:t>
            </w:r>
          </w:p>
        </w:tc>
        <w:tc>
          <w:tcPr>
            <w:tcW w:type="dxa" w:w="5076"/>
          </w:tcPr>
          <w:p>
            <w:pPr>
              <w:pStyle w:val="null3"/>
              <w:jc w:val="left"/>
            </w:pPr>
            <w:r>
              <w:rPr/>
              <w:t>根据项目合同管理和信息管理方案的描述进行评审：优于采购需求，得3分，完全满足采购需求的，得2分，部分满足采购需求的，得1分，不满足采购需求的或其他的，得0分。</w:t>
            </w:r>
          </w:p>
        </w:tc>
      </w:tr>
      <w:tr>
        <w:tc>
          <w:tcPr>
            <w:tcW w:type="dxa" w:w="922"/>
            <w:gridSpan w:val="2"/>
            <w:vMerge/>
          </w:tcPr>
          <w:p/>
        </w:tc>
        <w:tc>
          <w:tcPr>
            <w:tcW w:type="dxa" w:w="2307"/>
          </w:tcPr>
          <w:p>
            <w:pPr>
              <w:pStyle w:val="null3"/>
              <w:jc w:val="left"/>
            </w:pPr>
            <w:r>
              <w:rPr/>
              <w:t>项目投资保证方案1 (4.0分)</w:t>
            </w:r>
          </w:p>
        </w:tc>
        <w:tc>
          <w:tcPr>
            <w:tcW w:type="dxa" w:w="5076"/>
          </w:tcPr>
          <w:p>
            <w:pPr>
              <w:pStyle w:val="null3"/>
              <w:jc w:val="left"/>
            </w:pPr>
            <w:r>
              <w:rPr/>
              <w:t>供应商在投标文件中提供的项目投资保证方案，进行评审：供应商提供的项目投资保证方案包含涵盖：投资控制，得4分，其他或未提交或不能同时涵盖的，不得分。如不能同时涵盖以上内容或未提交的，以下项目投资保证方案2评分项均不得分。</w:t>
            </w:r>
          </w:p>
        </w:tc>
      </w:tr>
      <w:tr>
        <w:tc>
          <w:tcPr>
            <w:tcW w:type="dxa" w:w="922"/>
            <w:gridSpan w:val="2"/>
            <w:vMerge/>
          </w:tcPr>
          <w:p/>
        </w:tc>
        <w:tc>
          <w:tcPr>
            <w:tcW w:type="dxa" w:w="2307"/>
          </w:tcPr>
          <w:p>
            <w:pPr>
              <w:pStyle w:val="null3"/>
              <w:jc w:val="left"/>
            </w:pPr>
            <w:r>
              <w:rPr/>
              <w:t>项目投资保证方案2 (3.0分)</w:t>
            </w:r>
          </w:p>
        </w:tc>
        <w:tc>
          <w:tcPr>
            <w:tcW w:type="dxa" w:w="5076"/>
          </w:tcPr>
          <w:p>
            <w:pPr>
              <w:pStyle w:val="null3"/>
              <w:jc w:val="left"/>
            </w:pPr>
            <w:r>
              <w:rPr/>
              <w:t>根据项目投资保证方案的描述进行评审：优于采购需求，得3分；完全满足采购需求的，得2分；部分满足采购需求的，得1分，不满足采购需求的或其他的，得0分。</w:t>
            </w:r>
          </w:p>
        </w:tc>
      </w:tr>
      <w:tr>
        <w:tc>
          <w:tcPr>
            <w:tcW w:type="dxa" w:w="922"/>
            <w:gridSpan w:val="2"/>
            <w:vMerge/>
          </w:tcPr>
          <w:p/>
        </w:tc>
        <w:tc>
          <w:tcPr>
            <w:tcW w:type="dxa" w:w="2307"/>
          </w:tcPr>
          <w:p>
            <w:pPr>
              <w:pStyle w:val="null3"/>
              <w:jc w:val="left"/>
            </w:pPr>
            <w:r>
              <w:rPr/>
              <w:t>项目组织协调方案1 (4.0分)</w:t>
            </w:r>
          </w:p>
        </w:tc>
        <w:tc>
          <w:tcPr>
            <w:tcW w:type="dxa" w:w="5076"/>
          </w:tcPr>
          <w:p>
            <w:pPr>
              <w:pStyle w:val="null3"/>
              <w:jc w:val="left"/>
            </w:pPr>
            <w:r>
              <w:rPr/>
              <w:t>供应商在投标文件中提供的项目组织协调方案，进行评审：供应商提供的项目组织协调方案包含涵盖：组织协调，得4分，其他或未提交或不能同时涵盖的，不得分。如不能同时涵盖以上内容或未提交的，以下项目组织协调方案2评分项均不得分。</w:t>
            </w:r>
          </w:p>
        </w:tc>
      </w:tr>
      <w:tr>
        <w:tc>
          <w:tcPr>
            <w:tcW w:type="dxa" w:w="922"/>
            <w:gridSpan w:val="2"/>
            <w:vMerge/>
          </w:tcPr>
          <w:p/>
        </w:tc>
        <w:tc>
          <w:tcPr>
            <w:tcW w:type="dxa" w:w="2307"/>
          </w:tcPr>
          <w:p>
            <w:pPr>
              <w:pStyle w:val="null3"/>
              <w:jc w:val="left"/>
            </w:pPr>
            <w:r>
              <w:rPr/>
              <w:t>项目组织协调方案2 (2.0分)</w:t>
            </w:r>
          </w:p>
        </w:tc>
        <w:tc>
          <w:tcPr>
            <w:tcW w:type="dxa" w:w="5076"/>
          </w:tcPr>
          <w:p>
            <w:pPr>
              <w:pStyle w:val="null3"/>
              <w:jc w:val="left"/>
            </w:pPr>
            <w:r>
              <w:rPr/>
              <w:t>根据项目组织协调方案的描述进行评审：供应商提供的项目组织协调方案，优于采购需求，得2分；完全满足采购需求的，得1分，部分满足采购需求的，得1分，不满足采购需求的或其他的，得0分。</w:t>
            </w:r>
          </w:p>
        </w:tc>
      </w:tr>
      <w:tr>
        <w:tc>
          <w:tcPr>
            <w:tcW w:type="dxa" w:w="922"/>
            <w:gridSpan w:val="2"/>
            <w:vMerge/>
          </w:tcPr>
          <w:p/>
        </w:tc>
        <w:tc>
          <w:tcPr>
            <w:tcW w:type="dxa" w:w="2307"/>
          </w:tcPr>
          <w:p>
            <w:pPr>
              <w:pStyle w:val="null3"/>
              <w:jc w:val="left"/>
            </w:pPr>
            <w:r>
              <w:rPr/>
              <w:t>项目绩效评估及监理保障方案1 (4.0分)</w:t>
            </w:r>
          </w:p>
        </w:tc>
        <w:tc>
          <w:tcPr>
            <w:tcW w:type="dxa" w:w="5076"/>
          </w:tcPr>
          <w:p>
            <w:pPr>
              <w:pStyle w:val="null3"/>
              <w:jc w:val="left"/>
            </w:pPr>
            <w:r>
              <w:rPr/>
              <w:t>供应商在投标文件中提供的项目绩效评估及监理保障方案，进行评审：供应商提供的项目绩效评估及监理保障方案包含涵盖：绩效评估，得4分，其他或未提交或不能同时涵盖的，不得分。如不能同时涵盖以上内容或未提交的，以下项目绩效评估及监理保障方案2评分项均不得分。</w:t>
            </w:r>
          </w:p>
        </w:tc>
      </w:tr>
      <w:tr>
        <w:tc>
          <w:tcPr>
            <w:tcW w:type="dxa" w:w="922"/>
            <w:gridSpan w:val="2"/>
            <w:vMerge/>
          </w:tcPr>
          <w:p/>
        </w:tc>
        <w:tc>
          <w:tcPr>
            <w:tcW w:type="dxa" w:w="2307"/>
          </w:tcPr>
          <w:p>
            <w:pPr>
              <w:pStyle w:val="null3"/>
              <w:jc w:val="left"/>
            </w:pPr>
            <w:r>
              <w:rPr/>
              <w:t>项目绩效评估及监理保障方案2 (2.0分)</w:t>
            </w:r>
          </w:p>
        </w:tc>
        <w:tc>
          <w:tcPr>
            <w:tcW w:type="dxa" w:w="5076"/>
          </w:tcPr>
          <w:p>
            <w:pPr>
              <w:pStyle w:val="null3"/>
              <w:jc w:val="left"/>
            </w:pPr>
            <w:r>
              <w:rPr/>
              <w:t>根据项目绩效评估及监理保障方案的描述进行评审：供应商提供的项目绩效评估及监理保障方案，优于采购需求，得2分；完全满足采购需求的，得1分，部分满足采购需求的，得1分，不满足采购需求的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响应供应商体系及认证 (3.0分)</w:t>
            </w:r>
          </w:p>
        </w:tc>
        <w:tc>
          <w:tcPr>
            <w:tcW w:type="dxa" w:w="5076"/>
          </w:tcPr>
          <w:p>
            <w:pPr>
              <w:pStyle w:val="null3"/>
              <w:jc w:val="left"/>
            </w:pPr>
            <w:r>
              <w:rPr/>
              <w:t>1、具有质量管理体系认证证书，覆盖范围包含信息系统工程监理服务，且在有效期内，得3分； 注：需同时提供有效的证书扫描件以及全国认证认可信息公共服务平台上http://cx.cnca.cn查询结果的截图，证书状态必须为“有效”。不提供不得分。</w:t>
            </w:r>
          </w:p>
        </w:tc>
      </w:tr>
      <w:tr>
        <w:tc>
          <w:tcPr>
            <w:tcW w:type="dxa" w:w="922"/>
            <w:gridSpan w:val="2"/>
            <w:vMerge/>
          </w:tcPr>
          <w:p/>
        </w:tc>
        <w:tc>
          <w:tcPr>
            <w:tcW w:type="dxa" w:w="2307"/>
          </w:tcPr>
          <w:p>
            <w:pPr>
              <w:pStyle w:val="null3"/>
              <w:jc w:val="left"/>
            </w:pPr>
            <w:r>
              <w:rPr/>
              <w:t>总监理工程师 (10.0分)</w:t>
            </w:r>
          </w:p>
        </w:tc>
        <w:tc>
          <w:tcPr>
            <w:tcW w:type="dxa" w:w="5076"/>
          </w:tcPr>
          <w:p>
            <w:pPr>
              <w:pStyle w:val="null3"/>
              <w:jc w:val="left"/>
            </w:pPr>
            <w:r>
              <w:rPr/>
              <w:t>总监理工程师具备以下证书的，每个得2分，最高得10分： 1、具有计算机技术与软件专业技术资格（水平）考试的"信息系统监理师"证书； 2、具有计算机技术与软件专业技术资格（水平）考试的"软件评测师"证书； 3、具有计算机技术与软件专业技术资格（水平）考试的"网络工程师"证书； 4、具有计算机技术与软件专业技术资格（水平）考试的"系统分析师"证书； 5、具有计算机技术与软件专业技术资格（水平）考试的"信息系统项目管理师"证书。 注：除上述要求提供的证书扫描件和证明材料外，还需提供总监理工程师在供应商任职的外部证明材料（如提供加盖政府有关部门印章的在本项目投标截止日之前六个月内任意一个月的： 《投保单》或《社会保险参保人员证明》扫描件等），未提供证明材料或未按要求提供的不得分。</w:t>
            </w:r>
          </w:p>
        </w:tc>
      </w:tr>
      <w:tr>
        <w:tc>
          <w:tcPr>
            <w:tcW w:type="dxa" w:w="922"/>
            <w:gridSpan w:val="2"/>
            <w:vMerge/>
          </w:tcPr>
          <w:p/>
        </w:tc>
        <w:tc>
          <w:tcPr>
            <w:tcW w:type="dxa" w:w="2307"/>
          </w:tcPr>
          <w:p>
            <w:pPr>
              <w:pStyle w:val="null3"/>
              <w:jc w:val="left"/>
            </w:pPr>
            <w:r>
              <w:rPr/>
              <w:t>总监理工程师代表 (6.0分)</w:t>
            </w:r>
          </w:p>
        </w:tc>
        <w:tc>
          <w:tcPr>
            <w:tcW w:type="dxa" w:w="5076"/>
          </w:tcPr>
          <w:p>
            <w:pPr>
              <w:pStyle w:val="null3"/>
              <w:jc w:val="left"/>
            </w:pPr>
            <w:r>
              <w:rPr/>
              <w:t>总监理工程师代表具备以下证书的，每个得2分，最高得6分： 1、具有计算机技术与软件专业技术资格（水平）考试的"信息系统监理师"证书； 2、具有计算机技术与软件专业技术资格（水平）考试的系统集成项目管理工程师资格证书； 3、具有计算机技术与软件专业技术资格（水平）考试的信息系统项目管理师资格证书。 注：除上述要求提供的证书扫描件和证明材料外，还需提供总监理工程师代表在供应商任职的外部证明材料（如提供加盖政府有关部门印章的在本项目投标截止日之前六个月内任意一个月的： 《投保单》或《社会保险参保人员证明》扫描件等），未提供证明材料或未按要求提供的不得分。</w:t>
            </w:r>
          </w:p>
        </w:tc>
      </w:tr>
      <w:tr>
        <w:tc>
          <w:tcPr>
            <w:tcW w:type="dxa" w:w="922"/>
            <w:gridSpan w:val="2"/>
            <w:vMerge/>
          </w:tcPr>
          <w:p/>
        </w:tc>
        <w:tc>
          <w:tcPr>
            <w:tcW w:type="dxa" w:w="2307"/>
          </w:tcPr>
          <w:p>
            <w:pPr>
              <w:pStyle w:val="null3"/>
              <w:jc w:val="left"/>
            </w:pPr>
            <w:r>
              <w:rPr/>
              <w:t>监理工程师（不包含在总监监理工程师、总监理工程师代表在内） (5.0分)</w:t>
            </w:r>
          </w:p>
        </w:tc>
        <w:tc>
          <w:tcPr>
            <w:tcW w:type="dxa" w:w="5076"/>
          </w:tcPr>
          <w:p>
            <w:pPr>
              <w:pStyle w:val="null3"/>
              <w:jc w:val="left"/>
            </w:pPr>
            <w:r>
              <w:rPr/>
              <w:t>供应商拟派本项目团队人员（不包含在总监监理工程师、总监理工程师代表在内）： 1、监理工程师具有系统规划与管理师证书，每具有1名得1.5分，最高3分； 2、监理工程师具有电子技术类或网络安全类中级或以上职称证书得1分，每具有1名得1分，最高2分。 注：（1）以上人员不可重复评分；（2）除上述要求提供的证书扫描件和证明材料外，还需提供监理工程师在供应商任职的外部证明材料（如提供加盖政府有关部门印章的在本项目投标截止日之前六个月内任意一个月的： 《投保单》或《社会保险参保人员证明》扫描件等），未提供证明材料或未按要求提供的不得分。</w:t>
            </w:r>
          </w:p>
        </w:tc>
      </w:tr>
      <w:tr>
        <w:tc>
          <w:tcPr>
            <w:tcW w:type="dxa" w:w="922"/>
            <w:gridSpan w:val="2"/>
            <w:vMerge/>
          </w:tcPr>
          <w:p/>
        </w:tc>
        <w:tc>
          <w:tcPr>
            <w:tcW w:type="dxa" w:w="2307"/>
          </w:tcPr>
          <w:p>
            <w:pPr>
              <w:pStyle w:val="null3"/>
              <w:jc w:val="left"/>
            </w:pPr>
            <w:r>
              <w:rPr/>
              <w:t>同类业绩 (4.0分)</w:t>
            </w:r>
          </w:p>
        </w:tc>
        <w:tc>
          <w:tcPr>
            <w:tcW w:type="dxa" w:w="5076"/>
          </w:tcPr>
          <w:p>
            <w:pPr>
              <w:pStyle w:val="null3"/>
              <w:jc w:val="left"/>
            </w:pPr>
            <w:r>
              <w:rPr/>
              <w:t>供应商2021年1月1日至今（以合同签订日期为准），承接过同类项目（同类项目是指：信息化工程监理服务）业绩经验的，每提供一项得0.5分，最高得4分。（分支机构投标的，总公司业绩纳入评审） 注：须同时附上合同关键页（含签订合同双方的单位名称、合同项目名称、合同清单/合同概况、与含签订合同双方的落款盖章、签订日期页）扫描件，作为评审依据，无提供或提供不全或提供的证明材料不清晰明确，评委无法辨认的，则不得分。</w:t>
            </w:r>
          </w:p>
        </w:tc>
      </w:tr>
      <w:tr>
        <w:tc>
          <w:tcPr>
            <w:tcW w:type="dxa" w:w="922"/>
            <w:gridSpan w:val="2"/>
            <w:vMerge/>
          </w:tcPr>
          <w:p/>
        </w:tc>
        <w:tc>
          <w:tcPr>
            <w:tcW w:type="dxa" w:w="2307"/>
          </w:tcPr>
          <w:p>
            <w:pPr>
              <w:pStyle w:val="null3"/>
              <w:jc w:val="left"/>
            </w:pPr>
            <w:r>
              <w:rPr/>
              <w:t>支撑监理服务的各类工程监理软件情况 (6.0分)</w:t>
            </w:r>
          </w:p>
        </w:tc>
        <w:tc>
          <w:tcPr>
            <w:tcW w:type="dxa" w:w="5076"/>
          </w:tcPr>
          <w:p>
            <w:pPr>
              <w:pStyle w:val="null3"/>
              <w:jc w:val="left"/>
            </w:pPr>
            <w:r>
              <w:rPr/>
              <w:t>供应商使用支撑监理服务的各类工程监理软件情况，包括：监理合同管理系统或同类、监理文件控制系统或同类、监理知识库管理系统或同类、监理规范服务平台或同类、信息系统工程监理管理系统或同类、城市运维智慧监理系统或同类，每具有一项得1分，满分得6分。 注：自有的须提供计算机软著作权登记证书扫描件或购买合同扫描件或租赁合同扫描件作为评审依据证明文件。</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对非重大违法违规记录的扣分(1.0分)以“信用中国”（www.creditchina.gov.cn）网站为查询渠道：对列入行 政处罚或经营异常的供应商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按照技术指标优劣顺序推荐。排名第一的磋商供应商为第一成交候选人，排名第二的磋商供应商为第二成交候选人，排名第三的磋商供应商为第三成交候选人（提供相同品牌产品（非单一产品采购，以核心产品为准。多个核心产品的，有一种产品品牌相同，即视为提供相同品牌产品），评审后得分最高的同品牌供应商获得成交候选人推荐资格；评审得分相同的，由采购人或者采购人委托磋商小组采取随机抽取方式确定，其他同品牌磋商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t>详见附件</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440101-2024-16973</w:t>
      </w:r>
    </w:p>
    <w:p>
      <w:pPr>
        <w:pStyle w:val="null3"/>
        <w:jc w:val="center"/>
        <w:outlineLvl w:val="3"/>
      </w:pPr>
      <w:r>
        <w:rPr>
          <w:sz w:val="24"/>
          <w:b/>
        </w:rPr>
        <w:t>采购项目编号：</w:t>
      </w:r>
      <w:r>
        <w:rPr>
          <w:sz w:val="24"/>
          <w:b/>
        </w:rPr>
        <w:t>CC2024-0187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中共广州市委政法委员会2024-2025年信息化运维项目监理服务项目</w:t>
      </w:r>
      <w:r>
        <w:rPr>
          <w:u w:val="single"/>
        </w:rPr>
        <w:t>”</w:t>
      </w:r>
      <w:r>
        <w:rPr/>
        <w:t>项目的竞争性磋商[采购项目编号为：</w:t>
      </w:r>
      <w:r>
        <w:rPr>
          <w:u w:val="single"/>
        </w:rPr>
        <w:t>CC2024-0187</w:t>
      </w:r>
      <w:r>
        <w:rPr/>
        <w:t>]，我方愿参与响应。</w:t>
      </w:r>
    </w:p>
    <w:p>
      <w:pPr>
        <w:pStyle w:val="null3"/>
        <w:ind w:firstLine="480"/>
      </w:pPr>
      <w:r>
        <w:rPr/>
        <w:t>我方确认收到贵方提供的</w:t>
      </w:r>
      <w:r>
        <w:rPr>
          <w:u w:val="single"/>
        </w:rPr>
        <w:t>“</w:t>
      </w:r>
      <w:r>
        <w:rPr>
          <w:u w:val="single"/>
        </w:rPr>
        <w:t>中共广州市委政法委员会2024-2025年信息化运维项目监理服务项目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中共广州市委政法委员会2024-2025年信息化运维项目监理服务项目</w:t>
      </w:r>
      <w:r>
        <w:rPr/>
        <w:t>”项目采购[采购项目编号为</w:t>
      </w:r>
      <w:r>
        <w:rPr/>
        <w:t>CC2024-0187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中共广州市委政法委员会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中共广州市委政法委员会2024-2025年信息化运维项目监理服务项目</w:t>
      </w:r>
      <w:r>
        <w:rPr/>
        <w:t>（采购项目编号：</w:t>
      </w:r>
      <w:r>
        <w:rPr/>
        <w:t>CC2024-0187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