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C6E3A">
      <w:pPr>
        <w:jc w:val="center"/>
        <w:rPr>
          <w:rFonts w:cs="宋体" w:asciiTheme="minorEastAsia" w:hAnsiTheme="minorEastAsia" w:eastAsiaTheme="minorEastAsia"/>
          <w:sz w:val="28"/>
          <w:szCs w:val="28"/>
          <w:u w:val="single"/>
        </w:rPr>
      </w:pPr>
      <w:bookmarkStart w:id="0" w:name="_Toc222033832"/>
      <w:bookmarkStart w:id="1" w:name="_Toc221950007"/>
      <w:bookmarkStart w:id="2" w:name="_Toc222030983"/>
      <w:bookmarkStart w:id="3" w:name="_Toc168476045"/>
      <w:bookmarkStart w:id="4" w:name="_Toc168475642"/>
      <w:bookmarkStart w:id="5" w:name="_Toc222029481"/>
      <w:bookmarkStart w:id="6" w:name="_Toc229305341"/>
      <w:bookmarkStart w:id="7" w:name="_Toc144974495"/>
      <w:bookmarkStart w:id="8" w:name="_Toc222032650"/>
    </w:p>
    <w:p w14:paraId="4A3D352F">
      <w:pPr>
        <w:jc w:val="center"/>
        <w:rPr>
          <w:rFonts w:cs="宋体" w:asciiTheme="minorEastAsia" w:hAnsiTheme="minorEastAsia" w:eastAsiaTheme="minorEastAsia"/>
          <w:sz w:val="28"/>
          <w:szCs w:val="28"/>
          <w:u w:val="single"/>
        </w:rPr>
      </w:pPr>
    </w:p>
    <w:p w14:paraId="08979EA5">
      <w:pPr>
        <w:spacing w:line="360" w:lineRule="auto"/>
        <w:jc w:val="center"/>
        <w:rPr>
          <w:rFonts w:cs="宋体" w:asciiTheme="minorEastAsia" w:hAnsiTheme="minorEastAsia" w:eastAsiaTheme="minorEastAsia"/>
          <w:b/>
          <w:bCs/>
          <w:sz w:val="52"/>
          <w:szCs w:val="52"/>
          <w:highlight w:val="none"/>
        </w:rPr>
      </w:pPr>
      <w:r>
        <w:rPr>
          <w:rFonts w:hint="eastAsia" w:asciiTheme="minorEastAsia" w:hAnsiTheme="minorEastAsia" w:eastAsiaTheme="minorEastAsia"/>
          <w:b/>
          <w:bCs/>
          <w:sz w:val="52"/>
          <w:szCs w:val="52"/>
          <w:highlight w:val="none"/>
          <w:lang w:eastAsia="zh-CN"/>
        </w:rPr>
        <w:t>广州市南沙区耕地集中整治试点示范项目（“多田套合”耕地整治项目）</w:t>
      </w:r>
      <w:r>
        <w:rPr>
          <w:rFonts w:hint="eastAsia" w:asciiTheme="minorEastAsia" w:hAnsiTheme="minorEastAsia" w:eastAsiaTheme="minorEastAsia"/>
          <w:b/>
          <w:bCs/>
          <w:sz w:val="52"/>
          <w:szCs w:val="52"/>
          <w:highlight w:val="none"/>
        </w:rPr>
        <w:t>施工总承包</w:t>
      </w:r>
    </w:p>
    <w:p w14:paraId="4183E03D">
      <w:pPr>
        <w:spacing w:line="360" w:lineRule="auto"/>
        <w:jc w:val="center"/>
        <w:rPr>
          <w:rFonts w:cs="宋体" w:asciiTheme="minorEastAsia" w:hAnsiTheme="minorEastAsia" w:eastAsiaTheme="minorEastAsia"/>
          <w:sz w:val="28"/>
          <w:szCs w:val="28"/>
          <w:highlight w:val="none"/>
        </w:rPr>
      </w:pPr>
    </w:p>
    <w:p w14:paraId="02BF480E">
      <w:pPr>
        <w:spacing w:line="360" w:lineRule="auto"/>
        <w:jc w:val="center"/>
        <w:rPr>
          <w:rFonts w:cs="宋体" w:asciiTheme="minorEastAsia" w:hAnsiTheme="minorEastAsia" w:eastAsiaTheme="minorEastAsia"/>
          <w:sz w:val="28"/>
          <w:szCs w:val="28"/>
          <w:highlight w:val="none"/>
        </w:rPr>
      </w:pPr>
    </w:p>
    <w:p w14:paraId="5D65AA94">
      <w:pPr>
        <w:spacing w:line="360" w:lineRule="auto"/>
        <w:jc w:val="center"/>
        <w:rPr>
          <w:rFonts w:cs="宋体" w:asciiTheme="minorEastAsia" w:hAnsiTheme="minorEastAsia" w:eastAsiaTheme="minorEastAsia"/>
          <w:sz w:val="28"/>
          <w:szCs w:val="28"/>
          <w:highlight w:val="none"/>
        </w:rPr>
      </w:pPr>
    </w:p>
    <w:p w14:paraId="7EB99A05">
      <w:pPr>
        <w:spacing w:line="360" w:lineRule="auto"/>
        <w:jc w:val="center"/>
        <w:rPr>
          <w:rFonts w:cs="宋体" w:asciiTheme="minorEastAsia" w:hAnsiTheme="minorEastAsia" w:eastAsiaTheme="minorEastAsia"/>
          <w:b/>
          <w:sz w:val="72"/>
          <w:szCs w:val="72"/>
          <w:highlight w:val="none"/>
        </w:rPr>
      </w:pPr>
      <w:bookmarkStart w:id="9" w:name="_Toc221949913"/>
      <w:r>
        <w:rPr>
          <w:rFonts w:hint="eastAsia" w:cs="宋体" w:asciiTheme="minorEastAsia" w:hAnsiTheme="minorEastAsia" w:eastAsiaTheme="minorEastAsia"/>
          <w:b/>
          <w:sz w:val="72"/>
          <w:szCs w:val="72"/>
          <w:highlight w:val="none"/>
        </w:rPr>
        <w:t>招标公</w:t>
      </w:r>
      <w:bookmarkEnd w:id="9"/>
      <w:r>
        <w:rPr>
          <w:rFonts w:hint="eastAsia" w:cs="宋体" w:asciiTheme="minorEastAsia" w:hAnsiTheme="minorEastAsia" w:eastAsiaTheme="minorEastAsia"/>
          <w:b/>
          <w:sz w:val="72"/>
          <w:szCs w:val="72"/>
          <w:highlight w:val="none"/>
        </w:rPr>
        <w:t>告</w:t>
      </w:r>
    </w:p>
    <w:p w14:paraId="1E95EA15">
      <w:pPr>
        <w:spacing w:line="360" w:lineRule="auto"/>
        <w:jc w:val="center"/>
        <w:rPr>
          <w:rFonts w:cs="宋体" w:asciiTheme="minorEastAsia" w:hAnsiTheme="minorEastAsia" w:eastAsiaTheme="minorEastAsia"/>
          <w:highlight w:val="none"/>
        </w:rPr>
      </w:pPr>
    </w:p>
    <w:p w14:paraId="1F49B867">
      <w:pPr>
        <w:spacing w:line="360" w:lineRule="auto"/>
        <w:ind w:firstLine="2100" w:firstLineChars="750"/>
        <w:rPr>
          <w:rFonts w:cs="宋体" w:asciiTheme="minorEastAsia" w:hAnsiTheme="minorEastAsia" w:eastAsiaTheme="minorEastAsia"/>
          <w:sz w:val="28"/>
          <w:szCs w:val="28"/>
          <w:highlight w:val="none"/>
          <w:u w:val="single"/>
        </w:rPr>
      </w:pPr>
    </w:p>
    <w:p w14:paraId="5552789F">
      <w:pPr>
        <w:pStyle w:val="22"/>
        <w:spacing w:after="0" w:line="360" w:lineRule="auto"/>
        <w:rPr>
          <w:rFonts w:asciiTheme="minorEastAsia" w:hAnsiTheme="minorEastAsia" w:eastAsiaTheme="minorEastAsia"/>
          <w:highlight w:val="none"/>
        </w:rPr>
      </w:pPr>
    </w:p>
    <w:p w14:paraId="28C11BFB">
      <w:pPr>
        <w:spacing w:line="360" w:lineRule="auto"/>
        <w:jc w:val="center"/>
        <w:rPr>
          <w:rFonts w:cs="宋体" w:asciiTheme="minorEastAsia" w:hAnsiTheme="minorEastAsia" w:eastAsiaTheme="minorEastAsia"/>
          <w:highlight w:val="none"/>
        </w:rPr>
      </w:pPr>
    </w:p>
    <w:p w14:paraId="16D904FA">
      <w:pPr>
        <w:spacing w:line="360" w:lineRule="auto"/>
        <w:rPr>
          <w:rFonts w:asciiTheme="minorEastAsia" w:hAnsiTheme="minorEastAsia" w:eastAsiaTheme="minorEastAsia"/>
          <w:highlight w:val="none"/>
        </w:rPr>
      </w:pPr>
    </w:p>
    <w:p w14:paraId="1217A7F7">
      <w:pPr>
        <w:spacing w:line="360" w:lineRule="auto"/>
        <w:rPr>
          <w:rFonts w:asciiTheme="minorEastAsia" w:hAnsiTheme="minorEastAsia" w:eastAsiaTheme="minorEastAsia"/>
          <w:highlight w:val="none"/>
        </w:rPr>
      </w:pPr>
    </w:p>
    <w:p w14:paraId="32394B33">
      <w:pPr>
        <w:spacing w:line="360" w:lineRule="auto"/>
        <w:rPr>
          <w:rFonts w:asciiTheme="minorEastAsia" w:hAnsiTheme="minorEastAsia" w:eastAsiaTheme="minorEastAsia"/>
          <w:highlight w:val="none"/>
        </w:rPr>
      </w:pPr>
    </w:p>
    <w:p w14:paraId="0C5450DB">
      <w:pPr>
        <w:spacing w:line="360" w:lineRule="auto"/>
        <w:rPr>
          <w:rFonts w:asciiTheme="minorEastAsia" w:hAnsiTheme="minorEastAsia" w:eastAsiaTheme="minorEastAsia"/>
          <w:highlight w:val="none"/>
        </w:rPr>
      </w:pPr>
    </w:p>
    <w:p w14:paraId="2F6F43E9">
      <w:pPr>
        <w:spacing w:line="360" w:lineRule="auto"/>
        <w:rPr>
          <w:rFonts w:asciiTheme="minorEastAsia" w:hAnsiTheme="minorEastAsia" w:eastAsiaTheme="minorEastAsia"/>
          <w:highlight w:val="none"/>
        </w:rPr>
      </w:pPr>
    </w:p>
    <w:p w14:paraId="15DA6C8B">
      <w:pPr>
        <w:spacing w:line="360" w:lineRule="auto"/>
        <w:rPr>
          <w:rFonts w:asciiTheme="minorEastAsia" w:hAnsiTheme="minorEastAsia" w:eastAsiaTheme="minorEastAsia"/>
          <w:highlight w:val="none"/>
        </w:rPr>
      </w:pPr>
    </w:p>
    <w:p w14:paraId="3C3FAD03">
      <w:pPr>
        <w:spacing w:line="360" w:lineRule="auto"/>
        <w:rPr>
          <w:rFonts w:asciiTheme="minorEastAsia" w:hAnsiTheme="minorEastAsia" w:eastAsiaTheme="minorEastAsia"/>
          <w:highlight w:val="none"/>
        </w:rPr>
      </w:pPr>
    </w:p>
    <w:p w14:paraId="5A6D9345">
      <w:pPr>
        <w:spacing w:line="360" w:lineRule="auto"/>
        <w:ind w:left="2249" w:hanging="2249" w:hangingChars="700"/>
        <w:rPr>
          <w:rFonts w:hint="eastAsia" w:ascii="宋体" w:hAnsi="宋体" w:eastAsia="宋体"/>
          <w:b/>
          <w:sz w:val="32"/>
          <w:szCs w:val="32"/>
          <w:highlight w:val="none"/>
          <w:u w:val="single"/>
          <w:lang w:eastAsia="zh-CN"/>
        </w:rPr>
      </w:pPr>
      <w:r>
        <w:rPr>
          <w:rFonts w:hint="eastAsia" w:ascii="宋体" w:hAnsi="宋体"/>
          <w:b/>
          <w:sz w:val="32"/>
          <w:szCs w:val="32"/>
          <w:highlight w:val="none"/>
        </w:rPr>
        <w:t>招 标  单 位：</w:t>
      </w:r>
      <w:r>
        <w:rPr>
          <w:rFonts w:hint="eastAsia" w:ascii="宋体" w:hAnsi="宋体"/>
          <w:b/>
          <w:sz w:val="32"/>
          <w:szCs w:val="32"/>
          <w:highlight w:val="none"/>
          <w:u w:val="single"/>
          <w:lang w:eastAsia="zh-CN"/>
        </w:rPr>
        <w:t>广州南沙良田农业发展有限公司</w:t>
      </w:r>
    </w:p>
    <w:p w14:paraId="37F782EE">
      <w:pPr>
        <w:spacing w:line="360" w:lineRule="auto"/>
        <w:rPr>
          <w:rFonts w:hint="eastAsia" w:ascii="宋体" w:hAnsi="宋体" w:eastAsia="宋体"/>
          <w:b/>
          <w:sz w:val="32"/>
          <w:szCs w:val="32"/>
          <w:highlight w:val="none"/>
          <w:u w:val="single"/>
          <w:lang w:eastAsia="zh-CN"/>
        </w:rPr>
      </w:pPr>
      <w:r>
        <w:rPr>
          <w:rFonts w:hint="eastAsia" w:ascii="宋体" w:hAnsi="宋体"/>
          <w:b/>
          <w:sz w:val="32"/>
          <w:szCs w:val="32"/>
          <w:highlight w:val="none"/>
        </w:rPr>
        <w:t>招标代理机构：</w:t>
      </w:r>
      <w:r>
        <w:rPr>
          <w:rFonts w:hint="eastAsia" w:ascii="宋体" w:hAnsi="宋体"/>
          <w:b/>
          <w:sz w:val="32"/>
          <w:szCs w:val="32"/>
          <w:highlight w:val="none"/>
          <w:u w:val="single"/>
          <w:lang w:eastAsia="zh-CN"/>
        </w:rPr>
        <w:t>广州市南粤工程建设监理有限公司</w:t>
      </w:r>
    </w:p>
    <w:p w14:paraId="6A053E96">
      <w:pPr>
        <w:spacing w:line="360" w:lineRule="auto"/>
        <w:rPr>
          <w:rFonts w:cs="宋体" w:asciiTheme="minorEastAsia" w:hAnsiTheme="minorEastAsia" w:eastAsiaTheme="minorEastAsia"/>
          <w:b/>
          <w:sz w:val="28"/>
          <w:szCs w:val="28"/>
          <w:highlight w:val="none"/>
        </w:rPr>
      </w:pPr>
      <w:r>
        <w:rPr>
          <w:rFonts w:hint="eastAsia" w:ascii="宋体" w:hAnsi="宋体"/>
          <w:b/>
          <w:sz w:val="32"/>
          <w:szCs w:val="32"/>
          <w:highlight w:val="none"/>
        </w:rPr>
        <w:t>日        期：</w:t>
      </w:r>
      <w:r>
        <w:rPr>
          <w:rFonts w:hint="eastAsia" w:ascii="宋体" w:hAnsi="宋体"/>
          <w:b/>
          <w:sz w:val="32"/>
          <w:szCs w:val="32"/>
          <w:highlight w:val="none"/>
          <w:u w:val="single"/>
        </w:rPr>
        <w:t>2024年</w:t>
      </w:r>
      <w:r>
        <w:rPr>
          <w:rFonts w:hint="eastAsia" w:ascii="宋体" w:hAnsi="宋体"/>
          <w:b/>
          <w:sz w:val="32"/>
          <w:szCs w:val="32"/>
          <w:highlight w:val="none"/>
          <w:u w:val="single"/>
          <w:lang w:val="en-US" w:eastAsia="zh-CN"/>
        </w:rPr>
        <w:t>8</w:t>
      </w:r>
      <w:r>
        <w:rPr>
          <w:rFonts w:hint="eastAsia" w:ascii="宋体" w:hAnsi="宋体"/>
          <w:b/>
          <w:sz w:val="32"/>
          <w:szCs w:val="32"/>
          <w:highlight w:val="none"/>
          <w:u w:val="single"/>
        </w:rPr>
        <w:t>月</w:t>
      </w:r>
    </w:p>
    <w:p w14:paraId="079B65EB">
      <w:pPr>
        <w:pStyle w:val="9"/>
        <w:jc w:val="center"/>
        <w:rPr>
          <w:rFonts w:cs="宋体" w:asciiTheme="minorEastAsia" w:hAnsiTheme="minorEastAsia" w:eastAsiaTheme="minorEastAsia"/>
          <w:b/>
          <w:snapToGrid w:val="0"/>
          <w:kern w:val="0"/>
          <w:sz w:val="32"/>
          <w:szCs w:val="32"/>
          <w:highlight w:val="none"/>
        </w:rPr>
        <w:sectPr>
          <w:footerReference r:id="rId3" w:type="default"/>
          <w:pgSz w:w="11906" w:h="16838"/>
          <w:pgMar w:top="1440" w:right="1797" w:bottom="1440" w:left="1797" w:header="851" w:footer="992" w:gutter="0"/>
          <w:cols w:space="720" w:num="1"/>
          <w:docGrid w:linePitch="312" w:charSpace="0"/>
        </w:sectPr>
      </w:pPr>
    </w:p>
    <w:p w14:paraId="0CB13062">
      <w:pPr>
        <w:spacing w:line="440" w:lineRule="exact"/>
        <w:jc w:val="center"/>
        <w:rPr>
          <w:rFonts w:hint="eastAsia" w:cs="宋体" w:asciiTheme="minorEastAsia" w:hAnsiTheme="minorEastAsia" w:eastAsiaTheme="minorEastAsia"/>
          <w:b/>
          <w:sz w:val="28"/>
          <w:szCs w:val="28"/>
          <w:highlight w:val="none"/>
        </w:rPr>
      </w:pPr>
      <w:bookmarkStart w:id="10" w:name="_Toc221949921"/>
      <w:r>
        <w:rPr>
          <w:rFonts w:hint="eastAsia" w:cs="宋体" w:asciiTheme="minorEastAsia" w:hAnsiTheme="minorEastAsia" w:eastAsiaTheme="minorEastAsia"/>
          <w:b/>
          <w:sz w:val="28"/>
          <w:szCs w:val="28"/>
          <w:highlight w:val="none"/>
          <w:lang w:eastAsia="zh-CN"/>
        </w:rPr>
        <w:t>广州市南沙区耕地集中整治试点示范项目（“多田套合”耕地整治项目）</w:t>
      </w:r>
      <w:r>
        <w:rPr>
          <w:rFonts w:hint="eastAsia" w:cs="宋体" w:asciiTheme="minorEastAsia" w:hAnsiTheme="minorEastAsia" w:eastAsiaTheme="minorEastAsia"/>
          <w:b/>
          <w:sz w:val="28"/>
          <w:szCs w:val="28"/>
          <w:highlight w:val="none"/>
        </w:rPr>
        <w:t>施工总承包</w:t>
      </w:r>
    </w:p>
    <w:p w14:paraId="616A09A8">
      <w:pPr>
        <w:spacing w:line="440" w:lineRule="exact"/>
        <w:jc w:val="center"/>
        <w:rPr>
          <w:rFonts w:cs="宋体" w:asciiTheme="minorEastAsia" w:hAnsiTheme="minorEastAsia" w:eastAsiaTheme="minorEastAsia"/>
          <w:sz w:val="28"/>
          <w:szCs w:val="28"/>
          <w:highlight w:val="none"/>
        </w:rPr>
      </w:pPr>
      <w:bookmarkStart w:id="171" w:name="_GoBack"/>
      <w:bookmarkEnd w:id="171"/>
      <w:r>
        <w:rPr>
          <w:rFonts w:hint="eastAsia" w:cs="宋体" w:asciiTheme="minorEastAsia" w:hAnsiTheme="minorEastAsia" w:eastAsiaTheme="minorEastAsia"/>
          <w:b/>
          <w:sz w:val="28"/>
          <w:szCs w:val="28"/>
          <w:highlight w:val="none"/>
        </w:rPr>
        <w:t>招标公告</w:t>
      </w:r>
      <w:bookmarkEnd w:id="10"/>
    </w:p>
    <w:p w14:paraId="69CDC521">
      <w:pPr>
        <w:pStyle w:val="19"/>
        <w:spacing w:before="120" w:after="120" w:afterLines="50"/>
        <w:outlineLvl w:val="2"/>
        <w:rPr>
          <w:rFonts w:asciiTheme="minorEastAsia" w:hAnsiTheme="minorEastAsia" w:eastAsiaTheme="minorEastAsia"/>
          <w:highlight w:val="none"/>
        </w:rPr>
      </w:pPr>
      <w:bookmarkStart w:id="11" w:name="_Toc222030965"/>
      <w:bookmarkStart w:id="12" w:name="_Toc168476029"/>
      <w:bookmarkStart w:id="13" w:name="_Toc222032632"/>
      <w:bookmarkStart w:id="14" w:name="_Toc28236"/>
      <w:bookmarkStart w:id="15" w:name="_Toc222033814"/>
      <w:bookmarkStart w:id="16" w:name="_Toc3041"/>
      <w:bookmarkStart w:id="17" w:name="_Toc229305323"/>
      <w:bookmarkStart w:id="18" w:name="_Toc29060"/>
      <w:bookmarkStart w:id="19" w:name="_Toc32316"/>
      <w:bookmarkStart w:id="20" w:name="_Toc387753532"/>
      <w:bookmarkStart w:id="21" w:name="_Toc144974480"/>
      <w:bookmarkStart w:id="22" w:name="_Toc8356"/>
      <w:bookmarkStart w:id="23" w:name="_Toc168475626"/>
      <w:bookmarkStart w:id="24" w:name="_Toc1650171334"/>
      <w:bookmarkStart w:id="25" w:name="_Toc40953892"/>
      <w:bookmarkStart w:id="26" w:name="_Toc221949922"/>
      <w:bookmarkStart w:id="27" w:name="_Toc18551"/>
      <w:bookmarkStart w:id="28" w:name="_Toc222029463"/>
      <w:r>
        <w:rPr>
          <w:rFonts w:hint="eastAsia" w:asciiTheme="minorEastAsia" w:hAnsiTheme="minorEastAsia" w:eastAsiaTheme="minorEastAsia"/>
          <w:highlight w:val="none"/>
        </w:rPr>
        <w:t>1. 招标条件</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54ABE47">
      <w:pPr>
        <w:spacing w:line="400" w:lineRule="exact"/>
        <w:ind w:firstLine="420" w:firstLineChars="200"/>
        <w:rPr>
          <w:rFonts w:cs="宋体" w:asciiTheme="minorEastAsia" w:hAnsiTheme="minorEastAsia" w:eastAsiaTheme="minorEastAsia"/>
          <w:szCs w:val="21"/>
          <w:highlight w:val="none"/>
        </w:rPr>
      </w:pPr>
      <w:bookmarkStart w:id="29" w:name="_Toc221949923"/>
      <w:r>
        <w:rPr>
          <w:rFonts w:hint="eastAsia" w:cs="宋体" w:asciiTheme="minorEastAsia" w:hAnsiTheme="minorEastAsia" w:eastAsiaTheme="minorEastAsia"/>
          <w:szCs w:val="21"/>
          <w:highlight w:val="none"/>
        </w:rPr>
        <w:t>本招标项目</w:t>
      </w:r>
      <w:r>
        <w:rPr>
          <w:rFonts w:hint="eastAsia" w:cs="宋体" w:asciiTheme="minorEastAsia" w:hAnsiTheme="minorEastAsia" w:eastAsiaTheme="minorEastAsia"/>
          <w:szCs w:val="21"/>
          <w:highlight w:val="none"/>
          <w:u w:val="single"/>
          <w:lang w:eastAsia="zh-CN"/>
        </w:rPr>
        <w:t>广州市南沙区耕地集中整治试点示范项目（“多田套合”耕地整治项目）</w:t>
      </w:r>
      <w:r>
        <w:rPr>
          <w:rFonts w:hint="eastAsia" w:cs="宋体" w:asciiTheme="minorEastAsia" w:hAnsiTheme="minorEastAsia" w:eastAsiaTheme="minorEastAsia"/>
          <w:szCs w:val="21"/>
          <w:highlight w:val="none"/>
        </w:rPr>
        <w:t>已由</w:t>
      </w:r>
      <w:r>
        <w:rPr>
          <w:rFonts w:hint="eastAsia" w:cs="宋体" w:asciiTheme="minorEastAsia" w:hAnsiTheme="minorEastAsia" w:eastAsiaTheme="minorEastAsia"/>
          <w:szCs w:val="21"/>
          <w:highlight w:val="none"/>
          <w:u w:val="single"/>
        </w:rPr>
        <w:t xml:space="preserve"> 广东省企业投资项目备案证（项目代码：2407-440115-04-05-890618</w:t>
      </w:r>
      <w:r>
        <w:rPr>
          <w:rFonts w:hint="eastAsia" w:cs="宋体" w:asciiTheme="minorEastAsia" w:hAnsiTheme="minorEastAsia" w:eastAsiaTheme="minorEastAsia"/>
          <w:szCs w:val="21"/>
          <w:highlight w:val="none"/>
          <w:u w:val="single"/>
          <w:lang w:val="en-US" w:eastAsia="zh-CN"/>
        </w:rPr>
        <w:t>)</w:t>
      </w:r>
      <w:r>
        <w:rPr>
          <w:rFonts w:hint="eastAsia" w:cs="宋体" w:asciiTheme="minorEastAsia" w:hAnsiTheme="minorEastAsia" w:eastAsiaTheme="minorEastAsia"/>
          <w:szCs w:val="21"/>
          <w:highlight w:val="none"/>
        </w:rPr>
        <w:t>批准建设，建设资金来自</w:t>
      </w:r>
      <w:r>
        <w:rPr>
          <w:rFonts w:hint="eastAsia" w:cs="宋体" w:asciiTheme="minorEastAsia" w:hAnsiTheme="minorEastAsia" w:eastAsiaTheme="minorEastAsia"/>
          <w:szCs w:val="21"/>
          <w:highlight w:val="none"/>
          <w:lang w:eastAsia="zh-CN"/>
        </w:rPr>
        <w:t>企业</w:t>
      </w:r>
      <w:r>
        <w:rPr>
          <w:rFonts w:hint="eastAsia" w:cs="宋体" w:asciiTheme="minorEastAsia" w:hAnsiTheme="minorEastAsia" w:eastAsiaTheme="minorEastAsia"/>
          <w:szCs w:val="21"/>
          <w:highlight w:val="none"/>
          <w:u w:val="single"/>
        </w:rPr>
        <w:t>自筹资金</w:t>
      </w:r>
      <w:r>
        <w:rPr>
          <w:rFonts w:hint="eastAsia" w:cs="宋体" w:asciiTheme="minorEastAsia" w:hAnsiTheme="minorEastAsia" w:eastAsiaTheme="minorEastAsia"/>
          <w:szCs w:val="21"/>
          <w:highlight w:val="none"/>
        </w:rPr>
        <w:t>，项目出资比例为</w:t>
      </w:r>
      <w:r>
        <w:rPr>
          <w:rFonts w:hint="eastAsia" w:cs="宋体" w:asciiTheme="minorEastAsia" w:hAnsiTheme="minorEastAsia" w:eastAsiaTheme="minorEastAsia"/>
          <w:szCs w:val="21"/>
          <w:highlight w:val="none"/>
          <w:u w:val="single"/>
        </w:rPr>
        <w:t>100%</w:t>
      </w:r>
      <w:r>
        <w:rPr>
          <w:rFonts w:hint="eastAsia" w:cs="宋体" w:asciiTheme="minorEastAsia" w:hAnsiTheme="minorEastAsia" w:eastAsiaTheme="minorEastAsia"/>
          <w:szCs w:val="21"/>
          <w:highlight w:val="none"/>
        </w:rPr>
        <w:t>，招标人为</w:t>
      </w:r>
      <w:r>
        <w:rPr>
          <w:rFonts w:hint="eastAsia" w:cs="宋体" w:asciiTheme="minorEastAsia" w:hAnsiTheme="minorEastAsia" w:eastAsiaTheme="minorEastAsia"/>
          <w:szCs w:val="21"/>
          <w:highlight w:val="none"/>
          <w:u w:val="single"/>
          <w:lang w:eastAsia="zh-CN"/>
        </w:rPr>
        <w:t>广州南沙良田农业发展有限公司</w:t>
      </w:r>
      <w:r>
        <w:rPr>
          <w:rFonts w:hint="eastAsia" w:cs="宋体" w:asciiTheme="minorEastAsia" w:hAnsiTheme="minorEastAsia" w:eastAsiaTheme="minorEastAsia"/>
          <w:szCs w:val="21"/>
          <w:highlight w:val="none"/>
        </w:rPr>
        <w:t>，招标代理机构为</w:t>
      </w:r>
      <w:r>
        <w:rPr>
          <w:rFonts w:hint="eastAsia" w:cs="宋体" w:asciiTheme="minorEastAsia" w:hAnsiTheme="minorEastAsia" w:eastAsiaTheme="minorEastAsia"/>
          <w:szCs w:val="21"/>
          <w:highlight w:val="none"/>
          <w:u w:val="single"/>
          <w:lang w:eastAsia="zh-CN"/>
        </w:rPr>
        <w:t>广州市南粤工程建设监理有限公司</w:t>
      </w:r>
      <w:r>
        <w:rPr>
          <w:rFonts w:hint="eastAsia" w:cs="宋体" w:asciiTheme="minorEastAsia" w:hAnsiTheme="minorEastAsia" w:eastAsiaTheme="minorEastAsia"/>
          <w:szCs w:val="21"/>
          <w:highlight w:val="none"/>
        </w:rPr>
        <w:t>。项目已具备招标条件，现对本项目施工进行公开招标。</w:t>
      </w:r>
      <w:bookmarkEnd w:id="29"/>
    </w:p>
    <w:p w14:paraId="6E4F74F0">
      <w:pPr>
        <w:pStyle w:val="19"/>
        <w:spacing w:before="120" w:after="120" w:afterLines="50"/>
        <w:outlineLvl w:val="2"/>
        <w:rPr>
          <w:rFonts w:asciiTheme="minorEastAsia" w:hAnsiTheme="minorEastAsia" w:eastAsiaTheme="minorEastAsia"/>
          <w:highlight w:val="none"/>
        </w:rPr>
      </w:pPr>
      <w:bookmarkStart w:id="30" w:name="_Toc144974481"/>
      <w:bookmarkStart w:id="31" w:name="_Toc2394"/>
      <w:bookmarkStart w:id="32" w:name="_Toc22303"/>
      <w:bookmarkStart w:id="33" w:name="_Toc229305324"/>
      <w:bookmarkStart w:id="34" w:name="_Toc5380"/>
      <w:bookmarkStart w:id="35" w:name="_Toc221949924"/>
      <w:bookmarkStart w:id="36" w:name="_Toc222030966"/>
      <w:bookmarkStart w:id="37" w:name="_Toc222033815"/>
      <w:bookmarkStart w:id="38" w:name="_Toc23244"/>
      <w:bookmarkStart w:id="39" w:name="_Toc24058"/>
      <w:bookmarkStart w:id="40" w:name="_Toc168475627"/>
      <w:bookmarkStart w:id="41" w:name="_Toc168476030"/>
      <w:bookmarkStart w:id="42" w:name="_Toc387753533"/>
      <w:bookmarkStart w:id="43" w:name="_Toc222032633"/>
      <w:bookmarkStart w:id="44" w:name="_Toc950596501"/>
      <w:bookmarkStart w:id="45" w:name="_Toc9742"/>
      <w:bookmarkStart w:id="46" w:name="_Toc1034972149"/>
      <w:bookmarkStart w:id="47" w:name="_Toc222029464"/>
      <w:r>
        <w:rPr>
          <w:rFonts w:hint="eastAsia" w:asciiTheme="minorEastAsia" w:hAnsiTheme="minorEastAsia" w:eastAsiaTheme="minorEastAsia"/>
          <w:highlight w:val="none"/>
        </w:rPr>
        <w:t>2. 项目概况与招标范围</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35EC8B1">
      <w:pPr>
        <w:spacing w:line="480" w:lineRule="exact"/>
        <w:ind w:firstLine="420" w:firstLineChars="200"/>
        <w:rPr>
          <w:rFonts w:asciiTheme="minorEastAsia" w:hAnsiTheme="minorEastAsia" w:eastAsiaTheme="minorEastAsia"/>
          <w:szCs w:val="21"/>
          <w:highlight w:val="none"/>
        </w:rPr>
      </w:pPr>
      <w:bookmarkStart w:id="48" w:name="_Toc109149738"/>
      <w:r>
        <w:rPr>
          <w:rFonts w:asciiTheme="minorEastAsia" w:hAnsiTheme="minorEastAsia" w:eastAsiaTheme="minorEastAsia"/>
          <w:szCs w:val="21"/>
          <w:highlight w:val="none"/>
        </w:rPr>
        <w:t xml:space="preserve">2.1 </w:t>
      </w:r>
      <w:r>
        <w:rPr>
          <w:rFonts w:hint="eastAsia" w:asciiTheme="minorEastAsia" w:hAnsiTheme="minorEastAsia" w:eastAsiaTheme="minorEastAsia"/>
          <w:szCs w:val="21"/>
          <w:highlight w:val="none"/>
        </w:rPr>
        <w:t>项目概况</w:t>
      </w:r>
      <w:bookmarkEnd w:id="48"/>
    </w:p>
    <w:p w14:paraId="2DD0B1C8">
      <w:pPr>
        <w:spacing w:line="360" w:lineRule="auto"/>
        <w:ind w:firstLine="840" w:firstLineChars="400"/>
        <w:rPr>
          <w:rFonts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建设地点：</w:t>
      </w:r>
      <w:r>
        <w:rPr>
          <w:rFonts w:hint="eastAsia" w:asciiTheme="minorEastAsia" w:hAnsiTheme="minorEastAsia" w:eastAsiaTheme="minorEastAsia"/>
          <w:szCs w:val="21"/>
          <w:highlight w:val="none"/>
          <w:u w:val="single"/>
        </w:rPr>
        <w:t>广州市</w:t>
      </w:r>
      <w:r>
        <w:rPr>
          <w:rFonts w:hint="eastAsia" w:asciiTheme="minorEastAsia" w:hAnsiTheme="minorEastAsia" w:eastAsiaTheme="minorEastAsia"/>
          <w:szCs w:val="21"/>
          <w:highlight w:val="none"/>
          <w:u w:val="single"/>
          <w:lang w:eastAsia="zh-CN"/>
        </w:rPr>
        <w:t>南沙区</w:t>
      </w:r>
      <w:r>
        <w:rPr>
          <w:rFonts w:hint="eastAsia" w:asciiTheme="minorEastAsia" w:hAnsiTheme="minorEastAsia" w:eastAsiaTheme="minorEastAsia"/>
          <w:szCs w:val="21"/>
          <w:highlight w:val="none"/>
          <w:u w:val="single"/>
        </w:rPr>
        <w:t>。</w:t>
      </w:r>
    </w:p>
    <w:p w14:paraId="1DE4821B">
      <w:pPr>
        <w:spacing w:line="360" w:lineRule="auto"/>
        <w:ind w:firstLine="840" w:firstLineChars="400"/>
        <w:rPr>
          <w:rFonts w:hint="eastAsia" w:asciiTheme="minorEastAsia" w:hAnsiTheme="minorEastAsia" w:eastAsiaTheme="minorEastAsia"/>
          <w:szCs w:val="21"/>
          <w:highlight w:val="none"/>
          <w:u w:val="single"/>
        </w:rPr>
      </w:pPr>
      <w:r>
        <w:rPr>
          <w:rFonts w:hint="eastAsia" w:asciiTheme="minorEastAsia" w:hAnsiTheme="minorEastAsia" w:eastAsiaTheme="minorEastAsia"/>
          <w:szCs w:val="21"/>
          <w:highlight w:val="none"/>
        </w:rPr>
        <w:t>建设规模：</w:t>
      </w:r>
      <w:r>
        <w:rPr>
          <w:rFonts w:hint="eastAsia" w:asciiTheme="minorEastAsia" w:hAnsiTheme="minorEastAsia" w:eastAsiaTheme="minorEastAsia"/>
          <w:szCs w:val="21"/>
          <w:highlight w:val="none"/>
          <w:u w:val="single"/>
        </w:rPr>
        <w:t>本项目为农业基础设施建设项目，主要工程建设内容为土地平整工程、土壤改良工程、灌溉与排水工程、田间道路工程、农田防护与生态环境保持工程及其他工程。通过对项目区内耕地进行综合整治，提高田间道路通达度，提供更优质的耕作环境，提高土地利用率和产出率等。项目总投资约为4955.62万元</w:t>
      </w:r>
      <w:r>
        <w:rPr>
          <w:rFonts w:hint="eastAsia" w:ascii="宋体" w:hAnsi="宋体" w:cs="宋体"/>
          <w:color w:val="auto"/>
          <w:szCs w:val="21"/>
          <w:highlight w:val="none"/>
          <w:u w:val="single"/>
        </w:rPr>
        <w:t>（具体以相关资料为准）</w:t>
      </w:r>
      <w:r>
        <w:rPr>
          <w:rFonts w:hint="eastAsia" w:asciiTheme="minorEastAsia" w:hAnsiTheme="minorEastAsia" w:eastAsiaTheme="minorEastAsia"/>
          <w:szCs w:val="21"/>
          <w:highlight w:val="none"/>
          <w:u w:val="single"/>
        </w:rPr>
        <w:t>。</w:t>
      </w:r>
    </w:p>
    <w:p w14:paraId="0392461E">
      <w:pPr>
        <w:pStyle w:val="10"/>
        <w:spacing w:line="360" w:lineRule="auto"/>
        <w:ind w:firstLine="840" w:firstLineChars="400"/>
        <w:rPr>
          <w:highlight w:val="none"/>
          <w:u w:val="single"/>
        </w:rPr>
      </w:pPr>
      <w:r>
        <w:rPr>
          <w:rFonts w:hint="eastAsia" w:ascii="宋体" w:hAnsi="宋体" w:cs="宋体"/>
          <w:color w:val="auto"/>
          <w:szCs w:val="21"/>
          <w:highlight w:val="none"/>
          <w:u w:val="none"/>
        </w:rPr>
        <w:t>项目名称</w:t>
      </w:r>
      <w:r>
        <w:rPr>
          <w:rFonts w:hint="eastAsia" w:ascii="宋体" w:hAnsi="宋体" w:cs="宋体"/>
          <w:color w:val="auto"/>
          <w:szCs w:val="21"/>
          <w:highlight w:val="none"/>
        </w:rPr>
        <w:t>：</w:t>
      </w:r>
      <w:r>
        <w:rPr>
          <w:rFonts w:hint="eastAsia" w:ascii="宋体" w:hAnsi="宋体" w:cs="宋体"/>
          <w:color w:val="auto"/>
          <w:szCs w:val="21"/>
          <w:highlight w:val="none"/>
          <w:u w:val="single"/>
          <w:lang w:eastAsia="zh-CN"/>
        </w:rPr>
        <w:t>广州市南沙区耕地集中整治试点示范项目（“多田套合”耕地整治项目）</w:t>
      </w:r>
      <w:r>
        <w:rPr>
          <w:rFonts w:hint="eastAsia" w:ascii="宋体" w:hAnsi="宋体" w:cs="宋体"/>
          <w:color w:val="auto"/>
          <w:szCs w:val="21"/>
          <w:highlight w:val="none"/>
          <w:u w:val="single"/>
        </w:rPr>
        <w:t>施工总承包</w:t>
      </w:r>
    </w:p>
    <w:p w14:paraId="61DC3DA0">
      <w:pPr>
        <w:spacing w:line="360" w:lineRule="auto"/>
        <w:ind w:firstLine="420" w:firstLineChars="200"/>
        <w:rPr>
          <w:rFonts w:asciiTheme="minorEastAsia" w:hAnsiTheme="minorEastAsia" w:eastAsiaTheme="minorEastAsia"/>
          <w:szCs w:val="21"/>
          <w:highlight w:val="none"/>
        </w:rPr>
      </w:pPr>
      <w:bookmarkStart w:id="49" w:name="_Toc109149739"/>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2 标段划分及各标段招标内容、规模和最高投标限价</w:t>
      </w:r>
      <w:bookmarkEnd w:id="49"/>
    </w:p>
    <w:p w14:paraId="5EF7787A">
      <w:pPr>
        <w:spacing w:line="360" w:lineRule="auto"/>
        <w:ind w:firstLine="840" w:firstLineChars="4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招标</w:t>
      </w:r>
      <w:r>
        <w:rPr>
          <w:rFonts w:hint="eastAsia" w:asciiTheme="minorEastAsia" w:hAnsiTheme="minorEastAsia" w:eastAsiaTheme="minorEastAsia"/>
          <w:szCs w:val="21"/>
          <w:highlight w:val="none"/>
          <w:lang w:eastAsia="zh-CN"/>
        </w:rPr>
        <w:t>范围</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u w:val="single"/>
        </w:rPr>
        <w:t>按招标人提供的招标文件、工程量清单、招标答疑文件、全套施工图纸、设计说明及补充说明</w:t>
      </w:r>
      <w:r>
        <w:rPr>
          <w:rFonts w:hint="eastAsia" w:asciiTheme="minorEastAsia" w:hAnsiTheme="minorEastAsia" w:eastAsiaTheme="minorEastAsia"/>
          <w:szCs w:val="21"/>
          <w:highlight w:val="none"/>
          <w:u w:val="single"/>
          <w:lang w:eastAsia="zh-CN"/>
        </w:rPr>
        <w:t>等资料</w:t>
      </w:r>
      <w:r>
        <w:rPr>
          <w:rFonts w:hint="eastAsia" w:asciiTheme="minorEastAsia" w:hAnsiTheme="minorEastAsia" w:eastAsiaTheme="minorEastAsia"/>
          <w:szCs w:val="21"/>
          <w:highlight w:val="none"/>
          <w:u w:val="single"/>
        </w:rPr>
        <w:t>，承包本工程项目全部施工内容（具体工作内容详见施工设计图纸和工程量清单，如果工程量清单与图纸内容不一致的，以图纸内容为准）。</w:t>
      </w:r>
    </w:p>
    <w:p w14:paraId="15177421">
      <w:pPr>
        <w:spacing w:line="480" w:lineRule="exact"/>
        <w:ind w:firstLine="840" w:firstLineChars="4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标段划分：</w:t>
      </w:r>
      <w:r>
        <w:rPr>
          <w:rFonts w:hint="eastAsia" w:asciiTheme="minorEastAsia" w:hAnsiTheme="minorEastAsia" w:eastAsiaTheme="minorEastAsia"/>
          <w:szCs w:val="21"/>
          <w:highlight w:val="none"/>
          <w:u w:val="single"/>
        </w:rPr>
        <w:t xml:space="preserve">  1  </w:t>
      </w:r>
      <w:r>
        <w:rPr>
          <w:rFonts w:hint="eastAsia" w:asciiTheme="minorEastAsia" w:hAnsiTheme="minorEastAsia" w:eastAsiaTheme="minorEastAsia"/>
          <w:szCs w:val="21"/>
          <w:highlight w:val="none"/>
        </w:rPr>
        <w:t>个标段。</w:t>
      </w:r>
    </w:p>
    <w:p w14:paraId="06E794AD">
      <w:pPr>
        <w:spacing w:line="480" w:lineRule="exact"/>
        <w:ind w:left="420" w:leftChars="200"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计划</w:t>
      </w:r>
      <w:r>
        <w:rPr>
          <w:rFonts w:hint="eastAsia" w:asciiTheme="minorEastAsia" w:hAnsiTheme="minorEastAsia" w:eastAsiaTheme="minorEastAsia"/>
          <w:highlight w:val="none"/>
        </w:rPr>
        <w:t>工期</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u w:val="single"/>
          <w:lang w:eastAsia="zh-CN"/>
        </w:rPr>
        <w:t>2</w:t>
      </w:r>
      <w:r>
        <w:rPr>
          <w:rFonts w:hint="eastAsia" w:asciiTheme="minorEastAsia" w:hAnsiTheme="minorEastAsia" w:eastAsiaTheme="minorEastAsia"/>
          <w:szCs w:val="21"/>
          <w:highlight w:val="none"/>
          <w:u w:val="single"/>
          <w:lang w:val="en-US" w:eastAsia="zh-CN"/>
        </w:rPr>
        <w:t>38</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日历天</w:t>
      </w:r>
      <w:r>
        <w:rPr>
          <w:rFonts w:hint="eastAsia" w:asciiTheme="minorEastAsia" w:hAnsiTheme="minorEastAsia" w:eastAsiaTheme="minorEastAsia"/>
          <w:szCs w:val="21"/>
          <w:highlight w:val="none"/>
          <w:lang w:eastAsia="zh-CN"/>
        </w:rPr>
        <w:t>，</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1月30日之前完成项目范围内的土地平整工程。</w:t>
      </w:r>
    </w:p>
    <w:p w14:paraId="528F72DD">
      <w:pPr>
        <w:spacing w:line="480" w:lineRule="exact"/>
        <w:ind w:firstLine="840" w:firstLineChars="4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最高投标限价：</w:t>
      </w:r>
      <w:r>
        <w:rPr>
          <w:rFonts w:hint="eastAsia" w:asciiTheme="minorEastAsia" w:hAnsiTheme="minorEastAsia" w:eastAsiaTheme="minorEastAsia"/>
          <w:szCs w:val="21"/>
          <w:highlight w:val="none"/>
          <w:u w:val="single"/>
          <w:lang w:val="en-US" w:eastAsia="zh-CN"/>
        </w:rPr>
        <w:t>36,590,922.48</w:t>
      </w:r>
      <w:r>
        <w:rPr>
          <w:rFonts w:hint="eastAsia" w:asciiTheme="minorEastAsia" w:hAnsiTheme="minorEastAsia" w:eastAsiaTheme="minorEastAsia"/>
          <w:szCs w:val="21"/>
          <w:highlight w:val="none"/>
          <w:u w:val="single"/>
        </w:rPr>
        <w:t>元。</w:t>
      </w:r>
    </w:p>
    <w:p w14:paraId="2DBDDD30">
      <w:pPr>
        <w:spacing w:line="480" w:lineRule="exact"/>
        <w:ind w:firstLine="840" w:firstLineChars="4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承包方式：</w:t>
      </w:r>
      <w:r>
        <w:rPr>
          <w:rFonts w:hint="eastAsia" w:asciiTheme="minorEastAsia" w:hAnsiTheme="minorEastAsia" w:eastAsiaTheme="minorEastAsia"/>
          <w:szCs w:val="21"/>
          <w:highlight w:val="none"/>
          <w:u w:val="single"/>
          <w:lang w:eastAsia="zh-CN"/>
        </w:rPr>
        <w:t>综合单价包干</w:t>
      </w:r>
      <w:r>
        <w:rPr>
          <w:rFonts w:hint="eastAsia" w:asciiTheme="minorEastAsia" w:hAnsiTheme="minorEastAsia" w:eastAsiaTheme="minorEastAsia"/>
          <w:szCs w:val="21"/>
          <w:highlight w:val="none"/>
          <w:u w:val="single"/>
        </w:rPr>
        <w:t>。</w:t>
      </w:r>
    </w:p>
    <w:p w14:paraId="52C38576">
      <w:pPr>
        <w:spacing w:line="480" w:lineRule="exact"/>
        <w:ind w:firstLine="420" w:firstLineChars="200"/>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3 其他：</w:t>
      </w:r>
      <w:r>
        <w:rPr>
          <w:rFonts w:hint="eastAsia" w:asciiTheme="minorEastAsia" w:hAnsiTheme="minorEastAsia" w:eastAsiaTheme="minorEastAsia"/>
          <w:szCs w:val="21"/>
          <w:highlight w:val="none"/>
          <w:u w:val="single"/>
        </w:rPr>
        <w:t xml:space="preserve">     /    </w:t>
      </w:r>
      <w:r>
        <w:rPr>
          <w:rFonts w:hint="eastAsia" w:asciiTheme="minorEastAsia" w:hAnsiTheme="minorEastAsia" w:eastAsiaTheme="minorEastAsia"/>
          <w:szCs w:val="21"/>
          <w:highlight w:val="none"/>
        </w:rPr>
        <w:t>。</w:t>
      </w:r>
    </w:p>
    <w:p w14:paraId="5FAD9037">
      <w:pPr>
        <w:pStyle w:val="19"/>
        <w:spacing w:before="120" w:after="120" w:afterLines="50"/>
        <w:outlineLvl w:val="2"/>
        <w:rPr>
          <w:rFonts w:asciiTheme="minorEastAsia" w:hAnsiTheme="minorEastAsia" w:eastAsiaTheme="minorEastAsia"/>
          <w:highlight w:val="none"/>
        </w:rPr>
      </w:pPr>
      <w:bookmarkStart w:id="50" w:name="_Toc222029465"/>
      <w:bookmarkStart w:id="51" w:name="_Toc222030967"/>
      <w:bookmarkStart w:id="52" w:name="_Toc22069"/>
      <w:bookmarkStart w:id="53" w:name="_Toc8497"/>
      <w:bookmarkStart w:id="54" w:name="_Toc6582"/>
      <w:bookmarkStart w:id="55" w:name="_Toc222032634"/>
      <w:bookmarkStart w:id="56" w:name="_Toc22773"/>
      <w:bookmarkStart w:id="57" w:name="_Toc222033816"/>
      <w:bookmarkStart w:id="58" w:name="_Toc229305325"/>
      <w:bookmarkStart w:id="59" w:name="_Toc30667"/>
      <w:bookmarkStart w:id="60" w:name="_Toc283061529"/>
      <w:bookmarkStart w:id="61" w:name="_Toc168475628"/>
      <w:bookmarkStart w:id="62" w:name="_Toc644469185"/>
      <w:bookmarkStart w:id="63" w:name="_Toc15703"/>
      <w:bookmarkStart w:id="64" w:name="_Toc387753534"/>
      <w:bookmarkStart w:id="65" w:name="_Toc144974482"/>
      <w:bookmarkStart w:id="66" w:name="_Toc221949926"/>
      <w:bookmarkStart w:id="67" w:name="_Toc168476031"/>
      <w:r>
        <w:rPr>
          <w:rFonts w:hint="eastAsia" w:asciiTheme="minorEastAsia" w:hAnsiTheme="minorEastAsia" w:eastAsiaTheme="minorEastAsia"/>
          <w:highlight w:val="none"/>
        </w:rPr>
        <w:t>3. 投标人资格要求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4EE4BFC6">
      <w:pPr>
        <w:spacing w:line="480" w:lineRule="exact"/>
        <w:ind w:firstLine="420"/>
        <w:rPr>
          <w:rFonts w:cs="宋体" w:asciiTheme="minorEastAsia" w:hAnsiTheme="minorEastAsia" w:eastAsiaTheme="minorEastAsia"/>
          <w:highlight w:val="none"/>
        </w:rPr>
      </w:pPr>
      <w:bookmarkStart w:id="68" w:name="_Toc221949927"/>
      <w:r>
        <w:rPr>
          <w:rFonts w:hint="eastAsia" w:cs="宋体" w:asciiTheme="minorEastAsia" w:hAnsiTheme="minorEastAsia" w:eastAsiaTheme="minorEastAsia"/>
          <w:highlight w:val="none"/>
        </w:rPr>
        <w:t>3.1投标人参加投标的意思表达清楚，投标人代表被授权有效。</w:t>
      </w:r>
    </w:p>
    <w:p w14:paraId="65B74DBA">
      <w:pPr>
        <w:spacing w:line="480" w:lineRule="exact"/>
        <w:ind w:firstLine="420"/>
        <w:rPr>
          <w:rFonts w:cs="宋体" w:asciiTheme="minorEastAsia" w:hAnsiTheme="minorEastAsia" w:eastAsiaTheme="minorEastAsia"/>
          <w:highlight w:val="none"/>
        </w:rPr>
      </w:pPr>
      <w:r>
        <w:rPr>
          <w:rFonts w:hint="eastAsia" w:cs="宋体" w:asciiTheme="minorEastAsia" w:hAnsiTheme="minorEastAsia" w:eastAsiaTheme="minorEastAsia"/>
          <w:highlight w:val="none"/>
        </w:rPr>
        <w:t>3.2投标人均具有独立法人资格，按国家法律经营。</w:t>
      </w:r>
    </w:p>
    <w:p w14:paraId="62DA4B25">
      <w:pPr>
        <w:spacing w:line="480" w:lineRule="exact"/>
        <w:ind w:firstLine="420"/>
        <w:rPr>
          <w:rFonts w:cs="宋体" w:asciiTheme="minorEastAsia" w:hAnsiTheme="minorEastAsia" w:eastAsiaTheme="minorEastAsia"/>
          <w:highlight w:val="none"/>
        </w:rPr>
      </w:pPr>
      <w:r>
        <w:rPr>
          <w:rFonts w:hint="eastAsia" w:cs="宋体" w:asciiTheme="minorEastAsia" w:hAnsiTheme="minorEastAsia" w:eastAsiaTheme="minorEastAsia"/>
          <w:highlight w:val="none"/>
        </w:rPr>
        <w:t>3.3投标人均持有相关主管部门颁发有效期内的企业资质证书及安全生产许可证。</w:t>
      </w:r>
    </w:p>
    <w:p w14:paraId="0684B25A">
      <w:pPr>
        <w:spacing w:line="480" w:lineRule="exact"/>
        <w:ind w:firstLine="420"/>
        <w:rPr>
          <w:rFonts w:cs="宋体" w:asciiTheme="minorEastAsia" w:hAnsiTheme="minorEastAsia" w:eastAsiaTheme="minorEastAsia"/>
          <w:highlight w:val="none"/>
        </w:rPr>
      </w:pPr>
      <w:r>
        <w:rPr>
          <w:rFonts w:hint="eastAsia" w:cs="宋体" w:asciiTheme="minorEastAsia" w:hAnsiTheme="minorEastAsia" w:eastAsiaTheme="minorEastAsia"/>
          <w:highlight w:val="none"/>
        </w:rPr>
        <w:t>3.4本次招标要求投标人须具备以下资质：</w:t>
      </w:r>
    </w:p>
    <w:p w14:paraId="3E85040D">
      <w:pPr>
        <w:spacing w:line="480" w:lineRule="exact"/>
        <w:ind w:firstLine="42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投标人具有承接本工程所需的</w:t>
      </w:r>
      <w:r>
        <w:rPr>
          <w:rFonts w:hint="eastAsia" w:cs="宋体" w:asciiTheme="minorEastAsia" w:hAnsiTheme="minorEastAsia" w:eastAsiaTheme="minorEastAsia"/>
          <w:highlight w:val="none"/>
          <w:u w:val="single"/>
        </w:rPr>
        <w:t>水利水电工程施工总承包三级或以上</w:t>
      </w:r>
      <w:r>
        <w:rPr>
          <w:rFonts w:hint="eastAsia" w:cs="宋体" w:asciiTheme="minorEastAsia" w:hAnsiTheme="minorEastAsia" w:eastAsiaTheme="minorEastAsia"/>
          <w:highlight w:val="none"/>
        </w:rPr>
        <w:t>级别施工总承包资质</w:t>
      </w:r>
      <w:r>
        <w:rPr>
          <w:rFonts w:hint="eastAsia" w:cs="宋体" w:asciiTheme="minorEastAsia" w:hAnsiTheme="minorEastAsia" w:eastAsiaTheme="minorEastAsia"/>
          <w:highlight w:val="none"/>
          <w:u w:val="single"/>
        </w:rPr>
        <w:t>或根据《住房城乡建设部办公厅关于做好有关建设工程企业资质证书换领和延续工作的通知》（建办市〔2023〕47号）的规定换领的水利水电工程施工总承包二级或以上施工总承包资质；</w:t>
      </w:r>
    </w:p>
    <w:p w14:paraId="7037C998">
      <w:pPr>
        <w:spacing w:line="480" w:lineRule="exact"/>
        <w:ind w:firstLine="42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注：（1）建筑业企业资质内容按照建市[2014]159号文颁布的《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25C777CE">
      <w:pPr>
        <w:spacing w:line="480" w:lineRule="exact"/>
        <w:ind w:firstLine="420"/>
        <w:rPr>
          <w:rFonts w:cs="宋体" w:asciiTheme="minorEastAsia" w:hAnsiTheme="minorEastAsia" w:eastAsiaTheme="minorEastAsia"/>
          <w:highlight w:val="none"/>
        </w:rPr>
      </w:pPr>
      <w:r>
        <w:rPr>
          <w:rFonts w:hint="eastAsia" w:cs="宋体" w:asciiTheme="minorEastAsia" w:hAnsiTheme="minorEastAsia" w:eastAsiaTheme="minorEastAsia"/>
          <w:highlight w:val="none"/>
          <w:u w:val="single"/>
        </w:rPr>
        <w:t>（2）投标人的资质不在有效期内，资质延续手续已通过政府有关部门核准的，投标人需提供经核准延续的相关证明材料；资质延续手续未通过政府有关部门核准的，投标人需提供延续申请的相关证明材料（如“三库一平台”提交申请截图、申请回执等可以证明已经办理核准延续手续的相关证明文件），未能按要求提供相关资料的，视为资质已失效。</w:t>
      </w:r>
    </w:p>
    <w:p w14:paraId="76A119EA">
      <w:pPr>
        <w:spacing w:line="480" w:lineRule="exact"/>
        <w:ind w:firstLine="420"/>
        <w:rPr>
          <w:rFonts w:hint="eastAsia" w:cs="宋体" w:asciiTheme="minorEastAsia" w:hAnsiTheme="minorEastAsia" w:eastAsiaTheme="minorEastAsia"/>
          <w:highlight w:val="none"/>
        </w:rPr>
      </w:pPr>
      <w:r>
        <w:rPr>
          <w:rFonts w:hint="eastAsia" w:cs="宋体" w:asciiTheme="minorEastAsia" w:hAnsiTheme="minorEastAsia" w:eastAsiaTheme="minorEastAsia"/>
          <w:highlight w:val="none"/>
        </w:rPr>
        <w:t>3.5投标人拟担任本项目负责人的人员为：</w:t>
      </w:r>
      <w:r>
        <w:rPr>
          <w:rFonts w:hint="eastAsia" w:cs="宋体" w:asciiTheme="minorEastAsia" w:hAnsiTheme="minorEastAsia" w:eastAsiaTheme="minorEastAsia"/>
          <w:highlight w:val="none"/>
          <w:u w:val="single"/>
        </w:rPr>
        <w:t>水利水电工程</w:t>
      </w:r>
      <w:r>
        <w:rPr>
          <w:rFonts w:hint="eastAsia" w:cs="宋体" w:asciiTheme="minorEastAsia" w:hAnsiTheme="minorEastAsia" w:eastAsiaTheme="minorEastAsia"/>
          <w:highlight w:val="none"/>
        </w:rPr>
        <w:t>专业</w:t>
      </w:r>
      <w:r>
        <w:rPr>
          <w:rFonts w:hint="eastAsia" w:cs="宋体" w:asciiTheme="minorEastAsia" w:hAnsiTheme="minorEastAsia" w:eastAsiaTheme="minorEastAsia"/>
          <w:highlight w:val="none"/>
          <w:u w:val="single"/>
        </w:rPr>
        <w:t xml:space="preserve">  二  </w:t>
      </w:r>
      <w:r>
        <w:rPr>
          <w:rFonts w:hint="eastAsia" w:cs="宋体" w:asciiTheme="minorEastAsia" w:hAnsiTheme="minorEastAsia" w:eastAsiaTheme="minorEastAsia"/>
          <w:highlight w:val="none"/>
        </w:rPr>
        <w:t>级或以上级别的注册建造师；</w:t>
      </w:r>
      <w:r>
        <w:rPr>
          <w:rFonts w:hint="eastAsia" w:cs="宋体" w:asciiTheme="minorEastAsia" w:hAnsiTheme="minorEastAsia" w:eastAsiaTheme="minorEastAsia"/>
          <w:highlight w:val="none"/>
          <w:u w:val="single"/>
        </w:rPr>
        <w:t>同时具备水行政主管部门颁发的有效安全生产考核合格证（</w:t>
      </w:r>
      <w:r>
        <w:rPr>
          <w:rFonts w:cs="宋体" w:asciiTheme="minorEastAsia" w:hAnsiTheme="minorEastAsia" w:eastAsiaTheme="minorEastAsia"/>
          <w:highlight w:val="none"/>
          <w:u w:val="single"/>
        </w:rPr>
        <w:t>B</w:t>
      </w:r>
      <w:r>
        <w:rPr>
          <w:rFonts w:hint="eastAsia" w:cs="宋体" w:asciiTheme="minorEastAsia" w:hAnsiTheme="minorEastAsia" w:eastAsiaTheme="minorEastAsia"/>
          <w:highlight w:val="none"/>
          <w:u w:val="single"/>
        </w:rPr>
        <w:t>类）</w:t>
      </w:r>
      <w:r>
        <w:rPr>
          <w:rFonts w:hint="eastAsia" w:cs="宋体" w:asciiTheme="minorEastAsia" w:hAnsiTheme="minorEastAsia" w:eastAsiaTheme="minorEastAsia"/>
          <w:highlight w:val="none"/>
        </w:rPr>
        <w:t>，且未在其他在建工程项目中担任项目负责人。</w:t>
      </w:r>
    </w:p>
    <w:p w14:paraId="2C798F24">
      <w:pPr>
        <w:spacing w:line="480" w:lineRule="exact"/>
        <w:ind w:firstLine="420"/>
        <w:rPr>
          <w:rFonts w:cs="宋体" w:asciiTheme="minorEastAsia" w:hAnsiTheme="minorEastAsia" w:eastAsiaTheme="minorEastAsia"/>
          <w:highlight w:val="none"/>
          <w:u w:val="single"/>
        </w:rPr>
      </w:pPr>
      <w:r>
        <w:rPr>
          <w:rFonts w:hint="eastAsia" w:eastAsiaTheme="minorEastAsia"/>
          <w:highlight w:val="none"/>
          <w:lang w:val="en-US" w:eastAsia="zh-CN"/>
        </w:rPr>
        <w:t>注：</w:t>
      </w:r>
      <w:r>
        <w:rPr>
          <w:rFonts w:hint="eastAsia" w:cs="宋体" w:asciiTheme="minorEastAsia" w:hAnsiTheme="minorEastAsia" w:eastAsiaTheme="minorEastAsia"/>
          <w:highlight w:val="none"/>
          <w:u w:val="single"/>
        </w:rPr>
        <w:t>（</w:t>
      </w:r>
      <w:r>
        <w:rPr>
          <w:rFonts w:hint="eastAsia" w:cs="宋体" w:asciiTheme="minorEastAsia" w:hAnsiTheme="minorEastAsia" w:eastAsiaTheme="minorEastAsia"/>
          <w:highlight w:val="none"/>
          <w:u w:val="single"/>
          <w:lang w:val="en-US" w:eastAsia="zh-CN"/>
        </w:rPr>
        <w:t>1</w:t>
      </w:r>
      <w:r>
        <w:rPr>
          <w:rFonts w:hint="eastAsia" w:cs="宋体" w:asciiTheme="minorEastAsia" w:hAnsiTheme="minorEastAsia" w:eastAsiaTheme="minorEastAsia"/>
          <w:highlight w:val="none"/>
          <w:u w:val="single"/>
        </w:rPr>
        <w:t>）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安全员不为同一人。</w:t>
      </w:r>
    </w:p>
    <w:p w14:paraId="2F3FF316">
      <w:pPr>
        <w:spacing w:line="480" w:lineRule="exact"/>
        <w:ind w:firstLine="42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w:t>
      </w:r>
      <w:r>
        <w:rPr>
          <w:rFonts w:hint="eastAsia" w:cs="宋体" w:asciiTheme="minorEastAsia" w:hAnsiTheme="minorEastAsia" w:eastAsiaTheme="minorEastAsia"/>
          <w:highlight w:val="none"/>
          <w:u w:val="single"/>
          <w:lang w:val="en-US" w:eastAsia="zh-CN"/>
        </w:rPr>
        <w:t>2</w:t>
      </w:r>
      <w:r>
        <w:rPr>
          <w:rFonts w:hint="eastAsia" w:cs="宋体" w:asciiTheme="minorEastAsia" w:hAnsiTheme="minorEastAsia" w:eastAsiaTheme="minorEastAsia"/>
          <w:highlight w:val="none"/>
          <w:u w:val="single"/>
        </w:rPr>
        <w:t>）根据《住房和城乡建设部办公厅关于全面实行一级建造师电子注册证书的通知》（建办市〔2021〕40号），自2022年1月1日起，一级建造师统一使用电子证书，纸质证书作废，具体操作流程可查阅《住房和城乡建设部一级建造师电子证照申领和使用手册》。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0124C5B">
      <w:pPr>
        <w:spacing w:line="480" w:lineRule="exact"/>
        <w:ind w:firstLine="420"/>
        <w:rPr>
          <w:rFonts w:cs="宋体" w:asciiTheme="minorEastAsia" w:hAnsiTheme="minorEastAsia" w:eastAsiaTheme="minorEastAsia"/>
          <w:highlight w:val="none"/>
        </w:rPr>
      </w:pPr>
      <w:r>
        <w:rPr>
          <w:rFonts w:hint="eastAsia" w:cs="宋体" w:asciiTheme="minorEastAsia" w:hAnsiTheme="minorEastAsia" w:eastAsiaTheme="minorEastAsia"/>
          <w:highlight w:val="none"/>
          <w:u w:val="single"/>
        </w:rPr>
        <w:t>（</w:t>
      </w:r>
      <w:r>
        <w:rPr>
          <w:rFonts w:hint="eastAsia" w:cs="宋体" w:asciiTheme="minorEastAsia" w:hAnsiTheme="minorEastAsia" w:eastAsiaTheme="minorEastAsia"/>
          <w:highlight w:val="none"/>
          <w:u w:val="single"/>
          <w:lang w:val="en-US" w:eastAsia="zh-CN"/>
        </w:rPr>
        <w:t>3</w:t>
      </w:r>
      <w:r>
        <w:rPr>
          <w:rFonts w:hint="eastAsia" w:cs="宋体" w:asciiTheme="minorEastAsia" w:hAnsiTheme="minorEastAsia" w:eastAsiaTheme="minorEastAsia"/>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BD3343C">
      <w:pPr>
        <w:spacing w:line="480" w:lineRule="exact"/>
        <w:ind w:firstLine="420"/>
        <w:rPr>
          <w:rFonts w:cs="宋体" w:asciiTheme="minorEastAsia" w:hAnsiTheme="minorEastAsia" w:eastAsiaTheme="minorEastAsia"/>
          <w:highlight w:val="none"/>
        </w:rPr>
      </w:pPr>
      <w:r>
        <w:rPr>
          <w:rFonts w:hint="eastAsia" w:cs="宋体" w:asciiTheme="minorEastAsia" w:hAnsiTheme="minorEastAsia" w:eastAsiaTheme="minorEastAsia"/>
          <w:highlight w:val="none"/>
        </w:rPr>
        <w:t>3.6</w:t>
      </w:r>
      <w:r>
        <w:rPr>
          <w:rFonts w:hint="eastAsia" w:cs="宋体" w:asciiTheme="minorEastAsia" w:hAnsiTheme="minorEastAsia" w:eastAsiaTheme="minorEastAsia"/>
          <w:highlight w:val="none"/>
          <w:u w:val="single"/>
        </w:rPr>
        <w:t>对投标人拟派专职安全员的要求：专职安全员须具有水行政主管部门颁发安全生产考核合格证（</w:t>
      </w:r>
      <w:r>
        <w:rPr>
          <w:rFonts w:cs="宋体" w:asciiTheme="minorEastAsia" w:hAnsiTheme="minorEastAsia" w:eastAsiaTheme="minorEastAsia"/>
          <w:highlight w:val="none"/>
          <w:u w:val="single"/>
        </w:rPr>
        <w:t>C</w:t>
      </w:r>
      <w:r>
        <w:rPr>
          <w:rFonts w:hint="eastAsia" w:cs="宋体" w:asciiTheme="minorEastAsia" w:hAnsiTheme="minorEastAsia" w:eastAsiaTheme="minorEastAsia"/>
          <w:highlight w:val="none"/>
          <w:u w:val="single"/>
        </w:rPr>
        <w:t>类）。</w:t>
      </w:r>
    </w:p>
    <w:p w14:paraId="451B1AD4">
      <w:pPr>
        <w:spacing w:line="480" w:lineRule="exact"/>
        <w:ind w:firstLine="420"/>
        <w:rPr>
          <w:rFonts w:cs="宋体" w:asciiTheme="minorEastAsia" w:hAnsiTheme="minorEastAsia" w:eastAsiaTheme="minorEastAsia"/>
          <w:highlight w:val="none"/>
          <w:u w:val="single"/>
        </w:rPr>
      </w:pPr>
      <w:r>
        <w:rPr>
          <w:rFonts w:hint="eastAsia" w:cs="宋体" w:asciiTheme="minorEastAsia" w:hAnsiTheme="minorEastAsia" w:eastAsiaTheme="minorEastAsia"/>
          <w:highlight w:val="none"/>
          <w:u w:val="single"/>
        </w:rPr>
        <w:t>注：项目负责人在任职期间不得担任专职安全员，项目专职安全员在任职期间也不得担任项目负责人，项目负责人和安全员不为同一人。</w:t>
      </w:r>
    </w:p>
    <w:p w14:paraId="7F5B53FA">
      <w:pPr>
        <w:spacing w:line="4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3.7</w:t>
      </w:r>
      <w:r>
        <w:rPr>
          <w:rFonts w:hint="eastAsia" w:cs="宋体" w:asciiTheme="minorEastAsia" w:hAnsiTheme="minorEastAsia" w:eastAsiaTheme="minorEastAsia"/>
          <w:szCs w:val="21"/>
          <w:highlight w:val="none"/>
        </w:rPr>
        <w:t>本次招标</w:t>
      </w:r>
      <w:r>
        <w:rPr>
          <w:rFonts w:hint="eastAsia" w:cs="宋体" w:asciiTheme="minorEastAsia" w:hAnsiTheme="minorEastAsia" w:eastAsiaTheme="minorEastAsia"/>
          <w:szCs w:val="21"/>
          <w:highlight w:val="none"/>
          <w:u w:val="single"/>
        </w:rPr>
        <w:t xml:space="preserve"> 不接受 </w:t>
      </w:r>
      <w:r>
        <w:rPr>
          <w:rFonts w:hint="eastAsia" w:cs="宋体" w:asciiTheme="minorEastAsia" w:hAnsiTheme="minorEastAsia" w:eastAsiaTheme="minorEastAsia"/>
          <w:szCs w:val="21"/>
          <w:highlight w:val="none"/>
        </w:rPr>
        <w:t xml:space="preserve">联合体投标。 </w:t>
      </w:r>
    </w:p>
    <w:p w14:paraId="4A773512">
      <w:pPr>
        <w:spacing w:line="480" w:lineRule="exact"/>
        <w:ind w:firstLine="420" w:firstLineChars="200"/>
        <w:rPr>
          <w:rFonts w:hint="eastAsia" w:cs="宋体" w:asciiTheme="minorEastAsia" w:hAnsiTheme="minorEastAsia" w:eastAsiaTheme="minorEastAsia"/>
          <w:highlight w:val="none"/>
          <w:lang w:val="en-US" w:eastAsia="zh-CN"/>
        </w:rPr>
      </w:pPr>
      <w:r>
        <w:rPr>
          <w:rFonts w:hint="eastAsia" w:cs="宋体" w:asciiTheme="minorEastAsia" w:hAnsiTheme="minorEastAsia" w:eastAsiaTheme="minorEastAsia"/>
          <w:highlight w:val="none"/>
        </w:rPr>
        <w:t>3.8信誉要求</w:t>
      </w:r>
      <w:r>
        <w:rPr>
          <w:rFonts w:hint="eastAsia" w:cs="宋体" w:asciiTheme="minorEastAsia" w:hAnsiTheme="minorEastAsia" w:eastAsiaTheme="minorEastAsia"/>
          <w:highlight w:val="none"/>
          <w:lang w:eastAsia="zh-CN"/>
        </w:rPr>
        <w:t>（按投标人提供的《企业信誉声明》评审）</w:t>
      </w:r>
    </w:p>
    <w:p w14:paraId="25FBA416">
      <w:pPr>
        <w:spacing w:line="4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（1）没有被依法暂停或取消投标资格</w:t>
      </w:r>
      <w:r>
        <w:rPr>
          <w:rFonts w:hint="eastAsia" w:cs="宋体" w:asciiTheme="minorEastAsia" w:hAnsiTheme="minorEastAsia" w:eastAsiaTheme="minorEastAsia"/>
          <w:highlight w:val="none"/>
          <w:lang w:eastAsia="zh-CN"/>
        </w:rPr>
        <w:t>的；</w:t>
      </w:r>
      <w:r>
        <w:rPr>
          <w:rFonts w:hint="eastAsia" w:cs="宋体" w:asciiTheme="minorEastAsia" w:hAnsiTheme="minorEastAsia" w:eastAsiaTheme="minorEastAsia"/>
          <w:highlight w:val="none"/>
          <w:u w:val="single"/>
        </w:rPr>
        <w:t>（</w:t>
      </w:r>
      <w:r>
        <w:rPr>
          <w:rFonts w:hint="eastAsia" w:cs="宋体" w:asciiTheme="minorEastAsia" w:hAnsiTheme="minorEastAsia" w:eastAsiaTheme="minorEastAsia"/>
          <w:highlight w:val="none"/>
          <w:u w:val="singl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cs="宋体" w:asciiTheme="minorEastAsia" w:hAnsiTheme="minorEastAsia" w:eastAsiaTheme="minorEastAsia"/>
          <w:highlight w:val="none"/>
          <w:u w:val="single"/>
        </w:rPr>
        <w:t>）</w:t>
      </w:r>
      <w:r>
        <w:rPr>
          <w:rFonts w:hint="eastAsia" w:cs="宋体" w:asciiTheme="minorEastAsia" w:hAnsiTheme="minorEastAsia" w:eastAsiaTheme="minorEastAsia"/>
          <w:highlight w:val="none"/>
        </w:rPr>
        <w:t xml:space="preserve">； </w:t>
      </w:r>
    </w:p>
    <w:p w14:paraId="53EADE3E">
      <w:pPr>
        <w:spacing w:line="4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（2）没有被责令停产停业、暂扣或者吊销许可证、暂扣或者吊销执照</w:t>
      </w:r>
      <w:r>
        <w:rPr>
          <w:rFonts w:hint="eastAsia" w:cs="宋体" w:asciiTheme="minorEastAsia" w:hAnsiTheme="minorEastAsia" w:eastAsiaTheme="minorEastAsia"/>
          <w:highlight w:val="none"/>
          <w:lang w:eastAsia="zh-CN"/>
        </w:rPr>
        <w:t>的</w:t>
      </w:r>
      <w:r>
        <w:rPr>
          <w:rFonts w:hint="eastAsia" w:cs="宋体" w:asciiTheme="minorEastAsia" w:hAnsiTheme="minorEastAsia" w:eastAsiaTheme="minorEastAsia"/>
          <w:highlight w:val="none"/>
        </w:rPr>
        <w:t>；</w:t>
      </w:r>
      <w:r>
        <w:rPr>
          <w:rFonts w:hint="eastAsia" w:cs="宋体" w:asciiTheme="minorEastAsia" w:hAnsiTheme="minorEastAsia" w:eastAsiaTheme="minorEastAsia"/>
          <w:highlight w:val="none"/>
          <w:u w:val="single"/>
        </w:rPr>
        <w:t>（</w:t>
      </w:r>
      <w:r>
        <w:rPr>
          <w:rFonts w:hint="eastAsia" w:cs="宋体" w:asciiTheme="minorEastAsia" w:hAnsiTheme="minorEastAsia" w:eastAsiaTheme="minorEastAsia"/>
          <w:highlight w:val="none"/>
          <w:u w:val="single"/>
          <w:lang w:val="zh-CN"/>
        </w:rPr>
        <w:t>本项事实应当以根据《中华人民共和国行政处罚法》依法作出并已经生效的行政处罚决定为认定依据。</w:t>
      </w:r>
      <w:r>
        <w:rPr>
          <w:rFonts w:hint="eastAsia" w:cs="宋体" w:asciiTheme="minorEastAsia" w:hAnsiTheme="minorEastAsia" w:eastAsiaTheme="minorEastAsia"/>
          <w:highlight w:val="none"/>
          <w:u w:val="single"/>
        </w:rPr>
        <w:t>）</w:t>
      </w:r>
      <w:r>
        <w:rPr>
          <w:rFonts w:hint="eastAsia" w:cs="宋体" w:asciiTheme="minorEastAsia" w:hAnsiTheme="minorEastAsia" w:eastAsiaTheme="minorEastAsia"/>
          <w:highlight w:val="none"/>
        </w:rPr>
        <w:t>；</w:t>
      </w:r>
    </w:p>
    <w:p w14:paraId="074CD676">
      <w:pPr>
        <w:spacing w:line="4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（3）没有进入清算程序，或被宣告破产，或其他丧失履约能力的情形；</w:t>
      </w:r>
    </w:p>
    <w:p w14:paraId="7A8164D0">
      <w:pPr>
        <w:spacing w:line="4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（4）</w:t>
      </w:r>
      <w:r>
        <w:rPr>
          <w:rFonts w:hint="eastAsia" w:cs="宋体" w:asciiTheme="minorEastAsia" w:hAnsiTheme="minorEastAsia" w:eastAsiaTheme="minorEastAsia"/>
          <w:highlight w:val="none"/>
          <w:u w:val="single"/>
        </w:rPr>
        <w:t>在最近三年内</w:t>
      </w:r>
      <w:r>
        <w:rPr>
          <w:rFonts w:hint="eastAsia" w:cs="宋体" w:asciiTheme="minorEastAsia" w:hAnsiTheme="minorEastAsia" w:eastAsiaTheme="minorEastAsia"/>
          <w:highlight w:val="none"/>
          <w:u w:val="single"/>
          <w:lang w:eastAsia="zh-CN"/>
        </w:rPr>
        <w:t>没</w:t>
      </w:r>
      <w:r>
        <w:rPr>
          <w:rFonts w:hint="eastAsia" w:cs="宋体" w:asciiTheme="minorEastAsia" w:hAnsiTheme="minorEastAsia" w:eastAsiaTheme="minorEastAsia"/>
          <w:highlight w:val="none"/>
          <w:u w:val="single"/>
        </w:rPr>
        <w:t>有严重违约或重大工程质量问题的；（</w:t>
      </w:r>
      <w:r>
        <w:rPr>
          <w:rFonts w:hint="eastAsia" w:cs="宋体" w:asciiTheme="minorEastAsia" w:hAnsiTheme="minorEastAsia" w:eastAsiaTheme="minorEastAsia"/>
          <w:highlight w:val="none"/>
          <w:u w:val="single"/>
          <w:lang w:val="zh-CN"/>
        </w:rPr>
        <w:t>“严重违约”事实应当以</w:t>
      </w:r>
      <w:r>
        <w:rPr>
          <w:rFonts w:hint="eastAsia" w:cs="宋体" w:asciiTheme="minorEastAsia" w:hAnsiTheme="minorEastAsia" w:eastAsiaTheme="minorEastAsia"/>
          <w:highlight w:val="none"/>
          <w:u w:val="singl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6BA5BD1">
      <w:pPr>
        <w:spacing w:line="480" w:lineRule="exact"/>
        <w:ind w:firstLine="420" w:firstLineChars="200"/>
        <w:rPr>
          <w:rFonts w:cs="宋体" w:asciiTheme="minorEastAsia" w:hAnsiTheme="minorEastAsia" w:eastAsiaTheme="minorEastAsia"/>
          <w:highlight w:val="none"/>
        </w:rPr>
      </w:pPr>
      <w:r>
        <w:rPr>
          <w:rFonts w:hint="eastAsia" w:cs="宋体" w:asciiTheme="minorEastAsia" w:hAnsiTheme="minorEastAsia" w:eastAsiaTheme="minorEastAsia"/>
          <w:highlight w:val="none"/>
        </w:rPr>
        <w:t>（</w:t>
      </w:r>
      <w:r>
        <w:rPr>
          <w:rFonts w:hint="eastAsia" w:cs="宋体" w:asciiTheme="minorEastAsia" w:hAnsiTheme="minorEastAsia" w:eastAsiaTheme="minorEastAsia"/>
          <w:highlight w:val="none"/>
          <w:lang w:val="en-US" w:eastAsia="zh-CN"/>
        </w:rPr>
        <w:t>5</w:t>
      </w:r>
      <w:r>
        <w:rPr>
          <w:rFonts w:hint="eastAsia" w:cs="宋体" w:asciiTheme="minorEastAsia" w:hAnsiTheme="minorEastAsia" w:eastAsiaTheme="minorEastAsia"/>
          <w:highlight w:val="none"/>
        </w:rPr>
        <w:t>）不存在法律法规或</w:t>
      </w:r>
      <w:r>
        <w:rPr>
          <w:rFonts w:hint="eastAsia" w:cs="宋体" w:asciiTheme="minorEastAsia" w:hAnsiTheme="minorEastAsia" w:eastAsiaTheme="minorEastAsia"/>
          <w:highlight w:val="none"/>
          <w:u w:val="single"/>
        </w:rPr>
        <w:t>招标文件</w:t>
      </w:r>
      <w:r>
        <w:rPr>
          <w:rFonts w:hint="eastAsia" w:cs="宋体" w:asciiTheme="minorEastAsia" w:hAnsiTheme="minorEastAsia" w:eastAsiaTheme="minorEastAsia"/>
          <w:highlight w:val="none"/>
        </w:rPr>
        <w:t>投标人须知前附表第1.4.3（1</w:t>
      </w:r>
      <w:r>
        <w:rPr>
          <w:rFonts w:hint="eastAsia" w:cs="宋体" w:asciiTheme="minorEastAsia" w:hAnsiTheme="minorEastAsia" w:eastAsiaTheme="minorEastAsia"/>
          <w:highlight w:val="none"/>
          <w:lang w:val="en-US" w:eastAsia="zh-CN"/>
        </w:rPr>
        <w:t>6</w:t>
      </w:r>
      <w:r>
        <w:rPr>
          <w:rFonts w:hint="eastAsia" w:cs="宋体" w:asciiTheme="minorEastAsia" w:hAnsiTheme="minorEastAsia" w:eastAsiaTheme="minorEastAsia"/>
          <w:highlight w:val="none"/>
        </w:rPr>
        <w:t>）目规定的不得存在的其他情形。</w:t>
      </w:r>
    </w:p>
    <w:p w14:paraId="706FACE2">
      <w:pPr>
        <w:spacing w:line="48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w:t>
      </w:r>
      <w:r>
        <w:rPr>
          <w:rFonts w:hint="eastAsia" w:cs="宋体" w:asciiTheme="minorEastAsia" w:hAnsiTheme="minorEastAsia" w:eastAsiaTheme="minorEastAsia"/>
          <w:highlight w:val="none"/>
        </w:rPr>
        <w:t>.</w:t>
      </w:r>
      <w:r>
        <w:rPr>
          <w:rFonts w:hint="eastAsia" w:asciiTheme="minorEastAsia" w:hAnsiTheme="minorEastAsia" w:eastAsiaTheme="minorEastAsia"/>
          <w:highlight w:val="none"/>
        </w:rPr>
        <w:t>9资格审查前，投标人须在</w:t>
      </w:r>
      <w:r>
        <w:rPr>
          <w:rFonts w:hint="eastAsia" w:asciiTheme="minorEastAsia" w:hAnsiTheme="minorEastAsia" w:eastAsiaTheme="minorEastAsia"/>
          <w:highlight w:val="none"/>
          <w:u w:val="single"/>
        </w:rPr>
        <w:t>广州交易集团有限公司（广州公共资源交易中心）</w:t>
      </w:r>
      <w:r>
        <w:rPr>
          <w:rFonts w:hint="eastAsia" w:asciiTheme="minorEastAsia" w:hAnsiTheme="minorEastAsia" w:eastAsiaTheme="minorEastAsia"/>
          <w:highlight w:val="none"/>
        </w:rPr>
        <w:t>交易平台完成企业信息登记，及拟担任本工程项目负责人、专职安全员须是本企业信息登记中的在册人员。企业信息登记应按照</w:t>
      </w:r>
      <w:r>
        <w:rPr>
          <w:rFonts w:hint="eastAsia" w:asciiTheme="minorEastAsia" w:hAnsiTheme="minorEastAsia" w:eastAsiaTheme="minorEastAsia"/>
          <w:highlight w:val="none"/>
          <w:u w:val="single"/>
        </w:rPr>
        <w:t>广州交易集团有限公司（广州公共资源交易中心）</w:t>
      </w:r>
      <w:r>
        <w:rPr>
          <w:rFonts w:hint="eastAsia" w:asciiTheme="minorEastAsia" w:hAnsiTheme="minorEastAsia" w:eastAsiaTheme="minorEastAsia"/>
          <w:highlight w:val="none"/>
        </w:rPr>
        <w:t>交易平台关于企业信息登记的相关指南进行操作。详见：</w:t>
      </w:r>
      <w:r>
        <w:rPr>
          <w:rFonts w:hint="eastAsia" w:asciiTheme="minorEastAsia" w:hAnsiTheme="minorEastAsia" w:eastAsiaTheme="minorEastAsia"/>
          <w:highlight w:val="none"/>
          <w:u w:val="single"/>
        </w:rPr>
        <w:t>广州交易集团有限公司（广州公共资源交易中心）网站</w:t>
      </w:r>
      <w:r>
        <w:rPr>
          <w:rFonts w:hint="eastAsia" w:asciiTheme="minorEastAsia" w:hAnsiTheme="minorEastAsia" w:eastAsiaTheme="minorEastAsia"/>
          <w:highlight w:val="none"/>
        </w:rPr>
        <w:t>。</w:t>
      </w:r>
    </w:p>
    <w:p w14:paraId="0D343121">
      <w:pPr>
        <w:spacing w:line="480" w:lineRule="exact"/>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3.10其他</w:t>
      </w:r>
      <w:r>
        <w:rPr>
          <w:rFonts w:asciiTheme="minorEastAsia" w:hAnsiTheme="minorEastAsia" w:eastAsiaTheme="minorEastAsia"/>
          <w:highlight w:val="none"/>
        </w:rPr>
        <w:t>要求：</w:t>
      </w:r>
    </w:p>
    <w:p w14:paraId="4D6E4A7E">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投标人未出现以下情形：与其他投标人的单位负责人为同一人或者存在控股、管理关系的（按投标人提供的《投标人基本情况表》中“关联单位”内容进行评审）。如不同投标申请人出现单位负责人为同一人或者存在控股、管理关系的情形，则相关投标均无效。</w:t>
      </w:r>
    </w:p>
    <w:p w14:paraId="20328D6E">
      <w:pPr>
        <w:spacing w:line="360" w:lineRule="auto"/>
        <w:ind w:firstLine="420" w:firstLineChars="200"/>
        <w:rPr>
          <w:rFonts w:asciiTheme="minorEastAsia" w:hAnsiTheme="minorEastAsia" w:eastAsiaTheme="minorEastAsia"/>
          <w:highlight w:val="none"/>
        </w:rPr>
      </w:pPr>
      <w:r>
        <w:rPr>
          <w:rFonts w:hint="eastAsia" w:ascii="宋体" w:hAnsi="宋体" w:cs="宋体"/>
          <w:color w:val="auto"/>
          <w:highlight w:val="none"/>
          <w:u w:val="single"/>
        </w:rPr>
        <w:t>（2）投标人未被列入拖欠农民工工资失信联合惩戒对象名单。</w:t>
      </w:r>
    </w:p>
    <w:bookmarkEnd w:id="68"/>
    <w:p w14:paraId="6E1DFF12">
      <w:pPr>
        <w:pStyle w:val="19"/>
        <w:spacing w:before="120" w:after="120" w:afterLines="50"/>
        <w:outlineLvl w:val="2"/>
        <w:rPr>
          <w:rFonts w:asciiTheme="minorEastAsia" w:hAnsiTheme="minorEastAsia" w:eastAsiaTheme="minorEastAsia"/>
          <w:highlight w:val="none"/>
        </w:rPr>
      </w:pPr>
      <w:bookmarkStart w:id="69" w:name="_Toc5342"/>
      <w:bookmarkStart w:id="70" w:name="_Toc222032635"/>
      <w:bookmarkStart w:id="71" w:name="_Toc10699"/>
      <w:bookmarkStart w:id="72" w:name="_Toc222030968"/>
      <w:bookmarkStart w:id="73" w:name="_Toc222029466"/>
      <w:bookmarkStart w:id="74" w:name="_Toc899841256"/>
      <w:bookmarkStart w:id="75" w:name="_Toc1544"/>
      <w:bookmarkStart w:id="76" w:name="_Toc387753535"/>
      <w:bookmarkStart w:id="77" w:name="_Toc221949930"/>
      <w:bookmarkStart w:id="78" w:name="_Toc12445"/>
      <w:bookmarkStart w:id="79" w:name="_Toc933282979"/>
      <w:bookmarkStart w:id="80" w:name="_Toc222033817"/>
      <w:bookmarkStart w:id="81" w:name="_Toc229305326"/>
      <w:bookmarkStart w:id="82" w:name="_Toc168475629"/>
      <w:bookmarkStart w:id="83" w:name="_Toc1789"/>
      <w:bookmarkStart w:id="84" w:name="_Toc27249"/>
      <w:bookmarkStart w:id="85" w:name="_Toc144974483"/>
      <w:bookmarkStart w:id="86" w:name="_Toc168476032"/>
      <w:r>
        <w:rPr>
          <w:rFonts w:hint="eastAsia" w:asciiTheme="minorEastAsia" w:hAnsiTheme="minorEastAsia" w:eastAsiaTheme="minorEastAsia"/>
          <w:highlight w:val="none"/>
        </w:rPr>
        <w:t>4. 招标文件的获取</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703F7CD4">
      <w:pPr>
        <w:adjustRightInd w:val="0"/>
        <w:snapToGrid w:val="0"/>
        <w:spacing w:line="360" w:lineRule="auto"/>
        <w:ind w:firstLine="420" w:firstLineChars="200"/>
        <w:rPr>
          <w:rFonts w:cs="宋体" w:asciiTheme="minorEastAsia" w:hAnsiTheme="minorEastAsia" w:eastAsiaTheme="minorEastAsia"/>
          <w:szCs w:val="21"/>
          <w:highlight w:val="none"/>
        </w:rPr>
      </w:pPr>
      <w:bookmarkStart w:id="87" w:name="_Toc221949934"/>
      <w:bookmarkStart w:id="88" w:name="_Toc222033818"/>
      <w:bookmarkStart w:id="89" w:name="_Toc144974484"/>
      <w:bookmarkStart w:id="90" w:name="_Toc229305327"/>
      <w:bookmarkStart w:id="91" w:name="_Toc387753536"/>
      <w:bookmarkStart w:id="92" w:name="_Toc168475630"/>
      <w:bookmarkStart w:id="93" w:name="_Toc168476033"/>
      <w:bookmarkStart w:id="94" w:name="_Toc222032636"/>
      <w:bookmarkStart w:id="95" w:name="_Toc222030969"/>
      <w:bookmarkStart w:id="96" w:name="_Toc222029467"/>
      <w:r>
        <w:rPr>
          <w:rFonts w:hint="eastAsia" w:cs="宋体" w:asciiTheme="minorEastAsia" w:hAnsiTheme="minorEastAsia" w:eastAsiaTheme="minorEastAsia"/>
          <w:szCs w:val="21"/>
          <w:highlight w:val="none"/>
        </w:rPr>
        <w:t>4.1</w:t>
      </w:r>
      <w:r>
        <w:rPr>
          <w:rFonts w:hint="eastAsia" w:asciiTheme="minorEastAsia" w:hAnsiTheme="minorEastAsia" w:eastAsiaTheme="minorEastAsia"/>
          <w:highlight w:val="none"/>
        </w:rPr>
        <w:t>凡有意参加投标者，应当在</w:t>
      </w:r>
      <w:r>
        <w:rPr>
          <w:rFonts w:hint="eastAsia" w:asciiTheme="minorEastAsia" w:hAnsiTheme="minorEastAsia" w:eastAsiaTheme="minorEastAsia"/>
          <w:highlight w:val="none"/>
          <w:u w:val="single"/>
        </w:rPr>
        <w:t>广州交易集团有限公司（广州公共资源交易中心）交易平台</w:t>
      </w:r>
      <w:r>
        <w:rPr>
          <w:rFonts w:hint="eastAsia" w:asciiTheme="minorEastAsia" w:hAnsiTheme="minorEastAsia" w:eastAsiaTheme="minorEastAsia"/>
          <w:highlight w:val="none"/>
        </w:rPr>
        <w:t>（以下简称“电子交易平台”，下同）（网址：</w:t>
      </w:r>
      <w:r>
        <w:rPr>
          <w:rFonts w:asciiTheme="minorEastAsia" w:hAnsiTheme="minorEastAsia" w:eastAsiaTheme="minorEastAsia"/>
          <w:highlight w:val="none"/>
        </w:rPr>
        <w:t>https://www.gzggzy.cn/</w:t>
      </w:r>
      <w:r>
        <w:rPr>
          <w:rFonts w:hint="eastAsia" w:asciiTheme="minorEastAsia" w:hAnsiTheme="minorEastAsia" w:eastAsiaTheme="minorEastAsia"/>
          <w:highlight w:val="none"/>
        </w:rPr>
        <w:t>）进行注册登记，并办理CA数字证书（具体按照交易平台的相关指南进行操作，详见</w:t>
      </w:r>
      <w:r>
        <w:rPr>
          <w:rFonts w:hint="eastAsia" w:asciiTheme="minorEastAsia" w:hAnsiTheme="minorEastAsia" w:eastAsiaTheme="minorEastAsia"/>
          <w:highlight w:val="none"/>
          <w:u w:val="single"/>
        </w:rPr>
        <w:t>广州交易集团有限公司（广州公共资源交易中心）网站</w:t>
      </w:r>
      <w:r>
        <w:rPr>
          <w:rFonts w:hint="eastAsia" w:asciiTheme="minorEastAsia" w:hAnsiTheme="minorEastAsia" w:eastAsiaTheme="minorEastAsia"/>
          <w:highlight w:val="none"/>
        </w:rPr>
        <w:t>）。</w:t>
      </w:r>
    </w:p>
    <w:p w14:paraId="65239C01">
      <w:pPr>
        <w:adjustRightInd w:val="0"/>
        <w:snapToGrid w:val="0"/>
        <w:spacing w:line="360" w:lineRule="auto"/>
        <w:ind w:firstLine="420" w:firstLineChars="200"/>
        <w:rPr>
          <w:rFonts w:asciiTheme="minorEastAsia" w:hAnsiTheme="minorEastAsia" w:eastAsiaTheme="minorEastAsia"/>
          <w:highlight w:val="none"/>
        </w:rPr>
      </w:pPr>
      <w:r>
        <w:rPr>
          <w:rFonts w:hint="eastAsia" w:cs="宋体" w:asciiTheme="minorEastAsia" w:hAnsiTheme="minorEastAsia" w:eastAsiaTheme="minorEastAsia"/>
          <w:szCs w:val="21"/>
          <w:highlight w:val="none"/>
        </w:rPr>
        <w:t>4.2 完成注册登记后，</w:t>
      </w:r>
      <w:r>
        <w:rPr>
          <w:rFonts w:hint="eastAsia" w:cs="宋体" w:asciiTheme="minorEastAsia" w:hAnsiTheme="minorEastAsia" w:eastAsiaTheme="minorEastAsia"/>
          <w:highlight w:val="none"/>
        </w:rPr>
        <w:t>请于</w:t>
      </w:r>
      <w:r>
        <w:rPr>
          <w:rFonts w:hint="eastAsia" w:cs="宋体" w:asciiTheme="minorEastAsia" w:hAnsiTheme="minorEastAsia" w:eastAsiaTheme="minorEastAsia"/>
          <w:highlight w:val="none"/>
          <w:u w:val="single"/>
        </w:rPr>
        <w:t>2024</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u w:val="single"/>
          <w:lang w:val="en-US" w:eastAsia="zh-CN"/>
        </w:rPr>
        <w:t>8</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u w:val="single"/>
          <w:lang w:val="en-US" w:eastAsia="zh-CN"/>
        </w:rPr>
        <w:t>31</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u w:val="single"/>
          <w:lang w:val="en-US" w:eastAsia="zh-CN"/>
        </w:rPr>
        <w:t>00</w:t>
      </w:r>
      <w:r>
        <w:rPr>
          <w:rFonts w:hint="eastAsia" w:cs="宋体" w:asciiTheme="minorEastAsia" w:hAnsiTheme="minorEastAsia" w:eastAsiaTheme="minorEastAsia"/>
          <w:highlight w:val="none"/>
          <w:lang w:val="en-US" w:eastAsia="zh-CN"/>
        </w:rPr>
        <w:t>时</w:t>
      </w:r>
      <w:r>
        <w:rPr>
          <w:rFonts w:hint="eastAsia" w:cs="宋体" w:asciiTheme="minorEastAsia" w:hAnsiTheme="minorEastAsia" w:eastAsiaTheme="minorEastAsia"/>
          <w:highlight w:val="none"/>
          <w:u w:val="single"/>
          <w:lang w:val="en-US" w:eastAsia="zh-CN"/>
        </w:rPr>
        <w:t>00</w:t>
      </w:r>
      <w:r>
        <w:rPr>
          <w:rFonts w:hint="eastAsia" w:cs="宋体" w:asciiTheme="minorEastAsia" w:hAnsiTheme="minorEastAsia" w:eastAsiaTheme="minorEastAsia"/>
          <w:highlight w:val="none"/>
          <w:lang w:val="en-US" w:eastAsia="zh-CN"/>
        </w:rPr>
        <w:t>分</w:t>
      </w:r>
      <w:r>
        <w:rPr>
          <w:rFonts w:hint="eastAsia" w:cs="宋体" w:asciiTheme="minorEastAsia" w:hAnsiTheme="minorEastAsia" w:eastAsiaTheme="minorEastAsia"/>
          <w:highlight w:val="none"/>
        </w:rPr>
        <w:t>至</w:t>
      </w:r>
      <w:r>
        <w:rPr>
          <w:rFonts w:hint="eastAsia" w:cs="宋体" w:asciiTheme="minorEastAsia" w:hAnsiTheme="minorEastAsia" w:eastAsiaTheme="minorEastAsia"/>
          <w:highlight w:val="none"/>
          <w:u w:val="single"/>
        </w:rPr>
        <w:t>2024</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9</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u w:val="single"/>
          <w:lang w:val="en-US" w:eastAsia="zh-CN"/>
        </w:rPr>
        <w:t>23</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u w:val="single"/>
          <w:lang w:val="en-US" w:eastAsia="zh-CN"/>
        </w:rPr>
        <w:t>10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时</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00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分止</w:t>
      </w:r>
      <w:r>
        <w:rPr>
          <w:rFonts w:hint="eastAsia" w:cs="宋体" w:asciiTheme="minorEastAsia" w:hAnsiTheme="minorEastAsia" w:eastAsiaTheme="minorEastAsia"/>
          <w:szCs w:val="21"/>
          <w:highlight w:val="none"/>
        </w:rPr>
        <w:t>（北京时间，下同）</w:t>
      </w:r>
      <w:r>
        <w:rPr>
          <w:rFonts w:hint="eastAsia" w:cs="宋体" w:asciiTheme="minorEastAsia" w:hAnsiTheme="minorEastAsia" w:eastAsiaTheme="minorEastAsia"/>
          <w:highlight w:val="none"/>
        </w:rPr>
        <w:t>，通过互联网使用</w:t>
      </w:r>
      <w:r>
        <w:rPr>
          <w:rFonts w:hint="eastAsia" w:cs="宋体" w:asciiTheme="minorEastAsia" w:hAnsiTheme="minorEastAsia" w:eastAsiaTheme="minorEastAsia"/>
          <w:szCs w:val="21"/>
          <w:highlight w:val="none"/>
        </w:rPr>
        <w:t>CA数字证书</w:t>
      </w:r>
      <w:r>
        <w:rPr>
          <w:rFonts w:hint="eastAsia" w:cs="宋体" w:asciiTheme="minorEastAsia" w:hAnsiTheme="minorEastAsia" w:eastAsiaTheme="minorEastAsia"/>
          <w:highlight w:val="none"/>
        </w:rPr>
        <w:t>登录“电子交易平台”</w:t>
      </w:r>
      <w:r>
        <w:rPr>
          <w:rFonts w:hint="eastAsia" w:cs="宋体" w:asciiTheme="minorEastAsia" w:hAnsiTheme="minorEastAsia" w:eastAsiaTheme="minorEastAsia"/>
          <w:szCs w:val="21"/>
          <w:highlight w:val="none"/>
        </w:rPr>
        <w:t>，在所投标段免费下载招标文件（具体操作按照交易平台的相关指南进行，详见</w:t>
      </w:r>
      <w:r>
        <w:rPr>
          <w:rFonts w:hint="eastAsia" w:asciiTheme="minorEastAsia" w:hAnsiTheme="minorEastAsia" w:eastAsiaTheme="minorEastAsia"/>
          <w:highlight w:val="none"/>
          <w:u w:val="single"/>
        </w:rPr>
        <w:t>广州交易集团有限公司（广州公共资源交易中心）网站</w:t>
      </w:r>
      <w:r>
        <w:rPr>
          <w:rFonts w:hint="eastAsia" w:asciiTheme="minorEastAsia" w:hAnsiTheme="minorEastAsia" w:eastAsiaTheme="minorEastAsia"/>
          <w:highlight w:val="none"/>
        </w:rPr>
        <w:t>）。</w:t>
      </w:r>
      <w:r>
        <w:rPr>
          <w:rFonts w:hint="eastAsia" w:cs="宋体" w:asciiTheme="minorEastAsia" w:hAnsiTheme="minorEastAsia" w:eastAsiaTheme="minorEastAsia"/>
          <w:szCs w:val="21"/>
          <w:highlight w:val="none"/>
        </w:rPr>
        <w:t>未按规定从“电子交易平台”下载招标文件的，</w:t>
      </w:r>
      <w:r>
        <w:rPr>
          <w:rFonts w:hint="eastAsia" w:asciiTheme="minorEastAsia" w:hAnsiTheme="minorEastAsia" w:eastAsiaTheme="minorEastAsia"/>
          <w:highlight w:val="none"/>
        </w:rPr>
        <w:t>招标人（“</w:t>
      </w:r>
      <w:r>
        <w:rPr>
          <w:rFonts w:asciiTheme="minorEastAsia" w:hAnsiTheme="minorEastAsia" w:eastAsiaTheme="minorEastAsia"/>
          <w:highlight w:val="none"/>
        </w:rPr>
        <w:t>电子</w:t>
      </w:r>
      <w:r>
        <w:rPr>
          <w:rFonts w:hint="eastAsia" w:asciiTheme="minorEastAsia" w:hAnsiTheme="minorEastAsia" w:eastAsiaTheme="minorEastAsia"/>
          <w:highlight w:val="none"/>
        </w:rPr>
        <w:t>交易平台”）拒收其投标文件。</w:t>
      </w:r>
    </w:p>
    <w:p w14:paraId="4CA746B2">
      <w:pPr>
        <w:pStyle w:val="19"/>
        <w:spacing w:before="120" w:after="120" w:afterLines="50"/>
        <w:outlineLvl w:val="2"/>
        <w:rPr>
          <w:rFonts w:asciiTheme="minorEastAsia" w:hAnsiTheme="minorEastAsia" w:eastAsiaTheme="minorEastAsia"/>
          <w:highlight w:val="none"/>
        </w:rPr>
      </w:pPr>
      <w:bookmarkStart w:id="97" w:name="_Toc27825"/>
      <w:bookmarkStart w:id="98" w:name="_Toc23646"/>
      <w:bookmarkStart w:id="99" w:name="_Toc7337"/>
      <w:bookmarkStart w:id="100" w:name="_Toc1143022034"/>
      <w:bookmarkStart w:id="101" w:name="_Toc1314950961"/>
      <w:bookmarkStart w:id="102" w:name="_Toc2815"/>
      <w:bookmarkStart w:id="103" w:name="_Toc5300"/>
      <w:bookmarkStart w:id="104" w:name="_Toc21756"/>
      <w:r>
        <w:rPr>
          <w:rFonts w:hint="eastAsia" w:asciiTheme="minorEastAsia" w:hAnsiTheme="minorEastAsia" w:eastAsiaTheme="minorEastAsia"/>
          <w:highlight w:val="none"/>
        </w:rPr>
        <w:t>5. 公告发布日期、递交投标文件时间与开标时间</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4190377F">
      <w:pPr>
        <w:spacing w:line="360" w:lineRule="auto"/>
        <w:rPr>
          <w:rFonts w:asciiTheme="minorEastAsia" w:hAnsiTheme="minorEastAsia" w:eastAsiaTheme="minorEastAsia"/>
          <w:szCs w:val="21"/>
          <w:highlight w:val="none"/>
        </w:rPr>
      </w:pPr>
      <w:bookmarkStart w:id="105" w:name="_Toc221949939"/>
      <w:bookmarkStart w:id="106" w:name="_Toc222030971"/>
      <w:bookmarkStart w:id="107" w:name="_Toc222029469"/>
      <w:bookmarkStart w:id="108" w:name="_Toc387753538"/>
      <w:bookmarkStart w:id="109" w:name="_Toc222033820"/>
      <w:bookmarkStart w:id="110" w:name="_Toc222032638"/>
      <w:bookmarkStart w:id="111" w:name="_Toc229305329"/>
      <w:bookmarkStart w:id="112" w:name="_Toc168475631"/>
      <w:bookmarkStart w:id="113" w:name="_Toc168476034"/>
      <w:r>
        <w:rPr>
          <w:rFonts w:asciiTheme="minorEastAsia" w:hAnsiTheme="minorEastAsia" w:eastAsiaTheme="minorEastAsia"/>
          <w:szCs w:val="21"/>
          <w:highlight w:val="none"/>
        </w:rPr>
        <w:t xml:space="preserve">    5.1</w:t>
      </w:r>
      <w:r>
        <w:rPr>
          <w:rFonts w:hint="eastAsia" w:asciiTheme="minorEastAsia" w:hAnsiTheme="minorEastAsia" w:eastAsiaTheme="minorEastAsia"/>
          <w:szCs w:val="21"/>
          <w:highlight w:val="none"/>
        </w:rPr>
        <w:t>公告发布日期（含本日）：</w:t>
      </w:r>
      <w:r>
        <w:rPr>
          <w:rFonts w:hint="eastAsia" w:cs="宋体" w:asciiTheme="minorEastAsia" w:hAnsiTheme="minorEastAsia" w:eastAsiaTheme="minorEastAsia"/>
          <w:highlight w:val="none"/>
          <w:u w:val="single"/>
        </w:rPr>
        <w:t>2024</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u w:val="single"/>
          <w:lang w:val="en-US" w:eastAsia="zh-CN"/>
        </w:rPr>
        <w:t>8</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u w:val="single"/>
          <w:lang w:val="en-US" w:eastAsia="zh-CN"/>
        </w:rPr>
        <w:t>31</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lang w:val="en-US" w:eastAsia="zh-CN"/>
        </w:rPr>
        <w:t>00时00分</w:t>
      </w:r>
      <w:r>
        <w:rPr>
          <w:rFonts w:hint="eastAsia" w:cs="宋体" w:asciiTheme="minorEastAsia" w:hAnsiTheme="minorEastAsia" w:eastAsiaTheme="minorEastAsia"/>
          <w:highlight w:val="none"/>
        </w:rPr>
        <w:t>至</w:t>
      </w:r>
      <w:r>
        <w:rPr>
          <w:rFonts w:hint="eastAsia" w:cs="宋体" w:asciiTheme="minorEastAsia" w:hAnsiTheme="minorEastAsia" w:eastAsiaTheme="minorEastAsia"/>
          <w:highlight w:val="none"/>
          <w:u w:val="single"/>
        </w:rPr>
        <w:t>2024</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9</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u w:val="single"/>
          <w:lang w:val="en-US" w:eastAsia="zh-CN"/>
        </w:rPr>
        <w:t>23</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u w:val="single"/>
          <w:lang w:val="en-US" w:eastAsia="zh-CN"/>
        </w:rPr>
        <w:t>10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时</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00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分</w:t>
      </w:r>
      <w:r>
        <w:rPr>
          <w:rFonts w:hint="eastAsia" w:asciiTheme="minorEastAsia" w:hAnsiTheme="minorEastAsia" w:eastAsiaTheme="minorEastAsia"/>
          <w:highlight w:val="none"/>
        </w:rPr>
        <w:t>。</w:t>
      </w:r>
      <w:r>
        <w:rPr>
          <w:rFonts w:hint="eastAsia" w:asciiTheme="minorEastAsia" w:hAnsiTheme="minorEastAsia" w:eastAsiaTheme="minorEastAsia"/>
          <w:szCs w:val="21"/>
          <w:highlight w:val="none"/>
        </w:rPr>
        <w:t>凡有意参加投标者，请自行登录电子交易平台网站下载电子招标文件。</w:t>
      </w:r>
    </w:p>
    <w:p w14:paraId="2116A007">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注：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4CAD314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5.2递交投标文件起始时间：</w:t>
      </w:r>
      <w:r>
        <w:rPr>
          <w:rFonts w:hint="eastAsia" w:cs="宋体" w:asciiTheme="minorEastAsia" w:hAnsiTheme="minorEastAsia" w:eastAsiaTheme="minorEastAsia"/>
          <w:highlight w:val="none"/>
          <w:u w:val="single"/>
        </w:rPr>
        <w:t>2024</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u w:val="single"/>
          <w:lang w:val="en-US" w:eastAsia="zh-CN"/>
        </w:rPr>
        <w:t>8</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u w:val="single"/>
          <w:lang w:val="en-US" w:eastAsia="zh-CN"/>
        </w:rPr>
        <w:t>31</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lang w:val="en-US" w:eastAsia="zh-CN"/>
        </w:rPr>
        <w:t>00时00分</w:t>
      </w:r>
      <w:r>
        <w:rPr>
          <w:rFonts w:hint="eastAsia" w:asciiTheme="minorEastAsia" w:hAnsiTheme="minorEastAsia" w:eastAsiaTheme="minorEastAsia"/>
          <w:highlight w:val="none"/>
        </w:rPr>
        <w:t>；</w:t>
      </w:r>
    </w:p>
    <w:p w14:paraId="04DD8407">
      <w:pPr>
        <w:adjustRightInd w:val="0"/>
        <w:snapToGrid w:val="0"/>
        <w:spacing w:line="360" w:lineRule="auto"/>
        <w:ind w:firstLine="2100" w:firstLineChars="1000"/>
        <w:rPr>
          <w:rFonts w:asciiTheme="minorEastAsia" w:hAnsiTheme="minorEastAsia" w:eastAsiaTheme="minorEastAsia"/>
          <w:highlight w:val="none"/>
        </w:rPr>
      </w:pPr>
      <w:r>
        <w:rPr>
          <w:rFonts w:hint="eastAsia" w:asciiTheme="minorEastAsia" w:hAnsiTheme="minorEastAsia" w:eastAsiaTheme="minorEastAsia"/>
          <w:highlight w:val="none"/>
        </w:rPr>
        <w:t>截止时间：</w:t>
      </w:r>
      <w:r>
        <w:rPr>
          <w:rFonts w:hint="eastAsia" w:cs="宋体" w:asciiTheme="minorEastAsia" w:hAnsiTheme="minorEastAsia" w:eastAsiaTheme="minorEastAsia"/>
          <w:highlight w:val="none"/>
          <w:u w:val="single"/>
        </w:rPr>
        <w:t>2024</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9</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u w:val="single"/>
          <w:lang w:val="en-US" w:eastAsia="zh-CN"/>
        </w:rPr>
        <w:t>23</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u w:val="single"/>
          <w:lang w:val="en-US" w:eastAsia="zh-CN"/>
        </w:rPr>
        <w:t>10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时</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00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分</w:t>
      </w:r>
      <w:r>
        <w:rPr>
          <w:rFonts w:hint="eastAsia" w:asciiTheme="minorEastAsia" w:hAnsiTheme="minorEastAsia" w:eastAsiaTheme="minorEastAsia"/>
          <w:highlight w:val="none"/>
        </w:rPr>
        <w:t>。</w:t>
      </w:r>
    </w:p>
    <w:p w14:paraId="0D2F096E">
      <w:pPr>
        <w:adjustRightInd w:val="0"/>
        <w:snapToGrid w:val="0"/>
        <w:spacing w:line="360" w:lineRule="auto"/>
        <w:ind w:firstLine="420" w:firstLineChars="200"/>
        <w:rPr>
          <w:rFonts w:asciiTheme="minorEastAsia" w:hAnsiTheme="minorEastAsia" w:eastAsiaTheme="minorEastAsia"/>
          <w:highlight w:val="none"/>
        </w:rPr>
      </w:pPr>
      <w:r>
        <w:rPr>
          <w:rFonts w:hint="eastAsia" w:asciiTheme="minorEastAsia" w:hAnsiTheme="minorEastAsia" w:eastAsiaTheme="minorEastAsia"/>
          <w:highlight w:val="none"/>
        </w:rPr>
        <w:t>5.3递交投标文件备用光盘时间：</w:t>
      </w:r>
      <w:r>
        <w:rPr>
          <w:rFonts w:hint="eastAsia" w:cs="宋体" w:asciiTheme="minorEastAsia" w:hAnsiTheme="minorEastAsia" w:eastAsiaTheme="minorEastAsia"/>
          <w:highlight w:val="none"/>
          <w:u w:val="single"/>
        </w:rPr>
        <w:t>2024</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9</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u w:val="single"/>
          <w:lang w:val="en-US" w:eastAsia="zh-CN"/>
        </w:rPr>
        <w:t>23</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u w:val="single"/>
          <w:lang w:val="en-US" w:eastAsia="zh-CN"/>
        </w:rPr>
        <w:t>9</w:t>
      </w:r>
      <w:r>
        <w:rPr>
          <w:rFonts w:hint="eastAsia" w:cs="宋体" w:asciiTheme="minorEastAsia" w:hAnsiTheme="minorEastAsia" w:eastAsiaTheme="minorEastAsia"/>
          <w:highlight w:val="none"/>
        </w:rPr>
        <w:t>时</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45</w:t>
      </w:r>
      <w:r>
        <w:rPr>
          <w:rFonts w:hint="eastAsia" w:cs="宋体" w:asciiTheme="minorEastAsia" w:hAnsiTheme="minorEastAsia" w:eastAsiaTheme="minorEastAsia"/>
          <w:highlight w:val="none"/>
        </w:rPr>
        <w:t>分至</w:t>
      </w:r>
      <w:r>
        <w:rPr>
          <w:rFonts w:hint="eastAsia" w:cs="宋体" w:asciiTheme="minorEastAsia" w:hAnsiTheme="minorEastAsia" w:eastAsiaTheme="minorEastAsia"/>
          <w:highlight w:val="none"/>
          <w:u w:val="single"/>
        </w:rPr>
        <w:t>2024</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9</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u w:val="single"/>
          <w:lang w:val="en-US" w:eastAsia="zh-CN"/>
        </w:rPr>
        <w:t>23</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u w:val="single"/>
          <w:lang w:val="en-US" w:eastAsia="zh-CN"/>
        </w:rPr>
        <w:t>10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时</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00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分</w:t>
      </w:r>
      <w:r>
        <w:rPr>
          <w:rFonts w:hint="eastAsia" w:asciiTheme="minorEastAsia" w:hAnsiTheme="minorEastAsia" w:eastAsiaTheme="minorEastAsia"/>
          <w:highlight w:val="none"/>
        </w:rPr>
        <w:t>；递交地点：</w:t>
      </w:r>
      <w:r>
        <w:rPr>
          <w:rFonts w:hint="eastAsia" w:asciiTheme="minorEastAsia" w:hAnsiTheme="minorEastAsia" w:eastAsiaTheme="minorEastAsia"/>
          <w:highlight w:val="none"/>
          <w:u w:val="single"/>
        </w:rPr>
        <w:t xml:space="preserve"> </w:t>
      </w:r>
      <w:r>
        <w:rPr>
          <w:rFonts w:hint="eastAsia" w:ascii="宋体" w:hAnsi="宋体" w:eastAsia="宋体" w:cs="宋体"/>
          <w:color w:val="auto"/>
          <w:szCs w:val="21"/>
          <w:highlight w:val="none"/>
          <w:u w:val="single"/>
        </w:rPr>
        <w:t>本项目具体的招投标活动日程安排及场地安排以广州公共资源交易中心网站公布的为准</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。(建议安排在投标文件截止时间前15分钟至投标文件截止时间）</w:t>
      </w:r>
    </w:p>
    <w:p w14:paraId="2A273D75">
      <w:pPr>
        <w:adjustRightInd w:val="0"/>
        <w:snapToGrid w:val="0"/>
        <w:spacing w:line="360" w:lineRule="auto"/>
        <w:ind w:firstLine="420" w:firstLineChars="200"/>
        <w:rPr>
          <w:rFonts w:cs="宋体" w:asciiTheme="minorEastAsia" w:hAnsiTheme="minorEastAsia" w:eastAsiaTheme="minorEastAsia"/>
          <w:szCs w:val="21"/>
          <w:highlight w:val="none"/>
        </w:rPr>
      </w:pPr>
      <w:r>
        <w:rPr>
          <w:rFonts w:hint="eastAsia" w:asciiTheme="minorEastAsia" w:hAnsiTheme="minorEastAsia" w:eastAsiaTheme="minorEastAsia"/>
          <w:highlight w:val="none"/>
        </w:rPr>
        <w:t>5.4开标开始时间：</w:t>
      </w:r>
      <w:r>
        <w:rPr>
          <w:rFonts w:hint="eastAsia" w:cs="宋体" w:asciiTheme="minorEastAsia" w:hAnsiTheme="minorEastAsia" w:eastAsiaTheme="minorEastAsia"/>
          <w:highlight w:val="none"/>
          <w:u w:val="single"/>
        </w:rPr>
        <w:t>2024</w:t>
      </w:r>
      <w:r>
        <w:rPr>
          <w:rFonts w:hint="eastAsia" w:cs="宋体" w:asciiTheme="minorEastAsia" w:hAnsiTheme="minorEastAsia" w:eastAsiaTheme="minorEastAsia"/>
          <w:highlight w:val="none"/>
        </w:rPr>
        <w:t>年</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9</w:t>
      </w:r>
      <w:r>
        <w:rPr>
          <w:rFonts w:hint="eastAsia" w:cs="宋体" w:asciiTheme="minorEastAsia" w:hAnsiTheme="minorEastAsia" w:eastAsiaTheme="minorEastAsia"/>
          <w:highlight w:val="none"/>
        </w:rPr>
        <w:t>月</w:t>
      </w:r>
      <w:r>
        <w:rPr>
          <w:rFonts w:hint="eastAsia" w:cs="宋体" w:asciiTheme="minorEastAsia" w:hAnsiTheme="minorEastAsia" w:eastAsiaTheme="minorEastAsia"/>
          <w:highlight w:val="none"/>
          <w:u w:val="single"/>
          <w:lang w:val="en-US" w:eastAsia="zh-CN"/>
        </w:rPr>
        <w:t>23</w:t>
      </w:r>
      <w:r>
        <w:rPr>
          <w:rFonts w:hint="eastAsia" w:cs="宋体" w:asciiTheme="minorEastAsia" w:hAnsiTheme="minorEastAsia" w:eastAsiaTheme="minorEastAsia"/>
          <w:highlight w:val="none"/>
        </w:rPr>
        <w:t>日</w:t>
      </w:r>
      <w:r>
        <w:rPr>
          <w:rFonts w:hint="eastAsia" w:cs="宋体" w:asciiTheme="minorEastAsia" w:hAnsiTheme="minorEastAsia" w:eastAsiaTheme="minorEastAsia"/>
          <w:highlight w:val="none"/>
          <w:u w:val="single"/>
          <w:lang w:val="en-US" w:eastAsia="zh-CN"/>
        </w:rPr>
        <w:t>10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时</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u w:val="single"/>
          <w:lang w:val="en-US" w:eastAsia="zh-CN"/>
        </w:rPr>
        <w:t>00</w:t>
      </w:r>
      <w:r>
        <w:rPr>
          <w:rFonts w:hint="eastAsia" w:cs="宋体" w:asciiTheme="minorEastAsia" w:hAnsiTheme="minorEastAsia" w:eastAsiaTheme="minorEastAsia"/>
          <w:highlight w:val="none"/>
          <w:u w:val="single"/>
        </w:rPr>
        <w:t xml:space="preserve"> </w:t>
      </w:r>
      <w:r>
        <w:rPr>
          <w:rFonts w:hint="eastAsia" w:cs="宋体" w:asciiTheme="minorEastAsia" w:hAnsiTheme="minorEastAsia" w:eastAsiaTheme="minorEastAsia"/>
          <w:highlight w:val="none"/>
        </w:rPr>
        <w:t>分；</w:t>
      </w:r>
    </w:p>
    <w:p w14:paraId="043C1E5E">
      <w:pPr>
        <w:spacing w:line="360" w:lineRule="auto"/>
        <w:ind w:firstLine="420"/>
        <w:rPr>
          <w:rFonts w:asciiTheme="minorEastAsia" w:hAnsiTheme="minorEastAsia" w:eastAsiaTheme="minorEastAsia"/>
          <w:szCs w:val="21"/>
          <w:highlight w:val="none"/>
        </w:rPr>
      </w:pPr>
      <w:r>
        <w:rPr>
          <w:rFonts w:asciiTheme="minorEastAsia" w:hAnsiTheme="minorEastAsia" w:eastAsiaTheme="minorEastAsia"/>
          <w:szCs w:val="21"/>
          <w:highlight w:val="none"/>
        </w:rPr>
        <w:t>5.</w:t>
      </w:r>
      <w:r>
        <w:rPr>
          <w:rFonts w:hint="eastAsia" w:asciiTheme="minorEastAsia" w:hAnsiTheme="minorEastAsia" w:eastAsiaTheme="minorEastAsia"/>
          <w:szCs w:val="21"/>
          <w:highlight w:val="none"/>
        </w:rPr>
        <w:t>5递交投标文件截止时间与开标时间是否有变化，请密切留意招标答疑中的相关信息。递交投标文件截止时间后，开标时间因故推迟的，相关评标信息仍以原递交投标文件截止时间的信息为准。</w:t>
      </w:r>
    </w:p>
    <w:p w14:paraId="23FCAA49">
      <w:pPr>
        <w:spacing w:line="360" w:lineRule="auto"/>
        <w:ind w:firstLine="420"/>
        <w:rPr>
          <w:rFonts w:asciiTheme="minorEastAsia" w:hAnsiTheme="minorEastAsia" w:eastAsiaTheme="minorEastAsia"/>
          <w:highlight w:val="none"/>
        </w:rPr>
      </w:pPr>
      <w:r>
        <w:rPr>
          <w:rFonts w:hint="eastAsia" w:asciiTheme="minorEastAsia" w:hAnsiTheme="minorEastAsia" w:eastAsiaTheme="minorEastAsia"/>
          <w:highlight w:val="none"/>
        </w:rPr>
        <w:t>5.6投标人通过电子交易平台递交电子投标文件。投标人应当在投标截止时间前，登录电子交易平台网站办理网上投标登记手续，并</w:t>
      </w:r>
      <w:r>
        <w:rPr>
          <w:rFonts w:asciiTheme="minorEastAsia" w:hAnsiTheme="minorEastAsia" w:eastAsiaTheme="minorEastAsia"/>
          <w:highlight w:val="none"/>
        </w:rPr>
        <w:t>通过</w:t>
      </w:r>
      <w:r>
        <w:rPr>
          <w:rFonts w:hint="eastAsia" w:asciiTheme="minorEastAsia" w:hAnsiTheme="minorEastAsia" w:eastAsiaTheme="minorEastAsia"/>
          <w:highlight w:val="none"/>
        </w:rPr>
        <w:t>互联网</w:t>
      </w:r>
      <w:r>
        <w:rPr>
          <w:rFonts w:asciiTheme="minorEastAsia" w:hAnsiTheme="minorEastAsia" w:eastAsiaTheme="minorEastAsia"/>
          <w:highlight w:val="none"/>
        </w:rPr>
        <w:t>使用</w:t>
      </w:r>
      <w:r>
        <w:rPr>
          <w:rFonts w:hint="eastAsia" w:asciiTheme="minorEastAsia" w:hAnsiTheme="minorEastAsia" w:eastAsiaTheme="minorEastAsia"/>
          <w:highlight w:val="none"/>
        </w:rPr>
        <w:t>CA数字证书登录“电子交易平台”，选择所投标段将</w:t>
      </w:r>
      <w:r>
        <w:rPr>
          <w:rFonts w:hint="eastAsia" w:asciiTheme="minorEastAsia" w:hAnsiTheme="minorEastAsia" w:eastAsiaTheme="minorEastAsia"/>
          <w:b/>
          <w:highlight w:val="none"/>
        </w:rPr>
        <w:t>加密的电子投标文件</w:t>
      </w:r>
      <w:r>
        <w:rPr>
          <w:rFonts w:hint="eastAsia" w:asciiTheme="minorEastAsia" w:hAnsiTheme="minorEastAsia" w:eastAsiaTheme="minorEastAsia"/>
          <w:highlight w:val="none"/>
        </w:rPr>
        <w:t>上传（按照电子交易平台的相关指南进行操作。详见：</w:t>
      </w:r>
      <w:r>
        <w:rPr>
          <w:rFonts w:hint="eastAsia" w:asciiTheme="minorEastAsia" w:hAnsiTheme="minorEastAsia" w:eastAsiaTheme="minorEastAsia"/>
          <w:highlight w:val="none"/>
          <w:u w:val="single"/>
        </w:rPr>
        <w:t>广州交易集团有限公司（广州公共资源交易中心）网站</w:t>
      </w:r>
      <w:r>
        <w:rPr>
          <w:rFonts w:hint="eastAsia" w:asciiTheme="minorEastAsia" w:hAnsiTheme="minorEastAsia" w:eastAsiaTheme="minorEastAsia"/>
          <w:highlight w:val="none"/>
        </w:rPr>
        <w:t>）。投标人完成投标文件上传后，“</w:t>
      </w:r>
      <w:r>
        <w:rPr>
          <w:rFonts w:asciiTheme="minorEastAsia" w:hAnsiTheme="minorEastAsia" w:eastAsiaTheme="minorEastAsia"/>
          <w:highlight w:val="none"/>
        </w:rPr>
        <w:t>电子</w:t>
      </w:r>
      <w:r>
        <w:rPr>
          <w:rFonts w:hint="eastAsia" w:asciiTheme="minorEastAsia" w:hAnsiTheme="minorEastAsia" w:eastAsiaTheme="minorEastAsia"/>
          <w:highlight w:val="none"/>
        </w:rPr>
        <w:t>交易平台”即时向投标人发出</w:t>
      </w:r>
      <w:r>
        <w:rPr>
          <w:rFonts w:asciiTheme="minorEastAsia" w:hAnsiTheme="minorEastAsia" w:eastAsiaTheme="minorEastAsia"/>
          <w:highlight w:val="none"/>
        </w:rPr>
        <w:t>电子签收凭证</w:t>
      </w:r>
      <w:r>
        <w:rPr>
          <w:rFonts w:hint="eastAsia" w:asciiTheme="minorEastAsia" w:hAnsiTheme="minorEastAsia" w:eastAsiaTheme="minorEastAsia"/>
          <w:highlight w:val="none"/>
        </w:rPr>
        <w:t>，递交时间以</w:t>
      </w:r>
      <w:r>
        <w:rPr>
          <w:rFonts w:asciiTheme="minorEastAsia" w:hAnsiTheme="minorEastAsia" w:eastAsiaTheme="minorEastAsia"/>
          <w:highlight w:val="none"/>
        </w:rPr>
        <w:t>电子签收凭证</w:t>
      </w:r>
      <w:r>
        <w:rPr>
          <w:rFonts w:hint="eastAsia" w:asciiTheme="minorEastAsia" w:hAnsiTheme="minorEastAsia" w:eastAsiaTheme="minorEastAsia"/>
          <w:highlight w:val="none"/>
        </w:rPr>
        <w:t>载明的传输完成时间为准。逾</w:t>
      </w:r>
      <w:r>
        <w:rPr>
          <w:rFonts w:asciiTheme="minorEastAsia" w:hAnsiTheme="minorEastAsia" w:eastAsiaTheme="minorEastAsia"/>
          <w:highlight w:val="none"/>
        </w:rPr>
        <w:t>期未完成上传</w:t>
      </w:r>
      <w:r>
        <w:rPr>
          <w:rFonts w:hint="eastAsia" w:asciiTheme="minorEastAsia" w:hAnsiTheme="minorEastAsia" w:eastAsiaTheme="minorEastAsia"/>
          <w:highlight w:val="none"/>
        </w:rPr>
        <w:t>或未加密的</w:t>
      </w:r>
      <w:r>
        <w:rPr>
          <w:rFonts w:asciiTheme="minorEastAsia" w:hAnsiTheme="minorEastAsia" w:eastAsiaTheme="minorEastAsia"/>
          <w:highlight w:val="none"/>
        </w:rPr>
        <w:t>电子</w:t>
      </w:r>
      <w:r>
        <w:rPr>
          <w:rFonts w:hint="eastAsia" w:asciiTheme="minorEastAsia" w:hAnsiTheme="minorEastAsia" w:eastAsiaTheme="minorEastAsia"/>
          <w:highlight w:val="none"/>
        </w:rPr>
        <w:t>投标文件</w:t>
      </w:r>
      <w:r>
        <w:rPr>
          <w:rFonts w:asciiTheme="minorEastAsia" w:hAnsiTheme="minorEastAsia" w:eastAsiaTheme="minorEastAsia"/>
          <w:highlight w:val="none"/>
        </w:rPr>
        <w:t>，招标人</w:t>
      </w:r>
      <w:r>
        <w:rPr>
          <w:rFonts w:hint="eastAsia" w:asciiTheme="minorEastAsia" w:hAnsiTheme="minorEastAsia" w:eastAsiaTheme="minorEastAsia"/>
          <w:highlight w:val="none"/>
        </w:rPr>
        <w:t>（“</w:t>
      </w:r>
      <w:r>
        <w:rPr>
          <w:rFonts w:asciiTheme="minorEastAsia" w:hAnsiTheme="minorEastAsia" w:eastAsiaTheme="minorEastAsia"/>
          <w:highlight w:val="none"/>
        </w:rPr>
        <w:t>电子</w:t>
      </w:r>
      <w:r>
        <w:rPr>
          <w:rFonts w:hint="eastAsia" w:asciiTheme="minorEastAsia" w:hAnsiTheme="minorEastAsia" w:eastAsiaTheme="minorEastAsia"/>
          <w:highlight w:val="none"/>
        </w:rPr>
        <w:t>交易平台”）</w:t>
      </w:r>
      <w:r>
        <w:rPr>
          <w:rFonts w:asciiTheme="minorEastAsia" w:hAnsiTheme="minorEastAsia" w:eastAsiaTheme="minorEastAsia"/>
          <w:highlight w:val="none"/>
        </w:rPr>
        <w:t>将拒收。</w:t>
      </w:r>
    </w:p>
    <w:p w14:paraId="1FED05DD">
      <w:pPr>
        <w:pStyle w:val="19"/>
        <w:spacing w:before="120" w:after="120" w:afterLines="50"/>
        <w:outlineLvl w:val="2"/>
        <w:rPr>
          <w:rFonts w:asciiTheme="minorEastAsia" w:hAnsiTheme="minorEastAsia" w:eastAsiaTheme="minorEastAsia"/>
          <w:highlight w:val="none"/>
        </w:rPr>
      </w:pPr>
      <w:bookmarkStart w:id="114" w:name="_Toc19678"/>
      <w:bookmarkStart w:id="115" w:name="_Toc27692"/>
      <w:bookmarkStart w:id="116" w:name="_Toc103634291"/>
      <w:bookmarkStart w:id="117" w:name="_Toc25079"/>
      <w:bookmarkStart w:id="118" w:name="_Toc1526851159"/>
      <w:bookmarkStart w:id="119" w:name="_Toc1015"/>
      <w:bookmarkStart w:id="120" w:name="_Toc22977"/>
      <w:bookmarkStart w:id="121" w:name="_Toc24380"/>
      <w:r>
        <w:rPr>
          <w:rFonts w:hint="eastAsia" w:asciiTheme="minorEastAsia" w:hAnsiTheme="minorEastAsia" w:eastAsiaTheme="minorEastAsia"/>
          <w:highlight w:val="none"/>
        </w:rPr>
        <w:t>6.投标相关事宜</w:t>
      </w:r>
      <w:bookmarkEnd w:id="114"/>
      <w:bookmarkEnd w:id="115"/>
      <w:bookmarkEnd w:id="116"/>
      <w:bookmarkEnd w:id="117"/>
      <w:bookmarkEnd w:id="118"/>
      <w:bookmarkEnd w:id="119"/>
      <w:bookmarkEnd w:id="120"/>
      <w:bookmarkEnd w:id="121"/>
    </w:p>
    <w:p w14:paraId="17C99B5D">
      <w:pPr>
        <w:spacing w:after="120" w:afterLines="50" w:line="460" w:lineRule="exact"/>
        <w:rPr>
          <w:rFonts w:asciiTheme="minorEastAsia" w:hAnsiTheme="minorEastAsia" w:eastAsiaTheme="minorEastAsia"/>
          <w:highlight w:val="none"/>
        </w:rPr>
      </w:pPr>
      <w:r>
        <w:rPr>
          <w:rFonts w:hint="eastAsia" w:asciiTheme="minorEastAsia" w:hAnsiTheme="minorEastAsia" w:eastAsiaTheme="minorEastAsia"/>
          <w:highlight w:val="none"/>
          <w:u w:val="single"/>
        </w:rPr>
        <w:t xml:space="preserve">      /      </w:t>
      </w:r>
      <w:r>
        <w:rPr>
          <w:rFonts w:hint="eastAsia" w:asciiTheme="minorEastAsia" w:hAnsiTheme="minorEastAsia" w:eastAsiaTheme="minorEastAsia"/>
          <w:highlight w:val="none"/>
        </w:rPr>
        <w:t>。</w:t>
      </w:r>
    </w:p>
    <w:p w14:paraId="7CC2EA46">
      <w:pPr>
        <w:pStyle w:val="19"/>
        <w:spacing w:before="120" w:after="120" w:afterLines="50"/>
        <w:outlineLvl w:val="2"/>
        <w:rPr>
          <w:rFonts w:asciiTheme="minorEastAsia" w:hAnsiTheme="minorEastAsia" w:eastAsiaTheme="minorEastAsia"/>
          <w:highlight w:val="none"/>
        </w:rPr>
      </w:pPr>
      <w:bookmarkStart w:id="122" w:name="_Toc12346225"/>
      <w:bookmarkStart w:id="123" w:name="_Toc8653"/>
      <w:bookmarkStart w:id="124" w:name="_Toc1837295352"/>
      <w:bookmarkStart w:id="125" w:name="_Toc29276"/>
      <w:bookmarkStart w:id="126" w:name="_Toc25148"/>
      <w:bookmarkStart w:id="127" w:name="_Toc11828"/>
      <w:bookmarkStart w:id="128" w:name="_Toc1029"/>
      <w:bookmarkStart w:id="129" w:name="_Toc1763"/>
      <w:r>
        <w:rPr>
          <w:rFonts w:hint="eastAsia" w:asciiTheme="minorEastAsia" w:hAnsiTheme="minorEastAsia" w:eastAsiaTheme="minorEastAsia"/>
          <w:highlight w:val="none"/>
        </w:rPr>
        <w:t>7.资格审查方式评标办法</w:t>
      </w:r>
      <w:bookmarkEnd w:id="122"/>
      <w:bookmarkEnd w:id="123"/>
      <w:bookmarkEnd w:id="124"/>
      <w:bookmarkEnd w:id="125"/>
      <w:bookmarkEnd w:id="126"/>
      <w:bookmarkEnd w:id="127"/>
      <w:bookmarkEnd w:id="128"/>
      <w:bookmarkEnd w:id="129"/>
    </w:p>
    <w:p w14:paraId="6B7A0EEE">
      <w:pPr>
        <w:spacing w:after="120" w:afterLines="50" w:line="460" w:lineRule="exact"/>
        <w:ind w:firstLine="437"/>
        <w:rPr>
          <w:rFonts w:asciiTheme="minorEastAsia" w:hAnsiTheme="minorEastAsia" w:eastAsiaTheme="minorEastAsia"/>
          <w:highlight w:val="none"/>
        </w:rPr>
      </w:pPr>
      <w:r>
        <w:rPr>
          <w:rFonts w:hint="eastAsia" w:asciiTheme="minorEastAsia" w:hAnsiTheme="minorEastAsia" w:eastAsiaTheme="minorEastAsia"/>
          <w:highlight w:val="none"/>
        </w:rPr>
        <w:t>7.1本次招标采用资格后审方式，由评标委员会负责资格审查。资格审查结果将在网站进行公示，公示时间不得少于3日（最后一天须为工作日）。</w:t>
      </w:r>
    </w:p>
    <w:p w14:paraId="6343387E">
      <w:pPr>
        <w:spacing w:after="120" w:afterLines="50" w:line="460" w:lineRule="exact"/>
        <w:ind w:firstLine="437"/>
        <w:rPr>
          <w:rFonts w:asciiTheme="minorEastAsia" w:hAnsiTheme="minorEastAsia" w:eastAsiaTheme="minorEastAsia"/>
          <w:highlight w:val="none"/>
        </w:rPr>
      </w:pPr>
      <w:r>
        <w:rPr>
          <w:rFonts w:hint="eastAsia" w:asciiTheme="minorEastAsia" w:hAnsiTheme="minorEastAsia" w:eastAsiaTheme="minorEastAsia"/>
          <w:highlight w:val="none"/>
        </w:rPr>
        <w:t>满足资格审查合格条件的投标人不足3名或通过有效性审查的投标人不足3名时为招标失败。招标人分析招标失败原因，修正招标方案，报有关管理部门核准后，重新组织招标。</w:t>
      </w:r>
    </w:p>
    <w:p w14:paraId="016A1651">
      <w:pPr>
        <w:spacing w:after="120" w:afterLines="50" w:line="460" w:lineRule="exact"/>
        <w:ind w:firstLine="437"/>
        <w:rPr>
          <w:rFonts w:asciiTheme="minorEastAsia" w:hAnsiTheme="minorEastAsia" w:eastAsiaTheme="minorEastAsia"/>
          <w:highlight w:val="none"/>
        </w:rPr>
      </w:pPr>
      <w:r>
        <w:rPr>
          <w:rFonts w:hint="eastAsia" w:asciiTheme="minorEastAsia" w:hAnsiTheme="minorEastAsia" w:eastAsiaTheme="minorEastAsia"/>
          <w:highlight w:val="none"/>
        </w:rPr>
        <w:t>7.2本次招标评标办法采用综合评分法。</w:t>
      </w:r>
    </w:p>
    <w:p w14:paraId="2D1F0C5C">
      <w:pPr>
        <w:pStyle w:val="19"/>
        <w:spacing w:before="120" w:after="120" w:afterLines="50"/>
        <w:outlineLvl w:val="2"/>
        <w:rPr>
          <w:rFonts w:asciiTheme="minorEastAsia" w:hAnsiTheme="minorEastAsia" w:eastAsiaTheme="minorEastAsia"/>
          <w:highlight w:val="none"/>
        </w:rPr>
      </w:pPr>
      <w:bookmarkStart w:id="130" w:name="_Toc3352"/>
      <w:bookmarkStart w:id="131" w:name="_Toc1298211293"/>
      <w:bookmarkStart w:id="132" w:name="_Toc24057"/>
      <w:bookmarkStart w:id="133" w:name="_Toc12949"/>
      <w:bookmarkStart w:id="134" w:name="_Toc4594"/>
      <w:bookmarkStart w:id="135" w:name="_Toc1170"/>
      <w:bookmarkStart w:id="136" w:name="_Toc30310"/>
      <w:bookmarkStart w:id="137" w:name="_Toc317831565"/>
      <w:r>
        <w:rPr>
          <w:rFonts w:hint="eastAsia" w:asciiTheme="minorEastAsia" w:hAnsiTheme="minorEastAsia" w:eastAsiaTheme="minorEastAsia"/>
          <w:highlight w:val="none"/>
        </w:rPr>
        <w:t>8. 发布公告的媒介</w:t>
      </w:r>
      <w:bookmarkEnd w:id="105"/>
      <w:bookmarkEnd w:id="106"/>
      <w:bookmarkEnd w:id="107"/>
      <w:bookmarkEnd w:id="108"/>
      <w:bookmarkEnd w:id="109"/>
      <w:bookmarkEnd w:id="110"/>
      <w:bookmarkEnd w:id="111"/>
      <w:bookmarkEnd w:id="112"/>
      <w:bookmarkEnd w:id="113"/>
      <w:bookmarkEnd w:id="130"/>
      <w:bookmarkEnd w:id="131"/>
      <w:bookmarkEnd w:id="132"/>
      <w:bookmarkEnd w:id="133"/>
      <w:bookmarkEnd w:id="134"/>
      <w:bookmarkEnd w:id="135"/>
      <w:bookmarkEnd w:id="136"/>
      <w:bookmarkEnd w:id="137"/>
    </w:p>
    <w:p w14:paraId="0046B0D8">
      <w:pPr>
        <w:spacing w:line="440" w:lineRule="exact"/>
        <w:ind w:firstLine="437"/>
        <w:rPr>
          <w:rFonts w:asciiTheme="minorEastAsia" w:hAnsiTheme="minorEastAsia" w:eastAsiaTheme="minorEastAsia"/>
          <w:highlight w:val="none"/>
        </w:rPr>
      </w:pPr>
      <w:bookmarkStart w:id="138" w:name="_Toc144974485"/>
      <w:bookmarkStart w:id="139" w:name="_Toc222029470"/>
      <w:bookmarkStart w:id="140" w:name="_Toc222033821"/>
      <w:bookmarkStart w:id="141" w:name="_Toc387753539"/>
      <w:bookmarkStart w:id="142" w:name="_Toc222032639"/>
      <w:bookmarkStart w:id="143" w:name="_Toc168475632"/>
      <w:bookmarkStart w:id="144" w:name="_Toc222030972"/>
      <w:bookmarkStart w:id="145" w:name="_Toc168476035"/>
      <w:bookmarkStart w:id="146" w:name="_Toc229305330"/>
      <w:bookmarkStart w:id="147" w:name="_Toc221949941"/>
      <w:r>
        <w:rPr>
          <w:rFonts w:hint="eastAsia" w:asciiTheme="minorEastAsia" w:hAnsiTheme="minorEastAsia" w:eastAsiaTheme="minorEastAsia"/>
          <w:highlight w:val="none"/>
        </w:rPr>
        <w:t>本次招标公告同时在</w:t>
      </w:r>
      <w:r>
        <w:rPr>
          <w:rFonts w:hint="eastAsia" w:asciiTheme="minorEastAsia" w:hAnsiTheme="minorEastAsia" w:eastAsiaTheme="minorEastAsia"/>
          <w:highlight w:val="none"/>
          <w:u w:val="single"/>
        </w:rPr>
        <w:t>广州交易集团有限公司（广州公共资源交易中心）交易平台（网址：</w:t>
      </w:r>
      <w:r>
        <w:rPr>
          <w:rFonts w:asciiTheme="minorEastAsia" w:hAnsiTheme="minorEastAsia" w:eastAsiaTheme="minorEastAsia"/>
          <w:highlight w:val="none"/>
          <w:u w:val="single"/>
        </w:rPr>
        <w:t>https://www.gzggzy.cn/</w:t>
      </w:r>
      <w:r>
        <w:rPr>
          <w:rFonts w:hint="eastAsia" w:asciiTheme="minorEastAsia" w:hAnsiTheme="minorEastAsia" w:eastAsiaTheme="minorEastAsia"/>
          <w:highlight w:val="none"/>
          <w:u w:val="single"/>
        </w:rPr>
        <w:t>）</w:t>
      </w:r>
      <w:r>
        <w:rPr>
          <w:rFonts w:hint="eastAsia" w:asciiTheme="minorEastAsia" w:hAnsiTheme="minorEastAsia" w:eastAsiaTheme="minorEastAsia"/>
          <w:highlight w:val="none"/>
        </w:rPr>
        <w:t>、广东省招标投标监管网（网址：http://zbtb.gd.gov.cn/）和中国招标投标公共服务平台（网址：http://www.cebpubservice.com/） (发布公告的媒介名称)上发布。本公告的修改、补充，在</w:t>
      </w:r>
      <w:r>
        <w:rPr>
          <w:rFonts w:hint="eastAsia" w:asciiTheme="minorEastAsia" w:hAnsiTheme="minorEastAsia" w:eastAsiaTheme="minorEastAsia"/>
          <w:highlight w:val="none"/>
          <w:u w:val="single"/>
        </w:rPr>
        <w:t>广州交易集团有限公司（广州公共资源交易中心）交易平台</w:t>
      </w:r>
      <w:r>
        <w:rPr>
          <w:rFonts w:hint="eastAsia" w:asciiTheme="minorEastAsia" w:hAnsiTheme="minorEastAsia" w:eastAsiaTheme="minorEastAsia"/>
          <w:highlight w:val="none"/>
        </w:rPr>
        <w:t>发布。本公告在各媒体发布的文本如有不同之处，以在</w:t>
      </w:r>
      <w:r>
        <w:rPr>
          <w:rFonts w:hint="eastAsia" w:asciiTheme="minorEastAsia" w:hAnsiTheme="minorEastAsia" w:eastAsiaTheme="minorEastAsia"/>
          <w:highlight w:val="none"/>
          <w:u w:val="single"/>
        </w:rPr>
        <w:t>广州交易集团有限公司（广州公共资源交易中心）交易平台</w:t>
      </w:r>
      <w:r>
        <w:rPr>
          <w:rFonts w:hint="eastAsia" w:asciiTheme="minorEastAsia" w:hAnsiTheme="minorEastAsia" w:eastAsiaTheme="minorEastAsia"/>
          <w:highlight w:val="none"/>
        </w:rPr>
        <w:t>发布的文本为准。</w:t>
      </w:r>
    </w:p>
    <w:p w14:paraId="09D21DCA">
      <w:pPr>
        <w:pStyle w:val="19"/>
        <w:numPr>
          <w:ilvl w:val="0"/>
          <w:numId w:val="1"/>
        </w:numPr>
        <w:spacing w:before="120" w:after="120" w:afterLines="50"/>
        <w:outlineLvl w:val="2"/>
        <w:rPr>
          <w:rFonts w:asciiTheme="minorEastAsia" w:hAnsiTheme="minorEastAsia" w:eastAsiaTheme="minorEastAsia"/>
          <w:highlight w:val="none"/>
        </w:rPr>
      </w:pPr>
      <w:bookmarkStart w:id="148" w:name="_Toc9917"/>
      <w:bookmarkStart w:id="149" w:name="_Toc822"/>
      <w:bookmarkStart w:id="150" w:name="_Toc28940"/>
      <w:bookmarkStart w:id="151" w:name="_Toc1407589433"/>
      <w:bookmarkStart w:id="152" w:name="_Toc15125"/>
      <w:bookmarkStart w:id="153" w:name="_Toc13503"/>
      <w:bookmarkStart w:id="154" w:name="_Toc21076"/>
      <w:bookmarkStart w:id="155" w:name="_Toc1370083816"/>
      <w:r>
        <w:rPr>
          <w:rFonts w:hint="eastAsia" w:asciiTheme="minorEastAsia" w:hAnsiTheme="minorEastAsia" w:eastAsiaTheme="minorEastAsia"/>
          <w:highlight w:val="none"/>
        </w:rPr>
        <w:t>异议方式</w:t>
      </w:r>
      <w:bookmarkEnd w:id="148"/>
    </w:p>
    <w:p w14:paraId="1FB2B0FD">
      <w:pPr>
        <w:pStyle w:val="19"/>
        <w:spacing w:before="120" w:after="120" w:afterLines="50"/>
        <w:ind w:firstLine="422" w:firstLineChars="200"/>
        <w:outlineLvl w:val="9"/>
        <w:rPr>
          <w:rFonts w:asciiTheme="minorEastAsia" w:hAnsiTheme="minorEastAsia" w:eastAsiaTheme="minorEastAsia"/>
          <w:sz w:val="21"/>
          <w:szCs w:val="15"/>
          <w:highlight w:val="none"/>
        </w:rPr>
      </w:pPr>
      <w:bookmarkStart w:id="156" w:name="_Toc25658"/>
      <w:r>
        <w:rPr>
          <w:rFonts w:hint="eastAsia" w:asciiTheme="minorEastAsia" w:hAnsiTheme="minorEastAsia" w:eastAsiaTheme="minorEastAsia"/>
          <w:sz w:val="21"/>
          <w:szCs w:val="15"/>
          <w:highlight w:val="none"/>
        </w:rPr>
        <w:t>潜在投标人或利害关系人对本招标公告及招标文件有异议的，向招标人书面提出。</w:t>
      </w:r>
      <w:bookmarkEnd w:id="156"/>
    </w:p>
    <w:p w14:paraId="7B0C1A03">
      <w:pPr>
        <w:pStyle w:val="19"/>
        <w:spacing w:before="120" w:after="120" w:afterLines="50"/>
        <w:ind w:firstLine="420" w:firstLineChars="200"/>
        <w:outlineLvl w:val="9"/>
        <w:rPr>
          <w:rFonts w:hint="eastAsia" w:asciiTheme="minorEastAsia" w:hAnsiTheme="minorEastAsia" w:eastAsiaTheme="minorEastAsia"/>
          <w:b w:val="0"/>
          <w:bCs w:val="0"/>
          <w:sz w:val="21"/>
          <w:szCs w:val="15"/>
          <w:highlight w:val="none"/>
          <w:u w:val="single"/>
          <w:lang w:eastAsia="zh-CN"/>
        </w:rPr>
      </w:pPr>
      <w:bookmarkStart w:id="157" w:name="_Toc29841"/>
      <w:r>
        <w:rPr>
          <w:rFonts w:hint="eastAsia" w:asciiTheme="minorEastAsia" w:hAnsiTheme="minorEastAsia" w:eastAsiaTheme="minorEastAsia"/>
          <w:b w:val="0"/>
          <w:bCs w:val="0"/>
          <w:sz w:val="21"/>
          <w:szCs w:val="15"/>
          <w:highlight w:val="none"/>
        </w:rPr>
        <w:t>异议受理部门：</w:t>
      </w:r>
      <w:bookmarkEnd w:id="157"/>
      <w:r>
        <w:rPr>
          <w:rFonts w:hint="eastAsia" w:asciiTheme="minorEastAsia" w:hAnsiTheme="minorEastAsia" w:eastAsiaTheme="minorEastAsia"/>
          <w:b w:val="0"/>
          <w:bCs w:val="0"/>
          <w:sz w:val="21"/>
          <w:szCs w:val="15"/>
          <w:highlight w:val="none"/>
          <w:u w:val="single"/>
          <w:lang w:eastAsia="zh-CN"/>
        </w:rPr>
        <w:t>广州南沙良田农业发展有限公司</w:t>
      </w:r>
    </w:p>
    <w:p w14:paraId="09EB30DE">
      <w:pPr>
        <w:pStyle w:val="19"/>
        <w:spacing w:before="120" w:after="120" w:afterLines="50"/>
        <w:ind w:firstLine="420" w:firstLineChars="200"/>
        <w:outlineLvl w:val="9"/>
        <w:rPr>
          <w:rFonts w:asciiTheme="minorEastAsia" w:hAnsiTheme="minorEastAsia" w:eastAsiaTheme="minorEastAsia"/>
          <w:b w:val="0"/>
          <w:bCs w:val="0"/>
          <w:sz w:val="21"/>
          <w:szCs w:val="15"/>
          <w:highlight w:val="none"/>
          <w:u w:val="single"/>
        </w:rPr>
      </w:pPr>
      <w:bookmarkStart w:id="158" w:name="_Toc25873"/>
      <w:r>
        <w:rPr>
          <w:rFonts w:hint="eastAsia" w:asciiTheme="minorEastAsia" w:hAnsiTheme="minorEastAsia" w:eastAsiaTheme="minorEastAsia"/>
          <w:b w:val="0"/>
          <w:bCs w:val="0"/>
          <w:sz w:val="21"/>
          <w:szCs w:val="15"/>
          <w:highlight w:val="none"/>
        </w:rPr>
        <w:t>异议受理电话：</w:t>
      </w:r>
      <w:bookmarkEnd w:id="158"/>
      <w:r>
        <w:rPr>
          <w:rFonts w:hint="eastAsia" w:asciiTheme="minorEastAsia" w:hAnsiTheme="minorEastAsia" w:eastAsiaTheme="minorEastAsia"/>
          <w:b w:val="0"/>
          <w:bCs w:val="0"/>
          <w:sz w:val="21"/>
          <w:szCs w:val="15"/>
          <w:highlight w:val="none"/>
          <w:u w:val="single"/>
        </w:rPr>
        <w:t xml:space="preserve"> 020</w:t>
      </w:r>
      <w:r>
        <w:rPr>
          <w:rFonts w:hint="eastAsia" w:asciiTheme="minorEastAsia" w:hAnsiTheme="minorEastAsia" w:eastAsiaTheme="minorEastAsia"/>
          <w:b w:val="0"/>
          <w:bCs w:val="0"/>
          <w:sz w:val="21"/>
          <w:szCs w:val="15"/>
          <w:highlight w:val="none"/>
          <w:u w:val="single"/>
          <w:lang w:val="en-US" w:eastAsia="zh-CN"/>
        </w:rPr>
        <w:t>-</w:t>
      </w:r>
      <w:r>
        <w:rPr>
          <w:rFonts w:hint="eastAsia" w:asciiTheme="minorEastAsia" w:hAnsiTheme="minorEastAsia" w:eastAsiaTheme="minorEastAsia"/>
          <w:b w:val="0"/>
          <w:bCs w:val="0"/>
          <w:sz w:val="21"/>
          <w:szCs w:val="15"/>
          <w:highlight w:val="none"/>
          <w:u w:val="single"/>
        </w:rPr>
        <w:t xml:space="preserve">39088217 </w:t>
      </w:r>
    </w:p>
    <w:p w14:paraId="5E9B8835">
      <w:pPr>
        <w:pStyle w:val="19"/>
        <w:spacing w:before="120" w:after="120" w:afterLines="50"/>
        <w:ind w:firstLine="420" w:firstLineChars="200"/>
        <w:outlineLvl w:val="9"/>
        <w:rPr>
          <w:rFonts w:asciiTheme="minorEastAsia" w:hAnsiTheme="minorEastAsia" w:eastAsiaTheme="minorEastAsia"/>
          <w:b w:val="0"/>
          <w:bCs w:val="0"/>
          <w:sz w:val="21"/>
          <w:szCs w:val="15"/>
          <w:highlight w:val="none"/>
          <w:u w:val="single"/>
        </w:rPr>
      </w:pPr>
      <w:bookmarkStart w:id="159" w:name="_Toc31538"/>
      <w:r>
        <w:rPr>
          <w:rFonts w:hint="eastAsia" w:asciiTheme="minorEastAsia" w:hAnsiTheme="minorEastAsia" w:eastAsiaTheme="minorEastAsia"/>
          <w:b w:val="0"/>
          <w:bCs w:val="0"/>
          <w:sz w:val="21"/>
          <w:szCs w:val="15"/>
          <w:highlight w:val="none"/>
        </w:rPr>
        <w:t>地址：</w:t>
      </w:r>
      <w:bookmarkEnd w:id="159"/>
      <w:r>
        <w:rPr>
          <w:rFonts w:hint="eastAsia" w:asciiTheme="minorEastAsia" w:hAnsiTheme="minorEastAsia" w:eastAsiaTheme="minorEastAsia"/>
          <w:b w:val="0"/>
          <w:bCs w:val="0"/>
          <w:sz w:val="21"/>
          <w:szCs w:val="15"/>
          <w:highlight w:val="none"/>
          <w:u w:val="single"/>
        </w:rPr>
        <w:t xml:space="preserve"> 广州市南沙区黄阁镇金茂湾T7栋南沙创新大厦14楼 </w:t>
      </w:r>
    </w:p>
    <w:p w14:paraId="53D7A5F1">
      <w:pPr>
        <w:pStyle w:val="19"/>
        <w:spacing w:before="120" w:after="120" w:afterLines="50"/>
        <w:ind w:firstLine="420" w:firstLineChars="200"/>
        <w:outlineLvl w:val="9"/>
        <w:rPr>
          <w:rFonts w:asciiTheme="minorEastAsia" w:hAnsiTheme="minorEastAsia" w:eastAsiaTheme="minorEastAsia"/>
          <w:b w:val="0"/>
          <w:bCs w:val="0"/>
          <w:sz w:val="21"/>
          <w:szCs w:val="15"/>
          <w:highlight w:val="none"/>
        </w:rPr>
      </w:pPr>
      <w:bookmarkStart w:id="160" w:name="_Toc23904"/>
      <w:r>
        <w:rPr>
          <w:rFonts w:hint="eastAsia" w:asciiTheme="minorEastAsia" w:hAnsiTheme="minorEastAsia" w:eastAsiaTheme="minorEastAsia"/>
          <w:b w:val="0"/>
          <w:bCs w:val="0"/>
          <w:sz w:val="21"/>
          <w:szCs w:val="15"/>
          <w:highlight w:val="none"/>
        </w:rPr>
        <w:t>注：潜在投标人或利害关系人可以通过线下或线上的形式提出异议。线上提出异议的，应通过电子交易平台提交，招标人也应通过电子交易平台答复线上提出的异议。具体按照电子交易平台相关指南进行操作。作出答复前，应当暂停招标投标活动。</w:t>
      </w:r>
      <w:bookmarkEnd w:id="160"/>
    </w:p>
    <w:p w14:paraId="3C23471C">
      <w:pPr>
        <w:pStyle w:val="19"/>
        <w:spacing w:before="120" w:after="120" w:afterLines="50"/>
        <w:outlineLvl w:val="2"/>
        <w:rPr>
          <w:rFonts w:asciiTheme="minorEastAsia" w:hAnsiTheme="minorEastAsia" w:eastAsiaTheme="minorEastAsia"/>
          <w:highlight w:val="none"/>
        </w:rPr>
      </w:pPr>
      <w:bookmarkStart w:id="161" w:name="_Toc30424"/>
      <w:r>
        <w:rPr>
          <w:rFonts w:hint="eastAsia" w:asciiTheme="minorEastAsia" w:hAnsiTheme="minorEastAsia" w:eastAsiaTheme="minorEastAsia"/>
          <w:highlight w:val="none"/>
        </w:rPr>
        <w:t>10.联系方式</w:t>
      </w:r>
      <w:bookmarkEnd w:id="138"/>
      <w:bookmarkEnd w:id="139"/>
      <w:bookmarkEnd w:id="140"/>
      <w:bookmarkEnd w:id="141"/>
      <w:bookmarkEnd w:id="142"/>
      <w:bookmarkEnd w:id="143"/>
      <w:bookmarkEnd w:id="144"/>
      <w:bookmarkEnd w:id="145"/>
      <w:bookmarkEnd w:id="146"/>
      <w:bookmarkEnd w:id="147"/>
      <w:bookmarkEnd w:id="149"/>
      <w:bookmarkEnd w:id="150"/>
      <w:bookmarkEnd w:id="151"/>
      <w:bookmarkEnd w:id="152"/>
      <w:bookmarkEnd w:id="153"/>
      <w:bookmarkEnd w:id="154"/>
      <w:bookmarkEnd w:id="155"/>
      <w:bookmarkEnd w:id="161"/>
    </w:p>
    <w:p w14:paraId="5D536755">
      <w:pPr>
        <w:topLinePunct/>
        <w:spacing w:line="400" w:lineRule="exact"/>
        <w:ind w:firstLine="420" w:firstLineChars="200"/>
        <w:rPr>
          <w:rFonts w:hint="eastAsia" w:cs="宋体" w:asciiTheme="minorEastAsia" w:hAnsiTheme="minorEastAsia" w:eastAsiaTheme="minorEastAsia"/>
          <w:szCs w:val="21"/>
          <w:highlight w:val="none"/>
          <w:lang w:eastAsia="zh-CN"/>
        </w:rPr>
      </w:pPr>
      <w:bookmarkStart w:id="162" w:name="_Toc221949942"/>
      <w:r>
        <w:rPr>
          <w:rFonts w:hint="eastAsia" w:cs="宋体" w:asciiTheme="minorEastAsia" w:hAnsiTheme="minorEastAsia" w:eastAsiaTheme="minorEastAsia"/>
          <w:szCs w:val="21"/>
          <w:highlight w:val="none"/>
        </w:rPr>
        <w:t>招标人：</w:t>
      </w:r>
      <w:r>
        <w:rPr>
          <w:rFonts w:hint="eastAsia" w:cs="宋体" w:asciiTheme="minorEastAsia" w:hAnsiTheme="minorEastAsia" w:eastAsiaTheme="minorEastAsia"/>
          <w:szCs w:val="21"/>
          <w:highlight w:val="none"/>
          <w:lang w:eastAsia="zh-CN"/>
        </w:rPr>
        <w:t>广州南沙良田农业发展有限公司</w:t>
      </w:r>
      <w:bookmarkEnd w:id="162"/>
      <w:r>
        <w:rPr>
          <w:rFonts w:hint="eastAsia" w:cs="宋体" w:asciiTheme="minorEastAsia" w:hAnsiTheme="minorEastAsia" w:eastAsiaTheme="minorEastAsia"/>
          <w:szCs w:val="21"/>
          <w:highlight w:val="none"/>
          <w:lang w:eastAsia="zh-CN"/>
        </w:rPr>
        <w:t>限公司</w:t>
      </w:r>
    </w:p>
    <w:p w14:paraId="513E4E47">
      <w:pPr>
        <w:topLinePunct/>
        <w:spacing w:line="400" w:lineRule="exact"/>
        <w:ind w:left="1869" w:leftChars="190" w:hanging="1470" w:hangingChars="700"/>
        <w:rPr>
          <w:rFonts w:cs="宋体" w:asciiTheme="minorEastAsia" w:hAnsiTheme="minorEastAsia" w:eastAsiaTheme="minorEastAsia"/>
          <w:szCs w:val="21"/>
          <w:highlight w:val="none"/>
        </w:rPr>
      </w:pPr>
      <w:bookmarkStart w:id="163" w:name="_Toc221949943"/>
      <w:r>
        <w:rPr>
          <w:rFonts w:hint="eastAsia" w:cs="宋体" w:asciiTheme="minorEastAsia" w:hAnsiTheme="minorEastAsia" w:eastAsiaTheme="minorEastAsia"/>
          <w:szCs w:val="21"/>
          <w:highlight w:val="none"/>
        </w:rPr>
        <w:t>地    址：</w:t>
      </w:r>
      <w:r>
        <w:rPr>
          <w:rFonts w:hint="eastAsia" w:asciiTheme="minorEastAsia" w:hAnsiTheme="minorEastAsia" w:eastAsiaTheme="minorEastAsia"/>
          <w:b w:val="0"/>
          <w:bCs w:val="0"/>
          <w:sz w:val="21"/>
          <w:szCs w:val="15"/>
          <w:highlight w:val="none"/>
          <w:u w:val="single"/>
        </w:rPr>
        <w:t>广州市南沙区黄阁镇金茂湾T7栋南沙创新大厦14楼</w:t>
      </w:r>
      <w:r>
        <w:rPr>
          <w:rFonts w:hint="eastAsia" w:cs="宋体" w:asciiTheme="minorEastAsia" w:hAnsiTheme="minorEastAsia" w:eastAsiaTheme="minorEastAsia"/>
          <w:szCs w:val="21"/>
          <w:highlight w:val="none"/>
        </w:rPr>
        <w:tab/>
      </w:r>
      <w:r>
        <w:rPr>
          <w:rFonts w:hint="eastAsia" w:cs="宋体" w:asciiTheme="minorEastAsia" w:hAnsiTheme="minorEastAsia" w:eastAsiaTheme="minorEastAsia"/>
          <w:szCs w:val="21"/>
          <w:highlight w:val="none"/>
        </w:rPr>
        <w:t xml:space="preserve">                             </w:t>
      </w:r>
      <w:bookmarkEnd w:id="163"/>
    </w:p>
    <w:p w14:paraId="46F8846C">
      <w:pPr>
        <w:topLinePunct/>
        <w:spacing w:line="400" w:lineRule="exact"/>
        <w:ind w:firstLine="420" w:firstLineChars="200"/>
        <w:rPr>
          <w:rFonts w:cs="宋体" w:asciiTheme="minorEastAsia" w:hAnsiTheme="minorEastAsia" w:eastAsiaTheme="minorEastAsia"/>
          <w:szCs w:val="21"/>
          <w:highlight w:val="none"/>
        </w:rPr>
      </w:pPr>
      <w:bookmarkStart w:id="164" w:name="_Toc221949944"/>
      <w:r>
        <w:rPr>
          <w:rFonts w:hint="eastAsia" w:cs="宋体" w:asciiTheme="minorEastAsia" w:hAnsiTheme="minorEastAsia" w:eastAsiaTheme="minorEastAsia"/>
          <w:szCs w:val="21"/>
          <w:highlight w:val="none"/>
        </w:rPr>
        <w:t xml:space="preserve">邮    编： 511466                              </w:t>
      </w:r>
      <w:bookmarkEnd w:id="164"/>
    </w:p>
    <w:p w14:paraId="0424AB4F">
      <w:pPr>
        <w:topLinePunct/>
        <w:spacing w:line="400" w:lineRule="exact"/>
        <w:ind w:firstLine="420" w:firstLineChars="200"/>
        <w:rPr>
          <w:rFonts w:hint="eastAsia" w:cs="宋体" w:asciiTheme="minorEastAsia" w:hAnsiTheme="minorEastAsia" w:eastAsiaTheme="minorEastAsia"/>
          <w:szCs w:val="21"/>
          <w:highlight w:val="none"/>
        </w:rPr>
      </w:pPr>
      <w:bookmarkStart w:id="165" w:name="_Toc221949945"/>
      <w:r>
        <w:rPr>
          <w:rFonts w:hint="eastAsia" w:cs="宋体" w:asciiTheme="minorEastAsia" w:hAnsiTheme="minorEastAsia" w:eastAsiaTheme="minorEastAsia"/>
          <w:szCs w:val="21"/>
          <w:highlight w:val="none"/>
        </w:rPr>
        <w:t xml:space="preserve">联 系 人： </w:t>
      </w:r>
      <w:r>
        <w:rPr>
          <w:rFonts w:hint="eastAsia" w:cs="宋体" w:asciiTheme="minorEastAsia" w:hAnsiTheme="minorEastAsia" w:eastAsiaTheme="minorEastAsia"/>
          <w:szCs w:val="21"/>
          <w:highlight w:val="none"/>
          <w:lang w:eastAsia="zh-CN"/>
        </w:rPr>
        <w:t>江工</w:t>
      </w:r>
      <w:r>
        <w:rPr>
          <w:rFonts w:hint="eastAsia" w:cs="宋体" w:asciiTheme="minorEastAsia" w:hAnsiTheme="minorEastAsia" w:eastAsiaTheme="minorEastAsia"/>
          <w:szCs w:val="21"/>
          <w:highlight w:val="none"/>
        </w:rPr>
        <w:t xml:space="preserve">                              </w:t>
      </w:r>
    </w:p>
    <w:bookmarkEnd w:id="165"/>
    <w:p w14:paraId="3DDB7004">
      <w:pPr>
        <w:topLinePunct/>
        <w:spacing w:line="400" w:lineRule="exact"/>
        <w:ind w:firstLine="420" w:firstLineChars="200"/>
        <w:rPr>
          <w:rFonts w:hint="eastAsia" w:cs="宋体" w:asciiTheme="minorEastAsia" w:hAnsiTheme="minorEastAsia" w:eastAsiaTheme="minorEastAsia"/>
          <w:szCs w:val="21"/>
          <w:highlight w:val="none"/>
          <w:lang w:eastAsia="zh-CN"/>
        </w:rPr>
      </w:pPr>
      <w:bookmarkStart w:id="166" w:name="_Toc221949946"/>
      <w:r>
        <w:rPr>
          <w:rFonts w:hint="eastAsia" w:cs="宋体" w:asciiTheme="minorEastAsia" w:hAnsiTheme="minorEastAsia" w:eastAsiaTheme="minorEastAsia"/>
          <w:szCs w:val="21"/>
          <w:highlight w:val="none"/>
        </w:rPr>
        <w:t>电    话：</w:t>
      </w:r>
      <w:r>
        <w:rPr>
          <w:rFonts w:hint="eastAsia" w:asciiTheme="minorEastAsia" w:hAnsiTheme="minorEastAsia" w:eastAsiaTheme="minorEastAsia"/>
          <w:b w:val="0"/>
          <w:bCs w:val="0"/>
          <w:sz w:val="21"/>
          <w:szCs w:val="15"/>
          <w:highlight w:val="none"/>
          <w:u w:val="single"/>
        </w:rPr>
        <w:t>020</w:t>
      </w:r>
      <w:r>
        <w:rPr>
          <w:rFonts w:hint="eastAsia" w:asciiTheme="minorEastAsia" w:hAnsiTheme="minorEastAsia" w:eastAsiaTheme="minorEastAsia"/>
          <w:b w:val="0"/>
          <w:bCs w:val="0"/>
          <w:sz w:val="21"/>
          <w:szCs w:val="15"/>
          <w:highlight w:val="none"/>
          <w:u w:val="single"/>
          <w:lang w:val="en-US" w:eastAsia="zh-CN"/>
        </w:rPr>
        <w:t>-</w:t>
      </w:r>
      <w:r>
        <w:rPr>
          <w:rFonts w:hint="eastAsia" w:asciiTheme="minorEastAsia" w:hAnsiTheme="minorEastAsia" w:eastAsiaTheme="minorEastAsia"/>
          <w:b w:val="0"/>
          <w:bCs w:val="0"/>
          <w:sz w:val="21"/>
          <w:szCs w:val="15"/>
          <w:highlight w:val="none"/>
          <w:u w:val="single"/>
        </w:rPr>
        <w:t>39088217</w:t>
      </w:r>
      <w:r>
        <w:rPr>
          <w:rFonts w:hint="eastAsia" w:cs="宋体" w:asciiTheme="minorEastAsia" w:hAnsiTheme="minorEastAsia" w:eastAsiaTheme="minorEastAsia"/>
          <w:szCs w:val="21"/>
          <w:highlight w:val="none"/>
        </w:rPr>
        <w:t xml:space="preserve">                              </w:t>
      </w:r>
      <w:bookmarkEnd w:id="166"/>
    </w:p>
    <w:p w14:paraId="2B8C544C">
      <w:pPr>
        <w:topLinePunct/>
        <w:spacing w:line="400" w:lineRule="exact"/>
        <w:ind w:firstLine="420" w:firstLineChars="200"/>
        <w:rPr>
          <w:rFonts w:cs="宋体" w:asciiTheme="minorEastAsia" w:hAnsiTheme="minorEastAsia" w:eastAsiaTheme="minorEastAsia"/>
          <w:szCs w:val="21"/>
          <w:highlight w:val="none"/>
        </w:rPr>
      </w:pPr>
      <w:bookmarkStart w:id="167" w:name="_Toc221949947"/>
      <w:r>
        <w:rPr>
          <w:rFonts w:hint="eastAsia" w:cs="宋体" w:asciiTheme="minorEastAsia" w:hAnsiTheme="minorEastAsia" w:eastAsiaTheme="minorEastAsia"/>
          <w:szCs w:val="21"/>
          <w:highlight w:val="none"/>
        </w:rPr>
        <w:t>传    真：</w:t>
      </w:r>
      <w:r>
        <w:rPr>
          <w:rFonts w:hint="eastAsia" w:asciiTheme="minorEastAsia" w:hAnsiTheme="minorEastAsia" w:eastAsiaTheme="minorEastAsia"/>
          <w:b w:val="0"/>
          <w:bCs w:val="0"/>
          <w:sz w:val="21"/>
          <w:szCs w:val="15"/>
          <w:highlight w:val="none"/>
          <w:u w:val="single"/>
        </w:rPr>
        <w:t>020</w:t>
      </w:r>
      <w:r>
        <w:rPr>
          <w:rFonts w:hint="eastAsia" w:asciiTheme="minorEastAsia" w:hAnsiTheme="minorEastAsia" w:eastAsiaTheme="minorEastAsia"/>
          <w:b w:val="0"/>
          <w:bCs w:val="0"/>
          <w:sz w:val="21"/>
          <w:szCs w:val="15"/>
          <w:highlight w:val="none"/>
          <w:u w:val="single"/>
          <w:lang w:val="en-US" w:eastAsia="zh-CN"/>
        </w:rPr>
        <w:t>-</w:t>
      </w:r>
      <w:r>
        <w:rPr>
          <w:rFonts w:hint="eastAsia" w:asciiTheme="minorEastAsia" w:hAnsiTheme="minorEastAsia" w:eastAsiaTheme="minorEastAsia"/>
          <w:b w:val="0"/>
          <w:bCs w:val="0"/>
          <w:sz w:val="21"/>
          <w:szCs w:val="15"/>
          <w:highlight w:val="none"/>
          <w:u w:val="single"/>
        </w:rPr>
        <w:t>39088217</w:t>
      </w:r>
      <w:r>
        <w:rPr>
          <w:rFonts w:hint="eastAsia" w:cs="宋体" w:asciiTheme="minorEastAsia" w:hAnsiTheme="minorEastAsia" w:eastAsiaTheme="minorEastAsia"/>
          <w:szCs w:val="21"/>
          <w:highlight w:val="none"/>
        </w:rPr>
        <w:t xml:space="preserve">                              </w:t>
      </w:r>
      <w:bookmarkEnd w:id="167"/>
    </w:p>
    <w:p w14:paraId="46E8124E">
      <w:pPr>
        <w:topLinePunct/>
        <w:spacing w:line="400" w:lineRule="exact"/>
        <w:ind w:firstLine="420" w:firstLineChars="200"/>
        <w:rPr>
          <w:rFonts w:cs="宋体" w:asciiTheme="minorEastAsia" w:hAnsiTheme="minorEastAsia" w:eastAsiaTheme="minorEastAsia"/>
          <w:szCs w:val="21"/>
          <w:highlight w:val="none"/>
        </w:rPr>
      </w:pPr>
      <w:bookmarkStart w:id="168" w:name="_Toc221949948"/>
      <w:r>
        <w:rPr>
          <w:rFonts w:hint="eastAsia" w:cs="宋体" w:asciiTheme="minorEastAsia" w:hAnsiTheme="minorEastAsia" w:eastAsiaTheme="minorEastAsia"/>
          <w:szCs w:val="21"/>
          <w:highlight w:val="none"/>
        </w:rPr>
        <w:t>电子邮件：</w:t>
      </w:r>
      <w:r>
        <w:rPr>
          <w:rFonts w:hint="eastAsia" w:cs="宋体" w:asciiTheme="minorEastAsia" w:hAnsiTheme="minorEastAsia" w:eastAsiaTheme="minorEastAsia"/>
          <w:szCs w:val="21"/>
          <w:highlight w:val="none"/>
          <w:lang w:val="en-US" w:eastAsia="zh-CN"/>
        </w:rPr>
        <w:t xml:space="preserve">  /</w:t>
      </w:r>
      <w:r>
        <w:rPr>
          <w:rFonts w:hint="eastAsia" w:cs="宋体" w:asciiTheme="minorEastAsia" w:hAnsiTheme="minorEastAsia" w:eastAsiaTheme="minorEastAsia"/>
          <w:szCs w:val="21"/>
          <w:highlight w:val="none"/>
        </w:rPr>
        <w:t xml:space="preserve">                </w:t>
      </w:r>
      <w:bookmarkEnd w:id="168"/>
    </w:p>
    <w:p w14:paraId="0EF1F5FD">
      <w:pPr>
        <w:topLinePunct/>
        <w:spacing w:line="400" w:lineRule="exact"/>
        <w:ind w:firstLine="420" w:firstLineChars="200"/>
        <w:rPr>
          <w:rFonts w:cs="宋体" w:asciiTheme="minorEastAsia" w:hAnsiTheme="minorEastAsia" w:eastAsiaTheme="minorEastAsia"/>
          <w:szCs w:val="21"/>
          <w:highlight w:val="none"/>
        </w:rPr>
      </w:pPr>
      <w:bookmarkStart w:id="169" w:name="_Toc221949949"/>
      <w:r>
        <w:rPr>
          <w:rFonts w:hint="eastAsia" w:cs="宋体" w:asciiTheme="minorEastAsia" w:hAnsiTheme="minorEastAsia" w:eastAsiaTheme="minorEastAsia"/>
          <w:szCs w:val="21"/>
          <w:highlight w:val="none"/>
        </w:rPr>
        <w:t xml:space="preserve">网    址：  </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rPr>
        <w:t xml:space="preserve">                          </w:t>
      </w:r>
      <w:bookmarkEnd w:id="169"/>
    </w:p>
    <w:p w14:paraId="4BDB78AD">
      <w:pPr>
        <w:spacing w:line="400" w:lineRule="exact"/>
        <w:rPr>
          <w:rFonts w:cs="宋体" w:asciiTheme="minorEastAsia" w:hAnsiTheme="minorEastAsia" w:eastAsiaTheme="minorEastAsia"/>
          <w:szCs w:val="21"/>
          <w:highlight w:val="none"/>
        </w:rPr>
      </w:pPr>
    </w:p>
    <w:p w14:paraId="4E1FC3A3">
      <w:pPr>
        <w:pStyle w:val="30"/>
        <w:rPr>
          <w:rFonts w:asciiTheme="minorEastAsia" w:hAnsiTheme="minorEastAsia" w:eastAsiaTheme="minorEastAsia"/>
          <w:highlight w:val="none"/>
        </w:rPr>
      </w:pPr>
    </w:p>
    <w:p w14:paraId="46D807AC">
      <w:pPr>
        <w:topLinePunct/>
        <w:spacing w:line="360" w:lineRule="auto"/>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招标人：广州市南粤工程建设监理有限公司</w:t>
      </w:r>
    </w:p>
    <w:p w14:paraId="1C2843CB">
      <w:pPr>
        <w:topLinePunct/>
        <w:spacing w:line="360" w:lineRule="auto"/>
        <w:ind w:left="1869" w:leftChars="190" w:hanging="1470" w:hangingChars="7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址：广州市越秀区环市中路301、303号</w:t>
      </w:r>
      <w:r>
        <w:rPr>
          <w:rFonts w:hint="eastAsia" w:cs="宋体" w:asciiTheme="minorEastAsia" w:hAnsiTheme="minorEastAsia" w:eastAsiaTheme="minorEastAsia"/>
          <w:szCs w:val="21"/>
          <w:highlight w:val="none"/>
        </w:rPr>
        <w:tab/>
      </w:r>
      <w:r>
        <w:rPr>
          <w:rFonts w:hint="eastAsia" w:cs="宋体" w:asciiTheme="minorEastAsia" w:hAnsiTheme="minorEastAsia" w:eastAsiaTheme="minorEastAsia"/>
          <w:szCs w:val="21"/>
          <w:highlight w:val="none"/>
        </w:rPr>
        <w:t xml:space="preserve">                             </w:t>
      </w:r>
    </w:p>
    <w:p w14:paraId="787EC1BB">
      <w:pPr>
        <w:topLinePunct/>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邮    编：                               </w:t>
      </w:r>
    </w:p>
    <w:p w14:paraId="713B6282">
      <w:pPr>
        <w:topLinePunct/>
        <w:spacing w:line="360" w:lineRule="auto"/>
        <w:ind w:firstLine="420" w:firstLineChars="200"/>
        <w:rPr>
          <w:rFonts w:hint="eastAsia"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联 系 人：冯工                               </w:t>
      </w:r>
    </w:p>
    <w:p w14:paraId="744F8D66">
      <w:pPr>
        <w:topLinePunct/>
        <w:spacing w:line="360" w:lineRule="auto"/>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 xml:space="preserve">电    话： 15914360371                             </w:t>
      </w:r>
    </w:p>
    <w:p w14:paraId="5A142CA7">
      <w:pPr>
        <w:topLinePunct/>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传    真：</w:t>
      </w:r>
      <w:r>
        <w:rPr>
          <w:rFonts w:hint="eastAsia" w:cs="宋体" w:asciiTheme="minorEastAsia" w:hAnsiTheme="minorEastAsia" w:eastAsiaTheme="minorEastAsia"/>
          <w:szCs w:val="21"/>
          <w:highlight w:val="none"/>
          <w:lang w:val="en-US" w:eastAsia="zh-CN"/>
        </w:rPr>
        <w:t>020-83491922</w:t>
      </w:r>
      <w:r>
        <w:rPr>
          <w:rFonts w:hint="eastAsia" w:cs="宋体" w:asciiTheme="minorEastAsia" w:hAnsiTheme="minorEastAsia" w:eastAsiaTheme="minorEastAsia"/>
          <w:szCs w:val="21"/>
          <w:highlight w:val="none"/>
        </w:rPr>
        <w:t xml:space="preserve">                              </w:t>
      </w:r>
    </w:p>
    <w:p w14:paraId="2C784275">
      <w:pPr>
        <w:topLinePunct/>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电子邮件：</w:t>
      </w:r>
      <w:r>
        <w:rPr>
          <w:rFonts w:hint="eastAsia" w:cs="宋体" w:asciiTheme="minorEastAsia" w:hAnsiTheme="minorEastAsia" w:eastAsiaTheme="minorEastAsia"/>
          <w:szCs w:val="21"/>
          <w:highlight w:val="none"/>
          <w:lang w:val="en-US" w:eastAsia="zh-CN"/>
        </w:rPr>
        <w:t>1185867356@qq.com</w:t>
      </w:r>
      <w:r>
        <w:rPr>
          <w:rFonts w:hint="eastAsia" w:cs="宋体" w:asciiTheme="minorEastAsia" w:hAnsiTheme="minorEastAsia" w:eastAsiaTheme="minorEastAsia"/>
          <w:szCs w:val="21"/>
          <w:highlight w:val="none"/>
        </w:rPr>
        <w:t xml:space="preserve">                              </w:t>
      </w:r>
    </w:p>
    <w:p w14:paraId="281B31F6">
      <w:pPr>
        <w:spacing w:before="1" w:line="360" w:lineRule="auto"/>
        <w:ind w:firstLine="420" w:firstLineChars="200"/>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 xml:space="preserve">网    址： </w:t>
      </w:r>
      <w:r>
        <w:rPr>
          <w:rFonts w:hint="eastAsia" w:cs="宋体" w:asciiTheme="minorEastAsia" w:hAnsiTheme="minorEastAsia" w:eastAsiaTheme="minorEastAsia"/>
          <w:szCs w:val="21"/>
          <w:highlight w:val="none"/>
          <w:lang w:val="en-US" w:eastAsia="zh-CN"/>
        </w:rPr>
        <w:t>/</w:t>
      </w:r>
    </w:p>
    <w:p w14:paraId="766664B3">
      <w:pPr>
        <w:pStyle w:val="2"/>
        <w:rPr>
          <w:highlight w:val="none"/>
        </w:rPr>
      </w:pPr>
    </w:p>
    <w:p w14:paraId="7FACE6AF">
      <w:pPr>
        <w:topLinePunct/>
        <w:spacing w:line="400" w:lineRule="exact"/>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招标监督机构：</w:t>
      </w:r>
      <w:r>
        <w:rPr>
          <w:rFonts w:hint="eastAsia" w:cs="宋体" w:asciiTheme="minorEastAsia" w:hAnsiTheme="minorEastAsia" w:eastAsiaTheme="minorEastAsia"/>
          <w:szCs w:val="21"/>
          <w:highlight w:val="none"/>
          <w:u w:val="single"/>
          <w:lang w:eastAsia="zh-CN"/>
        </w:rPr>
        <w:t>广州市南沙区住房和城乡建设局</w:t>
      </w:r>
    </w:p>
    <w:p w14:paraId="2D77280E">
      <w:pPr>
        <w:topLinePunct/>
        <w:spacing w:line="400" w:lineRule="exact"/>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监督电话：</w:t>
      </w:r>
      <w:r>
        <w:rPr>
          <w:rFonts w:hint="eastAsia" w:cs="宋体" w:asciiTheme="minorEastAsia" w:hAnsiTheme="minorEastAsia" w:eastAsiaTheme="minorEastAsia"/>
          <w:szCs w:val="21"/>
          <w:highlight w:val="none"/>
          <w:u w:val="single"/>
          <w:lang w:eastAsia="zh-CN"/>
        </w:rPr>
        <w:t>020-</w:t>
      </w:r>
      <w:r>
        <w:rPr>
          <w:rFonts w:hint="eastAsia" w:ascii="宋体" w:hAnsi="宋体" w:eastAsia="宋体" w:cs="宋体"/>
          <w:color w:val="auto"/>
          <w:szCs w:val="21"/>
          <w:highlight w:val="none"/>
          <w:u w:val="single"/>
        </w:rPr>
        <w:t>39910651</w:t>
      </w:r>
    </w:p>
    <w:p w14:paraId="3803BAC9">
      <w:pPr>
        <w:topLinePunct/>
        <w:spacing w:line="400" w:lineRule="exact"/>
        <w:ind w:firstLine="420" w:firstLineChars="200"/>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联系地址：</w:t>
      </w:r>
      <w:r>
        <w:rPr>
          <w:rFonts w:hint="eastAsia" w:cs="宋体" w:asciiTheme="minorEastAsia" w:hAnsiTheme="minorEastAsia" w:eastAsiaTheme="minorEastAsia"/>
          <w:szCs w:val="21"/>
          <w:highlight w:val="none"/>
          <w:u w:val="single"/>
        </w:rPr>
        <w:t>广州市南沙区凤凰大道1号</w:t>
      </w:r>
      <w:r>
        <w:rPr>
          <w:rFonts w:hint="eastAsia" w:cs="宋体" w:asciiTheme="minorEastAsia" w:hAnsiTheme="minorEastAsia" w:eastAsiaTheme="minorEastAsia"/>
          <w:szCs w:val="21"/>
          <w:highlight w:val="none"/>
          <w:u w:val="single"/>
          <w:lang w:val="en-US" w:eastAsia="zh-CN"/>
        </w:rPr>
        <w:t>E栋3楼</w:t>
      </w:r>
    </w:p>
    <w:p w14:paraId="106B6AF4">
      <w:pPr>
        <w:spacing w:before="1" w:line="204" w:lineRule="auto"/>
        <w:ind w:firstLine="378" w:firstLineChars="200"/>
        <w:rPr>
          <w:rFonts w:cs="宋体" w:asciiTheme="minorEastAsia" w:hAnsiTheme="minorEastAsia" w:eastAsiaTheme="minorEastAsia"/>
          <w:spacing w:val="-23"/>
          <w:w w:val="98"/>
          <w:sz w:val="24"/>
          <w:highlight w:val="none"/>
        </w:rPr>
      </w:pPr>
    </w:p>
    <w:p w14:paraId="6D48B29A">
      <w:pPr>
        <w:pStyle w:val="30"/>
        <w:rPr>
          <w:rFonts w:asciiTheme="minorEastAsia" w:hAnsiTheme="minorEastAsia" w:eastAsiaTheme="minorEastAsia"/>
          <w:highlight w:val="none"/>
        </w:rPr>
      </w:pPr>
    </w:p>
    <w:p w14:paraId="077184D7">
      <w:pPr>
        <w:pStyle w:val="30"/>
        <w:spacing w:line="360" w:lineRule="auto"/>
        <w:ind w:firstLine="40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备案管理机构：</w:t>
      </w:r>
      <w:r>
        <w:rPr>
          <w:rFonts w:hint="eastAsia" w:asciiTheme="minorEastAsia" w:hAnsiTheme="minorEastAsia" w:eastAsiaTheme="minorEastAsia"/>
          <w:highlight w:val="none"/>
          <w:u w:val="single"/>
        </w:rPr>
        <w:t>广州南沙经济技术开发区行政审批局</w:t>
      </w:r>
    </w:p>
    <w:p w14:paraId="026DF45D">
      <w:pPr>
        <w:pStyle w:val="30"/>
        <w:spacing w:line="360" w:lineRule="auto"/>
        <w:ind w:firstLine="400" w:firstLineChars="200"/>
        <w:rPr>
          <w:rFonts w:hint="eastAsia" w:asciiTheme="minorEastAsia" w:hAnsiTheme="minorEastAsia" w:eastAsiaTheme="minorEastAsia"/>
          <w:highlight w:val="none"/>
        </w:rPr>
      </w:pPr>
      <w:r>
        <w:rPr>
          <w:rFonts w:hint="eastAsia" w:asciiTheme="minorEastAsia" w:hAnsiTheme="minorEastAsia" w:eastAsiaTheme="minorEastAsia"/>
          <w:highlight w:val="none"/>
        </w:rPr>
        <w:t>地址：</w:t>
      </w:r>
      <w:r>
        <w:rPr>
          <w:rFonts w:hint="eastAsia" w:asciiTheme="minorEastAsia" w:hAnsiTheme="minorEastAsia" w:eastAsiaTheme="minorEastAsia"/>
          <w:strike w:val="0"/>
          <w:highlight w:val="none"/>
          <w:u w:val="single"/>
        </w:rPr>
        <w:t>广州市南沙区进港大道1号中国铁建环球中心5-2栋四楼</w:t>
      </w:r>
    </w:p>
    <w:p w14:paraId="63982E11">
      <w:pPr>
        <w:pStyle w:val="30"/>
        <w:spacing w:line="360" w:lineRule="auto"/>
        <w:ind w:firstLine="400" w:firstLineChars="200"/>
        <w:rPr>
          <w:rFonts w:asciiTheme="minorEastAsia" w:hAnsiTheme="minorEastAsia" w:eastAsiaTheme="minorEastAsia"/>
          <w:highlight w:val="none"/>
        </w:rPr>
      </w:pPr>
      <w:r>
        <w:rPr>
          <w:rFonts w:hint="eastAsia" w:asciiTheme="minorEastAsia" w:hAnsiTheme="minorEastAsia" w:eastAsiaTheme="minorEastAsia"/>
          <w:highlight w:val="none"/>
        </w:rPr>
        <w:t>联系电话：</w:t>
      </w:r>
      <w:r>
        <w:rPr>
          <w:rFonts w:hint="eastAsia" w:asciiTheme="minorEastAsia" w:hAnsiTheme="minorEastAsia" w:eastAsiaTheme="minorEastAsia"/>
          <w:highlight w:val="none"/>
          <w:u w:val="single"/>
        </w:rPr>
        <w:t>020-39053237</w:t>
      </w:r>
    </w:p>
    <w:p w14:paraId="16C829D0">
      <w:pPr>
        <w:pStyle w:val="30"/>
        <w:rPr>
          <w:rFonts w:asciiTheme="minorEastAsia" w:hAnsiTheme="minorEastAsia" w:eastAsiaTheme="minorEastAsia"/>
          <w:highlight w:val="none"/>
        </w:rPr>
      </w:pPr>
    </w:p>
    <w:p w14:paraId="567AD6BE">
      <w:pPr>
        <w:spacing w:line="400" w:lineRule="exac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w:t>
      </w:r>
      <w:bookmarkStart w:id="170" w:name="_Toc221949952"/>
      <w:r>
        <w:rPr>
          <w:rFonts w:hint="eastAsia" w:cs="宋体" w:asciiTheme="minorEastAsia" w:hAnsiTheme="minorEastAsia" w:eastAsiaTheme="minorEastAsia"/>
          <w:szCs w:val="21"/>
          <w:highlight w:val="none"/>
        </w:rPr>
        <w:t>年    月    日</w:t>
      </w:r>
      <w:bookmarkEnd w:id="0"/>
      <w:bookmarkEnd w:id="1"/>
      <w:bookmarkEnd w:id="2"/>
      <w:bookmarkEnd w:id="3"/>
      <w:bookmarkEnd w:id="4"/>
      <w:bookmarkEnd w:id="5"/>
      <w:bookmarkEnd w:id="6"/>
      <w:bookmarkEnd w:id="7"/>
      <w:bookmarkEnd w:id="8"/>
      <w:bookmarkEnd w:id="170"/>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0B71">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6C19B">
                          <w:pPr>
                            <w:pStyle w:val="14"/>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906C19B">
                    <w:pPr>
                      <w:pStyle w:val="14"/>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txbxContent>
              </v:textbox>
            </v:shape>
          </w:pict>
        </mc:Fallback>
      </mc:AlternateContent>
    </w:r>
  </w:p>
  <w:p w14:paraId="5FF8E973">
    <w:pPr>
      <w:pStyle w:val="1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30CE4"/>
    <w:multiLevelType w:val="singleLevel"/>
    <w:tmpl w:val="FBE30CE4"/>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ZjJkZjQ4MTdmMTMwMzc1YjVkY2EwMDM3ZDVhZWUifQ=="/>
    <w:docVar w:name="KSO_WPS_MARK_KEY" w:val="8c213cd5-58e9-47ee-b71b-c99fd61ab990"/>
  </w:docVars>
  <w:rsids>
    <w:rsidRoot w:val="00172A27"/>
    <w:rsid w:val="00036CA8"/>
    <w:rsid w:val="00063A98"/>
    <w:rsid w:val="00110928"/>
    <w:rsid w:val="00172A27"/>
    <w:rsid w:val="00192755"/>
    <w:rsid w:val="001B2966"/>
    <w:rsid w:val="0023497A"/>
    <w:rsid w:val="002B45C7"/>
    <w:rsid w:val="0037415D"/>
    <w:rsid w:val="003A7DD1"/>
    <w:rsid w:val="003D6698"/>
    <w:rsid w:val="004C300E"/>
    <w:rsid w:val="004F1E9D"/>
    <w:rsid w:val="00502EBC"/>
    <w:rsid w:val="00526D32"/>
    <w:rsid w:val="00614015"/>
    <w:rsid w:val="006167D7"/>
    <w:rsid w:val="006A79C6"/>
    <w:rsid w:val="008435ED"/>
    <w:rsid w:val="00847DE1"/>
    <w:rsid w:val="008B293E"/>
    <w:rsid w:val="0091102A"/>
    <w:rsid w:val="00965079"/>
    <w:rsid w:val="009764F5"/>
    <w:rsid w:val="009C4696"/>
    <w:rsid w:val="00A87CC2"/>
    <w:rsid w:val="00AD4FB9"/>
    <w:rsid w:val="00B4236F"/>
    <w:rsid w:val="00B51887"/>
    <w:rsid w:val="00BB1318"/>
    <w:rsid w:val="00BF0832"/>
    <w:rsid w:val="00BF68CC"/>
    <w:rsid w:val="00C3546D"/>
    <w:rsid w:val="00C551AC"/>
    <w:rsid w:val="00C61241"/>
    <w:rsid w:val="00D004F7"/>
    <w:rsid w:val="00D0337D"/>
    <w:rsid w:val="00DA060B"/>
    <w:rsid w:val="00DC7138"/>
    <w:rsid w:val="00DE0C5A"/>
    <w:rsid w:val="00E06F81"/>
    <w:rsid w:val="00E723A0"/>
    <w:rsid w:val="00EA1575"/>
    <w:rsid w:val="00EB0CDA"/>
    <w:rsid w:val="00F00D94"/>
    <w:rsid w:val="00F51DEA"/>
    <w:rsid w:val="00FC5577"/>
    <w:rsid w:val="01294509"/>
    <w:rsid w:val="017716F4"/>
    <w:rsid w:val="01BA528A"/>
    <w:rsid w:val="01CA5F1D"/>
    <w:rsid w:val="022830E4"/>
    <w:rsid w:val="029D33DC"/>
    <w:rsid w:val="02C31095"/>
    <w:rsid w:val="03260241"/>
    <w:rsid w:val="033248DF"/>
    <w:rsid w:val="034C45ED"/>
    <w:rsid w:val="03AF18D1"/>
    <w:rsid w:val="04A31AD1"/>
    <w:rsid w:val="04A70542"/>
    <w:rsid w:val="04A81553"/>
    <w:rsid w:val="04AE722E"/>
    <w:rsid w:val="04C174DB"/>
    <w:rsid w:val="04E716C3"/>
    <w:rsid w:val="05164A25"/>
    <w:rsid w:val="05453FE3"/>
    <w:rsid w:val="057E1C87"/>
    <w:rsid w:val="0583671B"/>
    <w:rsid w:val="05C328E8"/>
    <w:rsid w:val="05FD39CC"/>
    <w:rsid w:val="0631401F"/>
    <w:rsid w:val="06A55DD7"/>
    <w:rsid w:val="06E723F8"/>
    <w:rsid w:val="07A5520D"/>
    <w:rsid w:val="07D92C60"/>
    <w:rsid w:val="08393E73"/>
    <w:rsid w:val="088B72CA"/>
    <w:rsid w:val="08BB0570"/>
    <w:rsid w:val="08EF3D5E"/>
    <w:rsid w:val="09F922B8"/>
    <w:rsid w:val="0A1270CD"/>
    <w:rsid w:val="0A766CF7"/>
    <w:rsid w:val="0B863E3A"/>
    <w:rsid w:val="0B8F20D5"/>
    <w:rsid w:val="0BCB2D68"/>
    <w:rsid w:val="0D100AE1"/>
    <w:rsid w:val="0D415BDD"/>
    <w:rsid w:val="0D625687"/>
    <w:rsid w:val="0DB6133E"/>
    <w:rsid w:val="0DE01A63"/>
    <w:rsid w:val="0E1B13CE"/>
    <w:rsid w:val="0E664845"/>
    <w:rsid w:val="0EBA4906"/>
    <w:rsid w:val="0F36419E"/>
    <w:rsid w:val="0F704240"/>
    <w:rsid w:val="0F762D63"/>
    <w:rsid w:val="0FA84832"/>
    <w:rsid w:val="0FDD3BC3"/>
    <w:rsid w:val="10A71E43"/>
    <w:rsid w:val="10DC4A70"/>
    <w:rsid w:val="11403B5A"/>
    <w:rsid w:val="11517434"/>
    <w:rsid w:val="116A2D8F"/>
    <w:rsid w:val="11B80C55"/>
    <w:rsid w:val="11ED6F4D"/>
    <w:rsid w:val="120E12B5"/>
    <w:rsid w:val="12AD3208"/>
    <w:rsid w:val="12C3110E"/>
    <w:rsid w:val="12EA3113"/>
    <w:rsid w:val="12ED4198"/>
    <w:rsid w:val="12F01C1A"/>
    <w:rsid w:val="132C4AE6"/>
    <w:rsid w:val="136F4921"/>
    <w:rsid w:val="13883F55"/>
    <w:rsid w:val="13B41253"/>
    <w:rsid w:val="13F7615B"/>
    <w:rsid w:val="13F84C4A"/>
    <w:rsid w:val="14AC513B"/>
    <w:rsid w:val="15BF5C2B"/>
    <w:rsid w:val="15C9656A"/>
    <w:rsid w:val="15D965DB"/>
    <w:rsid w:val="173637C3"/>
    <w:rsid w:val="17557BE2"/>
    <w:rsid w:val="1756574D"/>
    <w:rsid w:val="175D178A"/>
    <w:rsid w:val="17C06A90"/>
    <w:rsid w:val="188B45D1"/>
    <w:rsid w:val="189A470C"/>
    <w:rsid w:val="18BA4890"/>
    <w:rsid w:val="18D23988"/>
    <w:rsid w:val="18F57E0F"/>
    <w:rsid w:val="19AF0A4A"/>
    <w:rsid w:val="19D11E91"/>
    <w:rsid w:val="19EA7915"/>
    <w:rsid w:val="1A4E60FF"/>
    <w:rsid w:val="1A613215"/>
    <w:rsid w:val="1AC00093"/>
    <w:rsid w:val="1B8B308F"/>
    <w:rsid w:val="1BDE2432"/>
    <w:rsid w:val="1BE063BC"/>
    <w:rsid w:val="1C1B528D"/>
    <w:rsid w:val="1C2875D6"/>
    <w:rsid w:val="1CAA782F"/>
    <w:rsid w:val="1CBF2152"/>
    <w:rsid w:val="1CCC570F"/>
    <w:rsid w:val="1CDA242F"/>
    <w:rsid w:val="1CF75960"/>
    <w:rsid w:val="1D7D0CD2"/>
    <w:rsid w:val="1D972D03"/>
    <w:rsid w:val="1DBB0E8E"/>
    <w:rsid w:val="1E236A34"/>
    <w:rsid w:val="1E2D1660"/>
    <w:rsid w:val="1E7F6837"/>
    <w:rsid w:val="1E84031A"/>
    <w:rsid w:val="1E9673A1"/>
    <w:rsid w:val="1EC72E85"/>
    <w:rsid w:val="1EE71A21"/>
    <w:rsid w:val="1F0827F2"/>
    <w:rsid w:val="1F190788"/>
    <w:rsid w:val="1F3452D6"/>
    <w:rsid w:val="1F6E2142"/>
    <w:rsid w:val="1F9544D3"/>
    <w:rsid w:val="1FA35DEC"/>
    <w:rsid w:val="1FCE45BD"/>
    <w:rsid w:val="20737BFA"/>
    <w:rsid w:val="20EF05C9"/>
    <w:rsid w:val="210352D4"/>
    <w:rsid w:val="21604585"/>
    <w:rsid w:val="21C35049"/>
    <w:rsid w:val="21C377A6"/>
    <w:rsid w:val="21F84D61"/>
    <w:rsid w:val="22307229"/>
    <w:rsid w:val="225A65A3"/>
    <w:rsid w:val="228C57DF"/>
    <w:rsid w:val="22C16090"/>
    <w:rsid w:val="230277F9"/>
    <w:rsid w:val="23562FB2"/>
    <w:rsid w:val="2388446E"/>
    <w:rsid w:val="24077A99"/>
    <w:rsid w:val="2484156D"/>
    <w:rsid w:val="24B85237"/>
    <w:rsid w:val="251A293E"/>
    <w:rsid w:val="25221E3E"/>
    <w:rsid w:val="25B212BD"/>
    <w:rsid w:val="25F602DD"/>
    <w:rsid w:val="26641C22"/>
    <w:rsid w:val="266E746B"/>
    <w:rsid w:val="26AC4595"/>
    <w:rsid w:val="26ED00D6"/>
    <w:rsid w:val="270D6265"/>
    <w:rsid w:val="273870AC"/>
    <w:rsid w:val="27881F6C"/>
    <w:rsid w:val="279309F0"/>
    <w:rsid w:val="27D52B4D"/>
    <w:rsid w:val="27F51DBA"/>
    <w:rsid w:val="27F8174D"/>
    <w:rsid w:val="27FA798C"/>
    <w:rsid w:val="28015C6A"/>
    <w:rsid w:val="28277120"/>
    <w:rsid w:val="2868347B"/>
    <w:rsid w:val="287F4144"/>
    <w:rsid w:val="28951DB4"/>
    <w:rsid w:val="28FF8C3E"/>
    <w:rsid w:val="29282EA6"/>
    <w:rsid w:val="29AA0009"/>
    <w:rsid w:val="2A60701A"/>
    <w:rsid w:val="2AC6025F"/>
    <w:rsid w:val="2B0B029A"/>
    <w:rsid w:val="2B1D67DB"/>
    <w:rsid w:val="2B2B6040"/>
    <w:rsid w:val="2B492F95"/>
    <w:rsid w:val="2B7B2D90"/>
    <w:rsid w:val="2B7D5CE8"/>
    <w:rsid w:val="2B807273"/>
    <w:rsid w:val="2BD17810"/>
    <w:rsid w:val="2C220880"/>
    <w:rsid w:val="2C237961"/>
    <w:rsid w:val="2C8D4FB3"/>
    <w:rsid w:val="2D1F06B1"/>
    <w:rsid w:val="2DF279ED"/>
    <w:rsid w:val="2E2824E6"/>
    <w:rsid w:val="2E302DEA"/>
    <w:rsid w:val="2E555FE9"/>
    <w:rsid w:val="2EB83212"/>
    <w:rsid w:val="2EC1468C"/>
    <w:rsid w:val="2EEE3876"/>
    <w:rsid w:val="2F1A5A56"/>
    <w:rsid w:val="2F1B2B61"/>
    <w:rsid w:val="2F4D4820"/>
    <w:rsid w:val="2F63610E"/>
    <w:rsid w:val="2F6A2D7D"/>
    <w:rsid w:val="2F8F13C1"/>
    <w:rsid w:val="2FA23C5C"/>
    <w:rsid w:val="2FC72074"/>
    <w:rsid w:val="2FF92B02"/>
    <w:rsid w:val="300D74F0"/>
    <w:rsid w:val="30C25A2F"/>
    <w:rsid w:val="30E84AFF"/>
    <w:rsid w:val="30FC431F"/>
    <w:rsid w:val="310224D9"/>
    <w:rsid w:val="32610823"/>
    <w:rsid w:val="328525BE"/>
    <w:rsid w:val="32A7158A"/>
    <w:rsid w:val="33464A70"/>
    <w:rsid w:val="34533564"/>
    <w:rsid w:val="345D7C37"/>
    <w:rsid w:val="35364B2E"/>
    <w:rsid w:val="35E63852"/>
    <w:rsid w:val="366A3954"/>
    <w:rsid w:val="36741B52"/>
    <w:rsid w:val="367D0F7F"/>
    <w:rsid w:val="36BC6012"/>
    <w:rsid w:val="37164F30"/>
    <w:rsid w:val="376C6090"/>
    <w:rsid w:val="37BC7911"/>
    <w:rsid w:val="37F05781"/>
    <w:rsid w:val="37F53BFB"/>
    <w:rsid w:val="380F4B5F"/>
    <w:rsid w:val="3828704D"/>
    <w:rsid w:val="38573C0E"/>
    <w:rsid w:val="38795776"/>
    <w:rsid w:val="388E4527"/>
    <w:rsid w:val="38B1392E"/>
    <w:rsid w:val="39292CF8"/>
    <w:rsid w:val="399A1A1B"/>
    <w:rsid w:val="3A7D23E5"/>
    <w:rsid w:val="3AB502B9"/>
    <w:rsid w:val="3AF56EF0"/>
    <w:rsid w:val="3B7CFA2F"/>
    <w:rsid w:val="3BC520F7"/>
    <w:rsid w:val="3BE07517"/>
    <w:rsid w:val="3C061B78"/>
    <w:rsid w:val="3C347559"/>
    <w:rsid w:val="3C753EBD"/>
    <w:rsid w:val="3CB56E7C"/>
    <w:rsid w:val="3D377D8A"/>
    <w:rsid w:val="3D5D5666"/>
    <w:rsid w:val="3D652B23"/>
    <w:rsid w:val="3DD7776F"/>
    <w:rsid w:val="3DEFCDEB"/>
    <w:rsid w:val="3DF02C97"/>
    <w:rsid w:val="3E3E4857"/>
    <w:rsid w:val="3E740419"/>
    <w:rsid w:val="3E8E3879"/>
    <w:rsid w:val="3F161F71"/>
    <w:rsid w:val="3F255D10"/>
    <w:rsid w:val="3F3B3785"/>
    <w:rsid w:val="3F5D5AE0"/>
    <w:rsid w:val="3F7F1678"/>
    <w:rsid w:val="3FB56C6D"/>
    <w:rsid w:val="3FBD91A5"/>
    <w:rsid w:val="3FDF29E1"/>
    <w:rsid w:val="4055002F"/>
    <w:rsid w:val="40A24EE0"/>
    <w:rsid w:val="40A610D2"/>
    <w:rsid w:val="40A869C3"/>
    <w:rsid w:val="40D64F7C"/>
    <w:rsid w:val="40E6539B"/>
    <w:rsid w:val="41681144"/>
    <w:rsid w:val="41766BA2"/>
    <w:rsid w:val="419751D9"/>
    <w:rsid w:val="41C43E62"/>
    <w:rsid w:val="41E8453E"/>
    <w:rsid w:val="41ED19E4"/>
    <w:rsid w:val="42451376"/>
    <w:rsid w:val="42FB6DBC"/>
    <w:rsid w:val="430975C8"/>
    <w:rsid w:val="43E8388F"/>
    <w:rsid w:val="43F6747D"/>
    <w:rsid w:val="4400590E"/>
    <w:rsid w:val="442F6FA8"/>
    <w:rsid w:val="4497554F"/>
    <w:rsid w:val="449974D6"/>
    <w:rsid w:val="44C60AEC"/>
    <w:rsid w:val="44FF3FDA"/>
    <w:rsid w:val="45055BEA"/>
    <w:rsid w:val="46036001"/>
    <w:rsid w:val="461A71B3"/>
    <w:rsid w:val="46397634"/>
    <w:rsid w:val="46A460B4"/>
    <w:rsid w:val="46CC2D7F"/>
    <w:rsid w:val="46D324F5"/>
    <w:rsid w:val="474014BD"/>
    <w:rsid w:val="474D77F3"/>
    <w:rsid w:val="476D241D"/>
    <w:rsid w:val="47732C87"/>
    <w:rsid w:val="47D26D9C"/>
    <w:rsid w:val="48400AFB"/>
    <w:rsid w:val="48561F5C"/>
    <w:rsid w:val="489F3FFC"/>
    <w:rsid w:val="48A51EAE"/>
    <w:rsid w:val="48CA7C9D"/>
    <w:rsid w:val="48F70541"/>
    <w:rsid w:val="49676BEC"/>
    <w:rsid w:val="49686565"/>
    <w:rsid w:val="4A0E5E62"/>
    <w:rsid w:val="4A1277D9"/>
    <w:rsid w:val="4A1B2BD1"/>
    <w:rsid w:val="4A5058F8"/>
    <w:rsid w:val="4A5F6E80"/>
    <w:rsid w:val="4A63098A"/>
    <w:rsid w:val="4ADD23A3"/>
    <w:rsid w:val="4AE02806"/>
    <w:rsid w:val="4AFF7D5D"/>
    <w:rsid w:val="4B5913DF"/>
    <w:rsid w:val="4B9B6666"/>
    <w:rsid w:val="4BFF4505"/>
    <w:rsid w:val="4C25342A"/>
    <w:rsid w:val="4C32568A"/>
    <w:rsid w:val="4C554C45"/>
    <w:rsid w:val="4C58667F"/>
    <w:rsid w:val="4C860F4C"/>
    <w:rsid w:val="4C983FC5"/>
    <w:rsid w:val="4CD76580"/>
    <w:rsid w:val="4CFA2728"/>
    <w:rsid w:val="4D8B1D7C"/>
    <w:rsid w:val="4E255D2C"/>
    <w:rsid w:val="4F006555"/>
    <w:rsid w:val="4F0A3ABE"/>
    <w:rsid w:val="4F2E0C11"/>
    <w:rsid w:val="4F675E6D"/>
    <w:rsid w:val="4F811CEE"/>
    <w:rsid w:val="4F8E0429"/>
    <w:rsid w:val="505C1C7B"/>
    <w:rsid w:val="5098349E"/>
    <w:rsid w:val="50B31D37"/>
    <w:rsid w:val="50BC5B0F"/>
    <w:rsid w:val="50E20972"/>
    <w:rsid w:val="510E7D84"/>
    <w:rsid w:val="51B94BFE"/>
    <w:rsid w:val="51CC5275"/>
    <w:rsid w:val="51DC2B68"/>
    <w:rsid w:val="51FED7AB"/>
    <w:rsid w:val="52A531D0"/>
    <w:rsid w:val="52AC6487"/>
    <w:rsid w:val="53004672"/>
    <w:rsid w:val="531666D6"/>
    <w:rsid w:val="53E96D15"/>
    <w:rsid w:val="54547A6F"/>
    <w:rsid w:val="54791977"/>
    <w:rsid w:val="54AB5BF1"/>
    <w:rsid w:val="54B81A07"/>
    <w:rsid w:val="55045B77"/>
    <w:rsid w:val="55D54465"/>
    <w:rsid w:val="55D938A0"/>
    <w:rsid w:val="55DC09CA"/>
    <w:rsid w:val="55FA3344"/>
    <w:rsid w:val="5609445F"/>
    <w:rsid w:val="56592EAE"/>
    <w:rsid w:val="56A96530"/>
    <w:rsid w:val="56D15A6E"/>
    <w:rsid w:val="56E2109B"/>
    <w:rsid w:val="57140D07"/>
    <w:rsid w:val="57833AC4"/>
    <w:rsid w:val="57CA34A1"/>
    <w:rsid w:val="57CF20A5"/>
    <w:rsid w:val="5801355F"/>
    <w:rsid w:val="58133FA8"/>
    <w:rsid w:val="58242D3F"/>
    <w:rsid w:val="583225CE"/>
    <w:rsid w:val="58397D2F"/>
    <w:rsid w:val="583B08FD"/>
    <w:rsid w:val="586025AF"/>
    <w:rsid w:val="58AE4AF2"/>
    <w:rsid w:val="58B636C1"/>
    <w:rsid w:val="58E30CBE"/>
    <w:rsid w:val="591E6307"/>
    <w:rsid w:val="5A366C08"/>
    <w:rsid w:val="5ADB0961"/>
    <w:rsid w:val="5B0B165F"/>
    <w:rsid w:val="5B0C6BFA"/>
    <w:rsid w:val="5BBA5BA8"/>
    <w:rsid w:val="5CA70254"/>
    <w:rsid w:val="5D3E4715"/>
    <w:rsid w:val="5D6B3425"/>
    <w:rsid w:val="5D9D6CB3"/>
    <w:rsid w:val="5DDC7655"/>
    <w:rsid w:val="5E167DBD"/>
    <w:rsid w:val="5E60690D"/>
    <w:rsid w:val="5EFA7CCD"/>
    <w:rsid w:val="5FA23A48"/>
    <w:rsid w:val="5FA24513"/>
    <w:rsid w:val="606F72DB"/>
    <w:rsid w:val="608858C6"/>
    <w:rsid w:val="6096760E"/>
    <w:rsid w:val="60E127A8"/>
    <w:rsid w:val="615A69F8"/>
    <w:rsid w:val="617C1CB0"/>
    <w:rsid w:val="61CA5DB7"/>
    <w:rsid w:val="6203474B"/>
    <w:rsid w:val="629B555C"/>
    <w:rsid w:val="62D842D6"/>
    <w:rsid w:val="62F7218E"/>
    <w:rsid w:val="62FC3200"/>
    <w:rsid w:val="639257BA"/>
    <w:rsid w:val="64A67C7F"/>
    <w:rsid w:val="65024D2A"/>
    <w:rsid w:val="652D5FC3"/>
    <w:rsid w:val="65994301"/>
    <w:rsid w:val="65E557F1"/>
    <w:rsid w:val="66073390"/>
    <w:rsid w:val="66096BC0"/>
    <w:rsid w:val="660B26D0"/>
    <w:rsid w:val="663A5C95"/>
    <w:rsid w:val="669B3865"/>
    <w:rsid w:val="669F17D2"/>
    <w:rsid w:val="67145A4D"/>
    <w:rsid w:val="671D18B0"/>
    <w:rsid w:val="672EA9ED"/>
    <w:rsid w:val="676B42A5"/>
    <w:rsid w:val="67B007D0"/>
    <w:rsid w:val="67BF5061"/>
    <w:rsid w:val="67ED7271"/>
    <w:rsid w:val="683B6DE1"/>
    <w:rsid w:val="687B36E7"/>
    <w:rsid w:val="68D22DEE"/>
    <w:rsid w:val="69015A74"/>
    <w:rsid w:val="699A1D68"/>
    <w:rsid w:val="6A01502E"/>
    <w:rsid w:val="6A0779D8"/>
    <w:rsid w:val="6A153145"/>
    <w:rsid w:val="6A61700D"/>
    <w:rsid w:val="6AA54025"/>
    <w:rsid w:val="6AD45637"/>
    <w:rsid w:val="6AE43843"/>
    <w:rsid w:val="6AE628E8"/>
    <w:rsid w:val="6AEC6501"/>
    <w:rsid w:val="6B434BD5"/>
    <w:rsid w:val="6B633598"/>
    <w:rsid w:val="6B7718F2"/>
    <w:rsid w:val="6C1F4A28"/>
    <w:rsid w:val="6C223A49"/>
    <w:rsid w:val="6C263442"/>
    <w:rsid w:val="6C6E20D3"/>
    <w:rsid w:val="6CA4054A"/>
    <w:rsid w:val="6CB247D7"/>
    <w:rsid w:val="6CCE613F"/>
    <w:rsid w:val="6CE6276D"/>
    <w:rsid w:val="6D072C9C"/>
    <w:rsid w:val="6D2531FB"/>
    <w:rsid w:val="6D521F1F"/>
    <w:rsid w:val="6D851EEC"/>
    <w:rsid w:val="6DC92D8B"/>
    <w:rsid w:val="6E0E3C8F"/>
    <w:rsid w:val="6E873A42"/>
    <w:rsid w:val="6E8C4E15"/>
    <w:rsid w:val="6EA52F6B"/>
    <w:rsid w:val="6EFE5B70"/>
    <w:rsid w:val="6F245233"/>
    <w:rsid w:val="6F3256D1"/>
    <w:rsid w:val="6F532BB1"/>
    <w:rsid w:val="6F7630D2"/>
    <w:rsid w:val="6F90417E"/>
    <w:rsid w:val="6F9258DA"/>
    <w:rsid w:val="6FB66D39"/>
    <w:rsid w:val="704B508B"/>
    <w:rsid w:val="70D05DE9"/>
    <w:rsid w:val="70D171F6"/>
    <w:rsid w:val="70F7553D"/>
    <w:rsid w:val="70FC779A"/>
    <w:rsid w:val="7159552E"/>
    <w:rsid w:val="71734CC6"/>
    <w:rsid w:val="721668E6"/>
    <w:rsid w:val="72206DE1"/>
    <w:rsid w:val="72270896"/>
    <w:rsid w:val="727F55C1"/>
    <w:rsid w:val="72855F71"/>
    <w:rsid w:val="72A17B5D"/>
    <w:rsid w:val="72B73B84"/>
    <w:rsid w:val="72CB749C"/>
    <w:rsid w:val="72CD6775"/>
    <w:rsid w:val="72D405E0"/>
    <w:rsid w:val="72E13E1B"/>
    <w:rsid w:val="732E7AA3"/>
    <w:rsid w:val="733540F3"/>
    <w:rsid w:val="73563420"/>
    <w:rsid w:val="73926314"/>
    <w:rsid w:val="73C71D9B"/>
    <w:rsid w:val="748A7DE8"/>
    <w:rsid w:val="749B3DA3"/>
    <w:rsid w:val="74BE171E"/>
    <w:rsid w:val="752C5223"/>
    <w:rsid w:val="757DE146"/>
    <w:rsid w:val="75C25ED6"/>
    <w:rsid w:val="75EFC646"/>
    <w:rsid w:val="762C1090"/>
    <w:rsid w:val="76455A1A"/>
    <w:rsid w:val="766A7ED1"/>
    <w:rsid w:val="769179AA"/>
    <w:rsid w:val="769F325B"/>
    <w:rsid w:val="76A51580"/>
    <w:rsid w:val="76C03AD6"/>
    <w:rsid w:val="777D1E86"/>
    <w:rsid w:val="77C9104E"/>
    <w:rsid w:val="77E1549F"/>
    <w:rsid w:val="77EF0B18"/>
    <w:rsid w:val="786F5C73"/>
    <w:rsid w:val="789E7942"/>
    <w:rsid w:val="793967F5"/>
    <w:rsid w:val="7963752C"/>
    <w:rsid w:val="798153CC"/>
    <w:rsid w:val="79C00BB7"/>
    <w:rsid w:val="79C2556E"/>
    <w:rsid w:val="79C454A1"/>
    <w:rsid w:val="79EA0721"/>
    <w:rsid w:val="79FF945A"/>
    <w:rsid w:val="7A6A20B4"/>
    <w:rsid w:val="7A7B2E7E"/>
    <w:rsid w:val="7A7C15F3"/>
    <w:rsid w:val="7A923C0B"/>
    <w:rsid w:val="7AFD42F9"/>
    <w:rsid w:val="7B212CD8"/>
    <w:rsid w:val="7B9B803D"/>
    <w:rsid w:val="7BA72FC2"/>
    <w:rsid w:val="7BBA0112"/>
    <w:rsid w:val="7BCC34E5"/>
    <w:rsid w:val="7BCC5C7C"/>
    <w:rsid w:val="7BF64B28"/>
    <w:rsid w:val="7BF723CD"/>
    <w:rsid w:val="7C090879"/>
    <w:rsid w:val="7C556E26"/>
    <w:rsid w:val="7C6B0CD6"/>
    <w:rsid w:val="7CB15915"/>
    <w:rsid w:val="7CB24D98"/>
    <w:rsid w:val="7CEF1407"/>
    <w:rsid w:val="7D00352C"/>
    <w:rsid w:val="7D602561"/>
    <w:rsid w:val="7DF341D4"/>
    <w:rsid w:val="7E167D92"/>
    <w:rsid w:val="7E171E3C"/>
    <w:rsid w:val="7E1914E0"/>
    <w:rsid w:val="7E677E64"/>
    <w:rsid w:val="7E683B22"/>
    <w:rsid w:val="7EAE6ED0"/>
    <w:rsid w:val="7EC47165"/>
    <w:rsid w:val="7EFE1AFE"/>
    <w:rsid w:val="7F0B2B16"/>
    <w:rsid w:val="7F7D58EC"/>
    <w:rsid w:val="7FA00746"/>
    <w:rsid w:val="7FB7048A"/>
    <w:rsid w:val="7FC335E9"/>
    <w:rsid w:val="7FC95C68"/>
    <w:rsid w:val="7FFD8351"/>
    <w:rsid w:val="7FFF78DC"/>
    <w:rsid w:val="96DE3BE2"/>
    <w:rsid w:val="96F63A20"/>
    <w:rsid w:val="9D4B5CFF"/>
    <w:rsid w:val="A7CD446F"/>
    <w:rsid w:val="BDFF3740"/>
    <w:rsid w:val="BEFF113C"/>
    <w:rsid w:val="BF7EF6BB"/>
    <w:rsid w:val="BFFE64DC"/>
    <w:rsid w:val="CCF9FE58"/>
    <w:rsid w:val="D5EFE6CB"/>
    <w:rsid w:val="D7F92033"/>
    <w:rsid w:val="DCFB06EB"/>
    <w:rsid w:val="DDBCE7D3"/>
    <w:rsid w:val="DDFE86F2"/>
    <w:rsid w:val="DE370ACC"/>
    <w:rsid w:val="DFEFA670"/>
    <w:rsid w:val="E15E4190"/>
    <w:rsid w:val="E69C0268"/>
    <w:rsid w:val="E9F71EFB"/>
    <w:rsid w:val="EDAEF2D5"/>
    <w:rsid w:val="EFF9FCF9"/>
    <w:rsid w:val="EFFC0B61"/>
    <w:rsid w:val="EFFD3760"/>
    <w:rsid w:val="F3FBF0BC"/>
    <w:rsid w:val="F4B50E80"/>
    <w:rsid w:val="F7BE7CC7"/>
    <w:rsid w:val="F9FB130D"/>
    <w:rsid w:val="FBDF572B"/>
    <w:rsid w:val="FBFD5B9A"/>
    <w:rsid w:val="FEFCDA4D"/>
    <w:rsid w:val="FF3B4BDD"/>
    <w:rsid w:val="FFCF29B1"/>
    <w:rsid w:val="FFFC6958"/>
    <w:rsid w:val="FFFF7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8"/>
    <w:qFormat/>
    <w:uiPriority w:val="0"/>
    <w:pPr>
      <w:keepNext/>
      <w:keepLines/>
      <w:spacing w:before="120" w:after="120"/>
      <w:outlineLvl w:val="2"/>
    </w:pPr>
    <w:rPr>
      <w:rFonts w:ascii="宋体" w:hAnsi="宋体"/>
      <w:b/>
      <w:bCs/>
      <w:color w:val="FF0000"/>
      <w:sz w:val="24"/>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楷体_GB2312"/>
      <w:kern w:val="0"/>
      <w:sz w:val="20"/>
      <w:szCs w:val="24"/>
    </w:r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Balloon Text"/>
    <w:basedOn w:val="1"/>
    <w:link w:val="43"/>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b/>
      <w:bCs/>
      <w:caps/>
      <w:sz w:val="20"/>
      <w:szCs w:val="20"/>
    </w:rPr>
  </w:style>
  <w:style w:type="paragraph" w:styleId="17">
    <w:name w:val="footnote text"/>
    <w:basedOn w:val="1"/>
    <w:qFormat/>
    <w:uiPriority w:val="0"/>
    <w:pPr>
      <w:snapToGrid w:val="0"/>
      <w:jc w:val="left"/>
    </w:pPr>
    <w:rPr>
      <w:sz w:val="18"/>
    </w:rPr>
  </w:style>
  <w:style w:type="paragraph" w:styleId="18">
    <w:name w:val="toc 2"/>
    <w:basedOn w:val="1"/>
    <w:next w:val="19"/>
    <w:qFormat/>
    <w:uiPriority w:val="39"/>
    <w:pPr>
      <w:ind w:left="210"/>
      <w:jc w:val="left"/>
    </w:pPr>
    <w:rPr>
      <w:smallCaps/>
      <w:kern w:val="0"/>
      <w:sz w:val="20"/>
      <w:szCs w:val="20"/>
    </w:rPr>
  </w:style>
  <w:style w:type="paragraph" w:customStyle="1" w:styleId="19">
    <w:name w:val="样式 标题 2 + Times New Roman 四号 非加粗 段前: 5 磅 段后: 0 磅 行距: 固定值 20..."/>
    <w:basedOn w:val="4"/>
    <w:link w:val="35"/>
    <w:qFormat/>
    <w:uiPriority w:val="0"/>
    <w:pPr>
      <w:spacing w:before="100" w:after="0" w:line="400" w:lineRule="exact"/>
    </w:pPr>
    <w:rPr>
      <w:rFonts w:ascii="Times New Roman" w:hAnsi="Times New Roman" w:eastAsia="宋体"/>
      <w:kern w:val="0"/>
      <w:sz w:val="28"/>
      <w:szCs w:val="20"/>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Body Text First Indent"/>
    <w:basedOn w:val="10"/>
    <w:qFormat/>
    <w:uiPriority w:val="0"/>
    <w:pPr>
      <w:ind w:firstLine="420"/>
    </w:pPr>
    <w:rPr>
      <w:rFonts w:eastAsia="楷体_GB2312"/>
    </w:rPr>
  </w:style>
  <w:style w:type="paragraph" w:styleId="22">
    <w:name w:val="Body Text First Indent 2"/>
    <w:basedOn w:val="11"/>
    <w:qFormat/>
    <w:uiPriority w:val="0"/>
    <w:pPr>
      <w:ind w:firstLine="420"/>
    </w:pPr>
  </w:style>
  <w:style w:type="character" w:styleId="25">
    <w:name w:val="page number"/>
    <w:qFormat/>
    <w:uiPriority w:val="0"/>
    <w:rPr>
      <w:rFonts w:ascii="Arial" w:hAnsi="Arial" w:eastAsia="黑体"/>
      <w:kern w:val="2"/>
      <w:sz w:val="21"/>
      <w:szCs w:val="21"/>
      <w:lang w:val="en-US" w:eastAsia="zh-CN" w:bidi="ar-SA"/>
    </w:rPr>
  </w:style>
  <w:style w:type="character" w:styleId="26">
    <w:name w:val="Emphasis"/>
    <w:basedOn w:val="24"/>
    <w:qFormat/>
    <w:uiPriority w:val="0"/>
    <w:rPr>
      <w:i/>
    </w:rPr>
  </w:style>
  <w:style w:type="character" w:styleId="27">
    <w:name w:val="Hyperlink"/>
    <w:qFormat/>
    <w:uiPriority w:val="99"/>
    <w:rPr>
      <w:rFonts w:ascii="Arial" w:hAnsi="Arial" w:eastAsia="黑体"/>
      <w:color w:val="0000FF"/>
      <w:kern w:val="2"/>
      <w:sz w:val="21"/>
      <w:szCs w:val="21"/>
      <w:u w:val="single"/>
      <w:lang w:val="en-US" w:eastAsia="zh-CN" w:bidi="ar-SA"/>
    </w:rPr>
  </w:style>
  <w:style w:type="character" w:styleId="28">
    <w:name w:val="annotation reference"/>
    <w:basedOn w:val="24"/>
    <w:qFormat/>
    <w:uiPriority w:val="0"/>
    <w:rPr>
      <w:sz w:val="21"/>
      <w:szCs w:val="21"/>
    </w:rPr>
  </w:style>
  <w:style w:type="character" w:styleId="29">
    <w:name w:val="footnote reference"/>
    <w:basedOn w:val="24"/>
    <w:qFormat/>
    <w:uiPriority w:val="0"/>
    <w:rPr>
      <w:vertAlign w:val="superscript"/>
    </w:rPr>
  </w:style>
  <w:style w:type="paragraph" w:customStyle="1" w:styleId="30">
    <w:name w:val="PlainText"/>
    <w:basedOn w:val="1"/>
    <w:qFormat/>
    <w:uiPriority w:val="0"/>
    <w:rPr>
      <w:rFonts w:ascii="宋体" w:hAnsi="Courier New"/>
      <w:kern w:val="0"/>
      <w:sz w:val="20"/>
      <w:szCs w:val="20"/>
    </w:rPr>
  </w:style>
  <w:style w:type="paragraph" w:customStyle="1" w:styleId="31">
    <w:name w:val="样式20"/>
    <w:basedOn w:val="1"/>
    <w:next w:val="1"/>
    <w:qFormat/>
    <w:uiPriority w:val="0"/>
    <w:pPr>
      <w:spacing w:line="460" w:lineRule="exact"/>
      <w:ind w:firstLine="900" w:firstLineChars="300"/>
      <w:outlineLvl w:val="0"/>
    </w:pPr>
    <w:rPr>
      <w:rFonts w:eastAsia="黑体"/>
      <w:sz w:val="30"/>
      <w:szCs w:val="30"/>
      <w:u w:val="single"/>
    </w:rPr>
  </w:style>
  <w:style w:type="paragraph" w:customStyle="1" w:styleId="32">
    <w:name w:val="样式 标题 1 + 黑体 三号 非加粗 居中 段前: 6 磅 段后: 6 磅 行距: 固定值 20 磅"/>
    <w:basedOn w:val="3"/>
    <w:qFormat/>
    <w:uiPriority w:val="0"/>
    <w:pPr>
      <w:spacing w:before="120" w:after="120" w:line="400" w:lineRule="exact"/>
    </w:pPr>
    <w:rPr>
      <w:rFonts w:ascii="黑体" w:hAnsi="黑体" w:eastAsia="黑体"/>
      <w:kern w:val="0"/>
      <w:sz w:val="32"/>
      <w:szCs w:val="20"/>
    </w:rPr>
  </w:style>
  <w:style w:type="paragraph" w:customStyle="1" w:styleId="33">
    <w:name w:val="样式 标题 3 + (中文) 黑体 小四 非加粗 段前: 7.8 磅 段后: 0 磅 行距: 固定值 20 磅"/>
    <w:basedOn w:val="5"/>
    <w:link w:val="37"/>
    <w:qFormat/>
    <w:uiPriority w:val="0"/>
    <w:pPr>
      <w:spacing w:before="0" w:after="0" w:line="400" w:lineRule="exact"/>
    </w:pPr>
    <w:rPr>
      <w:rFonts w:ascii="Times New Roman" w:hAnsi="Times New Roman" w:eastAsia="黑体"/>
      <w:color w:val="000000"/>
      <w:kern w:val="0"/>
      <w:sz w:val="20"/>
      <w:szCs w:val="20"/>
    </w:r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5">
    <w:name w:val="样式 标题 2 + Times New Roman 四号 非加粗 段前: 5 磅 段后: 0 磅 行距: 固定值 20... Char"/>
    <w:link w:val="19"/>
    <w:qFormat/>
    <w:uiPriority w:val="0"/>
    <w:rPr>
      <w:rFonts w:ascii="Times New Roman" w:hAnsi="Times New Roman" w:eastAsia="宋体"/>
      <w:kern w:val="0"/>
      <w:sz w:val="28"/>
      <w:szCs w:val="20"/>
    </w:rPr>
  </w:style>
  <w:style w:type="character" w:customStyle="1" w:styleId="36">
    <w:name w:val="标题 2 Char"/>
    <w:link w:val="4"/>
    <w:qFormat/>
    <w:uiPriority w:val="0"/>
    <w:rPr>
      <w:rFonts w:ascii="Arial" w:hAnsi="Arial" w:eastAsia="黑体"/>
      <w:b/>
      <w:bCs/>
      <w:sz w:val="32"/>
      <w:szCs w:val="32"/>
    </w:rPr>
  </w:style>
  <w:style w:type="character" w:customStyle="1" w:styleId="37">
    <w:name w:val="样式 标题 3 + (中文) 黑体 小四 非加粗 段前: 7.8 磅 段后: 0 磅 行距: 固定值 20 磅 Char"/>
    <w:link w:val="33"/>
    <w:qFormat/>
    <w:uiPriority w:val="0"/>
    <w:rPr>
      <w:rFonts w:ascii="Times New Roman" w:hAnsi="Times New Roman" w:eastAsia="黑体"/>
      <w:color w:val="000000"/>
      <w:kern w:val="0"/>
      <w:sz w:val="20"/>
      <w:szCs w:val="20"/>
    </w:rPr>
  </w:style>
  <w:style w:type="character" w:customStyle="1" w:styleId="38">
    <w:name w:val="标题 3 Char"/>
    <w:link w:val="5"/>
    <w:qFormat/>
    <w:uiPriority w:val="0"/>
    <w:rPr>
      <w:rFonts w:ascii="宋体" w:hAnsi="宋体"/>
      <w:b/>
      <w:bCs/>
      <w:color w:val="FF0000"/>
      <w:sz w:val="24"/>
    </w:rPr>
  </w:style>
  <w:style w:type="paragraph" w:customStyle="1" w:styleId="39">
    <w:name w:val="xl31"/>
    <w:basedOn w:val="1"/>
    <w:qFormat/>
    <w:uiPriority w:val="0"/>
    <w:pPr>
      <w:widowControl/>
      <w:spacing w:before="100" w:beforeAutospacing="1" w:after="100" w:afterAutospacing="1"/>
      <w:jc w:val="center"/>
    </w:pPr>
    <w:rPr>
      <w:rFonts w:ascii="宋体" w:hAnsi="宋体"/>
      <w:kern w:val="0"/>
      <w:sz w:val="24"/>
    </w:rPr>
  </w:style>
  <w:style w:type="paragraph" w:customStyle="1" w:styleId="40">
    <w:name w:val="font7"/>
    <w:basedOn w:val="1"/>
    <w:qFormat/>
    <w:uiPriority w:val="0"/>
    <w:pPr>
      <w:widowControl/>
      <w:spacing w:before="100" w:beforeAutospacing="1" w:after="100" w:afterAutospacing="1"/>
      <w:jc w:val="left"/>
    </w:pPr>
    <w:rPr>
      <w:rFonts w:hint="eastAsia" w:ascii="宋体" w:hAnsi="宋体"/>
      <w:kern w:val="0"/>
      <w:sz w:val="28"/>
      <w:szCs w:val="28"/>
    </w:rPr>
  </w:style>
  <w:style w:type="table" w:customStyle="1" w:styleId="41">
    <w:name w:val="Table Normal"/>
    <w:semiHidden/>
    <w:unhideWhenUsed/>
    <w:qFormat/>
    <w:uiPriority w:val="0"/>
    <w:tblPr>
      <w:tblCellMar>
        <w:top w:w="0" w:type="dxa"/>
        <w:left w:w="0" w:type="dxa"/>
        <w:bottom w:w="0" w:type="dxa"/>
        <w:right w:w="0" w:type="dxa"/>
      </w:tblCellMar>
    </w:tblPr>
  </w:style>
  <w:style w:type="character" w:customStyle="1" w:styleId="42">
    <w:name w:val="页眉 Char"/>
    <w:basedOn w:val="24"/>
    <w:link w:val="15"/>
    <w:qFormat/>
    <w:uiPriority w:val="0"/>
    <w:rPr>
      <w:kern w:val="2"/>
      <w:sz w:val="18"/>
      <w:szCs w:val="18"/>
    </w:rPr>
  </w:style>
  <w:style w:type="character" w:customStyle="1" w:styleId="43">
    <w:name w:val="批注框文本 Char"/>
    <w:basedOn w:val="24"/>
    <w:link w:val="13"/>
    <w:qFormat/>
    <w:uiPriority w:val="0"/>
    <w:rPr>
      <w:kern w:val="2"/>
      <w:sz w:val="18"/>
      <w:szCs w:val="18"/>
    </w:rPr>
  </w:style>
  <w:style w:type="paragraph" w:customStyle="1" w:styleId="44">
    <w:name w:val="样式 宋体 行距: 1.5 倍行距"/>
    <w:basedOn w:val="1"/>
    <w:autoRedefine/>
    <w:qFormat/>
    <w:uiPriority w:val="0"/>
    <w:pPr>
      <w:jc w:val="center"/>
    </w:pPr>
    <w:rPr>
      <w:rFonts w:ascii="Calibri" w:hAnsi="Calibri"/>
      <w:b/>
      <w:szCs w:val="22"/>
    </w:rPr>
  </w:style>
  <w:style w:type="paragraph" w:customStyle="1" w:styleId="45">
    <w:name w:val="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Asus</Company>
  <Pages>8</Pages>
  <Words>4888</Words>
  <Characters>5322</Characters>
  <Lines>36</Lines>
  <Paragraphs>10</Paragraphs>
  <TotalTime>4</TotalTime>
  <ScaleCrop>false</ScaleCrop>
  <LinksUpToDate>false</LinksUpToDate>
  <CharactersWithSpaces>5871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2024-07-23T04:11:00Z</dcterms:created>
  <dc:creator>孙长江</dc:creator>
  <cp:lastModifiedBy>WPS_1559521901</cp:lastModifiedBy>
  <cp:lastPrinted>2024-02-22T14:33:00Z</cp:lastPrinted>
  <dcterms:modified xsi:type="dcterms:W3CDTF">2024-08-30T07:49:19Z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0A111327FC5F413B98AB45EBC15AB71F_13</vt:lpwstr>
  </property>
</Properties>
</file>