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outlineLvl w:val="1"/>
        <w:rPr>
          <w:color w:val="auto"/>
          <w:highlight w:val="none"/>
        </w:rPr>
      </w:pPr>
      <w:r>
        <w:rPr>
          <w:b/>
          <w:color w:val="auto"/>
          <w:sz w:val="36"/>
          <w:highlight w:val="none"/>
        </w:rPr>
        <w:t>第五章 合同文本</w:t>
      </w:r>
    </w:p>
    <w:p>
      <w:pPr>
        <w:pStyle w:val="6"/>
        <w:rPr>
          <w:color w:val="auto"/>
          <w:highlight w:val="none"/>
        </w:rPr>
      </w:pPr>
      <w:r>
        <w:rPr>
          <w:rFonts w:ascii="宋体" w:hAnsi="宋体" w:eastAsia="宋体" w:cs="宋体"/>
          <w:b/>
          <w:color w:val="auto"/>
          <w:sz w:val="48"/>
          <w:highlight w:val="none"/>
        </w:rPr>
        <w:t xml:space="preserve"> </w:t>
      </w:r>
    </w:p>
    <w:p>
      <w:pPr>
        <w:pStyle w:val="6"/>
        <w:shd w:val="clear" w:color="010000" w:fill="FFFFFF"/>
        <w:spacing w:before="0" w:after="0"/>
        <w:ind w:left="0" w:right="0"/>
        <w:jc w:val="center"/>
        <w:rPr>
          <w:color w:val="auto"/>
          <w:highlight w:val="none"/>
        </w:rPr>
      </w:pPr>
      <w:r>
        <w:rPr>
          <w:rFonts w:ascii="宋体" w:hAnsi="宋体" w:eastAsia="宋体" w:cs="宋体"/>
          <w:b/>
          <w:color w:val="auto"/>
          <w:sz w:val="48"/>
          <w:highlight w:val="none"/>
        </w:rPr>
        <w:t xml:space="preserve"> </w:t>
      </w:r>
    </w:p>
    <w:p>
      <w:pPr>
        <w:pStyle w:val="6"/>
        <w:shd w:val="clear" w:color="010000" w:fill="FFFFFF"/>
        <w:spacing w:before="0" w:after="0"/>
        <w:ind w:left="0" w:right="0"/>
        <w:jc w:val="center"/>
        <w:rPr>
          <w:color w:val="auto"/>
          <w:highlight w:val="none"/>
        </w:rPr>
      </w:pPr>
      <w:r>
        <w:rPr>
          <w:rFonts w:ascii="宋体" w:hAnsi="宋体" w:eastAsia="宋体" w:cs="宋体"/>
          <w:b/>
          <w:color w:val="auto"/>
          <w:sz w:val="48"/>
          <w:highlight w:val="none"/>
        </w:rPr>
        <w:t xml:space="preserve"> </w:t>
      </w:r>
    </w:p>
    <w:p>
      <w:pPr>
        <w:pStyle w:val="6"/>
        <w:shd w:val="clear" w:color="010000" w:fill="FFFFFF"/>
        <w:spacing w:before="0" w:after="0"/>
        <w:ind w:left="0" w:right="0"/>
        <w:jc w:val="center"/>
        <w:rPr>
          <w:color w:val="auto"/>
          <w:highlight w:val="none"/>
        </w:rPr>
      </w:pPr>
      <w:r>
        <w:rPr>
          <w:rFonts w:ascii="宋体" w:hAnsi="宋体" w:eastAsia="宋体" w:cs="宋体"/>
          <w:b/>
          <w:color w:val="auto"/>
          <w:sz w:val="48"/>
          <w:highlight w:val="none"/>
        </w:rPr>
        <w:t xml:space="preserve"> </w:t>
      </w:r>
    </w:p>
    <w:p>
      <w:pPr>
        <w:pStyle w:val="6"/>
        <w:shd w:val="clear" w:color="010000" w:fill="FFFFFF"/>
        <w:spacing w:before="0" w:after="0"/>
        <w:ind w:left="0" w:right="0"/>
        <w:jc w:val="center"/>
        <w:rPr>
          <w:color w:val="auto"/>
          <w:highlight w:val="none"/>
        </w:rPr>
      </w:pPr>
      <w:r>
        <w:rPr>
          <w:rFonts w:ascii="宋体" w:hAnsi="宋体" w:eastAsia="宋体" w:cs="宋体"/>
          <w:b/>
          <w:color w:val="auto"/>
          <w:sz w:val="48"/>
          <w:highlight w:val="none"/>
        </w:rPr>
        <w:t>广东省政府采购</w:t>
      </w:r>
    </w:p>
    <w:p>
      <w:pPr>
        <w:pStyle w:val="6"/>
        <w:shd w:val="clear" w:color="010000" w:fill="FFFFFF"/>
        <w:spacing w:before="150" w:after="150"/>
        <w:ind w:left="0" w:right="0"/>
        <w:jc w:val="both"/>
        <w:rPr>
          <w:color w:val="auto"/>
          <w:highlight w:val="none"/>
        </w:rPr>
      </w:pPr>
      <w:r>
        <w:rPr>
          <w:rFonts w:ascii="helvetica" w:hAnsi="helvetica" w:eastAsia="helvetica" w:cs="helvetica"/>
          <w:color w:val="auto"/>
          <w:sz w:val="27"/>
          <w:highlight w:val="none"/>
        </w:rPr>
        <w:t xml:space="preserve"> </w:t>
      </w:r>
    </w:p>
    <w:p>
      <w:pPr>
        <w:pStyle w:val="6"/>
        <w:shd w:val="clear" w:color="010000" w:fill="FFFFFF"/>
        <w:spacing w:before="0" w:after="0"/>
        <w:ind w:left="0" w:right="0"/>
        <w:jc w:val="center"/>
        <w:rPr>
          <w:color w:val="auto"/>
          <w:highlight w:val="none"/>
        </w:rPr>
      </w:pPr>
      <w:r>
        <w:rPr>
          <w:rFonts w:ascii="宋体" w:hAnsi="宋体" w:eastAsia="宋体" w:cs="宋体"/>
          <w:b/>
          <w:color w:val="auto"/>
          <w:sz w:val="48"/>
          <w:highlight w:val="none"/>
        </w:rPr>
        <w:t>合　同　书</w:t>
      </w:r>
    </w:p>
    <w:p>
      <w:pPr>
        <w:pStyle w:val="6"/>
        <w:shd w:val="clear" w:color="010000" w:fill="FFFFFF"/>
        <w:spacing w:before="0" w:after="0"/>
        <w:ind w:left="0" w:right="0"/>
        <w:jc w:val="center"/>
        <w:rPr>
          <w:color w:val="auto"/>
          <w:highlight w:val="none"/>
        </w:rPr>
      </w:pP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p>
    <w:p>
      <w:pPr>
        <w:pStyle w:val="6"/>
        <w:shd w:val="clear" w:color="010000" w:fill="FFFFFF"/>
        <w:spacing w:before="150" w:after="150"/>
        <w:ind w:left="0" w:right="0"/>
        <w:jc w:val="both"/>
        <w:rPr>
          <w:color w:val="auto"/>
          <w:highlight w:val="none"/>
        </w:rPr>
      </w:pPr>
      <w:r>
        <w:rPr>
          <w:rFonts w:ascii="helvetica" w:hAnsi="helvetica" w:eastAsia="helvetica" w:cs="helvetica"/>
          <w:color w:val="auto"/>
          <w:sz w:val="27"/>
          <w:highlight w:val="none"/>
        </w:rPr>
        <w:t xml:space="preserve"> </w:t>
      </w:r>
    </w:p>
    <w:p>
      <w:pPr>
        <w:pStyle w:val="6"/>
        <w:shd w:val="clear" w:color="010000" w:fill="FFFFFF"/>
        <w:spacing w:before="0" w:after="0"/>
        <w:ind w:left="0" w:right="0"/>
        <w:jc w:val="center"/>
        <w:rPr>
          <w:rFonts w:ascii="helvetica" w:hAnsi="helvetica" w:eastAsia="helvetica" w:cs="helvetica"/>
          <w:color w:val="auto"/>
          <w:sz w:val="27"/>
          <w:highlight w:val="none"/>
          <w:u w:val="single"/>
        </w:rPr>
      </w:pPr>
      <w:r>
        <w:rPr>
          <w:rFonts w:ascii="宋体" w:hAnsi="宋体" w:eastAsia="宋体" w:cs="宋体"/>
          <w:color w:val="auto"/>
          <w:sz w:val="28"/>
          <w:highlight w:val="none"/>
        </w:rPr>
        <w:t>项目名称：</w:t>
      </w:r>
      <w:r>
        <w:rPr>
          <w:rFonts w:ascii="helvetica" w:hAnsi="helvetica" w:eastAsia="helvetica" w:cs="helvetica"/>
          <w:color w:val="auto"/>
          <w:sz w:val="27"/>
          <w:highlight w:val="none"/>
          <w:u w:val="single"/>
        </w:rPr>
        <w:t xml:space="preserve">                           </w:t>
      </w:r>
    </w:p>
    <w:p>
      <w:pPr>
        <w:pStyle w:val="6"/>
        <w:shd w:val="clear" w:color="010000" w:fill="FFFFFF"/>
        <w:ind w:firstLine="560" w:firstLineChars="200"/>
        <w:jc w:val="center"/>
        <w:rPr>
          <w:rFonts w:ascii="宋体" w:hAnsi="宋体" w:eastAsia="宋体" w:cs="宋体"/>
          <w:color w:val="auto"/>
          <w:sz w:val="28"/>
          <w:highlight w:val="none"/>
        </w:rPr>
      </w:pPr>
      <w:r>
        <w:rPr>
          <w:rFonts w:ascii="宋体" w:hAnsi="宋体" w:eastAsia="宋体" w:cs="宋体"/>
          <w:color w:val="auto"/>
          <w:sz w:val="28"/>
          <w:highlight w:val="none"/>
        </w:rPr>
        <w:t>签订地点：广州市越秀区</w:t>
      </w:r>
    </w:p>
    <w:p>
      <w:pPr>
        <w:pStyle w:val="6"/>
        <w:shd w:val="clear" w:color="010000" w:fill="FFFFFF"/>
        <w:spacing w:before="0" w:after="0"/>
        <w:ind w:left="0" w:right="0"/>
        <w:jc w:val="center"/>
        <w:rPr>
          <w:color w:val="auto"/>
          <w:highlight w:val="none"/>
        </w:rPr>
      </w:pPr>
      <w:r>
        <w:rPr>
          <w:rFonts w:ascii="helvetica" w:hAnsi="helvetica" w:eastAsia="helvetica" w:cs="helvetica"/>
          <w:color w:val="auto"/>
          <w:sz w:val="27"/>
          <w:highlight w:val="none"/>
          <w:u w:val="single"/>
        </w:rPr>
        <w:t xml:space="preserve">  </w:t>
      </w:r>
    </w:p>
    <w:p>
      <w:pPr>
        <w:pStyle w:val="6"/>
        <w:shd w:val="clear" w:color="010000" w:fill="FFFFFF"/>
        <w:spacing w:before="0" w:after="0"/>
        <w:ind w:left="0" w:right="0"/>
        <w:rPr>
          <w:color w:val="auto"/>
          <w:highlight w:val="none"/>
        </w:rPr>
      </w:pPr>
      <w:r>
        <w:rPr>
          <w:rFonts w:ascii="helvetica" w:hAnsi="helvetica" w:eastAsia="helvetica" w:cs="helvetica"/>
          <w:color w:val="auto"/>
          <w:sz w:val="27"/>
          <w:highlight w:val="none"/>
        </w:rPr>
        <w:t xml:space="preserve"> </w:t>
      </w:r>
    </w:p>
    <w:p>
      <w:pPr>
        <w:pStyle w:val="6"/>
        <w:shd w:val="clear" w:color="010000" w:fill="FFFFFF"/>
        <w:spacing w:before="0" w:after="0"/>
        <w:ind w:left="0" w:right="0"/>
        <w:jc w:val="left"/>
        <w:rPr>
          <w:color w:val="auto"/>
          <w:highlight w:val="none"/>
        </w:rPr>
      </w:pPr>
      <w:r>
        <w:rPr>
          <w:rFonts w:ascii="helvetica" w:hAnsi="helvetica" w:eastAsia="helvetica" w:cs="helvetica"/>
          <w:color w:val="auto"/>
          <w:sz w:val="27"/>
          <w:highlight w:val="none"/>
        </w:rPr>
        <w:t xml:space="preserve"> </w:t>
      </w:r>
    </w:p>
    <w:p>
      <w:pPr>
        <w:rPr>
          <w:rFonts w:ascii="Times New Roman" w:hAnsi="Times New Roman"/>
          <w:b/>
          <w:color w:val="auto"/>
          <w:sz w:val="27"/>
          <w:highlight w:val="none"/>
        </w:rPr>
      </w:pPr>
      <w:r>
        <w:rPr>
          <w:rFonts w:ascii="Times New Roman" w:hAnsi="Times New Roman"/>
          <w:b/>
          <w:color w:val="auto"/>
          <w:sz w:val="27"/>
          <w:highlight w:val="none"/>
        </w:rPr>
        <w:t>甲方：中国共产党广州市委员会政法委员会</w:t>
      </w:r>
    </w:p>
    <w:p>
      <w:pPr>
        <w:rPr>
          <w:rFonts w:hint="default" w:ascii="Times New Roman" w:hAnsi="Times New Roman" w:eastAsia="宋体"/>
          <w:b/>
          <w:color w:val="auto"/>
          <w:sz w:val="27"/>
          <w:highlight w:val="none"/>
          <w:lang w:val="en-US" w:eastAsia="zh-CN"/>
        </w:rPr>
      </w:pPr>
      <w:r>
        <w:rPr>
          <w:rFonts w:ascii="Times New Roman" w:hAnsi="Times New Roman"/>
          <w:b/>
          <w:color w:val="auto"/>
          <w:sz w:val="27"/>
          <w:highlight w:val="none"/>
        </w:rPr>
        <w:t>乙方：</w:t>
      </w:r>
    </w:p>
    <w:p>
      <w:pPr>
        <w:rPr>
          <w:rFonts w:ascii="Times New Roman" w:hAnsi="Times New Roman"/>
          <w:color w:val="auto"/>
          <w:highlight w:val="none"/>
        </w:rPr>
      </w:pPr>
    </w:p>
    <w:p>
      <w:pPr>
        <w:spacing w:line="360" w:lineRule="auto"/>
        <w:ind w:firstLine="588" w:firstLineChars="218"/>
        <w:rPr>
          <w:rFonts w:ascii="宋体" w:hAnsi="宋体" w:cs="宋体"/>
          <w:color w:val="auto"/>
          <w:sz w:val="24"/>
          <w:highlight w:val="none"/>
        </w:rPr>
      </w:pPr>
      <w:r>
        <w:rPr>
          <w:rFonts w:hint="eastAsia" w:ascii="宋体" w:hAnsi="宋体" w:eastAsia="宋体" w:cs="宋体"/>
          <w:color w:val="auto"/>
          <w:sz w:val="27"/>
          <w:highlight w:val="none"/>
        </w:rPr>
        <w:t>根据《中华人民共和国民法典》及“</w:t>
      </w:r>
      <w:r>
        <w:rPr>
          <w:rFonts w:hint="eastAsia" w:ascii="宋体" w:hAnsi="宋体" w:eastAsia="宋体" w:cs="宋体"/>
          <w:color w:val="auto"/>
          <w:sz w:val="27"/>
          <w:highlight w:val="none"/>
          <w:u w:val="single"/>
          <w:lang w:val="en-US" w:eastAsia="zh-CN"/>
        </w:rPr>
        <w:t xml:space="preserve">  </w:t>
      </w:r>
      <w:r>
        <w:rPr>
          <w:rFonts w:hint="eastAsia" w:ascii="宋体" w:hAnsi="宋体" w:eastAsia="宋体" w:cs="宋体"/>
          <w:color w:val="auto"/>
          <w:sz w:val="27"/>
          <w:highlight w:val="none"/>
          <w:u w:val="none"/>
        </w:rPr>
        <w:t>项目”（以下简称：监理项目）</w:t>
      </w:r>
      <w:r>
        <w:rPr>
          <w:rFonts w:hint="eastAsia" w:ascii="宋体" w:hAnsi="宋体" w:eastAsia="宋体" w:cs="宋体"/>
          <w:color w:val="auto"/>
          <w:sz w:val="27"/>
          <w:highlight w:val="none"/>
        </w:rPr>
        <w:t>招标文件的要求和乙方投标承诺，经甲乙双方协商一致，签订本合同。双方共同遵守如下条款。</w:t>
      </w:r>
    </w:p>
    <w:p>
      <w:pPr>
        <w:pStyle w:val="2"/>
        <w:numPr>
          <w:ilvl w:val="0"/>
          <w:numId w:val="1"/>
        </w:numPr>
        <w:tabs>
          <w:tab w:val="left" w:pos="567"/>
        </w:tabs>
        <w:spacing w:before="200" w:after="200" w:line="360" w:lineRule="auto"/>
        <w:ind w:left="227" w:hanging="227"/>
        <w:jc w:val="left"/>
        <w:rPr>
          <w:rFonts w:ascii="黑体" w:hAnsi="黑体" w:eastAsia="黑体"/>
          <w:color w:val="auto"/>
          <w:sz w:val="28"/>
          <w:szCs w:val="28"/>
          <w:highlight w:val="none"/>
        </w:rPr>
      </w:pPr>
      <w:r>
        <w:rPr>
          <w:rFonts w:hint="eastAsia" w:ascii="黑体" w:hAnsi="黑体" w:eastAsia="黑体"/>
          <w:color w:val="auto"/>
          <w:sz w:val="28"/>
          <w:szCs w:val="28"/>
          <w:highlight w:val="none"/>
        </w:rPr>
        <w:t>总则</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（一）监理项目名称：</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项目监理服务项目。</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（二）本合同甲、乙双方必须遵守《中华人民共和国民法典》之规定，并各自履行应负的全部责任。</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（三）本合同所称“所监理的项目”（或简称“项目”），是指</w:t>
      </w:r>
      <w:r>
        <w:rPr>
          <w:rFonts w:hint="eastAsia" w:ascii="宋体" w:hAnsi="宋体" w:cs="宋体"/>
          <w:bCs/>
          <w:color w:val="auto"/>
          <w:sz w:val="24"/>
          <w:highlight w:val="none"/>
          <w:u w:val="single"/>
          <w:lang w:val="en-US" w:eastAsia="zh-CN"/>
        </w:rPr>
        <w:t xml:space="preserve">    </w:t>
      </w:r>
      <w:r>
        <w:rPr>
          <w:rFonts w:hint="eastAsia" w:ascii="宋体" w:hAnsi="宋体" w:cs="宋体"/>
          <w:bCs/>
          <w:color w:val="auto"/>
          <w:sz w:val="24"/>
          <w:highlight w:val="none"/>
        </w:rPr>
        <w:t>项目</w:t>
      </w:r>
      <w:r>
        <w:rPr>
          <w:rFonts w:hint="eastAsia" w:ascii="宋体" w:hAnsi="宋体" w:cs="宋体"/>
          <w:bCs/>
          <w:color w:val="auto"/>
          <w:sz w:val="24"/>
          <w:highlight w:val="none"/>
          <w:lang w:val="en-US" w:eastAsia="zh-CN"/>
        </w:rPr>
        <w:t>运维</w:t>
      </w:r>
      <w:r>
        <w:rPr>
          <w:rFonts w:hint="eastAsia" w:ascii="宋体" w:hAnsi="宋体" w:cs="宋体"/>
          <w:color w:val="auto"/>
          <w:sz w:val="24"/>
          <w:highlight w:val="none"/>
        </w:rPr>
        <w:t>内容。</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（四）乙方根据甲方的需要和委托，提供符合甲方建设需求的监理服务工作。</w:t>
      </w:r>
    </w:p>
    <w:p>
      <w:pPr>
        <w:pStyle w:val="2"/>
        <w:numPr>
          <w:ilvl w:val="0"/>
          <w:numId w:val="1"/>
        </w:numPr>
        <w:tabs>
          <w:tab w:val="left" w:pos="567"/>
        </w:tabs>
        <w:spacing w:before="200" w:after="200" w:line="360" w:lineRule="auto"/>
        <w:ind w:left="227" w:hanging="227"/>
        <w:jc w:val="left"/>
        <w:rPr>
          <w:rFonts w:ascii="黑体" w:hAnsi="黑体" w:eastAsia="黑体"/>
          <w:color w:val="auto"/>
          <w:sz w:val="28"/>
          <w:szCs w:val="28"/>
          <w:highlight w:val="none"/>
        </w:rPr>
      </w:pPr>
      <w:r>
        <w:rPr>
          <w:rFonts w:hint="eastAsia" w:ascii="黑体" w:hAnsi="黑体" w:eastAsia="黑体"/>
          <w:color w:val="auto"/>
          <w:sz w:val="28"/>
          <w:szCs w:val="28"/>
          <w:highlight w:val="none"/>
        </w:rPr>
        <w:t>监理服务范围</w:t>
      </w:r>
    </w:p>
    <w:p>
      <w:pPr>
        <w:numPr>
          <w:ilvl w:val="0"/>
          <w:numId w:val="2"/>
        </w:numPr>
        <w:autoSpaceDE w:val="0"/>
        <w:autoSpaceDN w:val="0"/>
        <w:adjustRightInd w:val="0"/>
        <w:snapToGrid w:val="0"/>
        <w:spacing w:before="156" w:beforeLines="50" w:after="156" w:afterLines="50"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服务范围</w:t>
      </w:r>
    </w:p>
    <w:p>
      <w:pPr>
        <w:snapToGrid w:val="0"/>
        <w:spacing w:before="156" w:beforeLines="50" w:after="156" w:afterLines="50"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乙方为甲方提供</w:t>
      </w:r>
      <w:r>
        <w:rPr>
          <w:rFonts w:hint="eastAsia" w:ascii="宋体" w:hAnsi="宋体" w:cs="宋体"/>
          <w:bCs/>
          <w:color w:val="auto"/>
          <w:sz w:val="24"/>
          <w:highlight w:val="none"/>
          <w:lang w:val="en-US" w:eastAsia="zh-CN"/>
        </w:rPr>
        <w:t>中共广州市委政法委员会2024-2025年信息化运维</w:t>
      </w:r>
      <w:r>
        <w:rPr>
          <w:rFonts w:hint="eastAsia" w:ascii="宋体" w:hAnsi="宋体" w:cs="宋体"/>
          <w:bCs/>
          <w:color w:val="auto"/>
          <w:sz w:val="24"/>
          <w:highlight w:val="none"/>
        </w:rPr>
        <w:t>项目全过程监理服务，监理范围包括项目实施过程的质量控制、进度控制、成本控制、变更控制、合同管理、安全管理、文档管理、协调等的全过程监理服务。</w:t>
      </w:r>
    </w:p>
    <w:p>
      <w:pPr>
        <w:numPr>
          <w:ilvl w:val="0"/>
          <w:numId w:val="2"/>
        </w:numPr>
        <w:autoSpaceDE w:val="0"/>
        <w:autoSpaceDN w:val="0"/>
        <w:adjustRightInd w:val="0"/>
        <w:snapToGrid w:val="0"/>
        <w:spacing w:before="156" w:beforeLines="50" w:after="156" w:afterLines="50"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服务周期</w:t>
      </w:r>
    </w:p>
    <w:p>
      <w:pPr>
        <w:snapToGrid w:val="0"/>
        <w:spacing w:before="156" w:beforeLines="50" w:after="156" w:afterLines="50" w:line="360" w:lineRule="auto"/>
        <w:ind w:firstLine="480" w:firstLineChars="200"/>
        <w:rPr>
          <w:rFonts w:ascii="宋体" w:hAnsi="宋体"/>
          <w:color w:val="auto"/>
          <w:sz w:val="24"/>
          <w:highlight w:val="none"/>
        </w:rPr>
      </w:pPr>
      <w:r>
        <w:rPr>
          <w:rFonts w:hint="eastAsia" w:ascii="宋体" w:hAnsi="宋体" w:cs="宋体"/>
          <w:bCs/>
          <w:color w:val="auto"/>
          <w:sz w:val="24"/>
          <w:highlight w:val="none"/>
        </w:rPr>
        <w:t>自双方签订监理合同完成之日起，</w:t>
      </w:r>
      <w:r>
        <w:rPr>
          <w:rFonts w:ascii="宋体" w:hAnsi="宋体"/>
          <w:color w:val="auto"/>
          <w:sz w:val="24"/>
          <w:highlight w:val="none"/>
        </w:rPr>
        <w:t>至</w:t>
      </w:r>
      <w:r>
        <w:rPr>
          <w:rFonts w:hint="eastAsia" w:ascii="宋体" w:hAnsi="宋体"/>
          <w:color w:val="auto"/>
          <w:sz w:val="24"/>
          <w:highlight w:val="none"/>
        </w:rPr>
        <w:t>所监理的</w:t>
      </w:r>
      <w:r>
        <w:rPr>
          <w:rFonts w:ascii="宋体" w:hAnsi="宋体"/>
          <w:color w:val="auto"/>
          <w:sz w:val="24"/>
          <w:highlight w:val="none"/>
        </w:rPr>
        <w:t>项目</w:t>
      </w:r>
      <w:r>
        <w:rPr>
          <w:rFonts w:hint="eastAsia" w:ascii="宋体" w:hAnsi="宋体"/>
          <w:color w:val="auto"/>
          <w:sz w:val="24"/>
          <w:highlight w:val="none"/>
        </w:rPr>
        <w:t>通过信息化主管部门组织的项目最终验收</w:t>
      </w:r>
      <w:r>
        <w:rPr>
          <w:rFonts w:ascii="宋体" w:hAnsi="宋体"/>
          <w:color w:val="auto"/>
          <w:sz w:val="24"/>
          <w:highlight w:val="none"/>
        </w:rPr>
        <w:t>止</w:t>
      </w:r>
      <w:r>
        <w:rPr>
          <w:rFonts w:hint="eastAsia" w:ascii="宋体" w:hAnsi="宋体"/>
          <w:color w:val="auto"/>
          <w:sz w:val="24"/>
          <w:highlight w:val="none"/>
        </w:rPr>
        <w:t>。</w:t>
      </w:r>
    </w:p>
    <w:p>
      <w:pPr>
        <w:pStyle w:val="2"/>
        <w:numPr>
          <w:ilvl w:val="0"/>
          <w:numId w:val="1"/>
        </w:numPr>
        <w:tabs>
          <w:tab w:val="left" w:pos="567"/>
        </w:tabs>
        <w:spacing w:before="200" w:after="200" w:line="360" w:lineRule="auto"/>
        <w:ind w:left="227" w:hanging="227"/>
        <w:jc w:val="left"/>
        <w:rPr>
          <w:rFonts w:hint="eastAsia" w:ascii="黑体" w:hAnsi="黑体" w:eastAsia="黑体"/>
          <w:color w:val="auto"/>
          <w:sz w:val="28"/>
          <w:szCs w:val="28"/>
          <w:highlight w:val="none"/>
        </w:rPr>
      </w:pPr>
      <w:r>
        <w:rPr>
          <w:rFonts w:hint="eastAsia" w:ascii="黑体" w:hAnsi="黑体" w:eastAsia="黑体"/>
          <w:color w:val="auto"/>
          <w:sz w:val="28"/>
          <w:szCs w:val="28"/>
          <w:highlight w:val="none"/>
        </w:rPr>
        <w:t>监理服务目标</w:t>
      </w:r>
    </w:p>
    <w:p>
      <w:pPr>
        <w:snapToGrid w:val="0"/>
        <w:spacing w:before="156" w:beforeLines="50" w:after="156" w:afterLines="50"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以《广州市政务信息化项目管理办法（2022年修订稿）》等广州市政务服务数据管理局相关要求及相关法律法规为准绳，以国家、省和行业相关标准规范及项目合同等为依据，通过“控制”、“管理”、“协调”的手段，对项目过程进行监督、管控、指导、评价，确保相关建设项目达到质量、进度、投资、风险等控制目标。</w:t>
      </w:r>
    </w:p>
    <w:p>
      <w:pPr>
        <w:snapToGrid w:val="0"/>
        <w:spacing w:before="156" w:beforeLines="50" w:after="156" w:afterLines="50"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1.投资目标。投资金额不超过合同规定金额。</w:t>
      </w:r>
    </w:p>
    <w:p>
      <w:pPr>
        <w:snapToGrid w:val="0"/>
        <w:spacing w:before="156" w:beforeLines="50" w:after="156" w:afterLines="50"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2.工期目标。确保项目在合同规定的期限内竣工验收，并投入使用。</w:t>
      </w:r>
    </w:p>
    <w:p>
      <w:pPr>
        <w:snapToGrid w:val="0"/>
        <w:spacing w:before="156" w:beforeLines="50" w:after="156" w:afterLines="50"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3.质量目标。实现合同和设计方案的各项功能，并符合设计方案的质量标准，将系统建设成一个先进、实用、体现当代高新技术水平的信息化建设工程，同时保证系统的可靠性、安全性和高性能。</w:t>
      </w:r>
    </w:p>
    <w:p>
      <w:pPr>
        <w:pStyle w:val="2"/>
        <w:numPr>
          <w:ilvl w:val="0"/>
          <w:numId w:val="1"/>
        </w:numPr>
        <w:tabs>
          <w:tab w:val="left" w:pos="567"/>
        </w:tabs>
        <w:spacing w:before="200" w:after="200" w:line="360" w:lineRule="auto"/>
        <w:ind w:left="227" w:hanging="227"/>
        <w:jc w:val="left"/>
        <w:rPr>
          <w:rFonts w:hint="eastAsia" w:ascii="黑体" w:hAnsi="黑体" w:eastAsia="黑体"/>
          <w:color w:val="auto"/>
          <w:sz w:val="28"/>
          <w:szCs w:val="28"/>
          <w:highlight w:val="none"/>
        </w:rPr>
      </w:pPr>
      <w:r>
        <w:rPr>
          <w:rFonts w:hint="eastAsia" w:ascii="黑体" w:hAnsi="黑体" w:eastAsia="黑体"/>
          <w:color w:val="auto"/>
          <w:sz w:val="28"/>
          <w:szCs w:val="28"/>
          <w:highlight w:val="none"/>
        </w:rPr>
        <w:t>监理服务依据</w:t>
      </w:r>
    </w:p>
    <w:p>
      <w:pPr>
        <w:snapToGrid w:val="0"/>
        <w:spacing w:before="156" w:beforeLines="50" w:after="156" w:afterLines="50"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1.监理行业的有关文件</w:t>
      </w:r>
    </w:p>
    <w:p>
      <w:pPr>
        <w:snapToGrid w:val="0"/>
        <w:spacing w:before="156" w:beforeLines="50" w:after="156" w:afterLines="50"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（1）信息系统工程监理工程师资格管理办法；</w:t>
      </w:r>
    </w:p>
    <w:p>
      <w:pPr>
        <w:snapToGrid w:val="0"/>
        <w:spacing w:before="156" w:beforeLines="50" w:after="156" w:afterLines="50" w:line="360" w:lineRule="auto"/>
        <w:ind w:firstLine="480" w:firstLineChars="20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（2）GB/T19668.1-2014《信息技术服务监理第1部分：总则》</w:t>
      </w:r>
      <w:r>
        <w:rPr>
          <w:rFonts w:hint="eastAsia" w:ascii="宋体" w:hAnsi="宋体" w:cs="宋体"/>
          <w:bCs/>
          <w:color w:val="auto"/>
          <w:sz w:val="24"/>
          <w:highlight w:val="none"/>
          <w:lang w:eastAsia="zh-CN"/>
        </w:rPr>
        <w:t>；</w:t>
      </w:r>
    </w:p>
    <w:p>
      <w:pPr>
        <w:snapToGrid w:val="0"/>
        <w:spacing w:before="156" w:beforeLines="50" w:after="156" w:afterLines="50" w:line="360" w:lineRule="auto"/>
        <w:ind w:firstLine="480" w:firstLineChars="20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（3）GB/T19668.2-2017《信息技术服务监理第2部分：基础设施工程监理规范》</w:t>
      </w:r>
      <w:r>
        <w:rPr>
          <w:rFonts w:hint="eastAsia" w:ascii="宋体" w:hAnsi="宋体" w:cs="宋体"/>
          <w:bCs/>
          <w:color w:val="auto"/>
          <w:sz w:val="24"/>
          <w:highlight w:val="none"/>
          <w:lang w:eastAsia="zh-CN"/>
        </w:rPr>
        <w:t>；</w:t>
      </w:r>
    </w:p>
    <w:p>
      <w:pPr>
        <w:snapToGrid w:val="0"/>
        <w:spacing w:before="156" w:beforeLines="50" w:after="156" w:afterLines="50" w:line="360" w:lineRule="auto"/>
        <w:ind w:firstLine="480" w:firstLineChars="20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（4）GB/T19668.3-2017《信息技术服务监理第3部分：运行维护监理规范》</w:t>
      </w:r>
      <w:r>
        <w:rPr>
          <w:rFonts w:hint="eastAsia" w:ascii="宋体" w:hAnsi="宋体" w:cs="宋体"/>
          <w:bCs/>
          <w:color w:val="auto"/>
          <w:sz w:val="24"/>
          <w:highlight w:val="none"/>
          <w:lang w:eastAsia="zh-CN"/>
        </w:rPr>
        <w:t>；</w:t>
      </w:r>
    </w:p>
    <w:p>
      <w:pPr>
        <w:snapToGrid w:val="0"/>
        <w:spacing w:before="156" w:beforeLines="50" w:after="156" w:afterLines="50" w:line="360" w:lineRule="auto"/>
        <w:ind w:firstLine="480" w:firstLineChars="20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（5）GB/T19668.4-2017《信息技术服务监理第4部分：信息安全监理规范》</w:t>
      </w:r>
      <w:r>
        <w:rPr>
          <w:rFonts w:hint="eastAsia" w:ascii="宋体" w:hAnsi="宋体" w:cs="宋体"/>
          <w:bCs/>
          <w:color w:val="auto"/>
          <w:sz w:val="24"/>
          <w:highlight w:val="none"/>
          <w:lang w:eastAsia="zh-CN"/>
        </w:rPr>
        <w:t>；</w:t>
      </w:r>
    </w:p>
    <w:p>
      <w:pPr>
        <w:snapToGrid w:val="0"/>
        <w:spacing w:before="156" w:beforeLines="50" w:after="156" w:afterLines="50" w:line="360" w:lineRule="auto"/>
        <w:ind w:firstLine="480" w:firstLineChars="20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（6）GB/T19668.5-2018《信息技术服务监理第5部分：软件工程监理规范》</w:t>
      </w:r>
      <w:r>
        <w:rPr>
          <w:rFonts w:hint="eastAsia" w:ascii="宋体" w:hAnsi="宋体" w:cs="宋体"/>
          <w:bCs/>
          <w:color w:val="auto"/>
          <w:sz w:val="24"/>
          <w:highlight w:val="none"/>
          <w:lang w:eastAsia="zh-CN"/>
        </w:rPr>
        <w:t>；</w:t>
      </w:r>
    </w:p>
    <w:p>
      <w:pPr>
        <w:snapToGrid w:val="0"/>
        <w:spacing w:before="156" w:beforeLines="50" w:after="156" w:afterLines="50" w:line="360" w:lineRule="auto"/>
        <w:ind w:firstLine="480" w:firstLineChars="20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（7）GB/T19668.6-2019《信息技术服务监理第6部分：应用系统：数据中心工程监理规范》</w:t>
      </w:r>
      <w:r>
        <w:rPr>
          <w:rFonts w:hint="eastAsia" w:ascii="宋体" w:hAnsi="宋体" w:cs="宋体"/>
          <w:bCs/>
          <w:color w:val="auto"/>
          <w:sz w:val="24"/>
          <w:highlight w:val="none"/>
          <w:lang w:eastAsia="zh-CN"/>
        </w:rPr>
        <w:t>；</w:t>
      </w:r>
    </w:p>
    <w:p>
      <w:pPr>
        <w:snapToGrid w:val="0"/>
        <w:spacing w:before="156" w:beforeLines="50" w:after="156" w:afterLines="50" w:line="360" w:lineRule="auto"/>
        <w:ind w:firstLine="480" w:firstLineChars="20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（8）SJ/T11684-2018《信息技术服务信息系统服务监理规范》</w:t>
      </w:r>
      <w:r>
        <w:rPr>
          <w:rFonts w:hint="eastAsia" w:ascii="宋体" w:hAnsi="宋体" w:cs="宋体"/>
          <w:bCs/>
          <w:color w:val="auto"/>
          <w:sz w:val="24"/>
          <w:highlight w:val="none"/>
          <w:lang w:eastAsia="zh-CN"/>
        </w:rPr>
        <w:t>。</w:t>
      </w:r>
    </w:p>
    <w:p>
      <w:pPr>
        <w:snapToGrid w:val="0"/>
        <w:spacing w:before="156" w:beforeLines="50" w:after="156" w:afterLines="50" w:line="360" w:lineRule="auto"/>
        <w:ind w:firstLine="480" w:firstLineChars="20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2.信息系统建设有关的标准、规范或文件</w:t>
      </w:r>
      <w:r>
        <w:rPr>
          <w:rFonts w:hint="eastAsia" w:ascii="宋体" w:hAnsi="宋体" w:cs="宋体"/>
          <w:bCs/>
          <w:color w:val="auto"/>
          <w:sz w:val="24"/>
          <w:highlight w:val="none"/>
          <w:lang w:eastAsia="zh-CN"/>
        </w:rPr>
        <w:t>。</w:t>
      </w:r>
    </w:p>
    <w:p>
      <w:pPr>
        <w:snapToGrid w:val="0"/>
        <w:spacing w:before="156" w:beforeLines="50" w:after="156" w:afterLines="50"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3.项目的招投标文件、合同、建设方案等文件。</w:t>
      </w:r>
    </w:p>
    <w:p>
      <w:pPr>
        <w:snapToGrid w:val="0"/>
        <w:spacing w:before="156" w:beforeLines="50" w:after="156" w:afterLines="50"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4.《广州市政务信息化项目管理办法（2022年修订稿）》等广州市政务服务数据管理局相关要求。</w:t>
      </w:r>
    </w:p>
    <w:p>
      <w:pPr>
        <w:pStyle w:val="2"/>
        <w:numPr>
          <w:ilvl w:val="0"/>
          <w:numId w:val="1"/>
        </w:numPr>
        <w:tabs>
          <w:tab w:val="left" w:pos="567"/>
        </w:tabs>
        <w:spacing w:before="200" w:after="200" w:line="360" w:lineRule="auto"/>
        <w:ind w:left="227" w:hanging="227"/>
        <w:jc w:val="left"/>
        <w:rPr>
          <w:rFonts w:hint="eastAsia" w:ascii="黑体" w:hAnsi="黑体" w:eastAsia="黑体"/>
          <w:color w:val="auto"/>
          <w:sz w:val="28"/>
          <w:szCs w:val="28"/>
          <w:highlight w:val="none"/>
        </w:rPr>
      </w:pPr>
      <w:r>
        <w:rPr>
          <w:rFonts w:hint="eastAsia" w:ascii="黑体" w:hAnsi="黑体" w:eastAsia="黑体"/>
          <w:color w:val="auto"/>
          <w:sz w:val="28"/>
          <w:szCs w:val="28"/>
          <w:highlight w:val="none"/>
        </w:rPr>
        <w:t>服务内容</w:t>
      </w:r>
    </w:p>
    <w:p>
      <w:pPr>
        <w:snapToGrid w:val="0"/>
        <w:spacing w:before="156" w:beforeLines="50" w:after="156" w:afterLines="50" w:line="360" w:lineRule="auto"/>
        <w:ind w:firstLine="480" w:firstLineChars="200"/>
        <w:rPr>
          <w:rFonts w:ascii="宋体" w:hAnsi="宋体" w:cs="宋体"/>
          <w:b/>
          <w:color w:val="auto"/>
          <w:sz w:val="24"/>
          <w:highlight w:val="none"/>
        </w:rPr>
      </w:pPr>
      <w:r>
        <w:rPr>
          <w:rFonts w:hint="eastAsia" w:ascii="宋体" w:hAnsi="宋体" w:cs="宋体"/>
          <w:b/>
          <w:color w:val="auto"/>
          <w:sz w:val="24"/>
          <w:highlight w:val="none"/>
        </w:rPr>
        <w:t>1.服务内容</w:t>
      </w:r>
    </w:p>
    <w:p>
      <w:pPr>
        <w:snapToGrid w:val="0"/>
        <w:spacing w:before="156" w:beforeLines="50" w:after="156" w:afterLines="50"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乙方</w:t>
      </w:r>
      <w:r>
        <w:rPr>
          <w:rFonts w:ascii="宋体" w:hAnsi="宋体" w:cs="宋体"/>
          <w:bCs/>
          <w:color w:val="auto"/>
          <w:sz w:val="24"/>
          <w:highlight w:val="none"/>
        </w:rPr>
        <w:t>应依照《广州市政务信息化项目管理办法（2022年修订稿）》等广州市政务服务数据管理局相关要求，相关标准以及</w:t>
      </w:r>
      <w:r>
        <w:rPr>
          <w:rFonts w:hint="eastAsia" w:ascii="宋体" w:hAnsi="宋体" w:cs="宋体"/>
          <w:bCs/>
          <w:color w:val="auto"/>
          <w:sz w:val="24"/>
          <w:highlight w:val="none"/>
        </w:rPr>
        <w:t>甲方</w:t>
      </w:r>
      <w:r>
        <w:rPr>
          <w:rFonts w:ascii="宋体" w:hAnsi="宋体" w:cs="宋体"/>
          <w:bCs/>
          <w:color w:val="auto"/>
          <w:sz w:val="24"/>
          <w:highlight w:val="none"/>
        </w:rPr>
        <w:t>制定的各项需求，以保障</w:t>
      </w:r>
      <w:r>
        <w:rPr>
          <w:rFonts w:hint="eastAsia" w:ascii="宋体" w:hAnsi="宋体" w:cs="宋体"/>
          <w:bCs/>
          <w:color w:val="auto"/>
          <w:sz w:val="24"/>
          <w:highlight w:val="none"/>
        </w:rPr>
        <w:t>甲方</w:t>
      </w:r>
      <w:r>
        <w:rPr>
          <w:rFonts w:ascii="宋体" w:hAnsi="宋体" w:cs="宋体"/>
          <w:bCs/>
          <w:color w:val="auto"/>
          <w:sz w:val="24"/>
          <w:highlight w:val="none"/>
        </w:rPr>
        <w:t>的项目质量为目标，本着科学、公正、严格、守信、守纪、守法等相关原则，为甲方提供监理服务。具体的监理内容可分为：工程质量控制、工程进度控制、工程投资的控制、合同的管理、文档的管理、数据安全的管理、知识产权的管理、保密管理和文明施工与安全生产管理及配合项目审计工作等。</w:t>
      </w:r>
    </w:p>
    <w:p>
      <w:pPr>
        <w:snapToGrid w:val="0"/>
        <w:spacing w:before="156" w:beforeLines="50" w:after="156" w:afterLines="50" w:line="360" w:lineRule="auto"/>
        <w:ind w:firstLine="480" w:firstLineChars="200"/>
        <w:rPr>
          <w:rFonts w:ascii="宋体" w:hAnsi="宋体" w:cs="宋体"/>
          <w:bCs/>
          <w:color w:val="auto"/>
          <w:sz w:val="24"/>
          <w:highlight w:val="none"/>
        </w:rPr>
      </w:pPr>
      <w:r>
        <w:rPr>
          <w:rFonts w:ascii="宋体" w:hAnsi="宋体" w:cs="宋体"/>
          <w:bCs/>
          <w:color w:val="auto"/>
          <w:sz w:val="24"/>
          <w:highlight w:val="none"/>
        </w:rPr>
        <w:t>具体监理任务的主要工作包括但不限于以下内容，描述如下：</w:t>
      </w:r>
    </w:p>
    <w:tbl>
      <w:tblPr>
        <w:tblStyle w:val="4"/>
        <w:tblW w:w="8610"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750"/>
        <w:gridCol w:w="1274"/>
        <w:gridCol w:w="6586"/>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top w:val="single" w:color="000000" w:sz="4" w:space="0"/>
              <w:left w:val="single" w:color="000000" w:sz="4" w:space="0"/>
              <w:bottom w:val="single" w:color="000000" w:sz="4" w:space="0"/>
              <w:right w:val="single" w:color="000000" w:sz="4" w:space="0"/>
            </w:tcBorders>
            <w:shd w:val="clear" w:color="auto" w:fill="D8D8D8"/>
            <w:tcMar>
              <w:top w:w="0" w:type="dxa"/>
              <w:left w:w="105" w:type="dxa"/>
              <w:bottom w:w="0" w:type="dxa"/>
              <w:right w:w="105" w:type="dxa"/>
            </w:tcMar>
            <w:vAlign w:val="center"/>
          </w:tcPr>
          <w:p>
            <w:pPr>
              <w:pStyle w:val="6"/>
              <w:jc w:val="center"/>
              <w:rPr>
                <w:rFonts w:hint="default" w:ascii="宋体" w:hAnsi="宋体"/>
                <w:color w:val="auto"/>
                <w:sz w:val="24"/>
                <w:szCs w:val="24"/>
                <w:highlight w:val="none"/>
              </w:rPr>
            </w:pPr>
            <w:r>
              <w:rPr>
                <w:rFonts w:ascii="宋体" w:hAnsi="宋体"/>
                <w:b/>
                <w:color w:val="auto"/>
                <w:sz w:val="24"/>
                <w:szCs w:val="24"/>
                <w:highlight w:val="none"/>
              </w:rPr>
              <w:t>序号</w:t>
            </w:r>
          </w:p>
        </w:tc>
        <w:tc>
          <w:tcPr>
            <w:tcW w:w="1274" w:type="dxa"/>
            <w:tcBorders>
              <w:top w:val="single" w:color="000000" w:sz="4" w:space="0"/>
              <w:bottom w:val="single" w:color="000000" w:sz="4" w:space="0"/>
              <w:right w:val="single" w:color="000000" w:sz="4" w:space="0"/>
            </w:tcBorders>
            <w:shd w:val="clear" w:color="auto" w:fill="D8D8D8"/>
            <w:tcMar>
              <w:top w:w="0" w:type="dxa"/>
              <w:left w:w="105" w:type="dxa"/>
              <w:bottom w:w="0" w:type="dxa"/>
              <w:right w:w="105" w:type="dxa"/>
            </w:tcMar>
            <w:vAlign w:val="center"/>
          </w:tcPr>
          <w:p>
            <w:pPr>
              <w:pStyle w:val="6"/>
              <w:jc w:val="center"/>
              <w:rPr>
                <w:rFonts w:hint="default"/>
                <w:color w:val="auto"/>
                <w:sz w:val="24"/>
                <w:szCs w:val="24"/>
                <w:highlight w:val="none"/>
              </w:rPr>
            </w:pPr>
            <w:r>
              <w:rPr>
                <w:b/>
                <w:color w:val="auto"/>
                <w:sz w:val="24"/>
                <w:szCs w:val="24"/>
                <w:highlight w:val="none"/>
              </w:rPr>
              <w:t>职  责</w:t>
            </w:r>
          </w:p>
        </w:tc>
        <w:tc>
          <w:tcPr>
            <w:tcW w:w="6586" w:type="dxa"/>
            <w:tcBorders>
              <w:top w:val="single" w:color="000000" w:sz="4" w:space="0"/>
              <w:bottom w:val="single" w:color="000000" w:sz="4" w:space="0"/>
              <w:right w:val="single" w:color="000000" w:sz="4" w:space="0"/>
            </w:tcBorders>
            <w:shd w:val="clear" w:color="auto" w:fill="D8D8D8"/>
            <w:tcMar>
              <w:top w:w="0" w:type="dxa"/>
              <w:left w:w="105" w:type="dxa"/>
              <w:bottom w:w="0" w:type="dxa"/>
              <w:right w:w="105" w:type="dxa"/>
            </w:tcMar>
            <w:vAlign w:val="center"/>
          </w:tcPr>
          <w:p>
            <w:pPr>
              <w:pStyle w:val="6"/>
              <w:jc w:val="center"/>
              <w:rPr>
                <w:rFonts w:hint="default"/>
                <w:color w:val="auto"/>
                <w:sz w:val="24"/>
                <w:szCs w:val="24"/>
                <w:highlight w:val="none"/>
              </w:rPr>
            </w:pPr>
            <w:r>
              <w:rPr>
                <w:b/>
                <w:color w:val="auto"/>
                <w:sz w:val="24"/>
                <w:szCs w:val="24"/>
                <w:highlight w:val="none"/>
              </w:rPr>
              <w:t>具体内容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jc w:val="center"/>
              <w:rPr>
                <w:rFonts w:hint="default" w:ascii="宋体" w:hAnsi="宋体"/>
                <w:color w:val="auto"/>
                <w:sz w:val="24"/>
                <w:szCs w:val="24"/>
                <w:highlight w:val="none"/>
              </w:rPr>
            </w:pPr>
            <w:r>
              <w:rPr>
                <w:rFonts w:ascii="宋体" w:hAnsi="宋体"/>
                <w:color w:val="auto"/>
                <w:sz w:val="24"/>
                <w:szCs w:val="24"/>
                <w:highlight w:val="none"/>
              </w:rPr>
              <w:t>1</w:t>
            </w:r>
          </w:p>
        </w:tc>
        <w:tc>
          <w:tcPr>
            <w:tcW w:w="1274" w:type="dxa"/>
            <w:tcBorders>
              <w:bottom w:val="single" w:color="000000" w:sz="4" w:space="0"/>
              <w:right w:val="single" w:color="000000" w:sz="4" w:space="0"/>
            </w:tcBorders>
            <w:tcMar>
              <w:top w:w="0" w:type="dxa"/>
              <w:left w:w="105" w:type="dxa"/>
              <w:bottom w:w="0" w:type="dxa"/>
              <w:right w:w="105" w:type="dxa"/>
            </w:tcMar>
            <w:vAlign w:val="center"/>
          </w:tcPr>
          <w:p>
            <w:pPr>
              <w:pStyle w:val="6"/>
              <w:jc w:val="center"/>
              <w:rPr>
                <w:rFonts w:hint="default"/>
                <w:color w:val="auto"/>
                <w:sz w:val="24"/>
                <w:szCs w:val="24"/>
                <w:highlight w:val="none"/>
              </w:rPr>
            </w:pPr>
            <w:r>
              <w:rPr>
                <w:color w:val="auto"/>
                <w:sz w:val="24"/>
                <w:szCs w:val="24"/>
                <w:highlight w:val="none"/>
              </w:rPr>
              <w:t>质量控制</w:t>
            </w:r>
          </w:p>
        </w:tc>
        <w:tc>
          <w:tcPr>
            <w:tcW w:w="6586" w:type="dxa"/>
            <w:tcBorders>
              <w:bottom w:val="single" w:color="000000" w:sz="4" w:space="0"/>
              <w:right w:val="single" w:color="000000" w:sz="4" w:space="0"/>
            </w:tcBorders>
            <w:tcMar>
              <w:top w:w="0" w:type="dxa"/>
              <w:left w:w="105" w:type="dxa"/>
              <w:bottom w:w="0" w:type="dxa"/>
              <w:right w:w="105" w:type="dxa"/>
            </w:tcMar>
            <w:vAlign w:val="top"/>
          </w:tcPr>
          <w:p>
            <w:pPr>
              <w:pStyle w:val="6"/>
              <w:spacing w:line="276" w:lineRule="auto"/>
              <w:jc w:val="both"/>
              <w:rPr>
                <w:rFonts w:hint="default"/>
                <w:color w:val="auto"/>
                <w:sz w:val="24"/>
                <w:szCs w:val="24"/>
                <w:highlight w:val="none"/>
              </w:rPr>
            </w:pPr>
            <w:r>
              <w:rPr>
                <w:color w:val="auto"/>
                <w:sz w:val="24"/>
                <w:szCs w:val="24"/>
                <w:highlight w:val="none"/>
              </w:rPr>
              <w:t>监理独立开展项目管理工作，对有关信息化项目建设质量负责，其职责包括：</w:t>
            </w:r>
          </w:p>
          <w:p>
            <w:pPr>
              <w:pStyle w:val="6"/>
              <w:spacing w:line="276" w:lineRule="auto"/>
              <w:jc w:val="both"/>
              <w:rPr>
                <w:rFonts w:hint="default"/>
                <w:color w:val="auto"/>
                <w:sz w:val="24"/>
                <w:szCs w:val="24"/>
                <w:highlight w:val="none"/>
              </w:rPr>
            </w:pPr>
            <w:r>
              <w:rPr>
                <w:color w:val="auto"/>
                <w:sz w:val="24"/>
                <w:szCs w:val="24"/>
                <w:highlight w:val="none"/>
              </w:rPr>
              <w:t>1.</w:t>
            </w:r>
            <w:r>
              <w:rPr>
                <w:rFonts w:hint="eastAsia"/>
                <w:color w:val="auto"/>
                <w:sz w:val="24"/>
                <w:szCs w:val="24"/>
                <w:highlight w:val="none"/>
                <w:lang w:val="en-US"/>
              </w:rPr>
              <w:t>质量控制的监理方法</w:t>
            </w:r>
            <w:r>
              <w:rPr>
                <w:rFonts w:hint="eastAsia"/>
                <w:color w:val="auto"/>
                <w:sz w:val="24"/>
                <w:szCs w:val="24"/>
                <w:highlight w:val="none"/>
                <w:lang w:val="en-US" w:eastAsia="zh-CN"/>
              </w:rPr>
              <w:t>：</w:t>
            </w:r>
            <w:r>
              <w:rPr>
                <w:color w:val="auto"/>
                <w:sz w:val="24"/>
                <w:szCs w:val="24"/>
                <w:highlight w:val="none"/>
              </w:rPr>
              <w:t>对项目全过程进行质量控制、进度控制、成本控制，合同管理、信息管理、风险管理，组织协调等。</w:t>
            </w:r>
          </w:p>
          <w:p>
            <w:pPr>
              <w:pStyle w:val="6"/>
              <w:spacing w:line="276" w:lineRule="auto"/>
              <w:jc w:val="both"/>
              <w:rPr>
                <w:rFonts w:hint="default"/>
                <w:color w:val="auto"/>
                <w:sz w:val="24"/>
                <w:szCs w:val="24"/>
                <w:highlight w:val="none"/>
              </w:rPr>
            </w:pPr>
            <w:r>
              <w:rPr>
                <w:color w:val="auto"/>
                <w:sz w:val="24"/>
                <w:szCs w:val="24"/>
                <w:highlight w:val="none"/>
              </w:rPr>
              <w:t>2.协助签订项目建设合同（由甲方确定是否由监理单位帮助审核、修改合同）, 并跟踪检查合同的执行情况。</w:t>
            </w:r>
          </w:p>
          <w:p>
            <w:pPr>
              <w:pStyle w:val="6"/>
              <w:spacing w:line="276" w:lineRule="auto"/>
              <w:jc w:val="both"/>
              <w:rPr>
                <w:rFonts w:hint="default"/>
                <w:color w:val="auto"/>
                <w:sz w:val="24"/>
                <w:szCs w:val="24"/>
                <w:highlight w:val="none"/>
              </w:rPr>
            </w:pPr>
            <w:r>
              <w:rPr>
                <w:color w:val="auto"/>
                <w:sz w:val="24"/>
                <w:szCs w:val="24"/>
                <w:highlight w:val="none"/>
              </w:rPr>
              <w:t>3.对合同工期的延误和延期进行解释，协助处理项目实施过程出现的合同变更、违约、索赔、延期、分包、纠纷调解及仲裁等问题。</w:t>
            </w:r>
          </w:p>
          <w:p>
            <w:pPr>
              <w:pStyle w:val="6"/>
              <w:spacing w:line="276" w:lineRule="auto"/>
              <w:jc w:val="both"/>
              <w:rPr>
                <w:rFonts w:hint="default"/>
                <w:color w:val="auto"/>
                <w:sz w:val="24"/>
                <w:szCs w:val="24"/>
                <w:highlight w:val="none"/>
              </w:rPr>
            </w:pPr>
            <w:r>
              <w:rPr>
                <w:color w:val="auto"/>
                <w:sz w:val="24"/>
                <w:szCs w:val="24"/>
                <w:highlight w:val="none"/>
              </w:rPr>
              <w:t>4.</w:t>
            </w:r>
            <w:r>
              <w:rPr>
                <w:rFonts w:hint="eastAsia"/>
                <w:color w:val="auto"/>
                <w:sz w:val="24"/>
                <w:szCs w:val="24"/>
                <w:highlight w:val="none"/>
                <w:lang w:val="en-US"/>
              </w:rPr>
              <w:t>质量控制的监理措施</w:t>
            </w:r>
            <w:r>
              <w:rPr>
                <w:rFonts w:hint="eastAsia"/>
                <w:color w:val="auto"/>
                <w:sz w:val="24"/>
                <w:szCs w:val="24"/>
                <w:highlight w:val="none"/>
                <w:lang w:val="en-US" w:eastAsia="zh-CN"/>
              </w:rPr>
              <w:t>：</w:t>
            </w:r>
            <w:r>
              <w:rPr>
                <w:color w:val="auto"/>
                <w:sz w:val="24"/>
                <w:szCs w:val="24"/>
                <w:highlight w:val="none"/>
              </w:rPr>
              <w:t>及时向甲方提交反映项目动态和监理工作情况的项目文档，建立全面、准确反映项目各阶段工程状况的图表、文档，收集、管理项目各类文档和资料，督促、检查中标承建方及时完成各阶段设备资料、工程技术资料的整理和归档工作。</w:t>
            </w:r>
          </w:p>
          <w:p>
            <w:pPr>
              <w:pStyle w:val="6"/>
              <w:spacing w:line="276" w:lineRule="auto"/>
              <w:jc w:val="both"/>
              <w:rPr>
                <w:rFonts w:hint="default"/>
                <w:color w:val="auto"/>
                <w:sz w:val="24"/>
                <w:szCs w:val="24"/>
                <w:highlight w:val="none"/>
              </w:rPr>
            </w:pPr>
            <w:r>
              <w:rPr>
                <w:color w:val="auto"/>
                <w:sz w:val="24"/>
                <w:szCs w:val="24"/>
                <w:highlight w:val="none"/>
              </w:rPr>
              <w:t>5.建立畅通的沟通平台和渠道，使项目信息各方保持顺畅流通，积极协调项目各方关系，推动项目实施过程中问题的解决。</w:t>
            </w:r>
          </w:p>
          <w:p>
            <w:pPr>
              <w:pStyle w:val="6"/>
              <w:spacing w:line="276" w:lineRule="auto"/>
              <w:jc w:val="both"/>
              <w:rPr>
                <w:rFonts w:hint="default"/>
                <w:color w:val="auto"/>
                <w:sz w:val="24"/>
                <w:szCs w:val="24"/>
                <w:highlight w:val="none"/>
              </w:rPr>
            </w:pPr>
            <w:r>
              <w:rPr>
                <w:color w:val="auto"/>
                <w:sz w:val="24"/>
                <w:szCs w:val="24"/>
                <w:highlight w:val="none"/>
              </w:rPr>
              <w:t>6.组织对项目质量事故的原因调查、问题分析、问题评估、事故处理。</w:t>
            </w:r>
          </w:p>
          <w:p>
            <w:pPr>
              <w:pStyle w:val="6"/>
              <w:spacing w:line="276" w:lineRule="auto"/>
              <w:jc w:val="both"/>
              <w:rPr>
                <w:rFonts w:hint="default"/>
                <w:color w:val="auto"/>
                <w:sz w:val="24"/>
                <w:szCs w:val="24"/>
                <w:highlight w:val="none"/>
              </w:rPr>
            </w:pPr>
            <w:r>
              <w:rPr>
                <w:color w:val="auto"/>
                <w:sz w:val="24"/>
                <w:szCs w:val="24"/>
                <w:highlight w:val="none"/>
              </w:rPr>
              <w:t>7.督促承建单位对项目存在问题进行整改。</w:t>
            </w:r>
          </w:p>
          <w:p>
            <w:pPr>
              <w:pStyle w:val="6"/>
              <w:spacing w:line="276" w:lineRule="auto"/>
              <w:jc w:val="both"/>
              <w:rPr>
                <w:rFonts w:hint="default"/>
                <w:color w:val="auto"/>
                <w:sz w:val="24"/>
                <w:szCs w:val="24"/>
                <w:highlight w:val="none"/>
              </w:rPr>
            </w:pPr>
            <w:r>
              <w:rPr>
                <w:color w:val="auto"/>
                <w:sz w:val="24"/>
                <w:szCs w:val="24"/>
                <w:highlight w:val="none"/>
              </w:rPr>
              <w:t>8.监理单位监督检查本项目承建方对培训和售后服务工作的承诺、措施与落实。</w:t>
            </w:r>
          </w:p>
          <w:p>
            <w:pPr>
              <w:pStyle w:val="6"/>
              <w:spacing w:line="276" w:lineRule="auto"/>
              <w:jc w:val="both"/>
              <w:rPr>
                <w:rFonts w:hint="default"/>
                <w:color w:val="auto"/>
                <w:sz w:val="24"/>
                <w:szCs w:val="24"/>
                <w:highlight w:val="none"/>
              </w:rPr>
            </w:pPr>
            <w:r>
              <w:rPr>
                <w:color w:val="auto"/>
                <w:sz w:val="24"/>
                <w:szCs w:val="24"/>
                <w:highlight w:val="none"/>
              </w:rPr>
              <w:t>9.</w:t>
            </w:r>
            <w:r>
              <w:rPr>
                <w:rFonts w:hint="eastAsia"/>
                <w:color w:val="auto"/>
                <w:sz w:val="24"/>
                <w:szCs w:val="24"/>
                <w:highlight w:val="none"/>
                <w:lang w:val="en-US"/>
              </w:rPr>
              <w:t>监理质量监督服务管理体系</w:t>
            </w:r>
            <w:r>
              <w:rPr>
                <w:rFonts w:hint="eastAsia"/>
                <w:color w:val="auto"/>
                <w:sz w:val="24"/>
                <w:szCs w:val="24"/>
                <w:highlight w:val="none"/>
                <w:lang w:val="en-US" w:eastAsia="zh-CN"/>
              </w:rPr>
              <w:t>：</w:t>
            </w:r>
            <w:r>
              <w:rPr>
                <w:color w:val="auto"/>
                <w:sz w:val="24"/>
                <w:szCs w:val="24"/>
                <w:highlight w:val="none"/>
              </w:rPr>
              <w:t>项目日常监理工作应服从甲方安排，组织及参加项目工作会议（包括但不限于项目协调会、项目例会、项目专题研讨会、项目问题通报会、项目阶段及项目验收会、项目专家论证评审会、项目阶段工作总结会等）。</w:t>
            </w:r>
          </w:p>
          <w:p>
            <w:pPr>
              <w:pStyle w:val="6"/>
              <w:spacing w:after="120" w:line="276" w:lineRule="auto"/>
              <w:jc w:val="both"/>
              <w:rPr>
                <w:rFonts w:hint="default"/>
                <w:color w:val="auto"/>
                <w:sz w:val="24"/>
                <w:szCs w:val="24"/>
                <w:highlight w:val="none"/>
              </w:rPr>
            </w:pPr>
            <w:r>
              <w:rPr>
                <w:color w:val="auto"/>
                <w:sz w:val="24"/>
                <w:szCs w:val="24"/>
                <w:highlight w:val="none"/>
              </w:rPr>
              <w:t>10.按照项目建设内容及进度情况组织审查项目建设情况的日报、周报及月报。</w:t>
            </w:r>
          </w:p>
          <w:p>
            <w:pPr>
              <w:pStyle w:val="6"/>
              <w:spacing w:line="276" w:lineRule="auto"/>
              <w:jc w:val="both"/>
              <w:rPr>
                <w:rFonts w:hint="default"/>
                <w:color w:val="auto"/>
                <w:sz w:val="24"/>
                <w:szCs w:val="24"/>
                <w:highlight w:val="none"/>
              </w:rPr>
            </w:pPr>
            <w:r>
              <w:rPr>
                <w:color w:val="auto"/>
                <w:sz w:val="24"/>
                <w:szCs w:val="24"/>
                <w:highlight w:val="none"/>
              </w:rPr>
              <w:t>11.参与项目总结、验收和交接。</w:t>
            </w:r>
          </w:p>
          <w:p>
            <w:pPr>
              <w:pStyle w:val="6"/>
              <w:spacing w:line="276" w:lineRule="auto"/>
              <w:jc w:val="both"/>
              <w:rPr>
                <w:rFonts w:hint="default"/>
                <w:color w:val="auto"/>
                <w:sz w:val="24"/>
                <w:szCs w:val="24"/>
                <w:highlight w:val="none"/>
              </w:rPr>
            </w:pPr>
            <w:r>
              <w:rPr>
                <w:color w:val="auto"/>
                <w:sz w:val="24"/>
                <w:szCs w:val="24"/>
                <w:highlight w:val="none"/>
              </w:rPr>
              <w:t>12.按照甲方要求，开展本项目监理服务过程中的其它相关事宜。</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jc w:val="center"/>
              <w:rPr>
                <w:rFonts w:hint="default" w:ascii="宋体" w:hAnsi="宋体"/>
                <w:color w:val="auto"/>
                <w:sz w:val="24"/>
                <w:szCs w:val="24"/>
                <w:highlight w:val="none"/>
              </w:rPr>
            </w:pPr>
            <w:r>
              <w:rPr>
                <w:rFonts w:ascii="宋体" w:hAnsi="宋体"/>
                <w:color w:val="auto"/>
                <w:sz w:val="24"/>
                <w:szCs w:val="24"/>
                <w:highlight w:val="none"/>
              </w:rPr>
              <w:t>2</w:t>
            </w:r>
          </w:p>
        </w:tc>
        <w:tc>
          <w:tcPr>
            <w:tcW w:w="1274" w:type="dxa"/>
            <w:tcBorders>
              <w:bottom w:val="single" w:color="000000" w:sz="4" w:space="0"/>
              <w:right w:val="single" w:color="000000" w:sz="4" w:space="0"/>
            </w:tcBorders>
            <w:tcMar>
              <w:top w:w="0" w:type="dxa"/>
              <w:left w:w="105" w:type="dxa"/>
              <w:bottom w:w="0" w:type="dxa"/>
              <w:right w:w="105" w:type="dxa"/>
            </w:tcMar>
            <w:vAlign w:val="center"/>
          </w:tcPr>
          <w:p>
            <w:pPr>
              <w:pStyle w:val="6"/>
              <w:jc w:val="center"/>
              <w:rPr>
                <w:rFonts w:hint="default"/>
                <w:color w:val="auto"/>
                <w:sz w:val="24"/>
                <w:szCs w:val="24"/>
                <w:highlight w:val="none"/>
              </w:rPr>
            </w:pPr>
            <w:r>
              <w:rPr>
                <w:color w:val="auto"/>
                <w:sz w:val="24"/>
                <w:szCs w:val="24"/>
                <w:highlight w:val="none"/>
              </w:rPr>
              <w:t>进度控制</w:t>
            </w:r>
          </w:p>
        </w:tc>
        <w:tc>
          <w:tcPr>
            <w:tcW w:w="6586" w:type="dxa"/>
            <w:tcBorders>
              <w:bottom w:val="single" w:color="000000" w:sz="4" w:space="0"/>
              <w:right w:val="single" w:color="000000" w:sz="4" w:space="0"/>
            </w:tcBorders>
            <w:tcMar>
              <w:top w:w="0" w:type="dxa"/>
              <w:left w:w="105" w:type="dxa"/>
              <w:bottom w:w="0" w:type="dxa"/>
              <w:right w:w="105" w:type="dxa"/>
            </w:tcMar>
            <w:vAlign w:val="top"/>
          </w:tcPr>
          <w:p>
            <w:pPr>
              <w:pStyle w:val="6"/>
              <w:spacing w:line="276" w:lineRule="auto"/>
              <w:jc w:val="both"/>
              <w:rPr>
                <w:rFonts w:hint="default"/>
                <w:color w:val="auto"/>
                <w:sz w:val="24"/>
                <w:szCs w:val="24"/>
                <w:highlight w:val="none"/>
              </w:rPr>
            </w:pPr>
            <w:r>
              <w:rPr>
                <w:color w:val="auto"/>
                <w:sz w:val="24"/>
                <w:szCs w:val="24"/>
                <w:highlight w:val="none"/>
              </w:rPr>
              <w:t>1.审查项目的实施计划，并监督计划的执行。</w:t>
            </w:r>
          </w:p>
          <w:p>
            <w:pPr>
              <w:pStyle w:val="6"/>
              <w:spacing w:line="276" w:lineRule="auto"/>
              <w:jc w:val="both"/>
              <w:rPr>
                <w:rFonts w:hint="default"/>
                <w:color w:val="auto"/>
                <w:sz w:val="24"/>
                <w:szCs w:val="24"/>
                <w:highlight w:val="none"/>
              </w:rPr>
            </w:pPr>
            <w:r>
              <w:rPr>
                <w:color w:val="auto"/>
                <w:sz w:val="24"/>
                <w:szCs w:val="24"/>
                <w:highlight w:val="none"/>
              </w:rPr>
              <w:t>2.采用先进的项目管理工具，如：WBS，甘特图等，确定各项目施工工序，确定项目里程碑节点。</w:t>
            </w:r>
          </w:p>
          <w:p>
            <w:pPr>
              <w:pStyle w:val="6"/>
              <w:spacing w:line="276" w:lineRule="auto"/>
              <w:jc w:val="both"/>
              <w:rPr>
                <w:rFonts w:hint="default"/>
                <w:color w:val="auto"/>
                <w:sz w:val="24"/>
                <w:szCs w:val="24"/>
                <w:highlight w:val="none"/>
              </w:rPr>
            </w:pPr>
            <w:r>
              <w:rPr>
                <w:color w:val="auto"/>
                <w:sz w:val="24"/>
                <w:szCs w:val="24"/>
                <w:highlight w:val="none"/>
              </w:rPr>
              <w:t>3.发现项目未能按如期进行时，要求承建单位调整或修改计划，采取必要措施加快进度，以使实际施工进度符合合同的要求。</w:t>
            </w:r>
          </w:p>
          <w:p>
            <w:pPr>
              <w:pStyle w:val="6"/>
              <w:spacing w:line="276" w:lineRule="auto"/>
              <w:jc w:val="both"/>
              <w:rPr>
                <w:rFonts w:hint="default"/>
                <w:color w:val="auto"/>
                <w:sz w:val="24"/>
                <w:szCs w:val="24"/>
                <w:highlight w:val="none"/>
              </w:rPr>
            </w:pPr>
            <w:r>
              <w:rPr>
                <w:color w:val="auto"/>
                <w:sz w:val="24"/>
                <w:szCs w:val="24"/>
                <w:highlight w:val="none"/>
              </w:rPr>
              <w:t>4.当项目进度拖后可能导致合同工期严重延误时，有责任作详细报告分析原因和提出对策，供甲方决策参考。</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jc w:val="center"/>
              <w:rPr>
                <w:rFonts w:hint="default" w:ascii="宋体" w:hAnsi="宋体"/>
                <w:color w:val="auto"/>
                <w:sz w:val="24"/>
                <w:szCs w:val="24"/>
                <w:highlight w:val="none"/>
              </w:rPr>
            </w:pPr>
            <w:r>
              <w:rPr>
                <w:rFonts w:ascii="宋体" w:hAnsi="宋体"/>
                <w:color w:val="auto"/>
                <w:sz w:val="24"/>
                <w:szCs w:val="24"/>
                <w:highlight w:val="none"/>
              </w:rPr>
              <w:t>3</w:t>
            </w:r>
          </w:p>
        </w:tc>
        <w:tc>
          <w:tcPr>
            <w:tcW w:w="1274" w:type="dxa"/>
            <w:tcBorders>
              <w:bottom w:val="single" w:color="000000" w:sz="4" w:space="0"/>
              <w:right w:val="single" w:color="000000" w:sz="4" w:space="0"/>
            </w:tcBorders>
            <w:tcMar>
              <w:top w:w="0" w:type="dxa"/>
              <w:left w:w="105" w:type="dxa"/>
              <w:bottom w:w="0" w:type="dxa"/>
              <w:right w:w="105" w:type="dxa"/>
            </w:tcMar>
            <w:vAlign w:val="center"/>
          </w:tcPr>
          <w:p>
            <w:pPr>
              <w:pStyle w:val="6"/>
              <w:jc w:val="center"/>
              <w:rPr>
                <w:rFonts w:hint="default"/>
                <w:color w:val="auto"/>
                <w:sz w:val="24"/>
                <w:szCs w:val="24"/>
                <w:highlight w:val="none"/>
              </w:rPr>
            </w:pPr>
            <w:r>
              <w:rPr>
                <w:color w:val="auto"/>
                <w:sz w:val="24"/>
                <w:szCs w:val="24"/>
                <w:highlight w:val="none"/>
              </w:rPr>
              <w:t>投资控制</w:t>
            </w:r>
          </w:p>
        </w:tc>
        <w:tc>
          <w:tcPr>
            <w:tcW w:w="6586" w:type="dxa"/>
            <w:tcBorders>
              <w:bottom w:val="single" w:color="000000" w:sz="4" w:space="0"/>
              <w:right w:val="single" w:color="000000" w:sz="4" w:space="0"/>
            </w:tcBorders>
            <w:tcMar>
              <w:top w:w="0" w:type="dxa"/>
              <w:left w:w="105" w:type="dxa"/>
              <w:bottom w:w="0" w:type="dxa"/>
              <w:right w:w="105" w:type="dxa"/>
            </w:tcMar>
            <w:vAlign w:val="top"/>
          </w:tcPr>
          <w:p>
            <w:pPr>
              <w:pStyle w:val="6"/>
              <w:spacing w:line="276" w:lineRule="auto"/>
              <w:jc w:val="both"/>
              <w:rPr>
                <w:rFonts w:hint="default"/>
                <w:color w:val="auto"/>
                <w:sz w:val="24"/>
                <w:szCs w:val="24"/>
                <w:highlight w:val="none"/>
              </w:rPr>
            </w:pPr>
            <w:r>
              <w:rPr>
                <w:color w:val="auto"/>
                <w:sz w:val="24"/>
                <w:szCs w:val="24"/>
                <w:highlight w:val="none"/>
              </w:rPr>
              <w:t>1.协助管理项目经费的使用过程。</w:t>
            </w:r>
          </w:p>
          <w:p>
            <w:pPr>
              <w:pStyle w:val="6"/>
              <w:spacing w:line="276" w:lineRule="auto"/>
              <w:jc w:val="both"/>
              <w:rPr>
                <w:rFonts w:hint="default"/>
                <w:color w:val="auto"/>
                <w:sz w:val="24"/>
                <w:szCs w:val="24"/>
                <w:highlight w:val="none"/>
              </w:rPr>
            </w:pPr>
            <w:r>
              <w:rPr>
                <w:color w:val="auto"/>
                <w:sz w:val="24"/>
                <w:szCs w:val="24"/>
                <w:highlight w:val="none"/>
              </w:rPr>
              <w:t>2.审核承建单位支付申请的合理性，确认项目是否达到可支付节点。</w:t>
            </w:r>
          </w:p>
          <w:p>
            <w:pPr>
              <w:pStyle w:val="6"/>
              <w:spacing w:line="276" w:lineRule="auto"/>
              <w:jc w:val="both"/>
              <w:rPr>
                <w:rFonts w:hint="default"/>
                <w:color w:val="auto"/>
                <w:sz w:val="24"/>
                <w:szCs w:val="24"/>
                <w:highlight w:val="none"/>
              </w:rPr>
            </w:pPr>
            <w:r>
              <w:rPr>
                <w:color w:val="auto"/>
                <w:sz w:val="24"/>
                <w:szCs w:val="24"/>
                <w:highlight w:val="none"/>
              </w:rPr>
              <w:t>3.严格控制和审查项目变更导致的成本变化。</w:t>
            </w:r>
          </w:p>
          <w:p>
            <w:pPr>
              <w:pStyle w:val="6"/>
              <w:spacing w:line="276" w:lineRule="auto"/>
              <w:jc w:val="both"/>
              <w:rPr>
                <w:rFonts w:hint="default"/>
                <w:color w:val="auto"/>
                <w:sz w:val="24"/>
                <w:szCs w:val="24"/>
                <w:highlight w:val="none"/>
              </w:rPr>
            </w:pPr>
            <w:r>
              <w:rPr>
                <w:color w:val="auto"/>
                <w:sz w:val="24"/>
                <w:szCs w:val="24"/>
                <w:highlight w:val="none"/>
              </w:rPr>
              <w:t>4.审核项目量清单和项目竣工结算。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jc w:val="center"/>
              <w:rPr>
                <w:rFonts w:hint="default" w:ascii="宋体" w:hAnsi="宋体"/>
                <w:color w:val="auto"/>
                <w:sz w:val="24"/>
                <w:szCs w:val="24"/>
                <w:highlight w:val="none"/>
              </w:rPr>
            </w:pPr>
            <w:r>
              <w:rPr>
                <w:rFonts w:ascii="宋体" w:hAnsi="宋体"/>
                <w:color w:val="auto"/>
                <w:sz w:val="24"/>
                <w:szCs w:val="24"/>
                <w:highlight w:val="none"/>
              </w:rPr>
              <w:t>4</w:t>
            </w:r>
          </w:p>
        </w:tc>
        <w:tc>
          <w:tcPr>
            <w:tcW w:w="1274" w:type="dxa"/>
            <w:tcBorders>
              <w:bottom w:val="single" w:color="000000" w:sz="4" w:space="0"/>
              <w:right w:val="single" w:color="000000" w:sz="4" w:space="0"/>
            </w:tcBorders>
            <w:tcMar>
              <w:top w:w="0" w:type="dxa"/>
              <w:left w:w="105" w:type="dxa"/>
              <w:bottom w:w="0" w:type="dxa"/>
              <w:right w:w="105" w:type="dxa"/>
            </w:tcMar>
            <w:vAlign w:val="center"/>
          </w:tcPr>
          <w:p>
            <w:pPr>
              <w:pStyle w:val="6"/>
              <w:jc w:val="center"/>
              <w:rPr>
                <w:rFonts w:hint="default"/>
                <w:color w:val="auto"/>
                <w:sz w:val="24"/>
                <w:szCs w:val="24"/>
                <w:highlight w:val="none"/>
              </w:rPr>
            </w:pPr>
            <w:r>
              <w:rPr>
                <w:color w:val="auto"/>
                <w:sz w:val="24"/>
                <w:szCs w:val="24"/>
                <w:highlight w:val="none"/>
              </w:rPr>
              <w:t>变更控制</w:t>
            </w:r>
          </w:p>
        </w:tc>
        <w:tc>
          <w:tcPr>
            <w:tcW w:w="6586" w:type="dxa"/>
            <w:tcBorders>
              <w:bottom w:val="single" w:color="000000" w:sz="4" w:space="0"/>
              <w:right w:val="single" w:color="000000" w:sz="4" w:space="0"/>
            </w:tcBorders>
            <w:tcMar>
              <w:top w:w="0" w:type="dxa"/>
              <w:left w:w="105" w:type="dxa"/>
              <w:bottom w:w="0" w:type="dxa"/>
              <w:right w:w="105" w:type="dxa"/>
            </w:tcMar>
            <w:vAlign w:val="top"/>
          </w:tcPr>
          <w:p>
            <w:pPr>
              <w:pStyle w:val="6"/>
              <w:spacing w:line="276" w:lineRule="auto"/>
              <w:jc w:val="both"/>
              <w:rPr>
                <w:rFonts w:hint="default"/>
                <w:color w:val="auto"/>
                <w:sz w:val="24"/>
                <w:szCs w:val="24"/>
                <w:highlight w:val="none"/>
              </w:rPr>
            </w:pPr>
            <w:r>
              <w:rPr>
                <w:color w:val="auto"/>
                <w:sz w:val="24"/>
                <w:szCs w:val="24"/>
                <w:highlight w:val="none"/>
              </w:rPr>
              <w:t>1.严格控制和审查项目变更申请，判断变更的必要性和合理性，不合理的变更请求应予以否决。</w:t>
            </w:r>
          </w:p>
          <w:p>
            <w:pPr>
              <w:pStyle w:val="6"/>
              <w:spacing w:line="276" w:lineRule="auto"/>
              <w:jc w:val="both"/>
              <w:rPr>
                <w:rFonts w:hint="default"/>
                <w:color w:val="auto"/>
                <w:sz w:val="24"/>
                <w:szCs w:val="24"/>
                <w:highlight w:val="none"/>
              </w:rPr>
            </w:pPr>
            <w:r>
              <w:rPr>
                <w:color w:val="auto"/>
                <w:sz w:val="24"/>
                <w:szCs w:val="24"/>
                <w:highlight w:val="none"/>
              </w:rPr>
              <w:t>2.对变更内容的可行性以及变更影响进行详细评估，包括变更引起项目成本变化和工程量变化。</w:t>
            </w:r>
          </w:p>
          <w:p>
            <w:pPr>
              <w:pStyle w:val="6"/>
              <w:spacing w:line="276" w:lineRule="auto"/>
              <w:jc w:val="both"/>
              <w:rPr>
                <w:rFonts w:hint="default"/>
                <w:color w:val="auto"/>
                <w:sz w:val="24"/>
                <w:szCs w:val="24"/>
                <w:highlight w:val="none"/>
              </w:rPr>
            </w:pPr>
            <w:r>
              <w:rPr>
                <w:color w:val="auto"/>
                <w:sz w:val="24"/>
                <w:szCs w:val="24"/>
                <w:highlight w:val="none"/>
              </w:rPr>
              <w:t>3.组织召开项目变更评审会议，协调三方对变更处理意见的确认。</w:t>
            </w:r>
          </w:p>
          <w:p>
            <w:pPr>
              <w:pStyle w:val="6"/>
              <w:spacing w:line="276" w:lineRule="auto"/>
              <w:jc w:val="both"/>
              <w:rPr>
                <w:rFonts w:hint="default"/>
                <w:color w:val="auto"/>
                <w:sz w:val="24"/>
                <w:szCs w:val="24"/>
                <w:highlight w:val="none"/>
              </w:rPr>
            </w:pPr>
            <w:r>
              <w:rPr>
                <w:color w:val="auto"/>
                <w:sz w:val="24"/>
                <w:szCs w:val="24"/>
                <w:highlight w:val="none"/>
              </w:rPr>
              <w:t>4.对获得批准的变更请求，监督变更的执行过程。</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jc w:val="center"/>
              <w:rPr>
                <w:rFonts w:hint="default" w:ascii="宋体" w:hAnsi="宋体"/>
                <w:color w:val="auto"/>
                <w:sz w:val="24"/>
                <w:szCs w:val="24"/>
                <w:highlight w:val="none"/>
              </w:rPr>
            </w:pPr>
            <w:r>
              <w:rPr>
                <w:rFonts w:ascii="宋体" w:hAnsi="宋体"/>
                <w:color w:val="auto"/>
                <w:sz w:val="24"/>
                <w:szCs w:val="24"/>
                <w:highlight w:val="none"/>
              </w:rPr>
              <w:t>5</w:t>
            </w:r>
          </w:p>
        </w:tc>
        <w:tc>
          <w:tcPr>
            <w:tcW w:w="1274" w:type="dxa"/>
            <w:tcBorders>
              <w:bottom w:val="single" w:color="000000" w:sz="4" w:space="0"/>
              <w:right w:val="single" w:color="000000" w:sz="4" w:space="0"/>
            </w:tcBorders>
            <w:tcMar>
              <w:top w:w="0" w:type="dxa"/>
              <w:left w:w="105" w:type="dxa"/>
              <w:bottom w:w="0" w:type="dxa"/>
              <w:right w:w="105" w:type="dxa"/>
            </w:tcMar>
            <w:vAlign w:val="center"/>
          </w:tcPr>
          <w:p>
            <w:pPr>
              <w:pStyle w:val="6"/>
              <w:jc w:val="center"/>
              <w:rPr>
                <w:rFonts w:hint="default"/>
                <w:color w:val="auto"/>
                <w:sz w:val="24"/>
                <w:szCs w:val="24"/>
                <w:highlight w:val="none"/>
              </w:rPr>
            </w:pPr>
            <w:r>
              <w:rPr>
                <w:color w:val="auto"/>
                <w:sz w:val="24"/>
                <w:szCs w:val="24"/>
                <w:highlight w:val="none"/>
              </w:rPr>
              <w:t>合同管理</w:t>
            </w:r>
          </w:p>
        </w:tc>
        <w:tc>
          <w:tcPr>
            <w:tcW w:w="6586" w:type="dxa"/>
            <w:tcBorders>
              <w:bottom w:val="single" w:color="000000" w:sz="4" w:space="0"/>
              <w:right w:val="single" w:color="000000" w:sz="4" w:space="0"/>
            </w:tcBorders>
            <w:tcMar>
              <w:top w:w="0" w:type="dxa"/>
              <w:left w:w="105" w:type="dxa"/>
              <w:bottom w:w="0" w:type="dxa"/>
              <w:right w:w="105" w:type="dxa"/>
            </w:tcMar>
            <w:vAlign w:val="top"/>
          </w:tcPr>
          <w:p>
            <w:pPr>
              <w:pStyle w:val="6"/>
              <w:spacing w:line="276" w:lineRule="auto"/>
              <w:jc w:val="both"/>
              <w:rPr>
                <w:rFonts w:hint="default"/>
                <w:color w:val="auto"/>
                <w:sz w:val="24"/>
                <w:szCs w:val="24"/>
                <w:highlight w:val="none"/>
              </w:rPr>
            </w:pPr>
            <w:r>
              <w:rPr>
                <w:color w:val="auto"/>
                <w:sz w:val="24"/>
                <w:szCs w:val="24"/>
                <w:highlight w:val="none"/>
              </w:rPr>
              <w:t>1.协助审核项目合同草案，跟踪项目合同签订工作。</w:t>
            </w:r>
          </w:p>
          <w:p>
            <w:pPr>
              <w:pStyle w:val="6"/>
              <w:spacing w:line="276" w:lineRule="auto"/>
              <w:jc w:val="both"/>
              <w:rPr>
                <w:rFonts w:hint="default"/>
                <w:color w:val="auto"/>
                <w:sz w:val="24"/>
                <w:szCs w:val="24"/>
                <w:highlight w:val="none"/>
              </w:rPr>
            </w:pPr>
            <w:r>
              <w:rPr>
                <w:color w:val="auto"/>
                <w:sz w:val="24"/>
                <w:szCs w:val="24"/>
                <w:highlight w:val="none"/>
              </w:rPr>
              <w:t>2.监督项目各方履行合同。</w:t>
            </w:r>
          </w:p>
          <w:p>
            <w:pPr>
              <w:pStyle w:val="6"/>
              <w:spacing w:line="276" w:lineRule="auto"/>
              <w:jc w:val="both"/>
              <w:rPr>
                <w:rFonts w:hint="default"/>
                <w:color w:val="auto"/>
                <w:sz w:val="24"/>
                <w:szCs w:val="24"/>
                <w:highlight w:val="none"/>
              </w:rPr>
            </w:pPr>
            <w:r>
              <w:rPr>
                <w:color w:val="auto"/>
                <w:sz w:val="24"/>
                <w:szCs w:val="24"/>
                <w:highlight w:val="none"/>
              </w:rPr>
              <w:t>3.协助业主处理项目实施的每个过程出现的违约、索赔、延期、分包、纠纷调解及仲裁等问题。</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jc w:val="center"/>
              <w:rPr>
                <w:rFonts w:hint="default" w:ascii="宋体" w:hAnsi="宋体"/>
                <w:color w:val="auto"/>
                <w:sz w:val="24"/>
                <w:szCs w:val="24"/>
                <w:highlight w:val="none"/>
              </w:rPr>
            </w:pPr>
            <w:r>
              <w:rPr>
                <w:rFonts w:ascii="宋体" w:hAnsi="宋体"/>
                <w:color w:val="auto"/>
                <w:sz w:val="24"/>
                <w:szCs w:val="24"/>
                <w:highlight w:val="none"/>
              </w:rPr>
              <w:t>6</w:t>
            </w:r>
          </w:p>
        </w:tc>
        <w:tc>
          <w:tcPr>
            <w:tcW w:w="1274" w:type="dxa"/>
            <w:tcBorders>
              <w:bottom w:val="single" w:color="000000" w:sz="4" w:space="0"/>
              <w:right w:val="single" w:color="000000" w:sz="4" w:space="0"/>
            </w:tcBorders>
            <w:tcMar>
              <w:top w:w="0" w:type="dxa"/>
              <w:left w:w="105" w:type="dxa"/>
              <w:bottom w:w="0" w:type="dxa"/>
              <w:right w:w="105" w:type="dxa"/>
            </w:tcMar>
            <w:vAlign w:val="center"/>
          </w:tcPr>
          <w:p>
            <w:pPr>
              <w:pStyle w:val="6"/>
              <w:jc w:val="center"/>
              <w:rPr>
                <w:rFonts w:hint="default"/>
                <w:color w:val="auto"/>
                <w:sz w:val="24"/>
                <w:szCs w:val="24"/>
                <w:highlight w:val="none"/>
              </w:rPr>
            </w:pPr>
            <w:r>
              <w:rPr>
                <w:color w:val="auto"/>
                <w:sz w:val="24"/>
                <w:szCs w:val="24"/>
                <w:highlight w:val="none"/>
              </w:rPr>
              <w:t>信息管理</w:t>
            </w:r>
          </w:p>
        </w:tc>
        <w:tc>
          <w:tcPr>
            <w:tcW w:w="6586" w:type="dxa"/>
            <w:tcBorders>
              <w:bottom w:val="single" w:color="000000" w:sz="4" w:space="0"/>
              <w:right w:val="single" w:color="000000" w:sz="4" w:space="0"/>
            </w:tcBorders>
            <w:tcMar>
              <w:top w:w="0" w:type="dxa"/>
              <w:left w:w="105" w:type="dxa"/>
              <w:bottom w:w="0" w:type="dxa"/>
              <w:right w:w="105" w:type="dxa"/>
            </w:tcMar>
            <w:vAlign w:val="top"/>
          </w:tcPr>
          <w:p>
            <w:pPr>
              <w:pStyle w:val="6"/>
              <w:spacing w:line="276" w:lineRule="auto"/>
              <w:jc w:val="both"/>
              <w:rPr>
                <w:rFonts w:hint="default"/>
                <w:color w:val="auto"/>
                <w:sz w:val="24"/>
                <w:szCs w:val="24"/>
                <w:highlight w:val="none"/>
              </w:rPr>
            </w:pPr>
            <w:r>
              <w:rPr>
                <w:color w:val="auto"/>
                <w:sz w:val="24"/>
                <w:szCs w:val="24"/>
                <w:highlight w:val="none"/>
              </w:rPr>
              <w:t>1.及时向甲方提交反映项目动态和监理工作情况的相关报告。</w:t>
            </w:r>
          </w:p>
          <w:p>
            <w:pPr>
              <w:pStyle w:val="6"/>
              <w:spacing w:line="276" w:lineRule="auto"/>
              <w:jc w:val="both"/>
              <w:rPr>
                <w:rFonts w:hint="default"/>
                <w:color w:val="auto"/>
                <w:sz w:val="24"/>
                <w:szCs w:val="24"/>
                <w:highlight w:val="none"/>
              </w:rPr>
            </w:pPr>
            <w:r>
              <w:rPr>
                <w:color w:val="auto"/>
                <w:sz w:val="24"/>
                <w:szCs w:val="24"/>
                <w:highlight w:val="none"/>
              </w:rPr>
              <w:t>2.督促、检查承建单位及时提交项目进展报告，以及项目各阶段对应产出的成果文档。</w:t>
            </w:r>
          </w:p>
          <w:p>
            <w:pPr>
              <w:pStyle w:val="6"/>
              <w:spacing w:line="276" w:lineRule="auto"/>
              <w:jc w:val="both"/>
              <w:rPr>
                <w:rFonts w:hint="default"/>
                <w:color w:val="auto"/>
                <w:sz w:val="24"/>
                <w:szCs w:val="24"/>
                <w:highlight w:val="none"/>
              </w:rPr>
            </w:pPr>
            <w:r>
              <w:rPr>
                <w:color w:val="auto"/>
                <w:sz w:val="24"/>
                <w:szCs w:val="24"/>
                <w:highlight w:val="none"/>
              </w:rPr>
              <w:t>3.建立全面、准确反映项目各阶段建设情况的项目档案，收集、管理项目各类文档和资料，定期公布项目质量、进度、成本数据。</w:t>
            </w:r>
          </w:p>
          <w:p>
            <w:pPr>
              <w:pStyle w:val="6"/>
              <w:spacing w:line="276" w:lineRule="auto"/>
              <w:jc w:val="both"/>
              <w:rPr>
                <w:rFonts w:hint="default"/>
                <w:color w:val="auto"/>
                <w:sz w:val="24"/>
                <w:szCs w:val="24"/>
                <w:highlight w:val="none"/>
              </w:rPr>
            </w:pPr>
            <w:r>
              <w:rPr>
                <w:color w:val="auto"/>
                <w:sz w:val="24"/>
                <w:szCs w:val="24"/>
                <w:highlight w:val="none"/>
              </w:rPr>
              <w:t>4.协助做好项目档案整理和归档工作。</w:t>
            </w:r>
          </w:p>
          <w:p>
            <w:pPr>
              <w:pStyle w:val="6"/>
              <w:spacing w:line="276" w:lineRule="auto"/>
              <w:jc w:val="both"/>
              <w:rPr>
                <w:rFonts w:hint="default"/>
                <w:color w:val="auto"/>
                <w:sz w:val="24"/>
                <w:szCs w:val="24"/>
                <w:highlight w:val="none"/>
              </w:rPr>
            </w:pPr>
            <w:r>
              <w:rPr>
                <w:color w:val="auto"/>
                <w:sz w:val="24"/>
                <w:szCs w:val="24"/>
                <w:highlight w:val="none"/>
              </w:rPr>
              <w:t>5.负责项目施工过程中所产生成果的知识产权保护，保证不被非授权使用。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jc w:val="center"/>
              <w:rPr>
                <w:rFonts w:hint="default" w:ascii="宋体" w:hAnsi="宋体"/>
                <w:color w:val="auto"/>
                <w:sz w:val="24"/>
                <w:szCs w:val="24"/>
                <w:highlight w:val="none"/>
              </w:rPr>
            </w:pPr>
            <w:r>
              <w:rPr>
                <w:rFonts w:ascii="宋体" w:hAnsi="宋体"/>
                <w:color w:val="auto"/>
                <w:sz w:val="24"/>
                <w:szCs w:val="24"/>
                <w:highlight w:val="none"/>
              </w:rPr>
              <w:t>7</w:t>
            </w:r>
          </w:p>
        </w:tc>
        <w:tc>
          <w:tcPr>
            <w:tcW w:w="1274" w:type="dxa"/>
            <w:tcBorders>
              <w:bottom w:val="single" w:color="000000" w:sz="4" w:space="0"/>
              <w:right w:val="single" w:color="000000" w:sz="4" w:space="0"/>
            </w:tcBorders>
            <w:tcMar>
              <w:top w:w="0" w:type="dxa"/>
              <w:left w:w="105" w:type="dxa"/>
              <w:bottom w:w="0" w:type="dxa"/>
              <w:right w:w="105" w:type="dxa"/>
            </w:tcMar>
            <w:vAlign w:val="center"/>
          </w:tcPr>
          <w:p>
            <w:pPr>
              <w:pStyle w:val="6"/>
              <w:jc w:val="center"/>
              <w:rPr>
                <w:rFonts w:hint="default"/>
                <w:color w:val="auto"/>
                <w:sz w:val="24"/>
                <w:szCs w:val="24"/>
                <w:highlight w:val="none"/>
              </w:rPr>
            </w:pPr>
            <w:r>
              <w:rPr>
                <w:color w:val="auto"/>
                <w:sz w:val="24"/>
                <w:szCs w:val="24"/>
                <w:highlight w:val="none"/>
              </w:rPr>
              <w:t>安全管理</w:t>
            </w:r>
          </w:p>
        </w:tc>
        <w:tc>
          <w:tcPr>
            <w:tcW w:w="6586" w:type="dxa"/>
            <w:tcBorders>
              <w:bottom w:val="single" w:color="000000" w:sz="4" w:space="0"/>
              <w:right w:val="single" w:color="000000" w:sz="4" w:space="0"/>
            </w:tcBorders>
            <w:tcMar>
              <w:top w:w="0" w:type="dxa"/>
              <w:left w:w="105" w:type="dxa"/>
              <w:bottom w:w="0" w:type="dxa"/>
              <w:right w:w="105" w:type="dxa"/>
            </w:tcMar>
            <w:vAlign w:val="top"/>
          </w:tcPr>
          <w:p>
            <w:pPr>
              <w:pStyle w:val="6"/>
              <w:spacing w:line="276" w:lineRule="auto"/>
              <w:jc w:val="both"/>
              <w:rPr>
                <w:rFonts w:hint="default"/>
                <w:color w:val="auto"/>
                <w:sz w:val="24"/>
                <w:szCs w:val="24"/>
                <w:highlight w:val="none"/>
              </w:rPr>
            </w:pPr>
            <w:r>
              <w:rPr>
                <w:color w:val="auto"/>
                <w:sz w:val="24"/>
                <w:szCs w:val="24"/>
                <w:highlight w:val="none"/>
              </w:rPr>
              <w:t>1.审核信息化项目自身建设的安全性，包括系统安全防护、保密性、完整性等。</w:t>
            </w:r>
          </w:p>
          <w:p>
            <w:pPr>
              <w:pStyle w:val="6"/>
              <w:spacing w:line="276" w:lineRule="auto"/>
              <w:jc w:val="both"/>
              <w:rPr>
                <w:rFonts w:hint="default"/>
                <w:color w:val="auto"/>
                <w:sz w:val="24"/>
                <w:szCs w:val="24"/>
                <w:highlight w:val="none"/>
              </w:rPr>
            </w:pPr>
            <w:r>
              <w:rPr>
                <w:color w:val="auto"/>
                <w:sz w:val="24"/>
                <w:szCs w:val="24"/>
                <w:highlight w:val="none"/>
              </w:rPr>
              <w:t>2.做好对项目各方的信息安全教育，尤其是对连接政务网的计算机、移动存储等设备的使用安全。</w:t>
            </w:r>
          </w:p>
          <w:p>
            <w:pPr>
              <w:pStyle w:val="6"/>
              <w:spacing w:line="276" w:lineRule="auto"/>
              <w:jc w:val="both"/>
              <w:rPr>
                <w:rFonts w:hint="default"/>
                <w:color w:val="auto"/>
                <w:sz w:val="24"/>
                <w:szCs w:val="24"/>
                <w:highlight w:val="none"/>
              </w:rPr>
            </w:pPr>
            <w:r>
              <w:rPr>
                <w:color w:val="auto"/>
                <w:sz w:val="24"/>
                <w:szCs w:val="24"/>
                <w:highlight w:val="none"/>
              </w:rPr>
              <w:t>3.跟进承建单位与甲方《保密安全协议》的签订，并监督执行情况。</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jc w:val="center"/>
              <w:rPr>
                <w:rFonts w:hint="default" w:ascii="宋体" w:hAnsi="宋体"/>
                <w:color w:val="auto"/>
                <w:sz w:val="24"/>
                <w:szCs w:val="24"/>
                <w:highlight w:val="none"/>
              </w:rPr>
            </w:pPr>
            <w:r>
              <w:rPr>
                <w:rFonts w:ascii="宋体" w:hAnsi="宋体"/>
                <w:color w:val="auto"/>
                <w:sz w:val="24"/>
                <w:szCs w:val="24"/>
                <w:highlight w:val="none"/>
              </w:rPr>
              <w:t>8</w:t>
            </w:r>
          </w:p>
        </w:tc>
        <w:tc>
          <w:tcPr>
            <w:tcW w:w="1274" w:type="dxa"/>
            <w:tcBorders>
              <w:bottom w:val="single" w:color="000000" w:sz="4" w:space="0"/>
              <w:right w:val="single" w:color="000000" w:sz="4" w:space="0"/>
            </w:tcBorders>
            <w:tcMar>
              <w:top w:w="0" w:type="dxa"/>
              <w:left w:w="105" w:type="dxa"/>
              <w:bottom w:w="0" w:type="dxa"/>
              <w:right w:w="105" w:type="dxa"/>
            </w:tcMar>
            <w:vAlign w:val="center"/>
          </w:tcPr>
          <w:p>
            <w:pPr>
              <w:pStyle w:val="6"/>
              <w:jc w:val="center"/>
              <w:rPr>
                <w:rFonts w:hint="default"/>
                <w:color w:val="auto"/>
                <w:sz w:val="24"/>
                <w:szCs w:val="24"/>
                <w:highlight w:val="none"/>
              </w:rPr>
            </w:pPr>
            <w:r>
              <w:rPr>
                <w:color w:val="auto"/>
                <w:sz w:val="24"/>
                <w:szCs w:val="24"/>
                <w:highlight w:val="none"/>
              </w:rPr>
              <w:t>组织协调</w:t>
            </w:r>
          </w:p>
        </w:tc>
        <w:tc>
          <w:tcPr>
            <w:tcW w:w="6586" w:type="dxa"/>
            <w:tcBorders>
              <w:bottom w:val="single" w:color="000000" w:sz="4" w:space="0"/>
              <w:right w:val="single" w:color="000000" w:sz="4" w:space="0"/>
            </w:tcBorders>
            <w:tcMar>
              <w:top w:w="0" w:type="dxa"/>
              <w:left w:w="105" w:type="dxa"/>
              <w:bottom w:w="0" w:type="dxa"/>
              <w:right w:w="105" w:type="dxa"/>
            </w:tcMar>
            <w:vAlign w:val="top"/>
          </w:tcPr>
          <w:p>
            <w:pPr>
              <w:pStyle w:val="6"/>
              <w:spacing w:line="276" w:lineRule="auto"/>
              <w:jc w:val="both"/>
              <w:rPr>
                <w:rFonts w:hint="default"/>
                <w:color w:val="auto"/>
                <w:sz w:val="24"/>
                <w:szCs w:val="24"/>
                <w:highlight w:val="none"/>
              </w:rPr>
            </w:pPr>
            <w:r>
              <w:rPr>
                <w:color w:val="auto"/>
                <w:sz w:val="24"/>
                <w:szCs w:val="24"/>
                <w:highlight w:val="none"/>
              </w:rPr>
              <w:t>1.确定项目各方的工作范围和职责，积极协调各方的工作关系，监督各方履行职责。</w:t>
            </w:r>
          </w:p>
          <w:p>
            <w:pPr>
              <w:pStyle w:val="6"/>
              <w:spacing w:line="276" w:lineRule="auto"/>
              <w:jc w:val="both"/>
              <w:rPr>
                <w:rFonts w:hint="default"/>
                <w:color w:val="auto"/>
                <w:sz w:val="24"/>
                <w:szCs w:val="24"/>
                <w:highlight w:val="none"/>
              </w:rPr>
            </w:pPr>
            <w:r>
              <w:rPr>
                <w:color w:val="auto"/>
                <w:sz w:val="24"/>
                <w:szCs w:val="24"/>
                <w:highlight w:val="none"/>
              </w:rPr>
              <w:t>2.建立有效的项目沟通制度，确定沟通工具、渠道等，确保项目信息在各方之间保持顺畅流通。</w:t>
            </w:r>
          </w:p>
          <w:p>
            <w:pPr>
              <w:pStyle w:val="6"/>
              <w:spacing w:line="276" w:lineRule="auto"/>
              <w:jc w:val="both"/>
              <w:rPr>
                <w:rFonts w:hint="default"/>
                <w:color w:val="auto"/>
                <w:sz w:val="24"/>
                <w:szCs w:val="24"/>
                <w:highlight w:val="none"/>
              </w:rPr>
            </w:pPr>
            <w:r>
              <w:rPr>
                <w:color w:val="auto"/>
                <w:sz w:val="24"/>
                <w:szCs w:val="24"/>
                <w:highlight w:val="none"/>
              </w:rPr>
              <w:t>3.组织召开各类项目会议，推动项目实施过程中相关问题的解决。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0" w:type="dxa"/>
            <w:tcBorders>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6"/>
              <w:jc w:val="center"/>
              <w:rPr>
                <w:rFonts w:hint="default" w:ascii="宋体" w:hAnsi="宋体"/>
                <w:color w:val="auto"/>
                <w:sz w:val="24"/>
                <w:szCs w:val="24"/>
                <w:highlight w:val="none"/>
              </w:rPr>
            </w:pPr>
            <w:r>
              <w:rPr>
                <w:rFonts w:ascii="宋体" w:hAnsi="宋体"/>
                <w:color w:val="auto"/>
                <w:sz w:val="24"/>
                <w:szCs w:val="24"/>
                <w:highlight w:val="none"/>
              </w:rPr>
              <w:t>9</w:t>
            </w:r>
          </w:p>
        </w:tc>
        <w:tc>
          <w:tcPr>
            <w:tcW w:w="1274" w:type="dxa"/>
            <w:tcBorders>
              <w:bottom w:val="single" w:color="000000" w:sz="4" w:space="0"/>
              <w:right w:val="single" w:color="000000" w:sz="4" w:space="0"/>
            </w:tcBorders>
            <w:tcMar>
              <w:top w:w="0" w:type="dxa"/>
              <w:left w:w="105" w:type="dxa"/>
              <w:bottom w:w="0" w:type="dxa"/>
              <w:right w:w="105" w:type="dxa"/>
            </w:tcMar>
            <w:vAlign w:val="center"/>
          </w:tcPr>
          <w:p>
            <w:pPr>
              <w:pStyle w:val="6"/>
              <w:jc w:val="center"/>
              <w:rPr>
                <w:rFonts w:hint="default"/>
                <w:color w:val="auto"/>
                <w:sz w:val="24"/>
                <w:szCs w:val="24"/>
                <w:highlight w:val="none"/>
              </w:rPr>
            </w:pPr>
            <w:r>
              <w:rPr>
                <w:color w:val="auto"/>
                <w:sz w:val="24"/>
                <w:szCs w:val="24"/>
                <w:highlight w:val="none"/>
              </w:rPr>
              <w:t>绩效评估</w:t>
            </w:r>
          </w:p>
        </w:tc>
        <w:tc>
          <w:tcPr>
            <w:tcW w:w="6586" w:type="dxa"/>
            <w:tcBorders>
              <w:bottom w:val="single" w:color="000000" w:sz="4" w:space="0"/>
              <w:right w:val="single" w:color="000000" w:sz="4" w:space="0"/>
            </w:tcBorders>
            <w:tcMar>
              <w:top w:w="0" w:type="dxa"/>
              <w:left w:w="105" w:type="dxa"/>
              <w:bottom w:w="0" w:type="dxa"/>
              <w:right w:w="105" w:type="dxa"/>
            </w:tcMar>
            <w:vAlign w:val="top"/>
          </w:tcPr>
          <w:p>
            <w:pPr>
              <w:pStyle w:val="6"/>
              <w:spacing w:line="276" w:lineRule="auto"/>
              <w:jc w:val="both"/>
              <w:rPr>
                <w:rFonts w:hint="default"/>
                <w:color w:val="auto"/>
                <w:sz w:val="24"/>
                <w:szCs w:val="24"/>
                <w:highlight w:val="none"/>
              </w:rPr>
            </w:pPr>
            <w:r>
              <w:rPr>
                <w:color w:val="auto"/>
                <w:sz w:val="24"/>
                <w:szCs w:val="24"/>
                <w:highlight w:val="none"/>
              </w:rPr>
              <w:t>协助建设单位开展对项目实施情况进行绩效评估工作。</w:t>
            </w:r>
          </w:p>
        </w:tc>
      </w:tr>
    </w:tbl>
    <w:p>
      <w:pPr>
        <w:snapToGrid w:val="0"/>
        <w:spacing w:before="156" w:beforeLines="50" w:after="156" w:afterLines="50" w:line="360" w:lineRule="auto"/>
        <w:ind w:firstLine="480" w:firstLineChars="200"/>
        <w:rPr>
          <w:rFonts w:ascii="宋体" w:hAnsi="宋体" w:cs="宋体"/>
          <w:b/>
          <w:color w:val="auto"/>
          <w:sz w:val="24"/>
          <w:highlight w:val="none"/>
        </w:rPr>
      </w:pPr>
      <w:r>
        <w:rPr>
          <w:rFonts w:hint="eastAsia" w:ascii="宋体" w:hAnsi="宋体" w:cs="宋体"/>
          <w:b/>
          <w:color w:val="auto"/>
          <w:sz w:val="24"/>
          <w:highlight w:val="none"/>
        </w:rPr>
        <w:t>2.</w:t>
      </w:r>
      <w:r>
        <w:rPr>
          <w:rFonts w:ascii="宋体" w:hAnsi="宋体" w:cs="宋体"/>
          <w:b/>
          <w:color w:val="auto"/>
          <w:sz w:val="24"/>
          <w:highlight w:val="none"/>
        </w:rPr>
        <w:t>监理工作成果</w:t>
      </w:r>
    </w:p>
    <w:p>
      <w:pPr>
        <w:snapToGrid w:val="0"/>
        <w:spacing w:before="156" w:beforeLines="50" w:after="156" w:afterLines="50"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乙方需</w:t>
      </w:r>
      <w:r>
        <w:rPr>
          <w:rFonts w:ascii="宋体" w:hAnsi="宋体" w:cs="宋体"/>
          <w:bCs/>
          <w:color w:val="auto"/>
          <w:sz w:val="24"/>
          <w:highlight w:val="none"/>
        </w:rPr>
        <w:t>根据《广州市政务信息化项目管理办法（2022年修订稿）》等广州市政务服务数据管理局的相关要求及相关法律法规及本工程相关规定，制定本项目监理表格。</w:t>
      </w:r>
    </w:p>
    <w:tbl>
      <w:tblPr>
        <w:tblStyle w:val="4"/>
        <w:tblW w:w="8306"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810"/>
        <w:gridCol w:w="2279"/>
        <w:gridCol w:w="5217"/>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0" w:type="dxa"/>
            <w:tcBorders>
              <w:top w:val="single" w:color="000000" w:sz="4" w:space="0"/>
              <w:left w:val="single" w:color="000000" w:sz="4" w:space="0"/>
              <w:bottom w:val="single" w:color="000000" w:sz="4" w:space="0"/>
              <w:right w:val="single" w:color="000000" w:sz="4" w:space="0"/>
            </w:tcBorders>
            <w:shd w:val="clear" w:color="auto" w:fill="D4D4D4"/>
            <w:tcMar>
              <w:top w:w="0" w:type="dxa"/>
              <w:left w:w="105" w:type="dxa"/>
              <w:bottom w:w="0" w:type="dxa"/>
              <w:right w:w="105" w:type="dxa"/>
            </w:tcMar>
            <w:vAlign w:val="top"/>
          </w:tcPr>
          <w:p>
            <w:pPr>
              <w:pStyle w:val="6"/>
              <w:spacing w:line="276" w:lineRule="auto"/>
              <w:jc w:val="center"/>
              <w:rPr>
                <w:rFonts w:hint="default" w:ascii="宋体" w:hAnsi="宋体"/>
                <w:b/>
                <w:bCs/>
                <w:color w:val="auto"/>
                <w:sz w:val="24"/>
                <w:szCs w:val="24"/>
                <w:highlight w:val="none"/>
              </w:rPr>
            </w:pPr>
            <w:r>
              <w:rPr>
                <w:rFonts w:ascii="宋体" w:hAnsi="宋体"/>
                <w:b/>
                <w:bCs/>
                <w:color w:val="auto"/>
                <w:sz w:val="24"/>
                <w:szCs w:val="24"/>
                <w:highlight w:val="none"/>
              </w:rPr>
              <w:t>序号</w:t>
            </w:r>
          </w:p>
        </w:tc>
        <w:tc>
          <w:tcPr>
            <w:tcW w:w="2279" w:type="dxa"/>
            <w:tcBorders>
              <w:top w:val="single" w:color="000000" w:sz="4" w:space="0"/>
              <w:bottom w:val="single" w:color="000000" w:sz="4" w:space="0"/>
              <w:right w:val="single" w:color="000000" w:sz="4" w:space="0"/>
            </w:tcBorders>
            <w:shd w:val="clear" w:color="auto" w:fill="D4D4D4"/>
            <w:tcMar>
              <w:top w:w="0" w:type="dxa"/>
              <w:left w:w="105" w:type="dxa"/>
              <w:bottom w:w="0" w:type="dxa"/>
              <w:right w:w="105" w:type="dxa"/>
            </w:tcMar>
            <w:vAlign w:val="top"/>
          </w:tcPr>
          <w:p>
            <w:pPr>
              <w:pStyle w:val="6"/>
              <w:spacing w:line="276" w:lineRule="auto"/>
              <w:jc w:val="center"/>
              <w:rPr>
                <w:rFonts w:hint="default"/>
                <w:b/>
                <w:bCs/>
                <w:color w:val="auto"/>
                <w:sz w:val="24"/>
                <w:szCs w:val="24"/>
                <w:highlight w:val="none"/>
              </w:rPr>
            </w:pPr>
            <w:r>
              <w:rPr>
                <w:b/>
                <w:bCs/>
                <w:color w:val="auto"/>
                <w:sz w:val="24"/>
                <w:szCs w:val="24"/>
                <w:highlight w:val="none"/>
              </w:rPr>
              <w:t>成果</w:t>
            </w:r>
          </w:p>
        </w:tc>
        <w:tc>
          <w:tcPr>
            <w:tcW w:w="5217" w:type="dxa"/>
            <w:tcBorders>
              <w:top w:val="single" w:color="000000" w:sz="4" w:space="0"/>
              <w:bottom w:val="single" w:color="000000" w:sz="4" w:space="0"/>
              <w:right w:val="single" w:color="000000" w:sz="4" w:space="0"/>
            </w:tcBorders>
            <w:shd w:val="clear" w:color="auto" w:fill="D4D4D4"/>
            <w:tcMar>
              <w:top w:w="0" w:type="dxa"/>
              <w:left w:w="105" w:type="dxa"/>
              <w:bottom w:w="0" w:type="dxa"/>
              <w:right w:w="105" w:type="dxa"/>
            </w:tcMar>
            <w:vAlign w:val="top"/>
          </w:tcPr>
          <w:p>
            <w:pPr>
              <w:pStyle w:val="6"/>
              <w:spacing w:line="276" w:lineRule="auto"/>
              <w:jc w:val="center"/>
              <w:rPr>
                <w:rFonts w:hint="default"/>
                <w:b/>
                <w:bCs/>
                <w:color w:val="auto"/>
                <w:sz w:val="24"/>
                <w:szCs w:val="24"/>
                <w:highlight w:val="none"/>
              </w:rPr>
            </w:pPr>
            <w:r>
              <w:rPr>
                <w:b/>
                <w:bCs/>
                <w:color w:val="auto"/>
                <w:sz w:val="24"/>
                <w:szCs w:val="24"/>
                <w:highlight w:val="none"/>
              </w:rPr>
              <w:t>内容描述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0" w:type="dxa"/>
            <w:vMerge w:val="restart"/>
            <w:tcBorders>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line="276" w:lineRule="auto"/>
              <w:jc w:val="center"/>
              <w:rPr>
                <w:rFonts w:hint="default" w:ascii="宋体" w:hAnsi="宋体"/>
                <w:color w:val="auto"/>
                <w:sz w:val="24"/>
                <w:szCs w:val="24"/>
                <w:highlight w:val="none"/>
              </w:rPr>
            </w:pPr>
            <w:r>
              <w:rPr>
                <w:rFonts w:ascii="宋体" w:hAnsi="宋体"/>
                <w:color w:val="auto"/>
                <w:sz w:val="24"/>
                <w:szCs w:val="24"/>
                <w:highlight w:val="none"/>
              </w:rPr>
              <w:t>1</w:t>
            </w:r>
          </w:p>
        </w:tc>
        <w:tc>
          <w:tcPr>
            <w:tcW w:w="2279" w:type="dxa"/>
            <w:vMerge w:val="restart"/>
            <w:tcBorders>
              <w:bottom w:val="single" w:color="000000" w:sz="4" w:space="0"/>
              <w:right w:val="single" w:color="000000" w:sz="4" w:space="0"/>
            </w:tcBorders>
            <w:tcMar>
              <w:top w:w="0" w:type="dxa"/>
              <w:left w:w="105" w:type="dxa"/>
              <w:bottom w:w="0" w:type="dxa"/>
              <w:right w:w="105" w:type="dxa"/>
            </w:tcMar>
            <w:vAlign w:val="top"/>
          </w:tcPr>
          <w:p>
            <w:pPr>
              <w:pStyle w:val="6"/>
              <w:spacing w:line="276" w:lineRule="auto"/>
              <w:jc w:val="both"/>
              <w:rPr>
                <w:rFonts w:hint="default"/>
                <w:color w:val="auto"/>
                <w:sz w:val="24"/>
                <w:szCs w:val="24"/>
                <w:highlight w:val="none"/>
              </w:rPr>
            </w:pPr>
            <w:r>
              <w:rPr>
                <w:color w:val="auto"/>
                <w:sz w:val="24"/>
                <w:szCs w:val="24"/>
                <w:highlight w:val="none"/>
              </w:rPr>
              <w:t>监理规划、监理细则</w:t>
            </w:r>
          </w:p>
        </w:tc>
        <w:tc>
          <w:tcPr>
            <w:tcW w:w="5217" w:type="dxa"/>
            <w:tcBorders>
              <w:bottom w:val="single" w:color="000000" w:sz="4" w:space="0"/>
              <w:right w:val="single" w:color="000000" w:sz="4" w:space="0"/>
            </w:tcBorders>
            <w:tcMar>
              <w:top w:w="0" w:type="dxa"/>
              <w:left w:w="105" w:type="dxa"/>
              <w:bottom w:w="0" w:type="dxa"/>
              <w:right w:w="105" w:type="dxa"/>
            </w:tcMar>
            <w:vAlign w:val="top"/>
          </w:tcPr>
          <w:p>
            <w:pPr>
              <w:pStyle w:val="6"/>
              <w:spacing w:line="276" w:lineRule="auto"/>
              <w:jc w:val="both"/>
              <w:rPr>
                <w:rFonts w:hint="default"/>
                <w:color w:val="auto"/>
                <w:sz w:val="24"/>
                <w:szCs w:val="24"/>
                <w:highlight w:val="none"/>
              </w:rPr>
            </w:pPr>
            <w:r>
              <w:rPr>
                <w:color w:val="auto"/>
                <w:sz w:val="24"/>
                <w:szCs w:val="24"/>
                <w:highlight w:val="none"/>
              </w:rPr>
              <w:t>监理规划确定监理要做哪些工作；</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0" w:type="dxa"/>
            <w:vMerge w:val="continue"/>
            <w:tcBorders>
              <w:left w:val="single" w:color="000000" w:sz="4" w:space="0"/>
              <w:bottom w:val="single" w:color="000000" w:sz="4" w:space="0"/>
              <w:right w:val="single" w:color="000000" w:sz="4" w:space="0"/>
            </w:tcBorders>
            <w:vAlign w:val="top"/>
          </w:tcPr>
          <w:p>
            <w:pPr>
              <w:pStyle w:val="6"/>
              <w:spacing w:line="276" w:lineRule="auto"/>
              <w:jc w:val="center"/>
              <w:rPr>
                <w:rFonts w:ascii="宋体" w:hAnsi="宋体"/>
                <w:color w:val="auto"/>
                <w:sz w:val="24"/>
                <w:szCs w:val="24"/>
                <w:highlight w:val="none"/>
              </w:rPr>
            </w:pPr>
          </w:p>
        </w:tc>
        <w:tc>
          <w:tcPr>
            <w:tcW w:w="2279" w:type="dxa"/>
            <w:vMerge w:val="continue"/>
            <w:tcBorders>
              <w:bottom w:val="single" w:color="000000" w:sz="4" w:space="0"/>
              <w:right w:val="single" w:color="000000" w:sz="4" w:space="0"/>
            </w:tcBorders>
            <w:vAlign w:val="top"/>
          </w:tcPr>
          <w:p>
            <w:pPr>
              <w:pStyle w:val="6"/>
              <w:spacing w:line="276" w:lineRule="auto"/>
              <w:jc w:val="both"/>
              <w:rPr>
                <w:color w:val="auto"/>
                <w:sz w:val="24"/>
                <w:szCs w:val="24"/>
                <w:highlight w:val="none"/>
              </w:rPr>
            </w:pPr>
          </w:p>
        </w:tc>
        <w:tc>
          <w:tcPr>
            <w:tcW w:w="5217" w:type="dxa"/>
            <w:tcBorders>
              <w:bottom w:val="single" w:color="000000" w:sz="4" w:space="0"/>
              <w:right w:val="single" w:color="000000" w:sz="4" w:space="0"/>
            </w:tcBorders>
            <w:tcMar>
              <w:top w:w="0" w:type="dxa"/>
              <w:left w:w="105" w:type="dxa"/>
              <w:bottom w:w="0" w:type="dxa"/>
              <w:right w:w="105" w:type="dxa"/>
            </w:tcMar>
            <w:vAlign w:val="top"/>
          </w:tcPr>
          <w:p>
            <w:pPr>
              <w:pStyle w:val="6"/>
              <w:spacing w:line="276" w:lineRule="auto"/>
              <w:jc w:val="both"/>
              <w:rPr>
                <w:rFonts w:hint="default"/>
                <w:color w:val="auto"/>
                <w:sz w:val="24"/>
                <w:szCs w:val="24"/>
                <w:highlight w:val="none"/>
              </w:rPr>
            </w:pPr>
            <w:r>
              <w:rPr>
                <w:color w:val="auto"/>
                <w:sz w:val="24"/>
                <w:szCs w:val="24"/>
                <w:highlight w:val="none"/>
              </w:rPr>
              <w:t>监理细则确定监理各项工作如何开展；</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0" w:type="dxa"/>
            <w:vMerge w:val="restart"/>
            <w:tcBorders>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line="276" w:lineRule="auto"/>
              <w:jc w:val="center"/>
              <w:rPr>
                <w:rFonts w:hint="default" w:ascii="宋体" w:hAnsi="宋体"/>
                <w:color w:val="auto"/>
                <w:sz w:val="24"/>
                <w:szCs w:val="24"/>
                <w:highlight w:val="none"/>
              </w:rPr>
            </w:pPr>
            <w:r>
              <w:rPr>
                <w:rFonts w:ascii="宋体" w:hAnsi="宋体"/>
                <w:color w:val="auto"/>
                <w:sz w:val="24"/>
                <w:szCs w:val="24"/>
                <w:highlight w:val="none"/>
              </w:rPr>
              <w:t>2</w:t>
            </w:r>
          </w:p>
        </w:tc>
        <w:tc>
          <w:tcPr>
            <w:tcW w:w="2279" w:type="dxa"/>
            <w:vMerge w:val="restart"/>
            <w:tcBorders>
              <w:bottom w:val="single" w:color="000000" w:sz="4" w:space="0"/>
              <w:right w:val="single" w:color="000000" w:sz="4" w:space="0"/>
            </w:tcBorders>
            <w:tcMar>
              <w:top w:w="0" w:type="dxa"/>
              <w:left w:w="105" w:type="dxa"/>
              <w:bottom w:w="0" w:type="dxa"/>
              <w:right w:w="105" w:type="dxa"/>
            </w:tcMar>
            <w:vAlign w:val="top"/>
          </w:tcPr>
          <w:p>
            <w:pPr>
              <w:pStyle w:val="6"/>
              <w:spacing w:line="276" w:lineRule="auto"/>
              <w:jc w:val="both"/>
              <w:rPr>
                <w:rFonts w:hint="default"/>
                <w:color w:val="auto"/>
                <w:sz w:val="24"/>
                <w:szCs w:val="24"/>
                <w:highlight w:val="none"/>
              </w:rPr>
            </w:pPr>
            <w:r>
              <w:rPr>
                <w:color w:val="auto"/>
                <w:sz w:val="24"/>
                <w:szCs w:val="24"/>
                <w:highlight w:val="none"/>
              </w:rPr>
              <w:t>合同审核、资格审查、设备材料报审、复检记录</w:t>
            </w:r>
          </w:p>
        </w:tc>
        <w:tc>
          <w:tcPr>
            <w:tcW w:w="5217" w:type="dxa"/>
            <w:tcBorders>
              <w:bottom w:val="single" w:color="000000" w:sz="4" w:space="0"/>
              <w:right w:val="single" w:color="000000" w:sz="4" w:space="0"/>
            </w:tcBorders>
            <w:tcMar>
              <w:top w:w="0" w:type="dxa"/>
              <w:left w:w="105" w:type="dxa"/>
              <w:bottom w:w="0" w:type="dxa"/>
              <w:right w:w="105" w:type="dxa"/>
            </w:tcMar>
            <w:vAlign w:val="top"/>
          </w:tcPr>
          <w:p>
            <w:pPr>
              <w:pStyle w:val="6"/>
              <w:spacing w:line="276" w:lineRule="auto"/>
              <w:jc w:val="both"/>
              <w:rPr>
                <w:rFonts w:hint="default"/>
                <w:color w:val="auto"/>
                <w:sz w:val="24"/>
                <w:szCs w:val="24"/>
                <w:highlight w:val="none"/>
              </w:rPr>
            </w:pPr>
            <w:r>
              <w:rPr>
                <w:color w:val="auto"/>
                <w:sz w:val="24"/>
                <w:szCs w:val="24"/>
                <w:highlight w:val="none"/>
              </w:rPr>
              <w:t>根据合同规定的对项目团队人员资格进行审查</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0" w:type="dxa"/>
            <w:vMerge w:val="continue"/>
            <w:tcBorders>
              <w:left w:val="single" w:color="000000" w:sz="4" w:space="0"/>
              <w:bottom w:val="single" w:color="000000" w:sz="4" w:space="0"/>
              <w:right w:val="single" w:color="000000" w:sz="4" w:space="0"/>
            </w:tcBorders>
            <w:vAlign w:val="top"/>
          </w:tcPr>
          <w:p>
            <w:pPr>
              <w:pStyle w:val="6"/>
              <w:spacing w:line="276" w:lineRule="auto"/>
              <w:jc w:val="center"/>
              <w:rPr>
                <w:rFonts w:ascii="宋体" w:hAnsi="宋体"/>
                <w:color w:val="auto"/>
                <w:sz w:val="24"/>
                <w:szCs w:val="24"/>
                <w:highlight w:val="none"/>
              </w:rPr>
            </w:pPr>
          </w:p>
        </w:tc>
        <w:tc>
          <w:tcPr>
            <w:tcW w:w="2279" w:type="dxa"/>
            <w:vMerge w:val="continue"/>
            <w:tcBorders>
              <w:bottom w:val="single" w:color="000000" w:sz="4" w:space="0"/>
              <w:right w:val="single" w:color="000000" w:sz="4" w:space="0"/>
            </w:tcBorders>
            <w:vAlign w:val="top"/>
          </w:tcPr>
          <w:p>
            <w:pPr>
              <w:pStyle w:val="6"/>
              <w:spacing w:line="276" w:lineRule="auto"/>
              <w:jc w:val="both"/>
              <w:rPr>
                <w:color w:val="auto"/>
                <w:sz w:val="24"/>
                <w:szCs w:val="24"/>
                <w:highlight w:val="none"/>
              </w:rPr>
            </w:pPr>
          </w:p>
        </w:tc>
        <w:tc>
          <w:tcPr>
            <w:tcW w:w="5217" w:type="dxa"/>
            <w:tcBorders>
              <w:bottom w:val="single" w:color="000000" w:sz="4" w:space="0"/>
              <w:right w:val="single" w:color="000000" w:sz="4" w:space="0"/>
            </w:tcBorders>
            <w:tcMar>
              <w:top w:w="0" w:type="dxa"/>
              <w:left w:w="105" w:type="dxa"/>
              <w:bottom w:w="0" w:type="dxa"/>
              <w:right w:w="105" w:type="dxa"/>
            </w:tcMar>
            <w:vAlign w:val="top"/>
          </w:tcPr>
          <w:p>
            <w:pPr>
              <w:pStyle w:val="6"/>
              <w:spacing w:line="276" w:lineRule="auto"/>
              <w:jc w:val="both"/>
              <w:rPr>
                <w:rFonts w:hint="eastAsia" w:eastAsia="宋体"/>
                <w:color w:val="auto"/>
                <w:sz w:val="24"/>
                <w:szCs w:val="24"/>
                <w:highlight w:val="none"/>
                <w:lang w:eastAsia="zh-CN"/>
              </w:rPr>
            </w:pPr>
            <w:r>
              <w:rPr>
                <w:color w:val="auto"/>
                <w:sz w:val="24"/>
                <w:szCs w:val="24"/>
                <w:highlight w:val="none"/>
              </w:rPr>
              <w:t>根据合同对采购设备及软件进行到货开箱、安装及加电测试等验收情况，形成书面报</w:t>
            </w:r>
            <w:r>
              <w:rPr>
                <w:rFonts w:hint="eastAsia"/>
                <w:color w:val="auto"/>
                <w:sz w:val="24"/>
                <w:szCs w:val="24"/>
                <w:highlight w:val="none"/>
                <w:lang w:eastAsia="zh-CN"/>
              </w:rPr>
              <w:t>告</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0" w:type="dxa"/>
            <w:tcBorders>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line="276" w:lineRule="auto"/>
              <w:jc w:val="center"/>
              <w:rPr>
                <w:rFonts w:hint="default" w:ascii="宋体" w:hAnsi="宋体"/>
                <w:color w:val="auto"/>
                <w:sz w:val="24"/>
                <w:szCs w:val="24"/>
                <w:highlight w:val="none"/>
              </w:rPr>
            </w:pPr>
            <w:r>
              <w:rPr>
                <w:rFonts w:ascii="宋体" w:hAnsi="宋体"/>
                <w:color w:val="auto"/>
                <w:sz w:val="24"/>
                <w:szCs w:val="24"/>
                <w:highlight w:val="none"/>
              </w:rPr>
              <w:t>3</w:t>
            </w:r>
          </w:p>
        </w:tc>
        <w:tc>
          <w:tcPr>
            <w:tcW w:w="2279" w:type="dxa"/>
            <w:tcBorders>
              <w:bottom w:val="single" w:color="000000" w:sz="4" w:space="0"/>
              <w:right w:val="single" w:color="000000" w:sz="4" w:space="0"/>
            </w:tcBorders>
            <w:tcMar>
              <w:top w:w="0" w:type="dxa"/>
              <w:left w:w="105" w:type="dxa"/>
              <w:bottom w:w="0" w:type="dxa"/>
              <w:right w:w="105" w:type="dxa"/>
            </w:tcMar>
            <w:vAlign w:val="top"/>
          </w:tcPr>
          <w:p>
            <w:pPr>
              <w:pStyle w:val="6"/>
              <w:spacing w:line="276" w:lineRule="auto"/>
              <w:jc w:val="both"/>
              <w:rPr>
                <w:rFonts w:hint="default"/>
                <w:color w:val="auto"/>
                <w:sz w:val="24"/>
                <w:szCs w:val="24"/>
                <w:highlight w:val="none"/>
              </w:rPr>
            </w:pPr>
            <w:r>
              <w:rPr>
                <w:color w:val="auto"/>
                <w:sz w:val="24"/>
                <w:szCs w:val="24"/>
                <w:highlight w:val="none"/>
              </w:rPr>
              <w:t>需求变更确认</w:t>
            </w:r>
          </w:p>
        </w:tc>
        <w:tc>
          <w:tcPr>
            <w:tcW w:w="5217" w:type="dxa"/>
            <w:tcBorders>
              <w:bottom w:val="single" w:color="000000" w:sz="4" w:space="0"/>
              <w:right w:val="single" w:color="000000" w:sz="4" w:space="0"/>
            </w:tcBorders>
            <w:tcMar>
              <w:top w:w="0" w:type="dxa"/>
              <w:left w:w="105" w:type="dxa"/>
              <w:bottom w:w="0" w:type="dxa"/>
              <w:right w:w="105" w:type="dxa"/>
            </w:tcMar>
            <w:vAlign w:val="top"/>
          </w:tcPr>
          <w:p>
            <w:pPr>
              <w:pStyle w:val="6"/>
              <w:spacing w:line="276" w:lineRule="auto"/>
              <w:jc w:val="both"/>
              <w:rPr>
                <w:rFonts w:hint="eastAsia" w:eastAsia="宋体"/>
                <w:color w:val="auto"/>
                <w:sz w:val="24"/>
                <w:szCs w:val="24"/>
                <w:highlight w:val="none"/>
                <w:lang w:eastAsia="zh-CN"/>
              </w:rPr>
            </w:pPr>
            <w:r>
              <w:rPr>
                <w:color w:val="auto"/>
                <w:sz w:val="24"/>
                <w:szCs w:val="24"/>
                <w:highlight w:val="none"/>
              </w:rPr>
              <w:t>根据需求变更情况进行审核确认后形成书面报告</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0" w:type="dxa"/>
            <w:tcBorders>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line="276" w:lineRule="auto"/>
              <w:jc w:val="center"/>
              <w:rPr>
                <w:rFonts w:hint="default" w:ascii="宋体" w:hAnsi="宋体"/>
                <w:color w:val="auto"/>
                <w:sz w:val="24"/>
                <w:szCs w:val="24"/>
                <w:highlight w:val="none"/>
              </w:rPr>
            </w:pPr>
            <w:r>
              <w:rPr>
                <w:rFonts w:ascii="宋体" w:hAnsi="宋体"/>
                <w:color w:val="auto"/>
                <w:sz w:val="24"/>
                <w:szCs w:val="24"/>
                <w:highlight w:val="none"/>
              </w:rPr>
              <w:t>4</w:t>
            </w:r>
          </w:p>
        </w:tc>
        <w:tc>
          <w:tcPr>
            <w:tcW w:w="2279" w:type="dxa"/>
            <w:tcBorders>
              <w:bottom w:val="single" w:color="000000" w:sz="4" w:space="0"/>
              <w:right w:val="single" w:color="000000" w:sz="4" w:space="0"/>
            </w:tcBorders>
            <w:tcMar>
              <w:top w:w="0" w:type="dxa"/>
              <w:left w:w="105" w:type="dxa"/>
              <w:bottom w:w="0" w:type="dxa"/>
              <w:right w:w="105" w:type="dxa"/>
            </w:tcMar>
            <w:vAlign w:val="top"/>
          </w:tcPr>
          <w:p>
            <w:pPr>
              <w:pStyle w:val="6"/>
              <w:spacing w:line="276" w:lineRule="auto"/>
              <w:jc w:val="both"/>
              <w:rPr>
                <w:rFonts w:hint="default"/>
                <w:color w:val="auto"/>
                <w:sz w:val="24"/>
                <w:szCs w:val="24"/>
                <w:highlight w:val="none"/>
              </w:rPr>
            </w:pPr>
            <w:r>
              <w:rPr>
                <w:color w:val="auto"/>
                <w:sz w:val="24"/>
                <w:szCs w:val="24"/>
                <w:highlight w:val="none"/>
              </w:rPr>
              <w:t>开（停、复、返）工令</w:t>
            </w:r>
          </w:p>
        </w:tc>
        <w:tc>
          <w:tcPr>
            <w:tcW w:w="5217" w:type="dxa"/>
            <w:tcBorders>
              <w:bottom w:val="single" w:color="000000" w:sz="4" w:space="0"/>
              <w:right w:val="single" w:color="000000" w:sz="4" w:space="0"/>
            </w:tcBorders>
            <w:tcMar>
              <w:top w:w="0" w:type="dxa"/>
              <w:left w:w="105" w:type="dxa"/>
              <w:bottom w:w="0" w:type="dxa"/>
              <w:right w:w="105" w:type="dxa"/>
            </w:tcMar>
            <w:vAlign w:val="top"/>
          </w:tcPr>
          <w:p>
            <w:pPr>
              <w:pStyle w:val="6"/>
              <w:spacing w:line="276" w:lineRule="auto"/>
              <w:jc w:val="both"/>
              <w:rPr>
                <w:rFonts w:hint="eastAsia" w:eastAsia="宋体"/>
                <w:color w:val="auto"/>
                <w:sz w:val="24"/>
                <w:szCs w:val="24"/>
                <w:highlight w:val="none"/>
                <w:lang w:eastAsia="zh-CN"/>
              </w:rPr>
            </w:pPr>
            <w:r>
              <w:rPr>
                <w:color w:val="auto"/>
                <w:sz w:val="24"/>
                <w:szCs w:val="24"/>
                <w:highlight w:val="none"/>
              </w:rPr>
              <w:t>根据</w:t>
            </w:r>
            <w:r>
              <w:rPr>
                <w:rFonts w:hint="eastAsia"/>
                <w:color w:val="auto"/>
                <w:sz w:val="24"/>
                <w:szCs w:val="24"/>
                <w:highlight w:val="none"/>
                <w:lang w:eastAsia="zh-CN"/>
              </w:rPr>
              <w:t>项目</w:t>
            </w:r>
            <w:r>
              <w:rPr>
                <w:color w:val="auto"/>
                <w:sz w:val="24"/>
                <w:szCs w:val="24"/>
                <w:highlight w:val="none"/>
              </w:rPr>
              <w:t>承建单位提交的开工申请，审核其进度计划、质量保证计划、资源保障计划后，协助甲方确定工程建设情况，确认工程实施条件是否具备，根据实际情况形成书面形式的文件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0" w:type="dxa"/>
            <w:tcBorders>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line="276" w:lineRule="auto"/>
              <w:jc w:val="center"/>
              <w:rPr>
                <w:rFonts w:hint="default" w:ascii="宋体" w:hAnsi="宋体"/>
                <w:color w:val="auto"/>
                <w:sz w:val="24"/>
                <w:szCs w:val="24"/>
                <w:highlight w:val="none"/>
              </w:rPr>
            </w:pPr>
            <w:r>
              <w:rPr>
                <w:rFonts w:ascii="宋体" w:hAnsi="宋体"/>
                <w:color w:val="auto"/>
                <w:sz w:val="24"/>
                <w:szCs w:val="24"/>
                <w:highlight w:val="none"/>
              </w:rPr>
              <w:t>5</w:t>
            </w:r>
          </w:p>
        </w:tc>
        <w:tc>
          <w:tcPr>
            <w:tcW w:w="2279" w:type="dxa"/>
            <w:tcBorders>
              <w:bottom w:val="single" w:color="000000" w:sz="4" w:space="0"/>
              <w:right w:val="single" w:color="000000" w:sz="4" w:space="0"/>
            </w:tcBorders>
            <w:tcMar>
              <w:top w:w="0" w:type="dxa"/>
              <w:left w:w="105" w:type="dxa"/>
              <w:bottom w:w="0" w:type="dxa"/>
              <w:right w:w="105" w:type="dxa"/>
            </w:tcMar>
            <w:vAlign w:val="top"/>
          </w:tcPr>
          <w:p>
            <w:pPr>
              <w:pStyle w:val="6"/>
              <w:spacing w:line="276" w:lineRule="auto"/>
              <w:jc w:val="both"/>
              <w:rPr>
                <w:rFonts w:hint="default"/>
                <w:color w:val="auto"/>
                <w:sz w:val="24"/>
                <w:szCs w:val="24"/>
                <w:highlight w:val="none"/>
              </w:rPr>
            </w:pPr>
            <w:r>
              <w:rPr>
                <w:color w:val="auto"/>
                <w:sz w:val="24"/>
                <w:szCs w:val="24"/>
                <w:highlight w:val="none"/>
              </w:rPr>
              <w:t>工程方案和计划审核记录</w:t>
            </w:r>
          </w:p>
        </w:tc>
        <w:tc>
          <w:tcPr>
            <w:tcW w:w="5217" w:type="dxa"/>
            <w:tcBorders>
              <w:bottom w:val="single" w:color="000000" w:sz="4" w:space="0"/>
              <w:right w:val="single" w:color="000000" w:sz="4" w:space="0"/>
            </w:tcBorders>
            <w:tcMar>
              <w:top w:w="0" w:type="dxa"/>
              <w:left w:w="105" w:type="dxa"/>
              <w:bottom w:w="0" w:type="dxa"/>
              <w:right w:w="105" w:type="dxa"/>
            </w:tcMar>
            <w:vAlign w:val="top"/>
          </w:tcPr>
          <w:p>
            <w:pPr>
              <w:pStyle w:val="6"/>
              <w:spacing w:line="276" w:lineRule="auto"/>
              <w:jc w:val="both"/>
              <w:rPr>
                <w:rFonts w:hint="eastAsia" w:eastAsia="宋体"/>
                <w:color w:val="auto"/>
                <w:sz w:val="24"/>
                <w:szCs w:val="24"/>
                <w:highlight w:val="none"/>
                <w:lang w:eastAsia="zh-CN"/>
              </w:rPr>
            </w:pPr>
            <w:r>
              <w:rPr>
                <w:color w:val="auto"/>
                <w:sz w:val="24"/>
                <w:szCs w:val="24"/>
                <w:highlight w:val="none"/>
              </w:rPr>
              <w:t>审核工程方案或计划的可行性、合理性和可操作性，并依据各阶段工作成果判定工程实际进度与工作方案的符合性，并予以记录</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0" w:type="dxa"/>
            <w:tcBorders>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line="276" w:lineRule="auto"/>
              <w:jc w:val="center"/>
              <w:rPr>
                <w:rFonts w:hint="default" w:ascii="宋体" w:hAnsi="宋体"/>
                <w:color w:val="auto"/>
                <w:sz w:val="24"/>
                <w:szCs w:val="24"/>
                <w:highlight w:val="none"/>
              </w:rPr>
            </w:pPr>
            <w:r>
              <w:rPr>
                <w:rFonts w:ascii="宋体" w:hAnsi="宋体"/>
                <w:color w:val="auto"/>
                <w:sz w:val="24"/>
                <w:szCs w:val="24"/>
                <w:highlight w:val="none"/>
              </w:rPr>
              <w:t>6</w:t>
            </w:r>
          </w:p>
        </w:tc>
        <w:tc>
          <w:tcPr>
            <w:tcW w:w="2279" w:type="dxa"/>
            <w:tcBorders>
              <w:bottom w:val="single" w:color="000000" w:sz="4" w:space="0"/>
              <w:right w:val="single" w:color="000000" w:sz="4" w:space="0"/>
            </w:tcBorders>
            <w:tcMar>
              <w:top w:w="0" w:type="dxa"/>
              <w:left w:w="105" w:type="dxa"/>
              <w:bottom w:w="0" w:type="dxa"/>
              <w:right w:w="105" w:type="dxa"/>
            </w:tcMar>
            <w:vAlign w:val="top"/>
          </w:tcPr>
          <w:p>
            <w:pPr>
              <w:pStyle w:val="6"/>
              <w:spacing w:line="276" w:lineRule="auto"/>
              <w:jc w:val="both"/>
              <w:rPr>
                <w:rFonts w:hint="default"/>
                <w:color w:val="auto"/>
                <w:sz w:val="24"/>
                <w:szCs w:val="24"/>
                <w:highlight w:val="none"/>
              </w:rPr>
            </w:pPr>
            <w:r>
              <w:rPr>
                <w:color w:val="auto"/>
                <w:sz w:val="24"/>
                <w:szCs w:val="24"/>
                <w:highlight w:val="none"/>
              </w:rPr>
              <w:t>工程进度、延长工期、人员变更审核</w:t>
            </w:r>
          </w:p>
        </w:tc>
        <w:tc>
          <w:tcPr>
            <w:tcW w:w="5217" w:type="dxa"/>
            <w:tcBorders>
              <w:bottom w:val="single" w:color="000000" w:sz="4" w:space="0"/>
              <w:right w:val="single" w:color="000000" w:sz="4" w:space="0"/>
            </w:tcBorders>
            <w:tcMar>
              <w:top w:w="0" w:type="dxa"/>
              <w:left w:w="105" w:type="dxa"/>
              <w:bottom w:w="0" w:type="dxa"/>
              <w:right w:w="105" w:type="dxa"/>
            </w:tcMar>
            <w:vAlign w:val="top"/>
          </w:tcPr>
          <w:p>
            <w:pPr>
              <w:pStyle w:val="6"/>
              <w:spacing w:line="276" w:lineRule="auto"/>
              <w:jc w:val="both"/>
              <w:rPr>
                <w:rFonts w:hint="eastAsia" w:eastAsia="宋体"/>
                <w:color w:val="auto"/>
                <w:sz w:val="24"/>
                <w:szCs w:val="24"/>
                <w:highlight w:val="none"/>
                <w:lang w:eastAsia="zh-CN"/>
              </w:rPr>
            </w:pPr>
            <w:r>
              <w:rPr>
                <w:color w:val="auto"/>
                <w:sz w:val="24"/>
                <w:szCs w:val="24"/>
                <w:highlight w:val="none"/>
              </w:rPr>
              <w:t>根据项目建设合同中规定的实施方案或工作进度计划表，检查有关方对工程建设进度出现的偏差，形成书面报告</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0" w:type="dxa"/>
            <w:tcBorders>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line="276" w:lineRule="auto"/>
              <w:jc w:val="center"/>
              <w:rPr>
                <w:rFonts w:hint="default" w:ascii="宋体" w:hAnsi="宋体"/>
                <w:color w:val="auto"/>
                <w:sz w:val="24"/>
                <w:szCs w:val="24"/>
                <w:highlight w:val="none"/>
              </w:rPr>
            </w:pPr>
            <w:r>
              <w:rPr>
                <w:rFonts w:ascii="宋体" w:hAnsi="宋体"/>
                <w:color w:val="auto"/>
                <w:sz w:val="24"/>
                <w:szCs w:val="24"/>
                <w:highlight w:val="none"/>
              </w:rPr>
              <w:t>7</w:t>
            </w:r>
          </w:p>
        </w:tc>
        <w:tc>
          <w:tcPr>
            <w:tcW w:w="2279" w:type="dxa"/>
            <w:tcBorders>
              <w:bottom w:val="single" w:color="000000" w:sz="4" w:space="0"/>
              <w:right w:val="single" w:color="000000" w:sz="4" w:space="0"/>
            </w:tcBorders>
            <w:tcMar>
              <w:top w:w="0" w:type="dxa"/>
              <w:left w:w="105" w:type="dxa"/>
              <w:bottom w:w="0" w:type="dxa"/>
              <w:right w:w="105" w:type="dxa"/>
            </w:tcMar>
            <w:vAlign w:val="top"/>
          </w:tcPr>
          <w:p>
            <w:pPr>
              <w:pStyle w:val="6"/>
              <w:spacing w:line="276" w:lineRule="auto"/>
              <w:jc w:val="both"/>
              <w:rPr>
                <w:rFonts w:hint="default"/>
                <w:color w:val="auto"/>
                <w:sz w:val="24"/>
                <w:szCs w:val="24"/>
                <w:highlight w:val="none"/>
              </w:rPr>
            </w:pPr>
            <w:r>
              <w:rPr>
                <w:color w:val="auto"/>
                <w:sz w:val="24"/>
                <w:szCs w:val="24"/>
                <w:highlight w:val="none"/>
              </w:rPr>
              <w:t>监理通知、监理建议、工作联系单、问题处理报告、会议纪要、备忘录</w:t>
            </w:r>
          </w:p>
        </w:tc>
        <w:tc>
          <w:tcPr>
            <w:tcW w:w="5217" w:type="dxa"/>
            <w:tcBorders>
              <w:bottom w:val="single" w:color="000000" w:sz="4" w:space="0"/>
              <w:right w:val="single" w:color="000000" w:sz="4" w:space="0"/>
            </w:tcBorders>
            <w:tcMar>
              <w:top w:w="0" w:type="dxa"/>
              <w:left w:w="105" w:type="dxa"/>
              <w:bottom w:w="0" w:type="dxa"/>
              <w:right w:w="105" w:type="dxa"/>
            </w:tcMar>
            <w:vAlign w:val="top"/>
          </w:tcPr>
          <w:p>
            <w:pPr>
              <w:pStyle w:val="6"/>
              <w:spacing w:line="276" w:lineRule="auto"/>
              <w:jc w:val="both"/>
              <w:rPr>
                <w:rFonts w:hint="eastAsia" w:eastAsia="宋体"/>
                <w:color w:val="auto"/>
                <w:sz w:val="24"/>
                <w:szCs w:val="24"/>
                <w:highlight w:val="none"/>
                <w:lang w:eastAsia="zh-CN"/>
              </w:rPr>
            </w:pPr>
            <w:r>
              <w:rPr>
                <w:color w:val="auto"/>
                <w:sz w:val="24"/>
                <w:szCs w:val="24"/>
                <w:highlight w:val="none"/>
              </w:rPr>
              <w:t>根据工程建设情况，对项目建设各阶段出现的需要适时得到处理和解决的问题，或监理与相关方形成的沟通、协调等事件，或监理在对有关专项问题实施检查活动等形成书面报告</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0" w:type="dxa"/>
            <w:tcBorders>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line="276" w:lineRule="auto"/>
              <w:jc w:val="center"/>
              <w:rPr>
                <w:rFonts w:hint="default" w:ascii="宋体" w:hAnsi="宋体"/>
                <w:color w:val="auto"/>
                <w:sz w:val="24"/>
                <w:szCs w:val="24"/>
                <w:highlight w:val="none"/>
              </w:rPr>
            </w:pPr>
            <w:r>
              <w:rPr>
                <w:rFonts w:ascii="宋体" w:hAnsi="宋体"/>
                <w:color w:val="auto"/>
                <w:sz w:val="24"/>
                <w:szCs w:val="24"/>
                <w:highlight w:val="none"/>
              </w:rPr>
              <w:t>8</w:t>
            </w:r>
          </w:p>
        </w:tc>
        <w:tc>
          <w:tcPr>
            <w:tcW w:w="2279" w:type="dxa"/>
            <w:tcBorders>
              <w:bottom w:val="single" w:color="000000" w:sz="4" w:space="0"/>
              <w:right w:val="single" w:color="000000" w:sz="4" w:space="0"/>
            </w:tcBorders>
            <w:tcMar>
              <w:top w:w="0" w:type="dxa"/>
              <w:left w:w="105" w:type="dxa"/>
              <w:bottom w:w="0" w:type="dxa"/>
              <w:right w:w="105" w:type="dxa"/>
            </w:tcMar>
            <w:vAlign w:val="top"/>
          </w:tcPr>
          <w:p>
            <w:pPr>
              <w:pStyle w:val="6"/>
              <w:spacing w:line="276" w:lineRule="auto"/>
              <w:jc w:val="both"/>
              <w:rPr>
                <w:rFonts w:hint="default"/>
                <w:color w:val="auto"/>
                <w:sz w:val="24"/>
                <w:szCs w:val="24"/>
                <w:highlight w:val="none"/>
              </w:rPr>
            </w:pPr>
            <w:r>
              <w:rPr>
                <w:color w:val="auto"/>
                <w:sz w:val="24"/>
                <w:szCs w:val="24"/>
                <w:highlight w:val="none"/>
              </w:rPr>
              <w:t>监理周报、周（月）报、阶段性报告、专题报告</w:t>
            </w:r>
          </w:p>
        </w:tc>
        <w:tc>
          <w:tcPr>
            <w:tcW w:w="5217" w:type="dxa"/>
            <w:tcBorders>
              <w:bottom w:val="single" w:color="000000" w:sz="4" w:space="0"/>
              <w:right w:val="single" w:color="000000" w:sz="4" w:space="0"/>
            </w:tcBorders>
            <w:tcMar>
              <w:top w:w="0" w:type="dxa"/>
              <w:left w:w="105" w:type="dxa"/>
              <w:bottom w:w="0" w:type="dxa"/>
              <w:right w:w="105" w:type="dxa"/>
            </w:tcMar>
            <w:vAlign w:val="top"/>
          </w:tcPr>
          <w:p>
            <w:pPr>
              <w:pStyle w:val="6"/>
              <w:spacing w:line="276" w:lineRule="auto"/>
              <w:jc w:val="both"/>
              <w:rPr>
                <w:rFonts w:hint="default"/>
                <w:color w:val="auto"/>
                <w:sz w:val="24"/>
                <w:szCs w:val="24"/>
                <w:highlight w:val="none"/>
              </w:rPr>
            </w:pPr>
            <w:r>
              <w:rPr>
                <w:color w:val="auto"/>
                <w:sz w:val="24"/>
                <w:szCs w:val="24"/>
                <w:highlight w:val="none"/>
              </w:rPr>
              <w:t>对工程监理阶段性的进展情况、专项问题或工程临时出现的事件形成书面形式向甲方提出的陈述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0" w:type="dxa"/>
            <w:tcBorders>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line="276" w:lineRule="auto"/>
              <w:jc w:val="center"/>
              <w:rPr>
                <w:rFonts w:hint="default" w:ascii="宋体" w:hAnsi="宋体"/>
                <w:color w:val="auto"/>
                <w:sz w:val="24"/>
                <w:szCs w:val="24"/>
                <w:highlight w:val="none"/>
              </w:rPr>
            </w:pPr>
            <w:r>
              <w:rPr>
                <w:rFonts w:ascii="宋体" w:hAnsi="宋体"/>
                <w:color w:val="auto"/>
                <w:sz w:val="24"/>
                <w:szCs w:val="24"/>
                <w:highlight w:val="none"/>
              </w:rPr>
              <w:t>9</w:t>
            </w:r>
          </w:p>
        </w:tc>
        <w:tc>
          <w:tcPr>
            <w:tcW w:w="2279" w:type="dxa"/>
            <w:tcBorders>
              <w:bottom w:val="single" w:color="000000" w:sz="4" w:space="0"/>
              <w:right w:val="single" w:color="000000" w:sz="4" w:space="0"/>
            </w:tcBorders>
            <w:tcMar>
              <w:top w:w="0" w:type="dxa"/>
              <w:left w:w="105" w:type="dxa"/>
              <w:bottom w:w="0" w:type="dxa"/>
              <w:right w:w="105" w:type="dxa"/>
            </w:tcMar>
            <w:vAlign w:val="top"/>
          </w:tcPr>
          <w:p>
            <w:pPr>
              <w:pStyle w:val="6"/>
              <w:spacing w:line="276" w:lineRule="auto"/>
              <w:jc w:val="both"/>
              <w:rPr>
                <w:rFonts w:hint="default"/>
                <w:color w:val="auto"/>
                <w:sz w:val="24"/>
                <w:szCs w:val="24"/>
                <w:highlight w:val="none"/>
              </w:rPr>
            </w:pPr>
            <w:r>
              <w:rPr>
                <w:color w:val="auto"/>
                <w:sz w:val="24"/>
                <w:szCs w:val="24"/>
                <w:highlight w:val="none"/>
              </w:rPr>
              <w:t>测试方案、三方测试报告、试运行方案审核</w:t>
            </w:r>
          </w:p>
        </w:tc>
        <w:tc>
          <w:tcPr>
            <w:tcW w:w="5217" w:type="dxa"/>
            <w:tcBorders>
              <w:bottom w:val="single" w:color="000000" w:sz="4" w:space="0"/>
              <w:right w:val="single" w:color="000000" w:sz="4" w:space="0"/>
            </w:tcBorders>
            <w:tcMar>
              <w:top w:w="0" w:type="dxa"/>
              <w:left w:w="105" w:type="dxa"/>
              <w:bottom w:w="0" w:type="dxa"/>
              <w:right w:w="105" w:type="dxa"/>
            </w:tcMar>
            <w:vAlign w:val="top"/>
          </w:tcPr>
          <w:p>
            <w:pPr>
              <w:pStyle w:val="6"/>
              <w:spacing w:line="276" w:lineRule="auto"/>
              <w:jc w:val="both"/>
              <w:rPr>
                <w:rFonts w:hint="default"/>
                <w:color w:val="auto"/>
                <w:sz w:val="24"/>
                <w:szCs w:val="24"/>
                <w:highlight w:val="none"/>
              </w:rPr>
            </w:pPr>
            <w:r>
              <w:rPr>
                <w:color w:val="auto"/>
                <w:sz w:val="24"/>
                <w:szCs w:val="24"/>
                <w:highlight w:val="none"/>
              </w:rPr>
              <w:t>对测试方案、试运行方案进行审核确认并形成书面报告</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0" w:type="dxa"/>
            <w:tcBorders>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line="276" w:lineRule="auto"/>
              <w:jc w:val="center"/>
              <w:rPr>
                <w:rFonts w:hint="default" w:ascii="宋体" w:hAnsi="宋体"/>
                <w:color w:val="auto"/>
                <w:sz w:val="24"/>
                <w:szCs w:val="24"/>
                <w:highlight w:val="none"/>
              </w:rPr>
            </w:pPr>
            <w:r>
              <w:rPr>
                <w:rFonts w:ascii="宋体" w:hAnsi="宋体"/>
                <w:color w:val="auto"/>
                <w:sz w:val="24"/>
                <w:szCs w:val="24"/>
                <w:highlight w:val="none"/>
              </w:rPr>
              <w:t>10</w:t>
            </w:r>
          </w:p>
        </w:tc>
        <w:tc>
          <w:tcPr>
            <w:tcW w:w="2279" w:type="dxa"/>
            <w:tcBorders>
              <w:bottom w:val="single" w:color="000000" w:sz="4" w:space="0"/>
              <w:right w:val="single" w:color="000000" w:sz="4" w:space="0"/>
            </w:tcBorders>
            <w:tcMar>
              <w:top w:w="0" w:type="dxa"/>
              <w:left w:w="105" w:type="dxa"/>
              <w:bottom w:w="0" w:type="dxa"/>
              <w:right w:w="105" w:type="dxa"/>
            </w:tcMar>
            <w:vAlign w:val="top"/>
          </w:tcPr>
          <w:p>
            <w:pPr>
              <w:pStyle w:val="6"/>
              <w:spacing w:line="276" w:lineRule="auto"/>
              <w:jc w:val="both"/>
              <w:rPr>
                <w:rFonts w:hint="default"/>
                <w:color w:val="auto"/>
                <w:sz w:val="24"/>
                <w:szCs w:val="24"/>
                <w:highlight w:val="none"/>
              </w:rPr>
            </w:pPr>
            <w:r>
              <w:rPr>
                <w:color w:val="auto"/>
                <w:sz w:val="24"/>
                <w:szCs w:val="24"/>
                <w:highlight w:val="none"/>
              </w:rPr>
              <w:t>造价变更审查、支付审批、索赔处理文件</w:t>
            </w:r>
          </w:p>
        </w:tc>
        <w:tc>
          <w:tcPr>
            <w:tcW w:w="5217" w:type="dxa"/>
            <w:tcBorders>
              <w:bottom w:val="single" w:color="000000" w:sz="4" w:space="0"/>
              <w:right w:val="single" w:color="000000" w:sz="4" w:space="0"/>
            </w:tcBorders>
            <w:tcMar>
              <w:top w:w="0" w:type="dxa"/>
              <w:left w:w="105" w:type="dxa"/>
              <w:bottom w:w="0" w:type="dxa"/>
              <w:right w:w="105" w:type="dxa"/>
            </w:tcMar>
            <w:vAlign w:val="top"/>
          </w:tcPr>
          <w:p>
            <w:pPr>
              <w:pStyle w:val="6"/>
              <w:spacing w:line="276" w:lineRule="auto"/>
              <w:jc w:val="both"/>
              <w:rPr>
                <w:rFonts w:hint="default"/>
                <w:color w:val="auto"/>
                <w:sz w:val="24"/>
                <w:szCs w:val="24"/>
                <w:highlight w:val="none"/>
              </w:rPr>
            </w:pPr>
            <w:r>
              <w:rPr>
                <w:color w:val="auto"/>
                <w:sz w:val="24"/>
                <w:szCs w:val="24"/>
                <w:highlight w:val="none"/>
              </w:rPr>
              <w:t>根据支付或索赔申请进行审核确认后形成书面报告</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0" w:type="dxa"/>
            <w:tcBorders>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line="276" w:lineRule="auto"/>
              <w:jc w:val="center"/>
              <w:rPr>
                <w:rFonts w:hint="default" w:ascii="宋体" w:hAnsi="宋体"/>
                <w:color w:val="auto"/>
                <w:sz w:val="24"/>
                <w:szCs w:val="24"/>
                <w:highlight w:val="none"/>
              </w:rPr>
            </w:pPr>
            <w:r>
              <w:rPr>
                <w:rFonts w:ascii="宋体" w:hAnsi="宋体"/>
                <w:color w:val="auto"/>
                <w:sz w:val="24"/>
                <w:szCs w:val="24"/>
                <w:highlight w:val="none"/>
              </w:rPr>
              <w:t>11</w:t>
            </w:r>
          </w:p>
        </w:tc>
        <w:tc>
          <w:tcPr>
            <w:tcW w:w="2279" w:type="dxa"/>
            <w:tcBorders>
              <w:bottom w:val="single" w:color="000000" w:sz="4" w:space="0"/>
              <w:right w:val="single" w:color="000000" w:sz="4" w:space="0"/>
            </w:tcBorders>
            <w:tcMar>
              <w:top w:w="0" w:type="dxa"/>
              <w:left w:w="105" w:type="dxa"/>
              <w:bottom w:w="0" w:type="dxa"/>
              <w:right w:w="105" w:type="dxa"/>
            </w:tcMar>
            <w:vAlign w:val="top"/>
          </w:tcPr>
          <w:p>
            <w:pPr>
              <w:pStyle w:val="6"/>
              <w:spacing w:line="276" w:lineRule="auto"/>
              <w:jc w:val="both"/>
              <w:rPr>
                <w:rFonts w:hint="default"/>
                <w:color w:val="auto"/>
                <w:sz w:val="24"/>
                <w:szCs w:val="24"/>
                <w:highlight w:val="none"/>
              </w:rPr>
            </w:pPr>
            <w:r>
              <w:rPr>
                <w:color w:val="auto"/>
                <w:sz w:val="24"/>
                <w:szCs w:val="24"/>
                <w:highlight w:val="none"/>
              </w:rPr>
              <w:t>验收、交接文件、支付证书、结算审核文件</w:t>
            </w:r>
          </w:p>
        </w:tc>
        <w:tc>
          <w:tcPr>
            <w:tcW w:w="5217" w:type="dxa"/>
            <w:tcBorders>
              <w:bottom w:val="single" w:color="000000" w:sz="4" w:space="0"/>
              <w:right w:val="single" w:color="000000" w:sz="4" w:space="0"/>
            </w:tcBorders>
            <w:tcMar>
              <w:top w:w="0" w:type="dxa"/>
              <w:left w:w="105" w:type="dxa"/>
              <w:bottom w:w="0" w:type="dxa"/>
              <w:right w:w="105" w:type="dxa"/>
            </w:tcMar>
            <w:vAlign w:val="top"/>
          </w:tcPr>
          <w:p>
            <w:pPr>
              <w:pStyle w:val="6"/>
              <w:spacing w:line="276" w:lineRule="auto"/>
              <w:jc w:val="both"/>
              <w:rPr>
                <w:rFonts w:hint="default"/>
                <w:color w:val="auto"/>
                <w:sz w:val="24"/>
                <w:szCs w:val="24"/>
                <w:highlight w:val="none"/>
              </w:rPr>
            </w:pPr>
            <w:r>
              <w:rPr>
                <w:color w:val="auto"/>
                <w:sz w:val="24"/>
                <w:szCs w:val="24"/>
                <w:highlight w:val="none"/>
              </w:rPr>
              <w:t>对承建单位提出的项目付款阶段性验收申请进行审核，确认项目该阶段完成工作情况是否已达到合同规定的建设要求，形成书面形式的文件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0" w:type="dxa"/>
            <w:tcBorders>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line="276" w:lineRule="auto"/>
              <w:jc w:val="center"/>
              <w:rPr>
                <w:rFonts w:hint="default" w:ascii="宋体" w:hAnsi="宋体"/>
                <w:color w:val="auto"/>
                <w:sz w:val="24"/>
                <w:szCs w:val="24"/>
                <w:highlight w:val="none"/>
              </w:rPr>
            </w:pPr>
            <w:r>
              <w:rPr>
                <w:rFonts w:ascii="宋体" w:hAnsi="宋体"/>
                <w:color w:val="auto"/>
                <w:sz w:val="24"/>
                <w:szCs w:val="24"/>
                <w:highlight w:val="none"/>
              </w:rPr>
              <w:t>12</w:t>
            </w:r>
          </w:p>
        </w:tc>
        <w:tc>
          <w:tcPr>
            <w:tcW w:w="2279" w:type="dxa"/>
            <w:tcBorders>
              <w:bottom w:val="single" w:color="000000" w:sz="4" w:space="0"/>
              <w:right w:val="single" w:color="000000" w:sz="4" w:space="0"/>
            </w:tcBorders>
            <w:tcMar>
              <w:top w:w="0" w:type="dxa"/>
              <w:left w:w="105" w:type="dxa"/>
              <w:bottom w:w="0" w:type="dxa"/>
              <w:right w:w="105" w:type="dxa"/>
            </w:tcMar>
            <w:vAlign w:val="top"/>
          </w:tcPr>
          <w:p>
            <w:pPr>
              <w:pStyle w:val="6"/>
              <w:spacing w:line="276" w:lineRule="auto"/>
              <w:jc w:val="both"/>
              <w:rPr>
                <w:rFonts w:hint="default"/>
                <w:color w:val="auto"/>
                <w:sz w:val="24"/>
                <w:szCs w:val="24"/>
                <w:highlight w:val="none"/>
              </w:rPr>
            </w:pPr>
            <w:r>
              <w:rPr>
                <w:color w:val="auto"/>
                <w:sz w:val="24"/>
                <w:szCs w:val="24"/>
                <w:highlight w:val="none"/>
              </w:rPr>
              <w:t>监理工作总结报告</w:t>
            </w:r>
          </w:p>
        </w:tc>
        <w:tc>
          <w:tcPr>
            <w:tcW w:w="5217" w:type="dxa"/>
            <w:tcBorders>
              <w:bottom w:val="single" w:color="000000" w:sz="4" w:space="0"/>
              <w:right w:val="single" w:color="000000" w:sz="4" w:space="0"/>
            </w:tcBorders>
            <w:tcMar>
              <w:top w:w="0" w:type="dxa"/>
              <w:left w:w="105" w:type="dxa"/>
              <w:bottom w:w="0" w:type="dxa"/>
              <w:right w:w="105" w:type="dxa"/>
            </w:tcMar>
            <w:vAlign w:val="top"/>
          </w:tcPr>
          <w:p>
            <w:pPr>
              <w:pStyle w:val="6"/>
              <w:spacing w:line="276" w:lineRule="auto"/>
              <w:jc w:val="both"/>
              <w:rPr>
                <w:rFonts w:hint="default"/>
                <w:color w:val="auto"/>
                <w:sz w:val="24"/>
                <w:szCs w:val="24"/>
                <w:highlight w:val="none"/>
              </w:rPr>
            </w:pPr>
            <w:r>
              <w:rPr>
                <w:color w:val="auto"/>
                <w:sz w:val="24"/>
                <w:szCs w:val="24"/>
                <w:highlight w:val="none"/>
              </w:rPr>
              <w:t>项目结束后，乙方综合所有的监理资料，对工程进度、工程质量、合同管理及其他事项等进行统一的综合分析，总结出整体监理结论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0" w:type="dxa"/>
            <w:tcBorders>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spacing w:line="276" w:lineRule="auto"/>
              <w:jc w:val="center"/>
              <w:rPr>
                <w:rFonts w:hint="default" w:ascii="宋体" w:hAnsi="宋体"/>
                <w:color w:val="auto"/>
                <w:sz w:val="24"/>
                <w:szCs w:val="24"/>
                <w:highlight w:val="none"/>
              </w:rPr>
            </w:pPr>
            <w:r>
              <w:rPr>
                <w:rFonts w:ascii="宋体" w:hAnsi="宋体"/>
                <w:color w:val="auto"/>
                <w:sz w:val="24"/>
                <w:szCs w:val="24"/>
                <w:highlight w:val="none"/>
              </w:rPr>
              <w:t>13</w:t>
            </w:r>
          </w:p>
        </w:tc>
        <w:tc>
          <w:tcPr>
            <w:tcW w:w="2279" w:type="dxa"/>
            <w:tcBorders>
              <w:bottom w:val="single" w:color="000000" w:sz="4" w:space="0"/>
              <w:right w:val="single" w:color="000000" w:sz="4" w:space="0"/>
            </w:tcBorders>
            <w:tcMar>
              <w:top w:w="0" w:type="dxa"/>
              <w:left w:w="105" w:type="dxa"/>
              <w:bottom w:w="0" w:type="dxa"/>
              <w:right w:w="105" w:type="dxa"/>
            </w:tcMar>
            <w:vAlign w:val="top"/>
          </w:tcPr>
          <w:p>
            <w:pPr>
              <w:pStyle w:val="6"/>
              <w:spacing w:line="276" w:lineRule="auto"/>
              <w:jc w:val="both"/>
              <w:rPr>
                <w:rFonts w:hint="default"/>
                <w:color w:val="auto"/>
                <w:sz w:val="24"/>
                <w:szCs w:val="24"/>
                <w:highlight w:val="none"/>
              </w:rPr>
            </w:pPr>
            <w:r>
              <w:rPr>
                <w:color w:val="auto"/>
                <w:sz w:val="24"/>
                <w:szCs w:val="24"/>
                <w:highlight w:val="none"/>
              </w:rPr>
              <w:t>监理照片、音像</w:t>
            </w:r>
          </w:p>
        </w:tc>
        <w:tc>
          <w:tcPr>
            <w:tcW w:w="5217" w:type="dxa"/>
            <w:tcBorders>
              <w:bottom w:val="single" w:color="000000" w:sz="4" w:space="0"/>
              <w:right w:val="single" w:color="000000" w:sz="4" w:space="0"/>
            </w:tcBorders>
            <w:tcMar>
              <w:top w:w="0" w:type="dxa"/>
              <w:left w:w="105" w:type="dxa"/>
              <w:bottom w:w="0" w:type="dxa"/>
              <w:right w:w="105" w:type="dxa"/>
            </w:tcMar>
            <w:vAlign w:val="top"/>
          </w:tcPr>
          <w:p>
            <w:pPr>
              <w:pStyle w:val="6"/>
              <w:spacing w:line="276" w:lineRule="auto"/>
              <w:jc w:val="both"/>
              <w:rPr>
                <w:rFonts w:hint="default"/>
                <w:color w:val="auto"/>
                <w:sz w:val="24"/>
                <w:szCs w:val="24"/>
                <w:highlight w:val="none"/>
              </w:rPr>
            </w:pPr>
            <w:r>
              <w:rPr>
                <w:color w:val="auto"/>
                <w:sz w:val="24"/>
                <w:szCs w:val="24"/>
                <w:highlight w:val="none"/>
              </w:rPr>
              <w:t>设备到货现场照片、音像</w:t>
            </w:r>
          </w:p>
        </w:tc>
      </w:tr>
    </w:tbl>
    <w:p>
      <w:pPr>
        <w:autoSpaceDE w:val="0"/>
        <w:autoSpaceDN w:val="0"/>
        <w:adjustRightInd w:val="0"/>
        <w:snapToGrid w:val="0"/>
        <w:spacing w:before="156" w:beforeLines="50" w:after="156" w:afterLines="50" w:line="360" w:lineRule="auto"/>
        <w:ind w:firstLine="480" w:firstLineChars="200"/>
        <w:rPr>
          <w:rFonts w:ascii="宋体" w:hAnsi="宋体" w:cs="宋体"/>
          <w:b/>
          <w:color w:val="auto"/>
          <w:sz w:val="24"/>
          <w:highlight w:val="none"/>
        </w:rPr>
      </w:pPr>
      <w:r>
        <w:rPr>
          <w:rFonts w:hint="eastAsia" w:ascii="宋体" w:hAnsi="宋体" w:cs="宋体"/>
          <w:b/>
          <w:color w:val="auto"/>
          <w:sz w:val="24"/>
          <w:highlight w:val="none"/>
        </w:rPr>
        <w:t>3.</w:t>
      </w:r>
      <w:r>
        <w:rPr>
          <w:rFonts w:ascii="宋体" w:hAnsi="宋体" w:cs="宋体"/>
          <w:b/>
          <w:color w:val="auto"/>
          <w:sz w:val="24"/>
          <w:highlight w:val="none"/>
        </w:rPr>
        <w:t>信息化支撑</w:t>
      </w:r>
    </w:p>
    <w:p>
      <w:pPr>
        <w:snapToGrid w:val="0"/>
        <w:spacing w:before="156" w:beforeLines="50" w:after="156" w:afterLines="50"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乙方需</w:t>
      </w:r>
      <w:r>
        <w:rPr>
          <w:rFonts w:ascii="宋体" w:hAnsi="宋体" w:cs="宋体"/>
          <w:bCs/>
          <w:color w:val="auto"/>
          <w:sz w:val="24"/>
          <w:highlight w:val="none"/>
        </w:rPr>
        <w:t>使用信息化手段支撑监理服务：包括信息化项目全流程管控平台、信息系统等级保护综合管理系统、信息系统项目绩效评价管理软件、信息系统项目文档管理软件、业务标准化控制决策系统、网络安全应急系统等。</w:t>
      </w:r>
    </w:p>
    <w:p>
      <w:pPr>
        <w:pStyle w:val="2"/>
        <w:numPr>
          <w:ilvl w:val="0"/>
          <w:numId w:val="1"/>
        </w:numPr>
        <w:tabs>
          <w:tab w:val="left" w:pos="567"/>
        </w:tabs>
        <w:spacing w:before="200" w:after="200" w:line="360" w:lineRule="auto"/>
        <w:ind w:left="227" w:hanging="227"/>
        <w:jc w:val="left"/>
        <w:rPr>
          <w:color w:val="auto"/>
          <w:sz w:val="28"/>
          <w:szCs w:val="28"/>
          <w:highlight w:val="none"/>
        </w:rPr>
      </w:pPr>
      <w:r>
        <w:rPr>
          <w:rFonts w:hint="eastAsia"/>
          <w:color w:val="auto"/>
          <w:sz w:val="28"/>
          <w:szCs w:val="28"/>
          <w:highlight w:val="none"/>
        </w:rPr>
        <w:t>监理服务成果交付与验收</w:t>
      </w:r>
    </w:p>
    <w:p>
      <w:pPr>
        <w:pStyle w:val="7"/>
        <w:spacing w:line="360" w:lineRule="auto"/>
        <w:ind w:firstLine="482"/>
        <w:rPr>
          <w:rFonts w:ascii="Times New Roman" w:hAnsi="Times New Roman" w:cs="宋体"/>
          <w:b/>
          <w:bCs/>
          <w:iCs/>
          <w:color w:val="auto"/>
          <w:sz w:val="24"/>
          <w:szCs w:val="24"/>
          <w:highlight w:val="none"/>
        </w:rPr>
      </w:pPr>
      <w:r>
        <w:rPr>
          <w:rFonts w:hint="eastAsia" w:ascii="Times New Roman" w:hAnsi="Times New Roman" w:cs="宋体"/>
          <w:b/>
          <w:bCs/>
          <w:iCs/>
          <w:color w:val="auto"/>
          <w:sz w:val="24"/>
          <w:szCs w:val="24"/>
          <w:highlight w:val="none"/>
        </w:rPr>
        <w:t>（一）成果交付</w:t>
      </w:r>
    </w:p>
    <w:p>
      <w:pPr>
        <w:pStyle w:val="7"/>
        <w:spacing w:line="360" w:lineRule="auto"/>
        <w:ind w:firstLine="480"/>
        <w:rPr>
          <w:rFonts w:ascii="Times New Roman" w:hAnsi="Times New Roman" w:cs="宋体"/>
          <w:iCs/>
          <w:color w:val="auto"/>
          <w:sz w:val="24"/>
          <w:szCs w:val="24"/>
          <w:highlight w:val="none"/>
        </w:rPr>
      </w:pPr>
      <w:r>
        <w:rPr>
          <w:rFonts w:hint="eastAsia" w:ascii="Times New Roman" w:hAnsi="Times New Roman" w:cs="宋体"/>
          <w:iCs/>
          <w:color w:val="auto"/>
          <w:sz w:val="24"/>
          <w:szCs w:val="24"/>
          <w:highlight w:val="none"/>
        </w:rPr>
        <w:t>1.监理工作成果按清单归档，需提供装订成册的纸质文档2 套，电子文档 1 套（包括但不限于），电子版与纸质版内容应当一致：</w:t>
      </w:r>
    </w:p>
    <w:p>
      <w:pPr>
        <w:pStyle w:val="7"/>
        <w:spacing w:line="360" w:lineRule="auto"/>
        <w:ind w:firstLine="480"/>
        <w:rPr>
          <w:rFonts w:ascii="Times New Roman" w:hAnsi="Times New Roman" w:cs="宋体"/>
          <w:iCs/>
          <w:color w:val="auto"/>
          <w:sz w:val="24"/>
          <w:szCs w:val="24"/>
          <w:highlight w:val="none"/>
        </w:rPr>
      </w:pPr>
      <w:r>
        <w:rPr>
          <w:rFonts w:hint="eastAsia" w:ascii="Times New Roman" w:hAnsi="Times New Roman" w:cs="宋体"/>
          <w:iCs/>
          <w:color w:val="auto"/>
          <w:sz w:val="24"/>
          <w:szCs w:val="24"/>
          <w:highlight w:val="none"/>
        </w:rPr>
        <w:t>2.交付地点：甲方所在地。</w:t>
      </w:r>
    </w:p>
    <w:p>
      <w:pPr>
        <w:snapToGrid w:val="0"/>
        <w:spacing w:before="156" w:beforeLines="50" w:after="156" w:afterLines="50" w:line="360" w:lineRule="auto"/>
        <w:ind w:firstLine="480" w:firstLineChars="200"/>
        <w:rPr>
          <w:rFonts w:ascii="Times New Roman" w:hAnsi="Times New Roman" w:cs="宋体"/>
          <w:b/>
          <w:bCs/>
          <w:iCs/>
          <w:color w:val="auto"/>
          <w:sz w:val="24"/>
          <w:highlight w:val="none"/>
        </w:rPr>
      </w:pPr>
      <w:r>
        <w:rPr>
          <w:rFonts w:hint="eastAsia" w:ascii="Times New Roman" w:hAnsi="Times New Roman" w:cs="宋体"/>
          <w:b/>
          <w:bCs/>
          <w:iCs/>
          <w:color w:val="auto"/>
          <w:sz w:val="24"/>
          <w:highlight w:val="none"/>
        </w:rPr>
        <w:t>（二）服务验收</w:t>
      </w:r>
    </w:p>
    <w:p>
      <w:pPr>
        <w:snapToGrid w:val="0"/>
        <w:spacing w:before="156" w:beforeLines="50" w:after="156" w:afterLines="50"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1.验收条件：所监理的项目须通过验收。</w:t>
      </w:r>
    </w:p>
    <w:p>
      <w:pPr>
        <w:pStyle w:val="7"/>
        <w:spacing w:line="360" w:lineRule="auto"/>
        <w:ind w:firstLine="480"/>
        <w:rPr>
          <w:rFonts w:hint="eastAsia" w:ascii="Times New Roman" w:hAnsi="Times New Roman" w:cs="宋体"/>
          <w:iCs/>
          <w:color w:val="auto"/>
          <w:sz w:val="24"/>
          <w:szCs w:val="24"/>
          <w:highlight w:val="none"/>
        </w:rPr>
      </w:pPr>
      <w:r>
        <w:rPr>
          <w:rFonts w:hint="eastAsia" w:ascii="Times New Roman" w:hAnsi="Times New Roman" w:cs="宋体"/>
          <w:iCs/>
          <w:color w:val="auto"/>
          <w:sz w:val="24"/>
          <w:szCs w:val="24"/>
          <w:highlight w:val="none"/>
        </w:rPr>
        <w:t>2.验收形式：监理服务验收与所监理的项目验收同时进行。验收按照广州市信息化主管部门的验收规定执行。</w:t>
      </w:r>
    </w:p>
    <w:p>
      <w:pPr>
        <w:pStyle w:val="2"/>
        <w:numPr>
          <w:ilvl w:val="0"/>
          <w:numId w:val="1"/>
        </w:numPr>
        <w:tabs>
          <w:tab w:val="left" w:pos="567"/>
        </w:tabs>
        <w:spacing w:before="200" w:after="200" w:line="360" w:lineRule="auto"/>
        <w:ind w:left="227" w:hanging="227"/>
        <w:jc w:val="left"/>
        <w:rPr>
          <w:color w:val="auto"/>
          <w:sz w:val="28"/>
          <w:szCs w:val="28"/>
          <w:highlight w:val="none"/>
        </w:rPr>
      </w:pPr>
      <w:r>
        <w:rPr>
          <w:rFonts w:hint="eastAsia"/>
          <w:color w:val="auto"/>
          <w:sz w:val="28"/>
          <w:szCs w:val="28"/>
          <w:highlight w:val="none"/>
        </w:rPr>
        <w:t>服务人员要求</w:t>
      </w:r>
    </w:p>
    <w:p>
      <w:pPr>
        <w:snapToGrid w:val="0"/>
        <w:spacing w:before="156" w:beforeLines="50" w:after="156" w:afterLines="50" w:line="360" w:lineRule="auto"/>
        <w:rPr>
          <w:rFonts w:ascii="宋体" w:hAnsi="宋体" w:cs="宋体"/>
          <w:b/>
          <w:color w:val="auto"/>
          <w:sz w:val="24"/>
          <w:highlight w:val="none"/>
        </w:rPr>
      </w:pPr>
      <w:r>
        <w:rPr>
          <w:rFonts w:ascii="宋体" w:hAnsi="宋体" w:cs="宋体"/>
          <w:b/>
          <w:color w:val="auto"/>
          <w:sz w:val="24"/>
          <w:highlight w:val="none"/>
        </w:rPr>
        <w:t xml:space="preserve">    </w:t>
      </w:r>
      <w:r>
        <w:rPr>
          <w:rFonts w:hint="eastAsia" w:ascii="宋体" w:hAnsi="宋体" w:cs="宋体"/>
          <w:b/>
          <w:color w:val="auto"/>
          <w:sz w:val="24"/>
          <w:highlight w:val="none"/>
        </w:rPr>
        <w:t>1.监理机构及人员的要求</w:t>
      </w:r>
    </w:p>
    <w:p>
      <w:pPr>
        <w:snapToGrid w:val="0"/>
        <w:spacing w:before="156" w:beforeLines="50" w:after="156" w:afterLines="50"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项目的乙方应组建项目监理机构，该工程监理机构满足以下要求：实行总监理工程师负责制，对项目重大决策提出建议和意见。</w:t>
      </w:r>
    </w:p>
    <w:p>
      <w:pPr>
        <w:snapToGrid w:val="0"/>
        <w:spacing w:before="156" w:beforeLines="50" w:after="156" w:afterLines="50"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项目监理要求在项目建设期内采用总监理工程师代表、监理工程师，按照甲方工作时间、指定的地点，以现场</w:t>
      </w:r>
      <w:r>
        <w:rPr>
          <w:rFonts w:hint="eastAsia" w:ascii="宋体" w:hAnsi="宋体" w:cs="宋体"/>
          <w:bCs/>
          <w:color w:val="auto"/>
          <w:sz w:val="24"/>
          <w:highlight w:val="none"/>
          <w:lang w:val="en-US" w:eastAsia="zh-CN"/>
        </w:rPr>
        <w:t>和一线</w:t>
      </w:r>
      <w:r>
        <w:rPr>
          <w:rFonts w:hint="eastAsia" w:ascii="宋体" w:hAnsi="宋体" w:cs="宋体"/>
          <w:bCs/>
          <w:color w:val="auto"/>
          <w:sz w:val="24"/>
          <w:highlight w:val="none"/>
        </w:rPr>
        <w:t>监理为主的形式。</w:t>
      </w:r>
    </w:p>
    <w:p>
      <w:pPr>
        <w:snapToGrid w:val="0"/>
        <w:spacing w:before="156" w:beforeLines="50" w:after="156" w:afterLines="50"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总监理工程师和监理工程师具备与本项目类似的工作经验，且乙方应保证</w:t>
      </w:r>
      <w:r>
        <w:rPr>
          <w:rFonts w:hint="eastAsia" w:ascii="宋体" w:hAnsi="宋体" w:cs="宋体"/>
          <w:bCs/>
          <w:color w:val="auto"/>
          <w:sz w:val="24"/>
          <w:highlight w:val="none"/>
          <w:lang w:val="en-US" w:eastAsia="zh-CN"/>
        </w:rPr>
        <w:t>一线</w:t>
      </w:r>
      <w:r>
        <w:rPr>
          <w:rFonts w:hint="eastAsia" w:ascii="宋体" w:hAnsi="宋体" w:cs="宋体"/>
          <w:bCs/>
          <w:color w:val="auto"/>
          <w:sz w:val="24"/>
          <w:highlight w:val="none"/>
        </w:rPr>
        <w:t>监理工程师全职服务于本项目。</w:t>
      </w:r>
    </w:p>
    <w:p>
      <w:pPr>
        <w:snapToGrid w:val="0"/>
        <w:spacing w:before="156" w:beforeLines="50" w:after="156" w:afterLines="50" w:line="360" w:lineRule="auto"/>
        <w:ind w:firstLine="480" w:firstLineChars="200"/>
        <w:rPr>
          <w:rFonts w:hint="eastAsia" w:ascii="宋体" w:hAnsi="宋体" w:cs="宋体"/>
          <w:b/>
          <w:color w:val="auto"/>
          <w:sz w:val="24"/>
          <w:highlight w:val="none"/>
        </w:rPr>
      </w:pPr>
      <w:r>
        <w:rPr>
          <w:rFonts w:hint="eastAsia" w:ascii="宋体" w:hAnsi="宋体" w:cs="宋体"/>
          <w:b/>
          <w:color w:val="auto"/>
          <w:sz w:val="24"/>
          <w:highlight w:val="none"/>
        </w:rPr>
        <w:t>2.对总监理工程师的要求</w:t>
      </w:r>
    </w:p>
    <w:p>
      <w:pPr>
        <w:pStyle w:val="8"/>
        <w:snapToGrid w:val="0"/>
        <w:spacing w:before="156" w:beforeLines="50" w:after="156" w:afterLines="50" w:line="360" w:lineRule="auto"/>
        <w:ind w:firstLine="480" w:firstLineChars="200"/>
        <w:rPr>
          <w:rFonts w:hint="eastAsia" w:ascii="宋体" w:hAnsi="宋体" w:eastAsia="等线" w:cs="宋体"/>
          <w:bCs/>
          <w:iCs w:val="0"/>
          <w:color w:val="auto"/>
          <w:sz w:val="24"/>
          <w:szCs w:val="22"/>
          <w:highlight w:val="none"/>
        </w:rPr>
      </w:pPr>
      <w:r>
        <w:rPr>
          <w:rFonts w:hint="eastAsia" w:ascii="宋体" w:hAnsi="宋体" w:cs="宋体"/>
          <w:bCs/>
          <w:iCs w:val="0"/>
          <w:color w:val="auto"/>
          <w:sz w:val="24"/>
          <w:szCs w:val="22"/>
          <w:highlight w:val="none"/>
          <w:lang w:val="en-US" w:eastAsia="zh-CN"/>
        </w:rPr>
        <w:t xml:space="preserve">    </w:t>
      </w:r>
      <w:r>
        <w:rPr>
          <w:rFonts w:hint="eastAsia" w:ascii="宋体" w:hAnsi="宋体" w:eastAsia="等线" w:cs="宋体"/>
          <w:bCs/>
          <w:iCs w:val="0"/>
          <w:color w:val="auto"/>
          <w:sz w:val="24"/>
          <w:szCs w:val="22"/>
          <w:highlight w:val="none"/>
        </w:rPr>
        <w:t>人数1名。需</w:t>
      </w:r>
      <w:r>
        <w:rPr>
          <w:rFonts w:hint="eastAsia" w:ascii="宋体" w:hAnsi="宋体" w:eastAsia="等线" w:cs="宋体"/>
          <w:bCs/>
          <w:iCs w:val="0"/>
          <w:color w:val="auto"/>
          <w:sz w:val="24"/>
          <w:szCs w:val="22"/>
          <w:highlight w:val="none"/>
          <w:lang w:val="en-US" w:eastAsia="zh-CN"/>
        </w:rPr>
        <w:t>至少</w:t>
      </w:r>
      <w:r>
        <w:rPr>
          <w:rFonts w:hint="eastAsia" w:ascii="宋体" w:hAnsi="宋体" w:eastAsia="等线" w:cs="宋体"/>
          <w:bCs/>
          <w:iCs w:val="0"/>
          <w:color w:val="auto"/>
          <w:sz w:val="24"/>
          <w:szCs w:val="22"/>
          <w:highlight w:val="none"/>
        </w:rPr>
        <w:t>具备</w:t>
      </w:r>
      <w:r>
        <w:rPr>
          <w:rFonts w:hint="eastAsia" w:ascii="宋体" w:hAnsi="宋体" w:eastAsia="等线" w:cs="宋体"/>
          <w:bCs/>
          <w:iCs w:val="0"/>
          <w:color w:val="auto"/>
          <w:sz w:val="24"/>
          <w:szCs w:val="22"/>
          <w:highlight w:val="none"/>
          <w:lang w:val="en-US" w:eastAsia="zh-CN"/>
        </w:rPr>
        <w:t>本科</w:t>
      </w:r>
      <w:r>
        <w:rPr>
          <w:rFonts w:hint="eastAsia" w:ascii="宋体" w:hAnsi="宋体" w:eastAsia="等线" w:cs="宋体"/>
          <w:bCs/>
          <w:iCs w:val="0"/>
          <w:color w:val="auto"/>
          <w:sz w:val="24"/>
          <w:szCs w:val="22"/>
          <w:highlight w:val="none"/>
        </w:rPr>
        <w:t>或以上学历、信息系统监理师证书</w:t>
      </w:r>
      <w:r>
        <w:rPr>
          <w:rFonts w:hint="eastAsia" w:ascii="宋体" w:hAnsi="宋体" w:eastAsia="等线" w:cs="宋体"/>
          <w:bCs/>
          <w:iCs w:val="0"/>
          <w:color w:val="auto"/>
          <w:sz w:val="24"/>
          <w:szCs w:val="22"/>
          <w:highlight w:val="none"/>
          <w:lang w:val="en-US" w:eastAsia="zh-CN"/>
        </w:rPr>
        <w:t>、信息系统项目管理师</w:t>
      </w:r>
      <w:r>
        <w:rPr>
          <w:rFonts w:hint="eastAsia" w:ascii="宋体" w:hAnsi="宋体" w:eastAsia="等线" w:cs="宋体"/>
          <w:bCs/>
          <w:iCs w:val="0"/>
          <w:color w:val="auto"/>
          <w:sz w:val="24"/>
          <w:szCs w:val="22"/>
          <w:highlight w:val="none"/>
        </w:rPr>
        <w:t>，并具有同类项目的项目管理工作经验。</w:t>
      </w:r>
    </w:p>
    <w:p>
      <w:pPr>
        <w:pStyle w:val="8"/>
        <w:snapToGrid w:val="0"/>
        <w:spacing w:before="156" w:beforeLines="50" w:after="156" w:afterLines="50" w:line="360" w:lineRule="auto"/>
        <w:ind w:firstLine="0" w:firstLineChars="0"/>
        <w:rPr>
          <w:rFonts w:hint="eastAsia" w:ascii="宋体" w:hAnsi="宋体" w:eastAsia="等线" w:cs="宋体"/>
          <w:bCs/>
          <w:iCs w:val="0"/>
          <w:color w:val="auto"/>
          <w:sz w:val="24"/>
          <w:szCs w:val="22"/>
          <w:highlight w:val="none"/>
        </w:rPr>
      </w:pPr>
      <w:r>
        <w:rPr>
          <w:rFonts w:hint="eastAsia" w:ascii="宋体" w:hAnsi="宋体" w:cs="宋体"/>
          <w:bCs/>
          <w:iCs w:val="0"/>
          <w:color w:val="auto"/>
          <w:sz w:val="24"/>
          <w:szCs w:val="22"/>
          <w:highlight w:val="none"/>
          <w:lang w:val="en-US" w:eastAsia="zh-CN"/>
        </w:rPr>
        <w:t xml:space="preserve">    </w:t>
      </w:r>
      <w:r>
        <w:rPr>
          <w:rFonts w:hint="eastAsia" w:ascii="宋体" w:hAnsi="宋体" w:eastAsia="等线" w:cs="宋体"/>
          <w:bCs/>
          <w:iCs w:val="0"/>
          <w:color w:val="auto"/>
          <w:sz w:val="24"/>
          <w:szCs w:val="22"/>
          <w:highlight w:val="none"/>
        </w:rPr>
        <w:t>总监理工程师需具备</w:t>
      </w:r>
      <w:r>
        <w:rPr>
          <w:rFonts w:hint="eastAsia" w:ascii="宋体" w:hAnsi="宋体" w:eastAsia="等线" w:cs="宋体"/>
          <w:bCs/>
          <w:iCs w:val="0"/>
          <w:color w:val="auto"/>
          <w:sz w:val="24"/>
          <w:szCs w:val="22"/>
          <w:highlight w:val="none"/>
          <w:lang w:val="en-US" w:eastAsia="zh-CN"/>
        </w:rPr>
        <w:t>软件评测师</w:t>
      </w:r>
      <w:r>
        <w:rPr>
          <w:rFonts w:hint="eastAsia" w:ascii="宋体" w:hAnsi="宋体" w:eastAsia="等线" w:cs="宋体"/>
          <w:bCs/>
          <w:iCs w:val="0"/>
          <w:color w:val="auto"/>
          <w:sz w:val="24"/>
          <w:szCs w:val="22"/>
          <w:highlight w:val="none"/>
        </w:rPr>
        <w:t>证书</w:t>
      </w:r>
      <w:r>
        <w:rPr>
          <w:rFonts w:hint="eastAsia" w:ascii="宋体" w:hAnsi="宋体" w:eastAsia="等线" w:cs="宋体"/>
          <w:bCs/>
          <w:iCs w:val="0"/>
          <w:color w:val="auto"/>
          <w:sz w:val="24"/>
          <w:szCs w:val="22"/>
          <w:highlight w:val="none"/>
          <w:lang w:val="en-US" w:eastAsia="zh-CN"/>
        </w:rPr>
        <w:t>、网络工程师</w:t>
      </w:r>
      <w:r>
        <w:rPr>
          <w:rFonts w:hint="eastAsia" w:ascii="宋体" w:hAnsi="宋体" w:eastAsia="等线" w:cs="宋体"/>
          <w:bCs/>
          <w:iCs w:val="0"/>
          <w:color w:val="auto"/>
          <w:sz w:val="24"/>
          <w:szCs w:val="22"/>
          <w:highlight w:val="none"/>
        </w:rPr>
        <w:t>证书</w:t>
      </w:r>
      <w:r>
        <w:rPr>
          <w:rFonts w:hint="eastAsia" w:ascii="宋体" w:hAnsi="宋体" w:eastAsia="等线" w:cs="宋体"/>
          <w:bCs/>
          <w:iCs w:val="0"/>
          <w:color w:val="auto"/>
          <w:sz w:val="24"/>
          <w:szCs w:val="22"/>
          <w:highlight w:val="none"/>
          <w:lang w:val="en-US" w:eastAsia="zh-CN"/>
        </w:rPr>
        <w:t>、系统分析师</w:t>
      </w:r>
      <w:r>
        <w:rPr>
          <w:rFonts w:hint="eastAsia" w:ascii="宋体" w:hAnsi="宋体" w:eastAsia="等线" w:cs="宋体"/>
          <w:bCs/>
          <w:iCs w:val="0"/>
          <w:color w:val="auto"/>
          <w:sz w:val="24"/>
          <w:szCs w:val="22"/>
          <w:highlight w:val="none"/>
        </w:rPr>
        <w:t>证书等证书。</w:t>
      </w:r>
    </w:p>
    <w:p>
      <w:pPr>
        <w:snapToGrid w:val="0"/>
        <w:spacing w:before="156" w:beforeLines="50" w:after="156" w:afterLines="50" w:line="360" w:lineRule="auto"/>
        <w:ind w:firstLine="480" w:firstLineChars="200"/>
        <w:rPr>
          <w:rFonts w:hint="eastAsia" w:ascii="宋体" w:hAnsi="宋体" w:cs="宋体"/>
          <w:b/>
          <w:color w:val="auto"/>
          <w:sz w:val="24"/>
          <w:highlight w:val="none"/>
        </w:rPr>
      </w:pPr>
      <w:r>
        <w:rPr>
          <w:rFonts w:hint="eastAsia" w:ascii="宋体" w:hAnsi="宋体" w:cs="宋体"/>
          <w:b/>
          <w:color w:val="auto"/>
          <w:sz w:val="24"/>
          <w:highlight w:val="none"/>
        </w:rPr>
        <w:t>3.对总监理工程师代表的要求</w:t>
      </w:r>
    </w:p>
    <w:p>
      <w:pPr>
        <w:snapToGrid w:val="0"/>
        <w:spacing w:before="156" w:beforeLines="50" w:after="156" w:afterLines="50"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人数1名，不可与总监理工程师为同一人。负责总监理工程师指定或交办的监理工作。总监理工程师代表需</w:t>
      </w:r>
      <w:r>
        <w:rPr>
          <w:rFonts w:hint="eastAsia" w:ascii="宋体" w:hAnsi="宋体" w:cs="宋体"/>
          <w:bCs/>
          <w:color w:val="auto"/>
          <w:sz w:val="24"/>
          <w:highlight w:val="none"/>
          <w:lang w:val="en-US" w:eastAsia="zh-CN"/>
        </w:rPr>
        <w:t>至少</w:t>
      </w:r>
      <w:r>
        <w:rPr>
          <w:rFonts w:hint="eastAsia" w:ascii="宋体" w:hAnsi="宋体" w:cs="宋体"/>
          <w:bCs/>
          <w:color w:val="auto"/>
          <w:sz w:val="24"/>
          <w:highlight w:val="none"/>
        </w:rPr>
        <w:t>具备本科或以上学历、信息系统监理师证书，具</w:t>
      </w:r>
      <w:r>
        <w:rPr>
          <w:rFonts w:hint="eastAsia" w:ascii="宋体" w:hAnsi="宋体" w:cs="宋体"/>
          <w:bCs/>
          <w:color w:val="auto"/>
          <w:sz w:val="24"/>
          <w:highlight w:val="none"/>
          <w:lang w:val="en-US" w:eastAsia="zh-CN"/>
        </w:rPr>
        <w:t>有</w:t>
      </w:r>
      <w:r>
        <w:rPr>
          <w:rFonts w:hint="eastAsia" w:ascii="宋体" w:hAnsi="宋体" w:cs="宋体"/>
          <w:bCs/>
          <w:color w:val="auto"/>
          <w:sz w:val="24"/>
          <w:highlight w:val="none"/>
        </w:rPr>
        <w:t>项目管理能力、监理服务实施能力。</w:t>
      </w:r>
    </w:p>
    <w:p>
      <w:pPr>
        <w:snapToGrid w:val="0"/>
        <w:spacing w:before="156" w:beforeLines="50" w:after="156" w:afterLines="50"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总监理工程师代表需具备</w:t>
      </w:r>
      <w:r>
        <w:rPr>
          <w:rFonts w:hint="eastAsia" w:ascii="宋体" w:hAnsi="宋体" w:cs="宋体"/>
          <w:bCs/>
          <w:color w:val="auto"/>
          <w:sz w:val="24"/>
          <w:highlight w:val="none"/>
          <w:lang w:val="en-US" w:eastAsia="zh-CN"/>
        </w:rPr>
        <w:t>系统集成项目管理工程师证书、</w:t>
      </w:r>
      <w:r>
        <w:rPr>
          <w:rFonts w:hint="eastAsia" w:ascii="宋体" w:hAnsi="宋体" w:cs="宋体"/>
          <w:bCs/>
          <w:color w:val="auto"/>
          <w:sz w:val="24"/>
          <w:highlight w:val="none"/>
        </w:rPr>
        <w:t>信息系统项目管理师证书</w:t>
      </w:r>
      <w:r>
        <w:rPr>
          <w:rFonts w:hint="eastAsia" w:ascii="宋体" w:hAnsi="宋体" w:cs="宋体"/>
          <w:bCs/>
          <w:color w:val="auto"/>
          <w:sz w:val="24"/>
          <w:highlight w:val="none"/>
          <w:lang w:val="en-US" w:eastAsia="zh-CN"/>
        </w:rPr>
        <w:t>等</w:t>
      </w:r>
      <w:r>
        <w:rPr>
          <w:rFonts w:hint="eastAsia" w:ascii="宋体" w:hAnsi="宋体" w:cs="宋体"/>
          <w:bCs/>
          <w:color w:val="auto"/>
          <w:sz w:val="24"/>
          <w:highlight w:val="none"/>
        </w:rPr>
        <w:t>证书。</w:t>
      </w:r>
    </w:p>
    <w:p>
      <w:pPr>
        <w:snapToGrid w:val="0"/>
        <w:spacing w:before="156" w:beforeLines="50" w:after="156" w:afterLines="50" w:line="360" w:lineRule="auto"/>
        <w:ind w:firstLine="480" w:firstLineChars="200"/>
        <w:rPr>
          <w:rFonts w:hint="eastAsia" w:ascii="宋体" w:hAnsi="宋体" w:cs="宋体"/>
          <w:b/>
          <w:color w:val="auto"/>
          <w:sz w:val="24"/>
          <w:highlight w:val="none"/>
        </w:rPr>
      </w:pPr>
      <w:r>
        <w:rPr>
          <w:rFonts w:hint="eastAsia" w:ascii="宋体" w:hAnsi="宋体" w:cs="宋体"/>
          <w:b/>
          <w:color w:val="auto"/>
          <w:sz w:val="24"/>
          <w:highlight w:val="none"/>
        </w:rPr>
        <w:t>4.对监理工程师的要求</w:t>
      </w:r>
    </w:p>
    <w:p>
      <w:pPr>
        <w:snapToGrid w:val="0"/>
        <w:spacing w:before="156" w:beforeLines="50" w:after="156" w:afterLines="50"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人数</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名，不含总监理工程师和总监理工程师代表。其中应含</w:t>
      </w:r>
      <w:r>
        <w:rPr>
          <w:rFonts w:hint="eastAsia" w:ascii="宋体" w:hAnsi="宋体" w:cs="宋体"/>
          <w:bCs/>
          <w:color w:val="auto"/>
          <w:sz w:val="24"/>
          <w:highlight w:val="none"/>
          <w:lang w:val="en-US" w:eastAsia="zh-CN"/>
        </w:rPr>
        <w:t>一线</w:t>
      </w:r>
      <w:r>
        <w:rPr>
          <w:rFonts w:hint="eastAsia" w:ascii="宋体" w:hAnsi="宋体" w:cs="宋体"/>
          <w:bCs/>
          <w:color w:val="auto"/>
          <w:sz w:val="24"/>
          <w:highlight w:val="none"/>
        </w:rPr>
        <w:t>监理师1名。</w:t>
      </w:r>
      <w:r>
        <w:rPr>
          <w:rFonts w:hint="eastAsia" w:ascii="宋体" w:hAnsi="宋体" w:cs="宋体"/>
          <w:bCs/>
          <w:color w:val="auto"/>
          <w:sz w:val="24"/>
          <w:highlight w:val="none"/>
          <w:lang w:val="en-US" w:eastAsia="zh-CN"/>
        </w:rPr>
        <w:t>监理工程师</w:t>
      </w:r>
      <w:r>
        <w:rPr>
          <w:rFonts w:hint="eastAsia" w:ascii="宋体" w:hAnsi="宋体" w:cs="宋体"/>
          <w:bCs/>
          <w:color w:val="auto"/>
          <w:sz w:val="24"/>
          <w:highlight w:val="none"/>
        </w:rPr>
        <w:t>具备一定的监理服务实施能力</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监理工程师团队人员</w:t>
      </w:r>
      <w:r>
        <w:rPr>
          <w:rFonts w:hint="eastAsia" w:ascii="宋体" w:hAnsi="宋体" w:cs="宋体"/>
          <w:bCs/>
          <w:color w:val="auto"/>
          <w:sz w:val="24"/>
          <w:highlight w:val="none"/>
          <w:lang w:val="en-US" w:eastAsia="zh-CN"/>
        </w:rPr>
        <w:t>至少</w:t>
      </w:r>
      <w:r>
        <w:rPr>
          <w:rFonts w:hint="eastAsia" w:ascii="宋体" w:hAnsi="宋体" w:cs="宋体"/>
          <w:bCs/>
          <w:color w:val="auto"/>
          <w:sz w:val="24"/>
          <w:highlight w:val="none"/>
        </w:rPr>
        <w:t>需具备信息系统监理师证书，具备</w:t>
      </w:r>
      <w:r>
        <w:rPr>
          <w:rFonts w:hint="eastAsia" w:ascii="宋体" w:hAnsi="宋体" w:cs="宋体"/>
          <w:bCs/>
          <w:color w:val="auto"/>
          <w:sz w:val="24"/>
          <w:highlight w:val="none"/>
          <w:lang w:val="en-US" w:eastAsia="zh-CN"/>
        </w:rPr>
        <w:t>系统规划与管理师证书、电子技术类或网络安全类中级或以上职称证书</w:t>
      </w:r>
      <w:r>
        <w:rPr>
          <w:rFonts w:hint="eastAsia" w:ascii="宋体" w:hAnsi="宋体" w:cs="宋体"/>
          <w:bCs/>
          <w:color w:val="auto"/>
          <w:sz w:val="24"/>
          <w:highlight w:val="none"/>
        </w:rPr>
        <w:t>任一项。</w:t>
      </w:r>
    </w:p>
    <w:p>
      <w:pPr>
        <w:snapToGrid w:val="0"/>
        <w:spacing w:before="156" w:beforeLines="50" w:after="156" w:afterLines="50" w:line="360" w:lineRule="auto"/>
        <w:ind w:firstLine="480" w:firstLineChars="200"/>
        <w:rPr>
          <w:rFonts w:hint="eastAsia" w:ascii="宋体" w:hAnsi="宋体" w:cs="宋体"/>
          <w:b/>
          <w:color w:val="auto"/>
          <w:sz w:val="24"/>
          <w:highlight w:val="none"/>
        </w:rPr>
      </w:pPr>
      <w:r>
        <w:rPr>
          <w:rFonts w:hint="eastAsia" w:ascii="宋体" w:hAnsi="宋体" w:cs="宋体"/>
          <w:b/>
          <w:color w:val="auto"/>
          <w:sz w:val="24"/>
          <w:highlight w:val="none"/>
        </w:rPr>
        <w:t>5.其他人员要求</w:t>
      </w:r>
    </w:p>
    <w:p>
      <w:pPr>
        <w:snapToGrid w:val="0"/>
        <w:spacing w:before="156" w:beforeLines="50" w:after="156" w:afterLines="50"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乙方人员在参与监理项目前，需经甲方审核资质、能力等方面要求后方可开展工作。监理人员的相关费用由乙方支出，在没有甲方的认可下，不能更换人员。若需更换人员的，必须提前15个工作日报甲方批准后方可更换，替代人员必须具有与原人员相当或更高的资质和能力。</w:t>
      </w:r>
    </w:p>
    <w:p>
      <w:pPr>
        <w:snapToGrid w:val="0"/>
        <w:spacing w:before="156" w:beforeLines="50" w:after="156" w:afterLines="50"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（2）乙方现场人员要服从甲方的管理和工作、事务安排，除按甲方管理人员的作息制度上下班外，还必须保持通信畅通，做好7×24小时的备勤工作，即使在节假日，在接到的通知后，必须在一个小时到达现场。</w:t>
      </w:r>
    </w:p>
    <w:p>
      <w:pPr>
        <w:snapToGrid w:val="0"/>
        <w:spacing w:before="156" w:beforeLines="50" w:after="156" w:afterLines="50"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乙方接受甲方的考核，考核采用每月考核制，分为监理技能、问题处理、责任心、备勤工作等方面考核，考核采用百分制，考核在60分以下的，甲方有权对乙方给予处罚。如有连续3次考核在60分以下，或现场人员缺勤超过1人月，或未经甲方同意更换监理人员等情况，甲方将按合同违约条款，终止合同，并报监管部门处理，由此引起的一切后果，由乙方承担。</w:t>
      </w:r>
    </w:p>
    <w:p>
      <w:pPr>
        <w:snapToGrid w:val="0"/>
        <w:spacing w:before="156" w:beforeLines="50" w:after="156" w:afterLines="50" w:line="360" w:lineRule="auto"/>
        <w:ind w:firstLine="480" w:firstLineChars="200"/>
        <w:rPr>
          <w:rFonts w:ascii="宋体" w:hAnsi="宋体" w:cs="宋体"/>
          <w:b/>
          <w:color w:val="auto"/>
          <w:sz w:val="24"/>
          <w:highlight w:val="none"/>
        </w:rPr>
      </w:pPr>
      <w:r>
        <w:rPr>
          <w:rFonts w:hint="eastAsia" w:ascii="宋体" w:hAnsi="宋体" w:cs="宋体"/>
          <w:b/>
          <w:color w:val="auto"/>
          <w:sz w:val="24"/>
          <w:highlight w:val="none"/>
        </w:rPr>
        <w:t>6.考核内容及要求</w:t>
      </w:r>
    </w:p>
    <w:p>
      <w:pPr>
        <w:snapToGrid w:val="0"/>
        <w:spacing w:before="156" w:beforeLines="50" w:after="156" w:afterLines="50"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（1）考核要求</w:t>
      </w:r>
    </w:p>
    <w:tbl>
      <w:tblPr>
        <w:tblStyle w:val="4"/>
        <w:tblW w:w="9054" w:type="dxa"/>
        <w:tblInd w:w="66"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723"/>
        <w:gridCol w:w="1397"/>
        <w:gridCol w:w="1276"/>
        <w:gridCol w:w="5658"/>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79" w:hRule="atLeast"/>
          <w:tblHeader/>
        </w:trPr>
        <w:tc>
          <w:tcPr>
            <w:tcW w:w="723" w:type="dxa"/>
            <w:tcBorders>
              <w:top w:val="single" w:color="auto" w:sz="6" w:space="0"/>
              <w:left w:val="single" w:color="auto" w:sz="6" w:space="0"/>
              <w:bottom w:val="single" w:color="auto" w:sz="2" w:space="0"/>
              <w:right w:val="single" w:color="auto" w:sz="2" w:space="0"/>
            </w:tcBorders>
            <w:shd w:val="clear" w:color="auto" w:fill="D4D4D4"/>
            <w:vAlign w:val="center"/>
          </w:tcPr>
          <w:p>
            <w:pPr>
              <w:pStyle w:val="6"/>
              <w:spacing w:line="276" w:lineRule="auto"/>
              <w:jc w:val="center"/>
              <w:rPr>
                <w:b/>
                <w:color w:val="auto"/>
                <w:sz w:val="24"/>
                <w:szCs w:val="24"/>
                <w:highlight w:val="none"/>
              </w:rPr>
            </w:pPr>
            <w:r>
              <w:rPr>
                <w:b/>
                <w:color w:val="auto"/>
                <w:sz w:val="24"/>
                <w:szCs w:val="24"/>
                <w:highlight w:val="none"/>
              </w:rPr>
              <w:t>序号</w:t>
            </w:r>
          </w:p>
        </w:tc>
        <w:tc>
          <w:tcPr>
            <w:tcW w:w="1397" w:type="dxa"/>
            <w:tcBorders>
              <w:top w:val="single" w:color="auto" w:sz="6" w:space="0"/>
              <w:left w:val="single" w:color="auto" w:sz="2" w:space="0"/>
              <w:bottom w:val="single" w:color="auto" w:sz="2" w:space="0"/>
              <w:right w:val="single" w:color="auto" w:sz="2" w:space="0"/>
            </w:tcBorders>
            <w:shd w:val="clear" w:color="auto" w:fill="D4D4D4"/>
            <w:vAlign w:val="center"/>
          </w:tcPr>
          <w:p>
            <w:pPr>
              <w:pStyle w:val="6"/>
              <w:spacing w:line="276" w:lineRule="auto"/>
              <w:jc w:val="center"/>
              <w:rPr>
                <w:b/>
                <w:color w:val="auto"/>
                <w:sz w:val="24"/>
                <w:szCs w:val="24"/>
                <w:highlight w:val="none"/>
              </w:rPr>
            </w:pPr>
            <w:r>
              <w:rPr>
                <w:b/>
                <w:color w:val="auto"/>
                <w:sz w:val="24"/>
                <w:szCs w:val="24"/>
                <w:highlight w:val="none"/>
              </w:rPr>
              <w:t>考核项目</w:t>
            </w:r>
          </w:p>
        </w:tc>
        <w:tc>
          <w:tcPr>
            <w:tcW w:w="1276" w:type="dxa"/>
            <w:tcBorders>
              <w:top w:val="single" w:color="auto" w:sz="6" w:space="0"/>
              <w:left w:val="single" w:color="auto" w:sz="2" w:space="0"/>
              <w:bottom w:val="single" w:color="auto" w:sz="2" w:space="0"/>
              <w:right w:val="single" w:color="auto" w:sz="2" w:space="0"/>
            </w:tcBorders>
            <w:shd w:val="clear" w:color="auto" w:fill="D4D4D4"/>
            <w:vAlign w:val="center"/>
          </w:tcPr>
          <w:p>
            <w:pPr>
              <w:pStyle w:val="6"/>
              <w:spacing w:line="276" w:lineRule="auto"/>
              <w:jc w:val="center"/>
              <w:rPr>
                <w:b/>
                <w:color w:val="auto"/>
                <w:sz w:val="24"/>
                <w:szCs w:val="24"/>
                <w:highlight w:val="none"/>
              </w:rPr>
            </w:pPr>
            <w:r>
              <w:rPr>
                <w:b/>
                <w:color w:val="auto"/>
                <w:sz w:val="24"/>
                <w:szCs w:val="24"/>
                <w:highlight w:val="none"/>
              </w:rPr>
              <w:t>考核分值</w:t>
            </w:r>
          </w:p>
        </w:tc>
        <w:tc>
          <w:tcPr>
            <w:tcW w:w="5658" w:type="dxa"/>
            <w:tcBorders>
              <w:top w:val="single" w:color="auto" w:sz="6" w:space="0"/>
              <w:left w:val="single" w:color="auto" w:sz="2" w:space="0"/>
              <w:bottom w:val="single" w:color="auto" w:sz="2" w:space="0"/>
              <w:right w:val="single" w:color="auto" w:sz="6" w:space="0"/>
            </w:tcBorders>
            <w:shd w:val="clear" w:color="auto" w:fill="D4D4D4"/>
            <w:vAlign w:val="center"/>
          </w:tcPr>
          <w:p>
            <w:pPr>
              <w:pStyle w:val="6"/>
              <w:spacing w:line="276" w:lineRule="auto"/>
              <w:jc w:val="center"/>
              <w:rPr>
                <w:b/>
                <w:color w:val="auto"/>
                <w:sz w:val="24"/>
                <w:szCs w:val="24"/>
                <w:highlight w:val="none"/>
              </w:rPr>
            </w:pPr>
            <w:r>
              <w:rPr>
                <w:b/>
                <w:color w:val="auto"/>
                <w:sz w:val="24"/>
                <w:szCs w:val="24"/>
                <w:highlight w:val="none"/>
              </w:rPr>
              <w:t>考核要求</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314" w:hRule="atLeast"/>
          <w:tblHeader/>
        </w:trPr>
        <w:tc>
          <w:tcPr>
            <w:tcW w:w="723" w:type="dxa"/>
            <w:tcBorders>
              <w:top w:val="single" w:color="auto" w:sz="2" w:space="0"/>
              <w:left w:val="single" w:color="auto" w:sz="6" w:space="0"/>
              <w:bottom w:val="single" w:color="auto" w:sz="2" w:space="0"/>
              <w:right w:val="single" w:color="auto" w:sz="2" w:space="0"/>
            </w:tcBorders>
            <w:vAlign w:val="center"/>
          </w:tcPr>
          <w:p>
            <w:pPr>
              <w:snapToGrid w:val="0"/>
              <w:spacing w:before="156" w:beforeLines="50" w:after="156" w:afterLines="50" w:line="276" w:lineRule="auto"/>
              <w:jc w:val="center"/>
              <w:rPr>
                <w:rFonts w:ascii="宋体" w:hAnsi="宋体" w:cs="宋体"/>
                <w:bCs/>
                <w:color w:val="auto"/>
                <w:sz w:val="24"/>
                <w:highlight w:val="none"/>
              </w:rPr>
            </w:pPr>
            <w:r>
              <w:rPr>
                <w:rFonts w:ascii="宋体" w:hAnsi="宋体" w:cs="宋体"/>
                <w:bCs/>
                <w:color w:val="auto"/>
                <w:sz w:val="24"/>
                <w:highlight w:val="none"/>
              </w:rPr>
              <w:t>1</w:t>
            </w:r>
          </w:p>
        </w:tc>
        <w:tc>
          <w:tcPr>
            <w:tcW w:w="1397" w:type="dxa"/>
            <w:vMerge w:val="restart"/>
            <w:tcBorders>
              <w:top w:val="single" w:color="auto" w:sz="2" w:space="0"/>
              <w:left w:val="single" w:color="auto" w:sz="2" w:space="0"/>
              <w:bottom w:val="single" w:color="auto" w:sz="2" w:space="0"/>
              <w:right w:val="single" w:color="auto" w:sz="2" w:space="0"/>
            </w:tcBorders>
            <w:vAlign w:val="center"/>
          </w:tcPr>
          <w:p>
            <w:pPr>
              <w:snapToGrid w:val="0"/>
              <w:spacing w:before="156" w:beforeLines="50" w:after="156" w:afterLines="50" w:line="276" w:lineRule="auto"/>
              <w:rPr>
                <w:rFonts w:ascii="宋体" w:hAnsi="宋体" w:cs="宋体"/>
                <w:bCs/>
                <w:color w:val="auto"/>
                <w:sz w:val="24"/>
                <w:highlight w:val="none"/>
              </w:rPr>
            </w:pPr>
            <w:r>
              <w:rPr>
                <w:rFonts w:hint="eastAsia" w:ascii="宋体" w:hAnsi="宋体" w:cs="宋体"/>
                <w:bCs/>
                <w:color w:val="auto"/>
                <w:sz w:val="24"/>
                <w:highlight w:val="none"/>
              </w:rPr>
              <w:t>法律法规、行业标准应用能力</w:t>
            </w:r>
          </w:p>
        </w:tc>
        <w:tc>
          <w:tcPr>
            <w:tcW w:w="1276" w:type="dxa"/>
            <w:tcBorders>
              <w:top w:val="single" w:color="auto" w:sz="2" w:space="0"/>
              <w:left w:val="single" w:color="auto" w:sz="2" w:space="0"/>
              <w:bottom w:val="single" w:color="auto" w:sz="2" w:space="0"/>
              <w:right w:val="single" w:color="auto" w:sz="2" w:space="0"/>
            </w:tcBorders>
            <w:vAlign w:val="center"/>
          </w:tcPr>
          <w:p>
            <w:pPr>
              <w:snapToGrid w:val="0"/>
              <w:spacing w:before="156" w:beforeLines="50" w:after="156" w:afterLines="50" w:line="276" w:lineRule="auto"/>
              <w:rPr>
                <w:rFonts w:ascii="宋体" w:hAnsi="宋体" w:cs="宋体"/>
                <w:bCs/>
                <w:color w:val="auto"/>
                <w:sz w:val="24"/>
                <w:highlight w:val="none"/>
              </w:rPr>
            </w:pPr>
            <w:r>
              <w:rPr>
                <w:rFonts w:hint="eastAsia" w:ascii="宋体" w:hAnsi="宋体" w:cs="宋体"/>
                <w:bCs/>
                <w:color w:val="auto"/>
                <w:sz w:val="24"/>
                <w:highlight w:val="none"/>
              </w:rPr>
              <w:t>验收标准（</w:t>
            </w:r>
            <w:r>
              <w:rPr>
                <w:rFonts w:ascii="宋体" w:hAnsi="宋体" w:cs="宋体"/>
                <w:bCs/>
                <w:color w:val="auto"/>
                <w:sz w:val="24"/>
                <w:highlight w:val="none"/>
              </w:rPr>
              <w:t>10</w:t>
            </w:r>
            <w:r>
              <w:rPr>
                <w:rFonts w:hint="eastAsia" w:ascii="宋体" w:hAnsi="宋体" w:cs="宋体"/>
                <w:bCs/>
                <w:color w:val="auto"/>
                <w:sz w:val="24"/>
                <w:highlight w:val="none"/>
              </w:rPr>
              <w:t>分）</w:t>
            </w:r>
          </w:p>
        </w:tc>
        <w:tc>
          <w:tcPr>
            <w:tcW w:w="5658" w:type="dxa"/>
            <w:tcBorders>
              <w:top w:val="single" w:color="auto" w:sz="2" w:space="0"/>
              <w:left w:val="single" w:color="auto" w:sz="2" w:space="0"/>
              <w:bottom w:val="single" w:color="auto" w:sz="2" w:space="0"/>
              <w:right w:val="single" w:color="auto" w:sz="6" w:space="0"/>
            </w:tcBorders>
            <w:vAlign w:val="center"/>
          </w:tcPr>
          <w:p>
            <w:pPr>
              <w:snapToGrid w:val="0"/>
              <w:spacing w:before="156" w:beforeLines="50" w:after="156" w:afterLines="50" w:line="276" w:lineRule="auto"/>
              <w:rPr>
                <w:rFonts w:ascii="宋体" w:hAnsi="宋体" w:cs="宋体"/>
                <w:bCs/>
                <w:color w:val="auto"/>
                <w:sz w:val="24"/>
                <w:highlight w:val="none"/>
              </w:rPr>
            </w:pPr>
            <w:r>
              <w:rPr>
                <w:rFonts w:hint="eastAsia" w:ascii="宋体" w:hAnsi="宋体" w:cs="宋体"/>
                <w:bCs/>
                <w:color w:val="auto"/>
                <w:sz w:val="24"/>
                <w:highlight w:val="none"/>
              </w:rPr>
              <w:t>准确掌握项目现状，结合业主资源，运用有关法律法规、行业标准规定的要求制定信息化项目的设备采购安装、软件开发、综合布线、隐蔽工程等验收标准。</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709" w:hRule="atLeast"/>
          <w:tblHeader/>
        </w:trPr>
        <w:tc>
          <w:tcPr>
            <w:tcW w:w="723" w:type="dxa"/>
            <w:tcBorders>
              <w:top w:val="single" w:color="auto" w:sz="2" w:space="0"/>
              <w:left w:val="single" w:color="auto" w:sz="6" w:space="0"/>
              <w:bottom w:val="single" w:color="auto" w:sz="2" w:space="0"/>
              <w:right w:val="single" w:color="auto" w:sz="2" w:space="0"/>
            </w:tcBorders>
            <w:vAlign w:val="center"/>
          </w:tcPr>
          <w:p>
            <w:pPr>
              <w:snapToGrid w:val="0"/>
              <w:spacing w:before="156" w:beforeLines="50" w:after="156" w:afterLines="50" w:line="276" w:lineRule="auto"/>
              <w:jc w:val="center"/>
              <w:rPr>
                <w:rFonts w:ascii="宋体" w:hAnsi="宋体" w:cs="宋体"/>
                <w:bCs/>
                <w:color w:val="auto"/>
                <w:sz w:val="24"/>
                <w:highlight w:val="none"/>
              </w:rPr>
            </w:pPr>
            <w:r>
              <w:rPr>
                <w:rFonts w:ascii="宋体" w:hAnsi="宋体" w:cs="宋体"/>
                <w:bCs/>
                <w:color w:val="auto"/>
                <w:sz w:val="24"/>
                <w:highlight w:val="none"/>
              </w:rPr>
              <w:t>2</w:t>
            </w:r>
          </w:p>
        </w:tc>
        <w:tc>
          <w:tcPr>
            <w:tcW w:w="1397" w:type="dxa"/>
            <w:vMerge w:val="continue"/>
            <w:tcBorders>
              <w:top w:val="single" w:color="auto" w:sz="2" w:space="0"/>
              <w:left w:val="single" w:color="auto" w:sz="2" w:space="0"/>
              <w:bottom w:val="single" w:color="auto" w:sz="2" w:space="0"/>
              <w:right w:val="single" w:color="auto" w:sz="2" w:space="0"/>
            </w:tcBorders>
            <w:vAlign w:val="center"/>
          </w:tcPr>
          <w:p>
            <w:pPr>
              <w:snapToGrid w:val="0"/>
              <w:spacing w:before="156" w:beforeLines="50" w:after="156" w:afterLines="50" w:line="276" w:lineRule="auto"/>
              <w:ind w:firstLine="480" w:firstLineChars="200"/>
              <w:jc w:val="center"/>
              <w:rPr>
                <w:rFonts w:ascii="宋体" w:hAnsi="宋体" w:cs="宋体"/>
                <w:bCs/>
                <w:color w:val="auto"/>
                <w:sz w:val="24"/>
                <w:highlight w:val="none"/>
              </w:rPr>
            </w:pPr>
          </w:p>
        </w:tc>
        <w:tc>
          <w:tcPr>
            <w:tcW w:w="1276" w:type="dxa"/>
            <w:tcBorders>
              <w:top w:val="single" w:color="auto" w:sz="2" w:space="0"/>
              <w:left w:val="single" w:color="auto" w:sz="2" w:space="0"/>
              <w:bottom w:val="single" w:color="auto" w:sz="2" w:space="0"/>
              <w:right w:val="single" w:color="auto" w:sz="2" w:space="0"/>
            </w:tcBorders>
            <w:vAlign w:val="center"/>
          </w:tcPr>
          <w:p>
            <w:pPr>
              <w:snapToGrid w:val="0"/>
              <w:spacing w:before="156" w:beforeLines="50" w:after="156" w:afterLines="50" w:line="276" w:lineRule="auto"/>
              <w:rPr>
                <w:rFonts w:ascii="宋体" w:hAnsi="宋体" w:cs="宋体"/>
                <w:bCs/>
                <w:color w:val="auto"/>
                <w:sz w:val="24"/>
                <w:highlight w:val="none"/>
              </w:rPr>
            </w:pPr>
            <w:r>
              <w:rPr>
                <w:rFonts w:hint="eastAsia" w:ascii="宋体" w:hAnsi="宋体" w:cs="宋体"/>
                <w:bCs/>
                <w:color w:val="auto"/>
                <w:sz w:val="24"/>
                <w:highlight w:val="none"/>
              </w:rPr>
              <w:t>测试方法（</w:t>
            </w:r>
            <w:r>
              <w:rPr>
                <w:rFonts w:ascii="宋体" w:hAnsi="宋体" w:cs="宋体"/>
                <w:bCs/>
                <w:color w:val="auto"/>
                <w:sz w:val="24"/>
                <w:highlight w:val="none"/>
              </w:rPr>
              <w:t>10</w:t>
            </w:r>
            <w:r>
              <w:rPr>
                <w:rFonts w:hint="eastAsia" w:ascii="宋体" w:hAnsi="宋体" w:cs="宋体"/>
                <w:bCs/>
                <w:color w:val="auto"/>
                <w:sz w:val="24"/>
                <w:highlight w:val="none"/>
              </w:rPr>
              <w:t>分）</w:t>
            </w:r>
          </w:p>
        </w:tc>
        <w:tc>
          <w:tcPr>
            <w:tcW w:w="5658" w:type="dxa"/>
            <w:tcBorders>
              <w:top w:val="single" w:color="auto" w:sz="2" w:space="0"/>
              <w:left w:val="single" w:color="auto" w:sz="2" w:space="0"/>
              <w:bottom w:val="single" w:color="auto" w:sz="2" w:space="0"/>
              <w:right w:val="single" w:color="auto" w:sz="6" w:space="0"/>
            </w:tcBorders>
            <w:vAlign w:val="center"/>
          </w:tcPr>
          <w:p>
            <w:pPr>
              <w:snapToGrid w:val="0"/>
              <w:spacing w:before="156" w:beforeLines="50" w:after="156" w:afterLines="50" w:line="276" w:lineRule="auto"/>
              <w:rPr>
                <w:rFonts w:ascii="宋体" w:hAnsi="宋体" w:cs="宋体"/>
                <w:bCs/>
                <w:color w:val="auto"/>
                <w:sz w:val="24"/>
                <w:highlight w:val="none"/>
              </w:rPr>
            </w:pPr>
            <w:r>
              <w:rPr>
                <w:rFonts w:hint="eastAsia" w:ascii="宋体" w:hAnsi="宋体" w:cs="宋体"/>
                <w:bCs/>
                <w:color w:val="auto"/>
                <w:sz w:val="24"/>
                <w:highlight w:val="none"/>
              </w:rPr>
              <w:t>建立有效的测试环境和测试方法测试、验证采购设备或定制软件的技术参数、质量、安全、可靠性等指标。</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709" w:hRule="atLeast"/>
          <w:tblHeader/>
        </w:trPr>
        <w:tc>
          <w:tcPr>
            <w:tcW w:w="723" w:type="dxa"/>
            <w:tcBorders>
              <w:top w:val="single" w:color="auto" w:sz="2" w:space="0"/>
              <w:left w:val="single" w:color="auto" w:sz="6" w:space="0"/>
              <w:bottom w:val="single" w:color="auto" w:sz="2" w:space="0"/>
              <w:right w:val="single" w:color="auto" w:sz="2" w:space="0"/>
            </w:tcBorders>
            <w:vAlign w:val="center"/>
          </w:tcPr>
          <w:p>
            <w:pPr>
              <w:snapToGrid w:val="0"/>
              <w:spacing w:before="156" w:beforeLines="50" w:after="156" w:afterLines="50" w:line="276" w:lineRule="auto"/>
              <w:jc w:val="center"/>
              <w:rPr>
                <w:rFonts w:ascii="宋体" w:hAnsi="宋体" w:cs="宋体"/>
                <w:bCs/>
                <w:color w:val="auto"/>
                <w:sz w:val="24"/>
                <w:highlight w:val="none"/>
              </w:rPr>
            </w:pPr>
            <w:r>
              <w:rPr>
                <w:rFonts w:ascii="宋体" w:hAnsi="宋体" w:cs="宋体"/>
                <w:bCs/>
                <w:color w:val="auto"/>
                <w:sz w:val="24"/>
                <w:highlight w:val="none"/>
              </w:rPr>
              <w:t>3</w:t>
            </w:r>
          </w:p>
        </w:tc>
        <w:tc>
          <w:tcPr>
            <w:tcW w:w="1397" w:type="dxa"/>
            <w:vMerge w:val="restart"/>
            <w:tcBorders>
              <w:top w:val="single" w:color="auto" w:sz="2" w:space="0"/>
              <w:left w:val="single" w:color="auto" w:sz="2" w:space="0"/>
              <w:bottom w:val="single" w:color="auto" w:sz="2" w:space="0"/>
              <w:right w:val="single" w:color="auto" w:sz="2" w:space="0"/>
            </w:tcBorders>
            <w:vAlign w:val="center"/>
          </w:tcPr>
          <w:p>
            <w:pPr>
              <w:snapToGrid w:val="0"/>
              <w:spacing w:before="156" w:beforeLines="50" w:after="156" w:afterLines="50" w:line="276" w:lineRule="auto"/>
              <w:rPr>
                <w:rFonts w:ascii="宋体" w:hAnsi="宋体" w:cs="宋体"/>
                <w:bCs/>
                <w:color w:val="auto"/>
                <w:sz w:val="24"/>
                <w:highlight w:val="none"/>
              </w:rPr>
            </w:pPr>
            <w:r>
              <w:rPr>
                <w:rFonts w:hint="eastAsia" w:ascii="宋体" w:hAnsi="宋体" w:cs="宋体"/>
                <w:bCs/>
                <w:color w:val="auto"/>
                <w:sz w:val="24"/>
                <w:highlight w:val="none"/>
              </w:rPr>
              <w:t>计划管理能力</w:t>
            </w:r>
          </w:p>
        </w:tc>
        <w:tc>
          <w:tcPr>
            <w:tcW w:w="1276" w:type="dxa"/>
            <w:tcBorders>
              <w:top w:val="single" w:color="auto" w:sz="2" w:space="0"/>
              <w:left w:val="single" w:color="auto" w:sz="2" w:space="0"/>
              <w:bottom w:val="single" w:color="auto" w:sz="2" w:space="0"/>
              <w:right w:val="single" w:color="auto" w:sz="2" w:space="0"/>
            </w:tcBorders>
            <w:vAlign w:val="center"/>
          </w:tcPr>
          <w:p>
            <w:pPr>
              <w:snapToGrid w:val="0"/>
              <w:spacing w:before="156" w:beforeLines="50" w:after="156" w:afterLines="50" w:line="276" w:lineRule="auto"/>
              <w:rPr>
                <w:rFonts w:ascii="宋体" w:hAnsi="宋体" w:cs="宋体"/>
                <w:bCs/>
                <w:color w:val="auto"/>
                <w:sz w:val="24"/>
                <w:highlight w:val="none"/>
              </w:rPr>
            </w:pPr>
            <w:r>
              <w:rPr>
                <w:rFonts w:hint="eastAsia" w:ascii="宋体" w:hAnsi="宋体" w:cs="宋体"/>
                <w:bCs/>
                <w:color w:val="auto"/>
                <w:sz w:val="24"/>
                <w:highlight w:val="none"/>
              </w:rPr>
              <w:t>监理方案（</w:t>
            </w:r>
            <w:r>
              <w:rPr>
                <w:rFonts w:ascii="宋体" w:hAnsi="宋体" w:cs="宋体"/>
                <w:bCs/>
                <w:color w:val="auto"/>
                <w:sz w:val="24"/>
                <w:highlight w:val="none"/>
              </w:rPr>
              <w:t>10</w:t>
            </w:r>
            <w:r>
              <w:rPr>
                <w:rFonts w:hint="eastAsia" w:ascii="宋体" w:hAnsi="宋体" w:cs="宋体"/>
                <w:bCs/>
                <w:color w:val="auto"/>
                <w:sz w:val="24"/>
                <w:highlight w:val="none"/>
              </w:rPr>
              <w:t>分）</w:t>
            </w:r>
          </w:p>
        </w:tc>
        <w:tc>
          <w:tcPr>
            <w:tcW w:w="5658" w:type="dxa"/>
            <w:tcBorders>
              <w:top w:val="single" w:color="auto" w:sz="2" w:space="0"/>
              <w:left w:val="single" w:color="auto" w:sz="2" w:space="0"/>
              <w:bottom w:val="single" w:color="auto" w:sz="2" w:space="0"/>
              <w:right w:val="single" w:color="auto" w:sz="6" w:space="0"/>
            </w:tcBorders>
            <w:vAlign w:val="center"/>
          </w:tcPr>
          <w:p>
            <w:pPr>
              <w:snapToGrid w:val="0"/>
              <w:spacing w:before="156" w:beforeLines="50" w:after="156" w:afterLines="50" w:line="276" w:lineRule="auto"/>
              <w:rPr>
                <w:rFonts w:ascii="宋体" w:hAnsi="宋体" w:cs="宋体"/>
                <w:bCs/>
                <w:color w:val="auto"/>
                <w:sz w:val="24"/>
                <w:highlight w:val="none"/>
              </w:rPr>
            </w:pPr>
            <w:r>
              <w:rPr>
                <w:rFonts w:hint="eastAsia" w:ascii="宋体" w:hAnsi="宋体" w:cs="宋体"/>
                <w:bCs/>
                <w:color w:val="auto"/>
                <w:sz w:val="24"/>
                <w:highlight w:val="none"/>
              </w:rPr>
              <w:t>准确、科学、详实地编制项目整体监理计划、监理规划和监理实施细则等方案。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94" w:hRule="atLeast"/>
          <w:tblHeader/>
        </w:trPr>
        <w:tc>
          <w:tcPr>
            <w:tcW w:w="723" w:type="dxa"/>
            <w:tcBorders>
              <w:top w:val="single" w:color="auto" w:sz="2" w:space="0"/>
              <w:left w:val="single" w:color="auto" w:sz="6" w:space="0"/>
              <w:bottom w:val="single" w:color="auto" w:sz="2" w:space="0"/>
              <w:right w:val="single" w:color="auto" w:sz="2" w:space="0"/>
            </w:tcBorders>
            <w:vAlign w:val="center"/>
          </w:tcPr>
          <w:p>
            <w:pPr>
              <w:snapToGrid w:val="0"/>
              <w:spacing w:before="156" w:beforeLines="50" w:after="156" w:afterLines="50" w:line="276" w:lineRule="auto"/>
              <w:jc w:val="center"/>
              <w:rPr>
                <w:rFonts w:ascii="宋体" w:hAnsi="宋体" w:cs="宋体"/>
                <w:bCs/>
                <w:color w:val="auto"/>
                <w:sz w:val="24"/>
                <w:highlight w:val="none"/>
              </w:rPr>
            </w:pPr>
            <w:r>
              <w:rPr>
                <w:rFonts w:ascii="宋体" w:hAnsi="宋体" w:cs="宋体"/>
                <w:bCs/>
                <w:color w:val="auto"/>
                <w:sz w:val="24"/>
                <w:highlight w:val="none"/>
              </w:rPr>
              <w:t>4</w:t>
            </w:r>
          </w:p>
        </w:tc>
        <w:tc>
          <w:tcPr>
            <w:tcW w:w="1397" w:type="dxa"/>
            <w:vMerge w:val="continue"/>
            <w:tcBorders>
              <w:top w:val="single" w:color="auto" w:sz="2" w:space="0"/>
              <w:left w:val="single" w:color="auto" w:sz="2" w:space="0"/>
              <w:bottom w:val="single" w:color="auto" w:sz="2" w:space="0"/>
              <w:right w:val="single" w:color="auto" w:sz="2" w:space="0"/>
            </w:tcBorders>
            <w:vAlign w:val="center"/>
          </w:tcPr>
          <w:p>
            <w:pPr>
              <w:snapToGrid w:val="0"/>
              <w:spacing w:before="156" w:beforeLines="50" w:after="156" w:afterLines="50" w:line="276" w:lineRule="auto"/>
              <w:ind w:firstLine="480" w:firstLineChars="200"/>
              <w:jc w:val="center"/>
              <w:rPr>
                <w:rFonts w:ascii="宋体" w:hAnsi="宋体" w:cs="宋体"/>
                <w:bCs/>
                <w:color w:val="auto"/>
                <w:sz w:val="24"/>
                <w:highlight w:val="none"/>
              </w:rPr>
            </w:pPr>
          </w:p>
        </w:tc>
        <w:tc>
          <w:tcPr>
            <w:tcW w:w="1276" w:type="dxa"/>
            <w:tcBorders>
              <w:top w:val="single" w:color="auto" w:sz="2" w:space="0"/>
              <w:left w:val="single" w:color="auto" w:sz="2" w:space="0"/>
              <w:bottom w:val="single" w:color="auto" w:sz="2" w:space="0"/>
              <w:right w:val="single" w:color="auto" w:sz="2" w:space="0"/>
            </w:tcBorders>
            <w:vAlign w:val="center"/>
          </w:tcPr>
          <w:p>
            <w:pPr>
              <w:snapToGrid w:val="0"/>
              <w:spacing w:before="156" w:beforeLines="50" w:after="156" w:afterLines="50" w:line="276" w:lineRule="auto"/>
              <w:rPr>
                <w:rFonts w:ascii="宋体" w:hAnsi="宋体" w:cs="宋体"/>
                <w:bCs/>
                <w:color w:val="auto"/>
                <w:sz w:val="24"/>
                <w:highlight w:val="none"/>
              </w:rPr>
            </w:pPr>
            <w:r>
              <w:rPr>
                <w:rFonts w:hint="eastAsia" w:ascii="宋体" w:hAnsi="宋体" w:cs="宋体"/>
                <w:bCs/>
                <w:color w:val="auto"/>
                <w:sz w:val="24"/>
                <w:highlight w:val="none"/>
              </w:rPr>
              <w:t>管理能力（</w:t>
            </w:r>
            <w:r>
              <w:rPr>
                <w:rFonts w:ascii="宋体" w:hAnsi="宋体" w:cs="宋体"/>
                <w:bCs/>
                <w:color w:val="auto"/>
                <w:sz w:val="24"/>
                <w:highlight w:val="none"/>
              </w:rPr>
              <w:t>10</w:t>
            </w:r>
            <w:r>
              <w:rPr>
                <w:rFonts w:hint="eastAsia" w:ascii="宋体" w:hAnsi="宋体" w:cs="宋体"/>
                <w:bCs/>
                <w:color w:val="auto"/>
                <w:sz w:val="24"/>
                <w:highlight w:val="none"/>
              </w:rPr>
              <w:t>分）</w:t>
            </w:r>
          </w:p>
        </w:tc>
        <w:tc>
          <w:tcPr>
            <w:tcW w:w="5658" w:type="dxa"/>
            <w:tcBorders>
              <w:top w:val="single" w:color="auto" w:sz="2" w:space="0"/>
              <w:left w:val="single" w:color="auto" w:sz="2" w:space="0"/>
              <w:bottom w:val="single" w:color="auto" w:sz="2" w:space="0"/>
              <w:right w:val="single" w:color="auto" w:sz="6" w:space="0"/>
            </w:tcBorders>
            <w:vAlign w:val="center"/>
          </w:tcPr>
          <w:p>
            <w:pPr>
              <w:snapToGrid w:val="0"/>
              <w:spacing w:before="156" w:beforeLines="50" w:after="156" w:afterLines="50" w:line="276" w:lineRule="auto"/>
              <w:rPr>
                <w:rFonts w:ascii="宋体" w:hAnsi="宋体" w:cs="宋体"/>
                <w:bCs/>
                <w:color w:val="auto"/>
                <w:sz w:val="24"/>
                <w:highlight w:val="none"/>
              </w:rPr>
            </w:pPr>
            <w:r>
              <w:rPr>
                <w:rFonts w:hint="eastAsia" w:ascii="宋体" w:hAnsi="宋体" w:cs="宋体"/>
                <w:bCs/>
                <w:color w:val="auto"/>
                <w:sz w:val="24"/>
                <w:highlight w:val="none"/>
              </w:rPr>
              <w:t>有很强的管理和控制能力，在监理执行中能进行及时改进和优化监理方法。</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976" w:hRule="atLeast"/>
          <w:tblHeader/>
        </w:trPr>
        <w:tc>
          <w:tcPr>
            <w:tcW w:w="723" w:type="dxa"/>
            <w:tcBorders>
              <w:top w:val="single" w:color="auto" w:sz="2" w:space="0"/>
              <w:left w:val="single" w:color="auto" w:sz="6" w:space="0"/>
              <w:bottom w:val="single" w:color="auto" w:sz="2" w:space="0"/>
              <w:right w:val="single" w:color="auto" w:sz="2" w:space="0"/>
            </w:tcBorders>
            <w:vAlign w:val="center"/>
          </w:tcPr>
          <w:p>
            <w:pPr>
              <w:snapToGrid w:val="0"/>
              <w:spacing w:before="156" w:beforeLines="50" w:after="156" w:afterLines="50" w:line="276" w:lineRule="auto"/>
              <w:jc w:val="center"/>
              <w:rPr>
                <w:rFonts w:ascii="宋体" w:hAnsi="宋体" w:cs="宋体"/>
                <w:bCs/>
                <w:color w:val="auto"/>
                <w:sz w:val="24"/>
                <w:highlight w:val="none"/>
              </w:rPr>
            </w:pPr>
            <w:r>
              <w:rPr>
                <w:rFonts w:ascii="宋体" w:hAnsi="宋体" w:cs="宋体"/>
                <w:bCs/>
                <w:color w:val="auto"/>
                <w:sz w:val="24"/>
                <w:highlight w:val="none"/>
              </w:rPr>
              <w:t>5</w:t>
            </w:r>
          </w:p>
        </w:tc>
        <w:tc>
          <w:tcPr>
            <w:tcW w:w="1397" w:type="dxa"/>
            <w:vMerge w:val="restart"/>
            <w:tcBorders>
              <w:top w:val="single" w:color="auto" w:sz="2" w:space="0"/>
              <w:left w:val="single" w:color="auto" w:sz="2" w:space="0"/>
              <w:bottom w:val="single" w:color="auto" w:sz="2" w:space="0"/>
              <w:right w:val="single" w:color="auto" w:sz="2" w:space="0"/>
            </w:tcBorders>
            <w:vAlign w:val="center"/>
          </w:tcPr>
          <w:p>
            <w:pPr>
              <w:snapToGrid w:val="0"/>
              <w:spacing w:before="156" w:beforeLines="50" w:after="156" w:afterLines="50" w:line="276" w:lineRule="auto"/>
              <w:rPr>
                <w:rFonts w:ascii="宋体" w:hAnsi="宋体" w:cs="宋体"/>
                <w:bCs/>
                <w:color w:val="auto"/>
                <w:sz w:val="24"/>
                <w:highlight w:val="none"/>
              </w:rPr>
            </w:pPr>
            <w:r>
              <w:rPr>
                <w:rFonts w:hint="eastAsia" w:ascii="宋体" w:hAnsi="宋体" w:cs="宋体"/>
                <w:bCs/>
                <w:color w:val="auto"/>
                <w:sz w:val="24"/>
                <w:highlight w:val="none"/>
              </w:rPr>
              <w:t>监督控制能力</w:t>
            </w:r>
          </w:p>
        </w:tc>
        <w:tc>
          <w:tcPr>
            <w:tcW w:w="1276" w:type="dxa"/>
            <w:tcBorders>
              <w:top w:val="single" w:color="auto" w:sz="2" w:space="0"/>
              <w:left w:val="single" w:color="auto" w:sz="2" w:space="0"/>
              <w:bottom w:val="single" w:color="auto" w:sz="2" w:space="0"/>
              <w:right w:val="single" w:color="auto" w:sz="2" w:space="0"/>
            </w:tcBorders>
            <w:vAlign w:val="center"/>
          </w:tcPr>
          <w:p>
            <w:pPr>
              <w:snapToGrid w:val="0"/>
              <w:spacing w:before="156" w:beforeLines="50" w:after="156" w:afterLines="50" w:line="276" w:lineRule="auto"/>
              <w:rPr>
                <w:rFonts w:ascii="宋体" w:hAnsi="宋体" w:cs="宋体"/>
                <w:bCs/>
                <w:color w:val="auto"/>
                <w:sz w:val="24"/>
                <w:highlight w:val="none"/>
              </w:rPr>
            </w:pPr>
            <w:r>
              <w:rPr>
                <w:rFonts w:hint="eastAsia" w:ascii="宋体" w:hAnsi="宋体" w:cs="宋体"/>
                <w:bCs/>
                <w:color w:val="auto"/>
                <w:sz w:val="24"/>
                <w:highlight w:val="none"/>
              </w:rPr>
              <w:t>文档管理（</w:t>
            </w:r>
            <w:r>
              <w:rPr>
                <w:rFonts w:ascii="宋体" w:hAnsi="宋体" w:cs="宋体"/>
                <w:bCs/>
                <w:color w:val="auto"/>
                <w:sz w:val="24"/>
                <w:highlight w:val="none"/>
              </w:rPr>
              <w:t>10</w:t>
            </w:r>
            <w:r>
              <w:rPr>
                <w:rFonts w:hint="eastAsia" w:ascii="宋体" w:hAnsi="宋体" w:cs="宋体"/>
                <w:bCs/>
                <w:color w:val="auto"/>
                <w:sz w:val="24"/>
                <w:highlight w:val="none"/>
              </w:rPr>
              <w:t>分）</w:t>
            </w:r>
          </w:p>
        </w:tc>
        <w:tc>
          <w:tcPr>
            <w:tcW w:w="5658" w:type="dxa"/>
            <w:tcBorders>
              <w:top w:val="single" w:color="auto" w:sz="2" w:space="0"/>
              <w:left w:val="single" w:color="auto" w:sz="2" w:space="0"/>
              <w:bottom w:val="single" w:color="auto" w:sz="2" w:space="0"/>
              <w:right w:val="single" w:color="auto" w:sz="6" w:space="0"/>
            </w:tcBorders>
            <w:vAlign w:val="center"/>
          </w:tcPr>
          <w:p>
            <w:pPr>
              <w:snapToGrid w:val="0"/>
              <w:spacing w:before="156" w:beforeLines="50" w:after="156" w:afterLines="50" w:line="276" w:lineRule="auto"/>
              <w:rPr>
                <w:rFonts w:ascii="宋体" w:hAnsi="宋体" w:cs="宋体"/>
                <w:bCs/>
                <w:color w:val="auto"/>
                <w:sz w:val="24"/>
                <w:highlight w:val="none"/>
              </w:rPr>
            </w:pPr>
            <w:r>
              <w:rPr>
                <w:rFonts w:hint="eastAsia" w:ascii="宋体" w:hAnsi="宋体" w:cs="宋体"/>
                <w:bCs/>
                <w:color w:val="auto"/>
                <w:sz w:val="24"/>
                <w:highlight w:val="none"/>
              </w:rPr>
              <w:t>在项目监理工作中建立操作性强的监理规划、监理细则、监理服务支持性文档等，应规范、完整、系统地管理项目文档。</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021" w:hRule="atLeast"/>
          <w:tblHeader/>
        </w:trPr>
        <w:tc>
          <w:tcPr>
            <w:tcW w:w="723" w:type="dxa"/>
            <w:tcBorders>
              <w:top w:val="single" w:color="auto" w:sz="2" w:space="0"/>
              <w:left w:val="single" w:color="auto" w:sz="6" w:space="0"/>
              <w:bottom w:val="single" w:color="auto" w:sz="2" w:space="0"/>
              <w:right w:val="single" w:color="auto" w:sz="2" w:space="0"/>
            </w:tcBorders>
            <w:vAlign w:val="center"/>
          </w:tcPr>
          <w:p>
            <w:pPr>
              <w:snapToGrid w:val="0"/>
              <w:spacing w:before="156" w:beforeLines="50" w:after="156" w:afterLines="50" w:line="276" w:lineRule="auto"/>
              <w:jc w:val="center"/>
              <w:rPr>
                <w:rFonts w:ascii="宋体" w:hAnsi="宋体" w:cs="宋体"/>
                <w:bCs/>
                <w:color w:val="auto"/>
                <w:sz w:val="24"/>
                <w:highlight w:val="none"/>
              </w:rPr>
            </w:pPr>
            <w:r>
              <w:rPr>
                <w:rFonts w:ascii="宋体" w:hAnsi="宋体" w:cs="宋体"/>
                <w:bCs/>
                <w:color w:val="auto"/>
                <w:sz w:val="24"/>
                <w:highlight w:val="none"/>
              </w:rPr>
              <w:t>6</w:t>
            </w:r>
          </w:p>
        </w:tc>
        <w:tc>
          <w:tcPr>
            <w:tcW w:w="1397" w:type="dxa"/>
            <w:vMerge w:val="continue"/>
            <w:tcBorders>
              <w:top w:val="single" w:color="auto" w:sz="2" w:space="0"/>
              <w:left w:val="single" w:color="auto" w:sz="2" w:space="0"/>
              <w:bottom w:val="single" w:color="auto" w:sz="2" w:space="0"/>
              <w:right w:val="single" w:color="auto" w:sz="2" w:space="0"/>
            </w:tcBorders>
            <w:vAlign w:val="center"/>
          </w:tcPr>
          <w:p>
            <w:pPr>
              <w:snapToGrid w:val="0"/>
              <w:spacing w:before="156" w:beforeLines="50" w:after="156" w:afterLines="50" w:line="276" w:lineRule="auto"/>
              <w:ind w:firstLine="480" w:firstLineChars="200"/>
              <w:jc w:val="center"/>
              <w:rPr>
                <w:rFonts w:ascii="宋体" w:hAnsi="宋体" w:cs="宋体"/>
                <w:bCs/>
                <w:color w:val="auto"/>
                <w:sz w:val="24"/>
                <w:highlight w:val="none"/>
              </w:rPr>
            </w:pPr>
          </w:p>
        </w:tc>
        <w:tc>
          <w:tcPr>
            <w:tcW w:w="1276" w:type="dxa"/>
            <w:tcBorders>
              <w:top w:val="single" w:color="auto" w:sz="2" w:space="0"/>
              <w:left w:val="single" w:color="auto" w:sz="2" w:space="0"/>
              <w:bottom w:val="single" w:color="auto" w:sz="2" w:space="0"/>
              <w:right w:val="single" w:color="auto" w:sz="2" w:space="0"/>
            </w:tcBorders>
            <w:vAlign w:val="center"/>
          </w:tcPr>
          <w:p>
            <w:pPr>
              <w:snapToGrid w:val="0"/>
              <w:spacing w:before="156" w:beforeLines="50" w:after="156" w:afterLines="50" w:line="276" w:lineRule="auto"/>
              <w:rPr>
                <w:rFonts w:ascii="宋体" w:hAnsi="宋体" w:cs="宋体"/>
                <w:bCs/>
                <w:color w:val="auto"/>
                <w:sz w:val="24"/>
                <w:highlight w:val="none"/>
              </w:rPr>
            </w:pPr>
            <w:r>
              <w:rPr>
                <w:rFonts w:hint="eastAsia" w:ascii="宋体" w:hAnsi="宋体" w:cs="宋体"/>
                <w:bCs/>
                <w:color w:val="auto"/>
                <w:sz w:val="24"/>
                <w:highlight w:val="none"/>
              </w:rPr>
              <w:t>监督能力（</w:t>
            </w:r>
            <w:r>
              <w:rPr>
                <w:rFonts w:ascii="宋体" w:hAnsi="宋体" w:cs="宋体"/>
                <w:bCs/>
                <w:color w:val="auto"/>
                <w:sz w:val="24"/>
                <w:highlight w:val="none"/>
              </w:rPr>
              <w:t>10</w:t>
            </w:r>
            <w:r>
              <w:rPr>
                <w:rFonts w:hint="eastAsia" w:ascii="宋体" w:hAnsi="宋体" w:cs="宋体"/>
                <w:bCs/>
                <w:color w:val="auto"/>
                <w:sz w:val="24"/>
                <w:highlight w:val="none"/>
              </w:rPr>
              <w:t>分）</w:t>
            </w:r>
          </w:p>
        </w:tc>
        <w:tc>
          <w:tcPr>
            <w:tcW w:w="5658" w:type="dxa"/>
            <w:tcBorders>
              <w:top w:val="single" w:color="auto" w:sz="2" w:space="0"/>
              <w:left w:val="single" w:color="auto" w:sz="2" w:space="0"/>
              <w:bottom w:val="single" w:color="auto" w:sz="2" w:space="0"/>
              <w:right w:val="single" w:color="auto" w:sz="6" w:space="0"/>
            </w:tcBorders>
            <w:vAlign w:val="center"/>
          </w:tcPr>
          <w:p>
            <w:pPr>
              <w:snapToGrid w:val="0"/>
              <w:spacing w:before="156" w:beforeLines="50" w:after="156" w:afterLines="50" w:line="276" w:lineRule="auto"/>
              <w:rPr>
                <w:rFonts w:ascii="宋体" w:hAnsi="宋体" w:cs="宋体"/>
                <w:bCs/>
                <w:color w:val="auto"/>
                <w:sz w:val="24"/>
                <w:highlight w:val="none"/>
              </w:rPr>
            </w:pPr>
            <w:r>
              <w:rPr>
                <w:rFonts w:hint="eastAsia" w:ascii="宋体" w:hAnsi="宋体" w:cs="宋体"/>
                <w:bCs/>
                <w:color w:val="auto"/>
                <w:sz w:val="24"/>
                <w:highlight w:val="none"/>
              </w:rPr>
              <w:t>根据监理方案的范围及深度，运用项目管理工具与服务体系，独立地监督和控制项目质量、投资与进度，维护业主及各相关方的合法利益。</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709" w:hRule="atLeast"/>
          <w:tblHeader/>
        </w:trPr>
        <w:tc>
          <w:tcPr>
            <w:tcW w:w="723" w:type="dxa"/>
            <w:tcBorders>
              <w:top w:val="single" w:color="auto" w:sz="2" w:space="0"/>
              <w:left w:val="single" w:color="auto" w:sz="6" w:space="0"/>
              <w:bottom w:val="single" w:color="auto" w:sz="2" w:space="0"/>
              <w:right w:val="single" w:color="auto" w:sz="2" w:space="0"/>
            </w:tcBorders>
            <w:vAlign w:val="center"/>
          </w:tcPr>
          <w:p>
            <w:pPr>
              <w:snapToGrid w:val="0"/>
              <w:spacing w:before="156" w:beforeLines="50" w:after="156" w:afterLines="50" w:line="276" w:lineRule="auto"/>
              <w:jc w:val="center"/>
              <w:rPr>
                <w:rFonts w:ascii="宋体" w:hAnsi="宋体" w:cs="宋体"/>
                <w:bCs/>
                <w:color w:val="auto"/>
                <w:sz w:val="24"/>
                <w:highlight w:val="none"/>
              </w:rPr>
            </w:pPr>
            <w:r>
              <w:rPr>
                <w:rFonts w:ascii="宋体" w:hAnsi="宋体" w:cs="宋体"/>
                <w:bCs/>
                <w:color w:val="auto"/>
                <w:sz w:val="24"/>
                <w:highlight w:val="none"/>
              </w:rPr>
              <w:t>7</w:t>
            </w:r>
          </w:p>
        </w:tc>
        <w:tc>
          <w:tcPr>
            <w:tcW w:w="1397" w:type="dxa"/>
            <w:vMerge w:val="restart"/>
            <w:tcBorders>
              <w:top w:val="single" w:color="auto" w:sz="2" w:space="0"/>
              <w:left w:val="single" w:color="auto" w:sz="2" w:space="0"/>
              <w:bottom w:val="single" w:color="auto" w:sz="2" w:space="0"/>
              <w:right w:val="single" w:color="auto" w:sz="2" w:space="0"/>
            </w:tcBorders>
            <w:vAlign w:val="center"/>
          </w:tcPr>
          <w:p>
            <w:pPr>
              <w:snapToGrid w:val="0"/>
              <w:spacing w:before="156" w:beforeLines="50" w:after="156" w:afterLines="50" w:line="276" w:lineRule="auto"/>
              <w:rPr>
                <w:rFonts w:ascii="宋体" w:hAnsi="宋体" w:cs="宋体"/>
                <w:bCs/>
                <w:color w:val="auto"/>
                <w:sz w:val="24"/>
                <w:highlight w:val="none"/>
              </w:rPr>
            </w:pPr>
            <w:r>
              <w:rPr>
                <w:rFonts w:hint="eastAsia" w:ascii="宋体" w:hAnsi="宋体" w:cs="宋体"/>
                <w:bCs/>
                <w:color w:val="auto"/>
                <w:sz w:val="24"/>
                <w:highlight w:val="none"/>
              </w:rPr>
              <w:t>诚信度</w:t>
            </w:r>
          </w:p>
        </w:tc>
        <w:tc>
          <w:tcPr>
            <w:tcW w:w="1276" w:type="dxa"/>
            <w:tcBorders>
              <w:top w:val="single" w:color="auto" w:sz="2" w:space="0"/>
              <w:left w:val="single" w:color="auto" w:sz="2" w:space="0"/>
              <w:bottom w:val="single" w:color="auto" w:sz="2" w:space="0"/>
              <w:right w:val="single" w:color="auto" w:sz="2" w:space="0"/>
            </w:tcBorders>
            <w:vAlign w:val="center"/>
          </w:tcPr>
          <w:p>
            <w:pPr>
              <w:snapToGrid w:val="0"/>
              <w:spacing w:before="156" w:beforeLines="50" w:after="156" w:afterLines="50" w:line="276" w:lineRule="auto"/>
              <w:rPr>
                <w:rFonts w:ascii="宋体" w:hAnsi="宋体" w:cs="宋体"/>
                <w:bCs/>
                <w:color w:val="auto"/>
                <w:sz w:val="24"/>
                <w:highlight w:val="none"/>
              </w:rPr>
            </w:pPr>
            <w:r>
              <w:rPr>
                <w:rFonts w:hint="eastAsia" w:ascii="宋体" w:hAnsi="宋体" w:cs="宋体"/>
                <w:bCs/>
                <w:color w:val="auto"/>
                <w:sz w:val="24"/>
                <w:highlight w:val="none"/>
              </w:rPr>
              <w:t>履约诚信（</w:t>
            </w:r>
            <w:r>
              <w:rPr>
                <w:rFonts w:ascii="宋体" w:hAnsi="宋体" w:cs="宋体"/>
                <w:bCs/>
                <w:color w:val="auto"/>
                <w:sz w:val="24"/>
                <w:highlight w:val="none"/>
              </w:rPr>
              <w:t>10</w:t>
            </w:r>
            <w:r>
              <w:rPr>
                <w:rFonts w:hint="eastAsia" w:ascii="宋体" w:hAnsi="宋体" w:cs="宋体"/>
                <w:bCs/>
                <w:color w:val="auto"/>
                <w:sz w:val="24"/>
                <w:highlight w:val="none"/>
              </w:rPr>
              <w:t>分）</w:t>
            </w:r>
          </w:p>
        </w:tc>
        <w:tc>
          <w:tcPr>
            <w:tcW w:w="5658" w:type="dxa"/>
            <w:tcBorders>
              <w:top w:val="single" w:color="auto" w:sz="2" w:space="0"/>
              <w:left w:val="single" w:color="auto" w:sz="2" w:space="0"/>
              <w:bottom w:val="single" w:color="auto" w:sz="2" w:space="0"/>
              <w:right w:val="single" w:color="auto" w:sz="6" w:space="0"/>
            </w:tcBorders>
            <w:vAlign w:val="center"/>
          </w:tcPr>
          <w:p>
            <w:pPr>
              <w:snapToGrid w:val="0"/>
              <w:spacing w:before="156" w:beforeLines="50" w:after="156" w:afterLines="50" w:line="276" w:lineRule="auto"/>
              <w:rPr>
                <w:rFonts w:ascii="宋体" w:hAnsi="宋体" w:cs="宋体"/>
                <w:bCs/>
                <w:color w:val="auto"/>
                <w:sz w:val="24"/>
                <w:highlight w:val="none"/>
              </w:rPr>
            </w:pPr>
            <w:r>
              <w:rPr>
                <w:rFonts w:hint="eastAsia" w:ascii="宋体" w:hAnsi="宋体" w:cs="宋体"/>
                <w:bCs/>
                <w:color w:val="auto"/>
                <w:sz w:val="24"/>
                <w:highlight w:val="none"/>
              </w:rPr>
              <w:t>对监理遵循法律法规、行业标准、监理合同、计划等约定履约的诚信度评价。</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709" w:hRule="atLeast"/>
          <w:tblHeader/>
        </w:trPr>
        <w:tc>
          <w:tcPr>
            <w:tcW w:w="723" w:type="dxa"/>
            <w:tcBorders>
              <w:top w:val="single" w:color="auto" w:sz="2" w:space="0"/>
              <w:left w:val="single" w:color="auto" w:sz="6" w:space="0"/>
              <w:bottom w:val="single" w:color="auto" w:sz="2" w:space="0"/>
              <w:right w:val="single" w:color="auto" w:sz="2" w:space="0"/>
            </w:tcBorders>
            <w:vAlign w:val="center"/>
          </w:tcPr>
          <w:p>
            <w:pPr>
              <w:snapToGrid w:val="0"/>
              <w:spacing w:before="156" w:beforeLines="50" w:after="156" w:afterLines="50" w:line="276" w:lineRule="auto"/>
              <w:jc w:val="center"/>
              <w:rPr>
                <w:rFonts w:ascii="宋体" w:hAnsi="宋体" w:cs="宋体"/>
                <w:bCs/>
                <w:color w:val="auto"/>
                <w:sz w:val="24"/>
                <w:highlight w:val="none"/>
              </w:rPr>
            </w:pPr>
            <w:r>
              <w:rPr>
                <w:rFonts w:ascii="宋体" w:hAnsi="宋体" w:cs="宋体"/>
                <w:bCs/>
                <w:color w:val="auto"/>
                <w:sz w:val="24"/>
                <w:highlight w:val="none"/>
              </w:rPr>
              <w:t>8</w:t>
            </w:r>
          </w:p>
        </w:tc>
        <w:tc>
          <w:tcPr>
            <w:tcW w:w="1397" w:type="dxa"/>
            <w:vMerge w:val="continue"/>
            <w:tcBorders>
              <w:top w:val="single" w:color="auto" w:sz="2" w:space="0"/>
              <w:left w:val="single" w:color="auto" w:sz="2" w:space="0"/>
              <w:bottom w:val="single" w:color="auto" w:sz="2" w:space="0"/>
              <w:right w:val="single" w:color="auto" w:sz="2" w:space="0"/>
            </w:tcBorders>
            <w:vAlign w:val="center"/>
          </w:tcPr>
          <w:p>
            <w:pPr>
              <w:snapToGrid w:val="0"/>
              <w:spacing w:before="156" w:beforeLines="50" w:after="156" w:afterLines="50" w:line="276" w:lineRule="auto"/>
              <w:ind w:firstLine="480" w:firstLineChars="200"/>
              <w:jc w:val="center"/>
              <w:rPr>
                <w:rFonts w:ascii="宋体" w:hAnsi="宋体" w:cs="宋体"/>
                <w:bCs/>
                <w:color w:val="auto"/>
                <w:sz w:val="24"/>
                <w:highlight w:val="none"/>
              </w:rPr>
            </w:pPr>
          </w:p>
        </w:tc>
        <w:tc>
          <w:tcPr>
            <w:tcW w:w="1276" w:type="dxa"/>
            <w:tcBorders>
              <w:top w:val="single" w:color="auto" w:sz="2" w:space="0"/>
              <w:left w:val="single" w:color="auto" w:sz="2" w:space="0"/>
              <w:bottom w:val="single" w:color="auto" w:sz="2" w:space="0"/>
              <w:right w:val="single" w:color="auto" w:sz="2" w:space="0"/>
            </w:tcBorders>
            <w:vAlign w:val="center"/>
          </w:tcPr>
          <w:p>
            <w:pPr>
              <w:snapToGrid w:val="0"/>
              <w:spacing w:before="156" w:beforeLines="50" w:after="156" w:afterLines="50" w:line="276" w:lineRule="auto"/>
              <w:rPr>
                <w:rFonts w:ascii="宋体" w:hAnsi="宋体" w:cs="宋体"/>
                <w:bCs/>
                <w:color w:val="auto"/>
                <w:sz w:val="24"/>
                <w:highlight w:val="none"/>
              </w:rPr>
            </w:pPr>
            <w:r>
              <w:rPr>
                <w:rFonts w:hint="eastAsia" w:ascii="宋体" w:hAnsi="宋体" w:cs="宋体"/>
                <w:bCs/>
                <w:color w:val="auto"/>
                <w:sz w:val="24"/>
                <w:highlight w:val="none"/>
              </w:rPr>
              <w:t>材料真实性（</w:t>
            </w:r>
            <w:r>
              <w:rPr>
                <w:rFonts w:ascii="宋体" w:hAnsi="宋体" w:cs="宋体"/>
                <w:bCs/>
                <w:color w:val="auto"/>
                <w:sz w:val="24"/>
                <w:highlight w:val="none"/>
              </w:rPr>
              <w:t>5</w:t>
            </w:r>
            <w:r>
              <w:rPr>
                <w:rFonts w:hint="eastAsia" w:ascii="宋体" w:hAnsi="宋体" w:cs="宋体"/>
                <w:bCs/>
                <w:color w:val="auto"/>
                <w:sz w:val="24"/>
                <w:highlight w:val="none"/>
              </w:rPr>
              <w:t>分）</w:t>
            </w:r>
          </w:p>
        </w:tc>
        <w:tc>
          <w:tcPr>
            <w:tcW w:w="5658" w:type="dxa"/>
            <w:tcBorders>
              <w:top w:val="single" w:color="auto" w:sz="2" w:space="0"/>
              <w:left w:val="single" w:color="auto" w:sz="2" w:space="0"/>
              <w:bottom w:val="single" w:color="auto" w:sz="2" w:space="0"/>
              <w:right w:val="single" w:color="auto" w:sz="6" w:space="0"/>
            </w:tcBorders>
            <w:vAlign w:val="center"/>
          </w:tcPr>
          <w:p>
            <w:pPr>
              <w:snapToGrid w:val="0"/>
              <w:spacing w:before="156" w:beforeLines="50" w:after="156" w:afterLines="50" w:line="276" w:lineRule="auto"/>
              <w:rPr>
                <w:rFonts w:ascii="宋体" w:hAnsi="宋体" w:cs="宋体"/>
                <w:bCs/>
                <w:color w:val="auto"/>
                <w:sz w:val="24"/>
                <w:highlight w:val="none"/>
              </w:rPr>
            </w:pPr>
            <w:r>
              <w:rPr>
                <w:rFonts w:hint="eastAsia" w:ascii="宋体" w:hAnsi="宋体" w:cs="宋体"/>
                <w:bCs/>
                <w:color w:val="auto"/>
                <w:sz w:val="24"/>
                <w:highlight w:val="none"/>
              </w:rPr>
              <w:t>对监理提交的问题、成因分析、报告等材料内容的真实性的评价。</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991" w:hRule="atLeast"/>
          <w:tblHeader/>
        </w:trPr>
        <w:tc>
          <w:tcPr>
            <w:tcW w:w="723" w:type="dxa"/>
            <w:tcBorders>
              <w:top w:val="single" w:color="auto" w:sz="2" w:space="0"/>
              <w:left w:val="single" w:color="auto" w:sz="6" w:space="0"/>
              <w:bottom w:val="single" w:color="auto" w:sz="2" w:space="0"/>
              <w:right w:val="single" w:color="auto" w:sz="2" w:space="0"/>
            </w:tcBorders>
            <w:vAlign w:val="center"/>
          </w:tcPr>
          <w:p>
            <w:pPr>
              <w:snapToGrid w:val="0"/>
              <w:spacing w:before="156" w:beforeLines="50" w:after="156" w:afterLines="50" w:line="276" w:lineRule="auto"/>
              <w:jc w:val="center"/>
              <w:rPr>
                <w:rFonts w:ascii="宋体" w:hAnsi="宋体" w:cs="宋体"/>
                <w:bCs/>
                <w:color w:val="auto"/>
                <w:sz w:val="24"/>
                <w:highlight w:val="none"/>
              </w:rPr>
            </w:pPr>
            <w:r>
              <w:rPr>
                <w:rFonts w:ascii="宋体" w:hAnsi="宋体" w:cs="宋体"/>
                <w:bCs/>
                <w:color w:val="auto"/>
                <w:sz w:val="24"/>
                <w:highlight w:val="none"/>
              </w:rPr>
              <w:t>9</w:t>
            </w:r>
          </w:p>
        </w:tc>
        <w:tc>
          <w:tcPr>
            <w:tcW w:w="1397" w:type="dxa"/>
            <w:vMerge w:val="restart"/>
            <w:tcBorders>
              <w:top w:val="single" w:color="auto" w:sz="2" w:space="0"/>
              <w:left w:val="single" w:color="auto" w:sz="2" w:space="0"/>
              <w:bottom w:val="single" w:color="auto" w:sz="2" w:space="0"/>
              <w:right w:val="single" w:color="auto" w:sz="2" w:space="0"/>
            </w:tcBorders>
            <w:vAlign w:val="center"/>
          </w:tcPr>
          <w:p>
            <w:pPr>
              <w:snapToGrid w:val="0"/>
              <w:spacing w:before="156" w:beforeLines="50" w:after="156" w:afterLines="50" w:line="276" w:lineRule="auto"/>
              <w:rPr>
                <w:rFonts w:ascii="宋体" w:hAnsi="宋体" w:cs="宋体"/>
                <w:bCs/>
                <w:color w:val="auto"/>
                <w:sz w:val="24"/>
                <w:highlight w:val="none"/>
              </w:rPr>
            </w:pPr>
            <w:r>
              <w:rPr>
                <w:rFonts w:hint="eastAsia" w:ascii="宋体" w:hAnsi="宋体" w:cs="宋体"/>
                <w:bCs/>
                <w:color w:val="auto"/>
                <w:sz w:val="24"/>
                <w:highlight w:val="none"/>
              </w:rPr>
              <w:t>沟通协调能力</w:t>
            </w:r>
          </w:p>
        </w:tc>
        <w:tc>
          <w:tcPr>
            <w:tcW w:w="1276" w:type="dxa"/>
            <w:tcBorders>
              <w:top w:val="single" w:color="auto" w:sz="2" w:space="0"/>
              <w:left w:val="single" w:color="auto" w:sz="2" w:space="0"/>
              <w:bottom w:val="single" w:color="auto" w:sz="2" w:space="0"/>
              <w:right w:val="single" w:color="auto" w:sz="2" w:space="0"/>
            </w:tcBorders>
            <w:vAlign w:val="center"/>
          </w:tcPr>
          <w:p>
            <w:pPr>
              <w:snapToGrid w:val="0"/>
              <w:spacing w:before="156" w:beforeLines="50" w:after="156" w:afterLines="50" w:line="276" w:lineRule="auto"/>
              <w:rPr>
                <w:rFonts w:ascii="宋体" w:hAnsi="宋体" w:cs="宋体"/>
                <w:bCs/>
                <w:color w:val="auto"/>
                <w:sz w:val="24"/>
                <w:highlight w:val="none"/>
              </w:rPr>
            </w:pPr>
            <w:r>
              <w:rPr>
                <w:rFonts w:hint="eastAsia" w:ascii="宋体" w:hAnsi="宋体" w:cs="宋体"/>
                <w:bCs/>
                <w:color w:val="auto"/>
                <w:sz w:val="24"/>
                <w:highlight w:val="none"/>
              </w:rPr>
              <w:t>沟通机制和方法（</w:t>
            </w:r>
            <w:r>
              <w:rPr>
                <w:rFonts w:ascii="宋体" w:hAnsi="宋体" w:cs="宋体"/>
                <w:bCs/>
                <w:color w:val="auto"/>
                <w:sz w:val="24"/>
                <w:highlight w:val="none"/>
              </w:rPr>
              <w:t>10</w:t>
            </w:r>
            <w:r>
              <w:rPr>
                <w:rFonts w:hint="eastAsia" w:ascii="宋体" w:hAnsi="宋体" w:cs="宋体"/>
                <w:bCs/>
                <w:color w:val="auto"/>
                <w:sz w:val="24"/>
                <w:highlight w:val="none"/>
              </w:rPr>
              <w:t>分）</w:t>
            </w:r>
          </w:p>
        </w:tc>
        <w:tc>
          <w:tcPr>
            <w:tcW w:w="5658" w:type="dxa"/>
            <w:tcBorders>
              <w:top w:val="single" w:color="auto" w:sz="2" w:space="0"/>
              <w:left w:val="single" w:color="auto" w:sz="2" w:space="0"/>
              <w:bottom w:val="single" w:color="auto" w:sz="2" w:space="0"/>
              <w:right w:val="single" w:color="auto" w:sz="6" w:space="0"/>
            </w:tcBorders>
            <w:vAlign w:val="center"/>
          </w:tcPr>
          <w:p>
            <w:pPr>
              <w:snapToGrid w:val="0"/>
              <w:spacing w:before="156" w:beforeLines="50" w:after="156" w:afterLines="50" w:line="276" w:lineRule="auto"/>
              <w:rPr>
                <w:rFonts w:ascii="宋体" w:hAnsi="宋体" w:cs="宋体"/>
                <w:bCs/>
                <w:color w:val="auto"/>
                <w:sz w:val="24"/>
                <w:highlight w:val="none"/>
              </w:rPr>
            </w:pPr>
            <w:r>
              <w:rPr>
                <w:rFonts w:hint="eastAsia" w:ascii="宋体" w:hAnsi="宋体" w:cs="宋体"/>
                <w:bCs/>
                <w:color w:val="auto"/>
                <w:sz w:val="24"/>
                <w:highlight w:val="none"/>
              </w:rPr>
              <w:t>建立畅顺高效的沟通平台或沟通机制，开展与各干系人的沟通工作，保障各类信息、问题、解决方法在各干系人和相关方的沟通。</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24" w:hRule="atLeast"/>
          <w:tblHeader/>
        </w:trPr>
        <w:tc>
          <w:tcPr>
            <w:tcW w:w="723" w:type="dxa"/>
            <w:tcBorders>
              <w:top w:val="single" w:color="auto" w:sz="2" w:space="0"/>
              <w:left w:val="single" w:color="auto" w:sz="6" w:space="0"/>
              <w:bottom w:val="single" w:color="auto" w:sz="2" w:space="0"/>
              <w:right w:val="single" w:color="auto" w:sz="2" w:space="0"/>
            </w:tcBorders>
            <w:vAlign w:val="center"/>
          </w:tcPr>
          <w:p>
            <w:pPr>
              <w:snapToGrid w:val="0"/>
              <w:spacing w:before="156" w:beforeLines="50" w:after="156" w:afterLines="50" w:line="276" w:lineRule="auto"/>
              <w:jc w:val="center"/>
              <w:rPr>
                <w:rFonts w:ascii="宋体" w:hAnsi="宋体" w:cs="宋体"/>
                <w:bCs/>
                <w:color w:val="auto"/>
                <w:sz w:val="24"/>
                <w:highlight w:val="none"/>
              </w:rPr>
            </w:pPr>
            <w:r>
              <w:rPr>
                <w:rFonts w:ascii="宋体" w:hAnsi="宋体" w:cs="宋体"/>
                <w:bCs/>
                <w:color w:val="auto"/>
                <w:sz w:val="24"/>
                <w:highlight w:val="none"/>
              </w:rPr>
              <w:t>10</w:t>
            </w:r>
          </w:p>
        </w:tc>
        <w:tc>
          <w:tcPr>
            <w:tcW w:w="1397" w:type="dxa"/>
            <w:vMerge w:val="continue"/>
            <w:tcBorders>
              <w:top w:val="single" w:color="auto" w:sz="2" w:space="0"/>
              <w:left w:val="single" w:color="auto" w:sz="2" w:space="0"/>
              <w:bottom w:val="single" w:color="auto" w:sz="2" w:space="0"/>
              <w:right w:val="single" w:color="auto" w:sz="2" w:space="0"/>
            </w:tcBorders>
            <w:vAlign w:val="center"/>
          </w:tcPr>
          <w:p>
            <w:pPr>
              <w:snapToGrid w:val="0"/>
              <w:spacing w:before="156" w:beforeLines="50" w:after="156" w:afterLines="50" w:line="276" w:lineRule="auto"/>
              <w:ind w:firstLine="480" w:firstLineChars="200"/>
              <w:jc w:val="center"/>
              <w:rPr>
                <w:rFonts w:ascii="宋体" w:hAnsi="宋体" w:cs="宋体"/>
                <w:bCs/>
                <w:color w:val="auto"/>
                <w:sz w:val="24"/>
                <w:highlight w:val="none"/>
              </w:rPr>
            </w:pPr>
          </w:p>
        </w:tc>
        <w:tc>
          <w:tcPr>
            <w:tcW w:w="1276" w:type="dxa"/>
            <w:tcBorders>
              <w:top w:val="single" w:color="auto" w:sz="2" w:space="0"/>
              <w:left w:val="single" w:color="auto" w:sz="2" w:space="0"/>
              <w:bottom w:val="single" w:color="auto" w:sz="2" w:space="0"/>
              <w:right w:val="single" w:color="auto" w:sz="2" w:space="0"/>
            </w:tcBorders>
            <w:vAlign w:val="center"/>
          </w:tcPr>
          <w:p>
            <w:pPr>
              <w:snapToGrid w:val="0"/>
              <w:spacing w:before="156" w:beforeLines="50" w:after="156" w:afterLines="50" w:line="276" w:lineRule="auto"/>
              <w:rPr>
                <w:rFonts w:ascii="宋体" w:hAnsi="宋体" w:cs="宋体"/>
                <w:bCs/>
                <w:color w:val="auto"/>
                <w:sz w:val="24"/>
                <w:highlight w:val="none"/>
              </w:rPr>
            </w:pPr>
            <w:r>
              <w:rPr>
                <w:rFonts w:hint="eastAsia" w:ascii="宋体" w:hAnsi="宋体" w:cs="宋体"/>
                <w:bCs/>
                <w:color w:val="auto"/>
                <w:sz w:val="24"/>
                <w:highlight w:val="none"/>
              </w:rPr>
              <w:t>沟通效率（</w:t>
            </w:r>
            <w:r>
              <w:rPr>
                <w:rFonts w:ascii="宋体" w:hAnsi="宋体" w:cs="宋体"/>
                <w:bCs/>
                <w:color w:val="auto"/>
                <w:sz w:val="24"/>
                <w:highlight w:val="none"/>
              </w:rPr>
              <w:t>5</w:t>
            </w:r>
            <w:r>
              <w:rPr>
                <w:rFonts w:hint="eastAsia" w:ascii="宋体" w:hAnsi="宋体" w:cs="宋体"/>
                <w:bCs/>
                <w:color w:val="auto"/>
                <w:sz w:val="24"/>
                <w:highlight w:val="none"/>
              </w:rPr>
              <w:t>分）</w:t>
            </w:r>
          </w:p>
        </w:tc>
        <w:tc>
          <w:tcPr>
            <w:tcW w:w="5658" w:type="dxa"/>
            <w:tcBorders>
              <w:top w:val="single" w:color="auto" w:sz="2" w:space="0"/>
              <w:left w:val="single" w:color="auto" w:sz="2" w:space="0"/>
              <w:bottom w:val="single" w:color="auto" w:sz="2" w:space="0"/>
              <w:right w:val="single" w:color="auto" w:sz="6" w:space="0"/>
            </w:tcBorders>
            <w:vAlign w:val="center"/>
          </w:tcPr>
          <w:p>
            <w:pPr>
              <w:snapToGrid w:val="0"/>
              <w:spacing w:before="156" w:beforeLines="50" w:after="156" w:afterLines="50" w:line="276" w:lineRule="auto"/>
              <w:rPr>
                <w:rFonts w:ascii="宋体" w:hAnsi="宋体" w:cs="宋体"/>
                <w:bCs/>
                <w:color w:val="auto"/>
                <w:sz w:val="24"/>
                <w:highlight w:val="none"/>
              </w:rPr>
            </w:pPr>
            <w:r>
              <w:rPr>
                <w:rFonts w:hint="eastAsia" w:ascii="宋体" w:hAnsi="宋体" w:cs="宋体"/>
                <w:bCs/>
                <w:color w:val="auto"/>
                <w:sz w:val="24"/>
                <w:highlight w:val="none"/>
              </w:rPr>
              <w:t>能与业主不同层次的管理或经办人员进行恰如其分的沟通，保障业主的利益，创造适宜的沟通平台，保障信息及时、完整地传达到相关人或单位。</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79" w:hRule="atLeast"/>
          <w:tblHeader/>
        </w:trPr>
        <w:tc>
          <w:tcPr>
            <w:tcW w:w="723" w:type="dxa"/>
            <w:tcBorders>
              <w:top w:val="single" w:color="auto" w:sz="2" w:space="0"/>
              <w:left w:val="single" w:color="auto" w:sz="6" w:space="0"/>
              <w:bottom w:val="single" w:color="auto" w:sz="2" w:space="0"/>
              <w:right w:val="single" w:color="auto" w:sz="2" w:space="0"/>
            </w:tcBorders>
            <w:vAlign w:val="center"/>
          </w:tcPr>
          <w:p>
            <w:pPr>
              <w:snapToGrid w:val="0"/>
              <w:spacing w:before="156" w:beforeLines="50" w:after="156" w:afterLines="50" w:line="276" w:lineRule="auto"/>
              <w:jc w:val="center"/>
              <w:rPr>
                <w:rFonts w:ascii="宋体" w:hAnsi="宋体" w:cs="宋体"/>
                <w:bCs/>
                <w:color w:val="auto"/>
                <w:sz w:val="24"/>
                <w:highlight w:val="none"/>
              </w:rPr>
            </w:pPr>
            <w:r>
              <w:rPr>
                <w:rFonts w:ascii="宋体" w:hAnsi="宋体" w:cs="宋体"/>
                <w:bCs/>
                <w:color w:val="auto"/>
                <w:sz w:val="24"/>
                <w:highlight w:val="none"/>
              </w:rPr>
              <w:t>11</w:t>
            </w:r>
          </w:p>
        </w:tc>
        <w:tc>
          <w:tcPr>
            <w:tcW w:w="1397" w:type="dxa"/>
            <w:vMerge w:val="restart"/>
            <w:tcBorders>
              <w:top w:val="single" w:color="auto" w:sz="2" w:space="0"/>
              <w:left w:val="single" w:color="auto" w:sz="2" w:space="0"/>
              <w:bottom w:val="single" w:color="auto" w:sz="2" w:space="0"/>
              <w:right w:val="single" w:color="auto" w:sz="2" w:space="0"/>
            </w:tcBorders>
            <w:vAlign w:val="center"/>
          </w:tcPr>
          <w:p>
            <w:pPr>
              <w:snapToGrid w:val="0"/>
              <w:spacing w:before="156" w:beforeLines="50" w:after="156" w:afterLines="50" w:line="276" w:lineRule="auto"/>
              <w:rPr>
                <w:rFonts w:ascii="宋体" w:hAnsi="宋体" w:cs="宋体"/>
                <w:bCs/>
                <w:color w:val="auto"/>
                <w:sz w:val="24"/>
                <w:highlight w:val="none"/>
              </w:rPr>
            </w:pPr>
            <w:r>
              <w:rPr>
                <w:rFonts w:hint="eastAsia" w:ascii="宋体" w:hAnsi="宋体" w:cs="宋体"/>
                <w:bCs/>
                <w:color w:val="auto"/>
                <w:sz w:val="24"/>
                <w:highlight w:val="none"/>
              </w:rPr>
              <w:t>问题响应能力</w:t>
            </w:r>
          </w:p>
        </w:tc>
        <w:tc>
          <w:tcPr>
            <w:tcW w:w="1276" w:type="dxa"/>
            <w:tcBorders>
              <w:top w:val="single" w:color="auto" w:sz="2" w:space="0"/>
              <w:left w:val="single" w:color="auto" w:sz="2" w:space="0"/>
              <w:bottom w:val="single" w:color="auto" w:sz="2" w:space="0"/>
              <w:right w:val="single" w:color="auto" w:sz="2" w:space="0"/>
            </w:tcBorders>
            <w:vAlign w:val="center"/>
          </w:tcPr>
          <w:p>
            <w:pPr>
              <w:snapToGrid w:val="0"/>
              <w:spacing w:before="156" w:beforeLines="50" w:after="156" w:afterLines="50" w:line="276" w:lineRule="auto"/>
              <w:rPr>
                <w:rFonts w:ascii="宋体" w:hAnsi="宋体" w:cs="宋体"/>
                <w:bCs/>
                <w:color w:val="auto"/>
                <w:sz w:val="24"/>
                <w:highlight w:val="none"/>
              </w:rPr>
            </w:pPr>
            <w:r>
              <w:rPr>
                <w:rFonts w:hint="eastAsia" w:ascii="宋体" w:hAnsi="宋体" w:cs="宋体"/>
                <w:bCs/>
                <w:color w:val="auto"/>
                <w:sz w:val="24"/>
                <w:highlight w:val="none"/>
              </w:rPr>
              <w:t>问题响应（</w:t>
            </w:r>
            <w:r>
              <w:rPr>
                <w:rFonts w:ascii="宋体" w:hAnsi="宋体" w:cs="宋体"/>
                <w:bCs/>
                <w:color w:val="auto"/>
                <w:sz w:val="24"/>
                <w:highlight w:val="none"/>
              </w:rPr>
              <w:t>5</w:t>
            </w:r>
            <w:r>
              <w:rPr>
                <w:rFonts w:hint="eastAsia" w:ascii="宋体" w:hAnsi="宋体" w:cs="宋体"/>
                <w:bCs/>
                <w:color w:val="auto"/>
                <w:sz w:val="24"/>
                <w:highlight w:val="none"/>
              </w:rPr>
              <w:t>分）</w:t>
            </w:r>
          </w:p>
        </w:tc>
        <w:tc>
          <w:tcPr>
            <w:tcW w:w="5658" w:type="dxa"/>
            <w:tcBorders>
              <w:top w:val="single" w:color="auto" w:sz="2" w:space="0"/>
              <w:left w:val="single" w:color="auto" w:sz="2" w:space="0"/>
              <w:bottom w:val="single" w:color="auto" w:sz="2" w:space="0"/>
              <w:right w:val="single" w:color="auto" w:sz="6" w:space="0"/>
            </w:tcBorders>
            <w:vAlign w:val="center"/>
          </w:tcPr>
          <w:p>
            <w:pPr>
              <w:snapToGrid w:val="0"/>
              <w:spacing w:before="156" w:beforeLines="50" w:after="156" w:afterLines="50" w:line="276" w:lineRule="auto"/>
              <w:rPr>
                <w:rFonts w:ascii="宋体" w:hAnsi="宋体" w:cs="宋体"/>
                <w:bCs/>
                <w:color w:val="auto"/>
                <w:sz w:val="24"/>
                <w:highlight w:val="none"/>
              </w:rPr>
            </w:pPr>
            <w:r>
              <w:rPr>
                <w:rFonts w:hint="eastAsia" w:ascii="宋体" w:hAnsi="宋体" w:cs="宋体"/>
                <w:bCs/>
                <w:color w:val="auto"/>
                <w:sz w:val="24"/>
                <w:highlight w:val="none"/>
              </w:rPr>
              <w:t>根据合同约定积极有效地响应业主提出的问题（以通知信函等方式）。</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744" w:hRule="atLeast"/>
          <w:tblHeader/>
        </w:trPr>
        <w:tc>
          <w:tcPr>
            <w:tcW w:w="723" w:type="dxa"/>
            <w:tcBorders>
              <w:top w:val="single" w:color="auto" w:sz="2" w:space="0"/>
              <w:left w:val="single" w:color="auto" w:sz="6" w:space="0"/>
              <w:bottom w:val="single" w:color="auto" w:sz="2" w:space="0"/>
              <w:right w:val="single" w:color="auto" w:sz="2" w:space="0"/>
            </w:tcBorders>
            <w:vAlign w:val="center"/>
          </w:tcPr>
          <w:p>
            <w:pPr>
              <w:snapToGrid w:val="0"/>
              <w:spacing w:before="156" w:beforeLines="50" w:after="156" w:afterLines="50" w:line="276" w:lineRule="auto"/>
              <w:jc w:val="center"/>
              <w:rPr>
                <w:rFonts w:ascii="宋体" w:hAnsi="宋体" w:cs="宋体"/>
                <w:bCs/>
                <w:color w:val="auto"/>
                <w:sz w:val="24"/>
                <w:highlight w:val="none"/>
              </w:rPr>
            </w:pPr>
            <w:r>
              <w:rPr>
                <w:rFonts w:ascii="宋体" w:hAnsi="宋体" w:cs="宋体"/>
                <w:bCs/>
                <w:color w:val="auto"/>
                <w:sz w:val="24"/>
                <w:highlight w:val="none"/>
              </w:rPr>
              <w:t>12</w:t>
            </w:r>
          </w:p>
        </w:tc>
        <w:tc>
          <w:tcPr>
            <w:tcW w:w="1397" w:type="dxa"/>
            <w:vMerge w:val="continue"/>
            <w:tcBorders>
              <w:top w:val="single" w:color="auto" w:sz="2" w:space="0"/>
              <w:left w:val="single" w:color="auto" w:sz="2" w:space="0"/>
              <w:bottom w:val="single" w:color="auto" w:sz="2" w:space="0"/>
              <w:right w:val="single" w:color="auto" w:sz="2" w:space="0"/>
            </w:tcBorders>
            <w:vAlign w:val="center"/>
          </w:tcPr>
          <w:p>
            <w:pPr>
              <w:snapToGrid w:val="0"/>
              <w:spacing w:before="156" w:beforeLines="50" w:after="156" w:afterLines="50" w:line="276" w:lineRule="auto"/>
              <w:ind w:firstLine="480" w:firstLineChars="200"/>
              <w:jc w:val="center"/>
              <w:rPr>
                <w:rFonts w:ascii="宋体" w:hAnsi="宋体" w:cs="宋体"/>
                <w:bCs/>
                <w:color w:val="auto"/>
                <w:sz w:val="24"/>
                <w:highlight w:val="none"/>
              </w:rPr>
            </w:pPr>
          </w:p>
        </w:tc>
        <w:tc>
          <w:tcPr>
            <w:tcW w:w="1276" w:type="dxa"/>
            <w:tcBorders>
              <w:top w:val="single" w:color="auto" w:sz="2" w:space="0"/>
              <w:left w:val="single" w:color="auto" w:sz="2" w:space="0"/>
              <w:bottom w:val="single" w:color="auto" w:sz="2" w:space="0"/>
              <w:right w:val="single" w:color="auto" w:sz="2" w:space="0"/>
            </w:tcBorders>
            <w:vAlign w:val="center"/>
          </w:tcPr>
          <w:p>
            <w:pPr>
              <w:snapToGrid w:val="0"/>
              <w:spacing w:before="156" w:beforeLines="50" w:after="156" w:afterLines="50" w:line="276" w:lineRule="auto"/>
              <w:rPr>
                <w:rFonts w:ascii="宋体" w:hAnsi="宋体" w:cs="宋体"/>
                <w:bCs/>
                <w:color w:val="auto"/>
                <w:sz w:val="24"/>
                <w:highlight w:val="none"/>
              </w:rPr>
            </w:pPr>
            <w:r>
              <w:rPr>
                <w:rFonts w:hint="eastAsia" w:ascii="宋体" w:hAnsi="宋体" w:cs="宋体"/>
                <w:bCs/>
                <w:color w:val="auto"/>
                <w:sz w:val="24"/>
                <w:highlight w:val="none"/>
              </w:rPr>
              <w:t>问题解决（</w:t>
            </w:r>
            <w:r>
              <w:rPr>
                <w:rFonts w:ascii="宋体" w:hAnsi="宋体" w:cs="宋体"/>
                <w:bCs/>
                <w:color w:val="auto"/>
                <w:sz w:val="24"/>
                <w:highlight w:val="none"/>
              </w:rPr>
              <w:t>5</w:t>
            </w:r>
            <w:r>
              <w:rPr>
                <w:rFonts w:hint="eastAsia" w:ascii="宋体" w:hAnsi="宋体" w:cs="宋体"/>
                <w:bCs/>
                <w:color w:val="auto"/>
                <w:sz w:val="24"/>
                <w:highlight w:val="none"/>
              </w:rPr>
              <w:t>分）</w:t>
            </w:r>
          </w:p>
        </w:tc>
        <w:tc>
          <w:tcPr>
            <w:tcW w:w="5658" w:type="dxa"/>
            <w:tcBorders>
              <w:top w:val="single" w:color="auto" w:sz="2" w:space="0"/>
              <w:left w:val="single" w:color="auto" w:sz="2" w:space="0"/>
              <w:bottom w:val="single" w:color="auto" w:sz="2" w:space="0"/>
              <w:right w:val="single" w:color="auto" w:sz="6" w:space="0"/>
            </w:tcBorders>
            <w:vAlign w:val="center"/>
          </w:tcPr>
          <w:p>
            <w:pPr>
              <w:snapToGrid w:val="0"/>
              <w:spacing w:before="156" w:beforeLines="50" w:after="156" w:afterLines="50" w:line="276" w:lineRule="auto"/>
              <w:rPr>
                <w:rFonts w:ascii="宋体" w:hAnsi="宋体" w:cs="宋体"/>
                <w:bCs/>
                <w:color w:val="auto"/>
                <w:sz w:val="24"/>
                <w:highlight w:val="none"/>
              </w:rPr>
            </w:pPr>
            <w:r>
              <w:rPr>
                <w:rFonts w:hint="eastAsia" w:ascii="宋体" w:hAnsi="宋体" w:cs="宋体"/>
                <w:bCs/>
                <w:color w:val="auto"/>
                <w:sz w:val="24"/>
                <w:highlight w:val="none"/>
              </w:rPr>
              <w:t>娴熟正确地解决问题，并按约定时效要求进行如实反馈和报告。</w:t>
            </w:r>
          </w:p>
        </w:tc>
      </w:tr>
    </w:tbl>
    <w:p>
      <w:pPr>
        <w:snapToGrid w:val="0"/>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（2）考核等级标准</w:t>
      </w:r>
    </w:p>
    <w:tbl>
      <w:tblPr>
        <w:tblStyle w:val="4"/>
        <w:tblW w:w="7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6"/>
        <w:gridCol w:w="5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886" w:type="dxa"/>
            <w:tcBorders>
              <w:top w:val="single" w:color="auto" w:sz="4" w:space="0"/>
              <w:left w:val="single" w:color="auto" w:sz="4" w:space="0"/>
              <w:bottom w:val="single" w:color="auto" w:sz="4" w:space="0"/>
              <w:right w:val="single" w:color="auto" w:sz="4" w:space="0"/>
            </w:tcBorders>
            <w:shd w:val="clear" w:color="auto" w:fill="D4D4D4"/>
            <w:vAlign w:val="center"/>
          </w:tcPr>
          <w:p>
            <w:pPr>
              <w:pStyle w:val="6"/>
              <w:spacing w:line="276" w:lineRule="auto"/>
              <w:jc w:val="center"/>
              <w:rPr>
                <w:b/>
                <w:color w:val="auto"/>
                <w:sz w:val="24"/>
                <w:szCs w:val="24"/>
                <w:highlight w:val="none"/>
              </w:rPr>
            </w:pPr>
            <w:r>
              <w:rPr>
                <w:b/>
                <w:color w:val="auto"/>
                <w:sz w:val="24"/>
                <w:szCs w:val="24"/>
                <w:highlight w:val="none"/>
              </w:rPr>
              <w:t>等级</w:t>
            </w:r>
          </w:p>
        </w:tc>
        <w:tc>
          <w:tcPr>
            <w:tcW w:w="5882" w:type="dxa"/>
            <w:tcBorders>
              <w:top w:val="single" w:color="auto" w:sz="4" w:space="0"/>
              <w:left w:val="single" w:color="auto" w:sz="4" w:space="0"/>
              <w:bottom w:val="single" w:color="auto" w:sz="4" w:space="0"/>
              <w:right w:val="single" w:color="auto" w:sz="4" w:space="0"/>
            </w:tcBorders>
            <w:shd w:val="clear" w:color="auto" w:fill="D4D4D4"/>
            <w:vAlign w:val="center"/>
          </w:tcPr>
          <w:p>
            <w:pPr>
              <w:pStyle w:val="6"/>
              <w:spacing w:line="276" w:lineRule="auto"/>
              <w:jc w:val="center"/>
              <w:rPr>
                <w:b/>
                <w:color w:val="auto"/>
                <w:sz w:val="24"/>
                <w:szCs w:val="24"/>
                <w:highlight w:val="none"/>
              </w:rPr>
            </w:pPr>
            <w:r>
              <w:rPr>
                <w:b/>
                <w:color w:val="auto"/>
                <w:sz w:val="24"/>
                <w:szCs w:val="24"/>
                <w:highlight w:val="none"/>
              </w:rPr>
              <w:t>分数范围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88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76" w:lineRule="auto"/>
              <w:jc w:val="center"/>
              <w:rPr>
                <w:rFonts w:ascii="宋体" w:hAnsi="宋体" w:cs="宋体"/>
                <w:bCs/>
                <w:color w:val="auto"/>
                <w:sz w:val="24"/>
                <w:highlight w:val="none"/>
              </w:rPr>
            </w:pPr>
            <w:r>
              <w:rPr>
                <w:rFonts w:ascii="宋体" w:hAnsi="宋体" w:cs="宋体"/>
                <w:bCs/>
                <w:color w:val="auto"/>
                <w:sz w:val="24"/>
                <w:highlight w:val="none"/>
              </w:rPr>
              <w:t>A</w:t>
            </w:r>
          </w:p>
        </w:tc>
        <w:tc>
          <w:tcPr>
            <w:tcW w:w="588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76" w:lineRule="auto"/>
              <w:jc w:val="center"/>
              <w:rPr>
                <w:rFonts w:ascii="宋体" w:hAnsi="宋体" w:cs="宋体"/>
                <w:bCs/>
                <w:color w:val="auto"/>
                <w:sz w:val="24"/>
                <w:highlight w:val="none"/>
              </w:rPr>
            </w:pPr>
            <w:r>
              <w:rPr>
                <w:rFonts w:ascii="宋体" w:hAnsi="宋体" w:cs="宋体"/>
                <w:bCs/>
                <w:color w:val="auto"/>
                <w:sz w:val="24"/>
                <w:highlight w:val="none"/>
              </w:rPr>
              <w:t>80</w:t>
            </w:r>
            <w:r>
              <w:rPr>
                <w:rFonts w:hint="eastAsia" w:ascii="宋体" w:hAnsi="宋体" w:cs="宋体"/>
                <w:bCs/>
                <w:color w:val="auto"/>
                <w:sz w:val="24"/>
                <w:highlight w:val="none"/>
              </w:rPr>
              <w:t>分</w:t>
            </w:r>
            <w:r>
              <w:rPr>
                <w:rFonts w:ascii="宋体" w:hAnsi="宋体" w:cs="宋体"/>
                <w:bCs/>
                <w:color w:val="auto"/>
                <w:sz w:val="24"/>
                <w:highlight w:val="none"/>
              </w:rPr>
              <w:t>≤</w:t>
            </w:r>
            <w:r>
              <w:rPr>
                <w:rFonts w:hint="eastAsia" w:ascii="宋体" w:hAnsi="宋体" w:cs="宋体"/>
                <w:bCs/>
                <w:color w:val="auto"/>
                <w:sz w:val="24"/>
                <w:highlight w:val="none"/>
              </w:rPr>
              <w:t>最终得分</w:t>
            </w:r>
            <w:r>
              <w:rPr>
                <w:rFonts w:ascii="宋体" w:hAnsi="宋体" w:cs="宋体"/>
                <w:bCs/>
                <w:color w:val="auto"/>
                <w:sz w:val="24"/>
                <w:highlight w:val="none"/>
              </w:rPr>
              <w:t>≤100</w:t>
            </w:r>
            <w:r>
              <w:rPr>
                <w:rFonts w:hint="eastAsia" w:ascii="宋体" w:hAnsi="宋体" w:cs="宋体"/>
                <w:bCs/>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8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76" w:lineRule="auto"/>
              <w:jc w:val="center"/>
              <w:rPr>
                <w:rFonts w:ascii="宋体" w:hAnsi="宋体" w:cs="宋体"/>
                <w:bCs/>
                <w:color w:val="auto"/>
                <w:sz w:val="24"/>
                <w:highlight w:val="none"/>
              </w:rPr>
            </w:pPr>
            <w:r>
              <w:rPr>
                <w:rFonts w:ascii="宋体" w:hAnsi="宋体" w:cs="宋体"/>
                <w:bCs/>
                <w:color w:val="auto"/>
                <w:sz w:val="24"/>
                <w:highlight w:val="none"/>
              </w:rPr>
              <w:t>B</w:t>
            </w:r>
          </w:p>
        </w:tc>
        <w:tc>
          <w:tcPr>
            <w:tcW w:w="588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76" w:lineRule="auto"/>
              <w:jc w:val="center"/>
              <w:rPr>
                <w:rFonts w:ascii="宋体" w:hAnsi="宋体" w:cs="宋体"/>
                <w:bCs/>
                <w:color w:val="auto"/>
                <w:sz w:val="24"/>
                <w:highlight w:val="none"/>
              </w:rPr>
            </w:pPr>
            <w:r>
              <w:rPr>
                <w:rFonts w:ascii="宋体" w:hAnsi="宋体" w:cs="宋体"/>
                <w:bCs/>
                <w:color w:val="auto"/>
                <w:sz w:val="24"/>
                <w:highlight w:val="none"/>
              </w:rPr>
              <w:t>60</w:t>
            </w:r>
            <w:r>
              <w:rPr>
                <w:rFonts w:hint="eastAsia" w:ascii="宋体" w:hAnsi="宋体" w:cs="宋体"/>
                <w:bCs/>
                <w:color w:val="auto"/>
                <w:sz w:val="24"/>
                <w:highlight w:val="none"/>
              </w:rPr>
              <w:t>分</w:t>
            </w:r>
            <w:r>
              <w:rPr>
                <w:rFonts w:ascii="宋体" w:hAnsi="宋体" w:cs="宋体"/>
                <w:bCs/>
                <w:color w:val="auto"/>
                <w:sz w:val="24"/>
                <w:highlight w:val="none"/>
              </w:rPr>
              <w:t>≤</w:t>
            </w:r>
            <w:r>
              <w:rPr>
                <w:rFonts w:hint="eastAsia" w:ascii="宋体" w:hAnsi="宋体" w:cs="宋体"/>
                <w:bCs/>
                <w:color w:val="auto"/>
                <w:sz w:val="24"/>
                <w:highlight w:val="none"/>
              </w:rPr>
              <w:t>最终得分＜</w:t>
            </w:r>
            <w:r>
              <w:rPr>
                <w:rFonts w:ascii="宋体" w:hAnsi="宋体" w:cs="宋体"/>
                <w:bCs/>
                <w:color w:val="auto"/>
                <w:sz w:val="24"/>
                <w:highlight w:val="none"/>
              </w:rPr>
              <w:t>80</w:t>
            </w:r>
            <w:r>
              <w:rPr>
                <w:rFonts w:hint="eastAsia" w:ascii="宋体" w:hAnsi="宋体" w:cs="宋体"/>
                <w:bCs/>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8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76" w:lineRule="auto"/>
              <w:jc w:val="center"/>
              <w:rPr>
                <w:rFonts w:ascii="宋体" w:hAnsi="宋体" w:cs="宋体"/>
                <w:bCs/>
                <w:color w:val="auto"/>
                <w:sz w:val="24"/>
                <w:highlight w:val="none"/>
              </w:rPr>
            </w:pPr>
            <w:r>
              <w:rPr>
                <w:rFonts w:ascii="宋体" w:hAnsi="宋体" w:cs="宋体"/>
                <w:bCs/>
                <w:color w:val="auto"/>
                <w:sz w:val="24"/>
                <w:highlight w:val="none"/>
              </w:rPr>
              <w:t>C</w:t>
            </w:r>
          </w:p>
        </w:tc>
        <w:tc>
          <w:tcPr>
            <w:tcW w:w="588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76" w:lineRule="auto"/>
              <w:jc w:val="center"/>
              <w:rPr>
                <w:rFonts w:ascii="宋体" w:hAnsi="宋体" w:cs="宋体"/>
                <w:bCs/>
                <w:color w:val="auto"/>
                <w:sz w:val="24"/>
                <w:highlight w:val="none"/>
              </w:rPr>
            </w:pPr>
            <w:r>
              <w:rPr>
                <w:rFonts w:hint="eastAsia" w:ascii="宋体" w:hAnsi="宋体" w:cs="宋体"/>
                <w:bCs/>
                <w:color w:val="auto"/>
                <w:sz w:val="24"/>
                <w:highlight w:val="none"/>
              </w:rPr>
              <w:t>最终得分＜</w:t>
            </w:r>
            <w:r>
              <w:rPr>
                <w:rFonts w:ascii="宋体" w:hAnsi="宋体" w:cs="宋体"/>
                <w:bCs/>
                <w:color w:val="auto"/>
                <w:sz w:val="24"/>
                <w:highlight w:val="none"/>
              </w:rPr>
              <w:t>60</w:t>
            </w:r>
            <w:r>
              <w:rPr>
                <w:rFonts w:hint="eastAsia" w:ascii="宋体" w:hAnsi="宋体" w:cs="宋体"/>
                <w:bCs/>
                <w:color w:val="auto"/>
                <w:sz w:val="24"/>
                <w:highlight w:val="none"/>
              </w:rPr>
              <w:t>分</w:t>
            </w:r>
          </w:p>
        </w:tc>
      </w:tr>
    </w:tbl>
    <w:p>
      <w:pPr>
        <w:snapToGrid w:val="0"/>
        <w:spacing w:before="156" w:beforeLines="50" w:after="156" w:afterLines="50" w:line="360" w:lineRule="auto"/>
        <w:ind w:firstLine="480" w:firstLineChars="200"/>
        <w:rPr>
          <w:rFonts w:hint="eastAsia" w:ascii="宋体" w:hAnsi="宋体" w:cs="宋体"/>
          <w:b/>
          <w:color w:val="auto"/>
          <w:sz w:val="24"/>
          <w:highlight w:val="none"/>
        </w:rPr>
      </w:pPr>
      <w:r>
        <w:rPr>
          <w:rFonts w:hint="eastAsia" w:ascii="宋体" w:hAnsi="宋体" w:cs="宋体"/>
          <w:b/>
          <w:color w:val="auto"/>
          <w:sz w:val="24"/>
          <w:highlight w:val="none"/>
        </w:rPr>
        <w:t>7.设备投入要求</w:t>
      </w:r>
    </w:p>
    <w:p>
      <w:pPr>
        <w:snapToGrid w:val="0"/>
        <w:spacing w:before="156" w:beforeLines="50" w:after="156" w:afterLines="5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针对建设任务，监理单位需提供必要的办公设备（电脑及办公软件、数码相机、资料文件）。</w:t>
      </w:r>
    </w:p>
    <w:p>
      <w:pPr>
        <w:snapToGrid w:val="0"/>
        <w:spacing w:before="156" w:beforeLines="50" w:after="156" w:afterLines="50" w:line="360" w:lineRule="auto"/>
        <w:ind w:firstLine="480" w:firstLineChars="200"/>
        <w:rPr>
          <w:rFonts w:hint="eastAsia" w:ascii="宋体" w:hAnsi="宋体" w:cs="宋体"/>
          <w:b/>
          <w:color w:val="auto"/>
          <w:sz w:val="24"/>
          <w:highlight w:val="none"/>
        </w:rPr>
      </w:pPr>
      <w:r>
        <w:rPr>
          <w:rFonts w:hint="eastAsia" w:ascii="宋体" w:hAnsi="宋体" w:cs="宋体"/>
          <w:b/>
          <w:color w:val="auto"/>
          <w:sz w:val="24"/>
          <w:highlight w:val="none"/>
        </w:rPr>
        <w:t>8.监理管理制度要求</w:t>
      </w:r>
    </w:p>
    <w:p>
      <w:pPr>
        <w:snapToGrid w:val="0"/>
        <w:spacing w:before="156" w:beforeLines="50" w:after="156" w:afterLines="5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乙方需建立健全的监理管理制度，加强对监理机构人员的管理和考核，确保实现本项目的监理任务。</w:t>
      </w:r>
    </w:p>
    <w:p>
      <w:pPr>
        <w:snapToGrid w:val="0"/>
        <w:spacing w:before="156" w:beforeLines="50" w:after="156" w:afterLines="50" w:line="360" w:lineRule="auto"/>
        <w:ind w:firstLine="480" w:firstLineChars="200"/>
        <w:rPr>
          <w:rFonts w:hint="eastAsia" w:ascii="宋体" w:hAnsi="宋体" w:cs="宋体"/>
          <w:b/>
          <w:color w:val="auto"/>
          <w:sz w:val="24"/>
          <w:highlight w:val="none"/>
        </w:rPr>
      </w:pPr>
      <w:r>
        <w:rPr>
          <w:rFonts w:hint="eastAsia" w:ascii="宋体" w:hAnsi="宋体" w:cs="宋体"/>
          <w:b/>
          <w:color w:val="auto"/>
          <w:sz w:val="24"/>
          <w:highlight w:val="none"/>
        </w:rPr>
        <w:t>9.监理服务质量保障要求</w:t>
      </w:r>
    </w:p>
    <w:p>
      <w:pPr>
        <w:snapToGrid w:val="0"/>
        <w:spacing w:before="156" w:beforeLines="50" w:after="156" w:afterLines="5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乙方应具备质量保障体系，并提供相关服务承诺、服务措施，以及保障措施。同时要对监理难点进行分析，给出具体的实施意见并提出合理化建议。</w:t>
      </w:r>
    </w:p>
    <w:p>
      <w:pPr>
        <w:snapToGrid w:val="0"/>
        <w:spacing w:before="156" w:beforeLines="50" w:after="156" w:afterLines="5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质量保障体系总体要求：乙方应详细阐述协助建设单位如何本项目质量、进度、投资目标的具体的质量控制措施、方法和手段，以及监理单位自身应配备的质量管理组织、质量体系和制度文件。</w:t>
      </w:r>
    </w:p>
    <w:p>
      <w:pPr>
        <w:snapToGrid w:val="0"/>
        <w:spacing w:before="156" w:beforeLines="50" w:after="156" w:afterLines="50" w:line="360" w:lineRule="auto"/>
        <w:ind w:firstLine="480" w:firstLineChars="200"/>
        <w:rPr>
          <w:rFonts w:hint="eastAsia" w:ascii="宋体" w:hAnsi="宋体" w:cs="宋体"/>
          <w:b/>
          <w:color w:val="auto"/>
          <w:sz w:val="24"/>
          <w:highlight w:val="none"/>
        </w:rPr>
      </w:pPr>
      <w:r>
        <w:rPr>
          <w:rFonts w:hint="eastAsia" w:ascii="宋体" w:hAnsi="宋体" w:cs="宋体"/>
          <w:b/>
          <w:color w:val="auto"/>
          <w:sz w:val="24"/>
          <w:highlight w:val="none"/>
        </w:rPr>
        <w:t>10.服务响应要求</w:t>
      </w:r>
    </w:p>
    <w:p>
      <w:pPr>
        <w:snapToGrid w:val="0"/>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乙方应在甲方的监督、指导下展开工作，项目期间乙方应负责协调建设单位、用户单位和服务提供单位的关系，定期召开联合会议，协助甲方汇总中共广州市委政法委员会2024-2025年信息化运维项目项目建设情况，协助甲方开展中共广州市委政法委员会2024-2025年信息化运维项目的符合性检查、项目终验等组织管理工作，对符合性检查、项目终验发现的问题，涉及中共广州市委政法委员会2024-2025年信息化运维项目承建方整改责任的，督促中共广州市委政法委员会2024-2025年信息化运维项目承建方完成整改，保证项目进度的顺利进行。</w:t>
      </w:r>
    </w:p>
    <w:p>
      <w:pPr>
        <w:snapToGrid w:val="0"/>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乙方承诺应配置提供本地服务团队，对甲方提出的监理服务需求和要求做到24小时内响应，对于紧急需求和要求做到2小时内响应。服务响应可通过现场、远程等方式提供，由此产生的一切费用均由乙方承担。甲方可根据工作需要要求服务人员在指定时间到指定地点现场办公。</w:t>
      </w:r>
    </w:p>
    <w:p>
      <w:pPr>
        <w:pStyle w:val="2"/>
        <w:numPr>
          <w:ilvl w:val="0"/>
          <w:numId w:val="1"/>
        </w:numPr>
        <w:tabs>
          <w:tab w:val="left" w:pos="567"/>
        </w:tabs>
        <w:spacing w:before="200" w:after="200" w:line="360" w:lineRule="auto"/>
        <w:ind w:left="227" w:hanging="227"/>
        <w:jc w:val="left"/>
        <w:rPr>
          <w:rFonts w:hint="eastAsia"/>
          <w:color w:val="auto"/>
          <w:sz w:val="28"/>
          <w:szCs w:val="28"/>
          <w:highlight w:val="none"/>
        </w:rPr>
      </w:pPr>
      <w:r>
        <w:rPr>
          <w:rFonts w:hint="eastAsia"/>
          <w:color w:val="auto"/>
          <w:sz w:val="28"/>
          <w:szCs w:val="28"/>
          <w:highlight w:val="none"/>
        </w:rPr>
        <w:t>保密要求</w:t>
      </w:r>
    </w:p>
    <w:p>
      <w:pPr>
        <w:snapToGrid w:val="0"/>
        <w:spacing w:before="156" w:beforeLines="50" w:after="156" w:afterLines="5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1.乙方应签订保密协议，对其因身份、职务、职业或技术关系而知悉的甲方商业秘密和党政机关保密信息应严格保守，保证不被披露或使用，包括意外或过失。</w:t>
      </w:r>
    </w:p>
    <w:p>
      <w:pPr>
        <w:snapToGrid w:val="0"/>
        <w:spacing w:before="156" w:beforeLines="50" w:after="156" w:afterLines="5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乙方不得以竞争为目的、或出于私利、或为第三人谋利而擅自保存、披露、使用甲方商业秘密和党政机关保密信息；不得直接或间接地向无关人员泄露甲方的商业秘密和党政机关保密信息；不得向不承担保密义务的任何第三人披露甲方的商业秘密和党政机关保密信息。乙方在从事政府项目时，不得擅自记录、复制、拍摄、摘抄、收藏在工作中涉及的保密信息，严禁将涉及政府项目的任何资料、数据透露或以其他方式提供给项目以外的其他方或乙方内部与该项目无关的任何人员。</w:t>
      </w:r>
    </w:p>
    <w:p>
      <w:pPr>
        <w:snapToGrid w:val="0"/>
        <w:spacing w:before="156" w:beforeLines="50" w:after="156" w:afterLines="5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乙方对于工作期间知悉甲方的商业秘密和党政机关保密信息（包括业务信息在内）或工作过程中接触到的政府机关文件（包括内部发文、各类通知及会议记录等）的内容，同样承担保密责任，严禁将政府机关内部会议、谈话内容泄露给无关人员；不得翻阅与工作无关的文件和资料。</w:t>
      </w:r>
    </w:p>
    <w:p>
      <w:pPr>
        <w:snapToGrid w:val="0"/>
        <w:spacing w:before="156" w:beforeLines="50" w:after="156" w:afterLines="5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4.严禁泄露在工作中接触到的政府机关科技研究、发明、装备器材及其技术资料和政府工作信息。</w:t>
      </w:r>
    </w:p>
    <w:p>
      <w:pPr>
        <w:pStyle w:val="2"/>
        <w:numPr>
          <w:ilvl w:val="0"/>
          <w:numId w:val="1"/>
        </w:numPr>
        <w:tabs>
          <w:tab w:val="left" w:pos="567"/>
          <w:tab w:val="left" w:pos="993"/>
        </w:tabs>
        <w:spacing w:before="200" w:after="200" w:line="360" w:lineRule="auto"/>
        <w:ind w:left="227" w:hanging="227"/>
        <w:jc w:val="left"/>
        <w:rPr>
          <w:color w:val="auto"/>
          <w:sz w:val="28"/>
          <w:szCs w:val="28"/>
          <w:highlight w:val="none"/>
        </w:rPr>
      </w:pPr>
      <w:r>
        <w:rPr>
          <w:rFonts w:hint="eastAsia"/>
          <w:color w:val="auto"/>
          <w:sz w:val="28"/>
          <w:szCs w:val="28"/>
          <w:highlight w:val="none"/>
        </w:rPr>
        <w:t>双方的权利和义务</w:t>
      </w:r>
    </w:p>
    <w:p>
      <w:pPr>
        <w:snapToGrid w:val="0"/>
        <w:spacing w:before="50" w:after="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（一）甲方的权利</w:t>
      </w:r>
    </w:p>
    <w:p>
      <w:pPr>
        <w:snapToGrid w:val="0"/>
        <w:spacing w:before="50" w:after="50" w:line="360" w:lineRule="auto"/>
        <w:ind w:firstLine="480" w:firstLineChars="200"/>
        <w:rPr>
          <w:rFonts w:ascii="宋体" w:hAnsi="宋体" w:cs="宋体"/>
          <w:color w:val="auto"/>
          <w:sz w:val="24"/>
          <w:highlight w:val="none"/>
        </w:rPr>
      </w:pPr>
      <w:r>
        <w:rPr>
          <w:rFonts w:ascii="宋体" w:hAnsi="宋体" w:cs="宋体"/>
          <w:color w:val="auto"/>
          <w:sz w:val="24"/>
          <w:highlight w:val="none"/>
        </w:rPr>
        <w:t>1.甲方负责人监督和检查乙方的进度、质量及纪律遵守情况；</w:t>
      </w:r>
    </w:p>
    <w:p>
      <w:pPr>
        <w:snapToGrid w:val="0"/>
        <w:spacing w:before="50" w:after="50" w:line="360" w:lineRule="auto"/>
        <w:ind w:firstLine="480" w:firstLineChars="200"/>
        <w:rPr>
          <w:rFonts w:ascii="宋体" w:hAnsi="宋体" w:cs="宋体"/>
          <w:color w:val="auto"/>
          <w:sz w:val="24"/>
          <w:highlight w:val="none"/>
        </w:rPr>
      </w:pPr>
      <w:r>
        <w:rPr>
          <w:rFonts w:ascii="宋体" w:hAnsi="宋体" w:cs="宋体"/>
          <w:color w:val="auto"/>
          <w:sz w:val="24"/>
          <w:highlight w:val="none"/>
        </w:rPr>
        <w:t>2.对乙方</w:t>
      </w:r>
      <w:r>
        <w:rPr>
          <w:rFonts w:hint="eastAsia" w:ascii="宋体" w:hAnsi="宋体" w:cs="宋体"/>
          <w:color w:val="auto"/>
          <w:sz w:val="24"/>
          <w:highlight w:val="none"/>
        </w:rPr>
        <w:t>监理</w:t>
      </w:r>
      <w:r>
        <w:rPr>
          <w:rFonts w:ascii="宋体" w:hAnsi="宋体" w:cs="宋体"/>
          <w:color w:val="auto"/>
          <w:sz w:val="24"/>
          <w:highlight w:val="none"/>
        </w:rPr>
        <w:t>项目的研究成果进行验收确认，并有权使用研究成果；</w:t>
      </w:r>
    </w:p>
    <w:p>
      <w:pPr>
        <w:snapToGrid w:val="0"/>
        <w:spacing w:before="50" w:after="50" w:line="360" w:lineRule="auto"/>
        <w:ind w:firstLine="480" w:firstLineChars="200"/>
        <w:rPr>
          <w:rFonts w:ascii="宋体" w:hAnsi="宋体" w:cs="宋体"/>
          <w:color w:val="auto"/>
          <w:sz w:val="24"/>
          <w:highlight w:val="none"/>
        </w:rPr>
      </w:pPr>
      <w:r>
        <w:rPr>
          <w:rFonts w:ascii="宋体" w:hAnsi="宋体" w:cs="宋体"/>
          <w:color w:val="auto"/>
          <w:sz w:val="24"/>
          <w:highlight w:val="none"/>
        </w:rPr>
        <w:t>3.如乙方在</w:t>
      </w:r>
      <w:r>
        <w:rPr>
          <w:rFonts w:hint="eastAsia" w:ascii="宋体" w:hAnsi="宋体" w:cs="宋体"/>
          <w:color w:val="auto"/>
          <w:sz w:val="24"/>
          <w:highlight w:val="none"/>
        </w:rPr>
        <w:t>监理</w:t>
      </w:r>
      <w:r>
        <w:rPr>
          <w:rFonts w:ascii="宋体" w:hAnsi="宋体" w:cs="宋体"/>
          <w:color w:val="auto"/>
          <w:sz w:val="24"/>
          <w:highlight w:val="none"/>
        </w:rPr>
        <w:t>项目实施过程中有违法违规违约行为，甲方可以解除委托，并追究乙方的违约责任。</w:t>
      </w:r>
    </w:p>
    <w:p>
      <w:pPr>
        <w:snapToGrid w:val="0"/>
        <w:spacing w:before="50" w:after="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（二）甲方的义务</w:t>
      </w:r>
    </w:p>
    <w:p>
      <w:pPr>
        <w:snapToGrid w:val="0"/>
        <w:spacing w:before="50" w:after="50" w:line="360" w:lineRule="auto"/>
        <w:ind w:firstLine="480" w:firstLineChars="200"/>
        <w:rPr>
          <w:rFonts w:ascii="宋体" w:hAnsi="宋体" w:cs="宋体"/>
          <w:color w:val="auto"/>
          <w:sz w:val="24"/>
          <w:highlight w:val="none"/>
        </w:rPr>
      </w:pPr>
      <w:r>
        <w:rPr>
          <w:rFonts w:ascii="宋体" w:hAnsi="宋体" w:cs="宋体"/>
          <w:color w:val="auto"/>
          <w:sz w:val="24"/>
          <w:highlight w:val="none"/>
        </w:rPr>
        <w:t>1.为乙方提供研究工作相关背景资料和政策规定文件；</w:t>
      </w:r>
    </w:p>
    <w:p>
      <w:pPr>
        <w:snapToGrid w:val="0"/>
        <w:spacing w:before="50" w:after="50" w:line="360" w:lineRule="auto"/>
        <w:ind w:firstLine="480" w:firstLineChars="200"/>
        <w:rPr>
          <w:rFonts w:ascii="宋体" w:hAnsi="宋体" w:cs="宋体"/>
          <w:color w:val="auto"/>
          <w:sz w:val="24"/>
          <w:highlight w:val="none"/>
        </w:rPr>
      </w:pPr>
      <w:r>
        <w:rPr>
          <w:rFonts w:ascii="宋体" w:hAnsi="宋体" w:cs="宋体"/>
          <w:color w:val="auto"/>
          <w:sz w:val="24"/>
          <w:highlight w:val="none"/>
        </w:rPr>
        <w:t>2.为乙方提供必需的工作条件；</w:t>
      </w:r>
    </w:p>
    <w:p>
      <w:pPr>
        <w:snapToGrid w:val="0"/>
        <w:spacing w:before="50" w:after="50" w:line="360" w:lineRule="auto"/>
        <w:ind w:firstLine="480" w:firstLineChars="200"/>
        <w:rPr>
          <w:rFonts w:ascii="宋体" w:hAnsi="宋体" w:cs="宋体"/>
          <w:color w:val="auto"/>
          <w:sz w:val="24"/>
          <w:highlight w:val="none"/>
        </w:rPr>
      </w:pPr>
      <w:r>
        <w:rPr>
          <w:rFonts w:ascii="宋体" w:hAnsi="宋体" w:cs="宋体"/>
          <w:color w:val="auto"/>
          <w:sz w:val="24"/>
          <w:highlight w:val="none"/>
        </w:rPr>
        <w:t>3.负责协调项目开展中，需要甲方及项目相关方配合的各类问题和资源；</w:t>
      </w:r>
    </w:p>
    <w:p>
      <w:pPr>
        <w:snapToGrid w:val="0"/>
        <w:spacing w:before="50" w:after="50" w:line="360" w:lineRule="auto"/>
        <w:ind w:firstLine="480" w:firstLineChars="200"/>
        <w:rPr>
          <w:rFonts w:ascii="宋体" w:hAnsi="宋体" w:cs="宋体"/>
          <w:color w:val="auto"/>
          <w:sz w:val="24"/>
          <w:highlight w:val="none"/>
        </w:rPr>
      </w:pPr>
      <w:r>
        <w:rPr>
          <w:rFonts w:ascii="宋体" w:hAnsi="宋体" w:cs="宋体"/>
          <w:color w:val="auto"/>
          <w:sz w:val="24"/>
          <w:highlight w:val="none"/>
        </w:rPr>
        <w:t>4.按合同规定支付</w:t>
      </w:r>
      <w:r>
        <w:rPr>
          <w:rFonts w:hint="eastAsia" w:ascii="宋体" w:hAnsi="宋体" w:cs="宋体"/>
          <w:color w:val="auto"/>
          <w:sz w:val="24"/>
          <w:highlight w:val="none"/>
        </w:rPr>
        <w:t>监理</w:t>
      </w:r>
      <w:r>
        <w:rPr>
          <w:rFonts w:ascii="宋体" w:hAnsi="宋体" w:cs="宋体"/>
          <w:color w:val="auto"/>
          <w:sz w:val="24"/>
          <w:highlight w:val="none"/>
        </w:rPr>
        <w:t>项目费用。</w:t>
      </w:r>
    </w:p>
    <w:p>
      <w:pPr>
        <w:snapToGrid w:val="0"/>
        <w:spacing w:before="50" w:after="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（三）乙方的权利</w:t>
      </w:r>
    </w:p>
    <w:p>
      <w:pPr>
        <w:snapToGrid w:val="0"/>
        <w:spacing w:before="50" w:after="50" w:line="360" w:lineRule="auto"/>
        <w:ind w:firstLine="480" w:firstLineChars="200"/>
        <w:rPr>
          <w:rFonts w:ascii="宋体" w:hAnsi="宋体" w:cs="宋体"/>
          <w:color w:val="auto"/>
          <w:sz w:val="24"/>
          <w:highlight w:val="none"/>
        </w:rPr>
      </w:pPr>
      <w:r>
        <w:rPr>
          <w:rFonts w:ascii="宋体" w:hAnsi="宋体" w:cs="宋体"/>
          <w:color w:val="auto"/>
          <w:sz w:val="24"/>
          <w:highlight w:val="none"/>
        </w:rPr>
        <w:t>1.要求甲方为监理工作的开展提供必要的调研、资料和便利；</w:t>
      </w:r>
    </w:p>
    <w:p>
      <w:pPr>
        <w:snapToGrid w:val="0"/>
        <w:spacing w:before="50" w:after="50" w:line="360" w:lineRule="auto"/>
        <w:ind w:firstLine="480" w:firstLineChars="200"/>
        <w:rPr>
          <w:rFonts w:ascii="宋体" w:hAnsi="宋体" w:cs="宋体"/>
          <w:color w:val="auto"/>
          <w:sz w:val="24"/>
          <w:highlight w:val="none"/>
        </w:rPr>
      </w:pPr>
      <w:r>
        <w:rPr>
          <w:rFonts w:ascii="宋体" w:hAnsi="宋体" w:cs="宋体"/>
          <w:color w:val="auto"/>
          <w:sz w:val="24"/>
          <w:highlight w:val="none"/>
        </w:rPr>
        <w:t>2.要求甲方按合同条款及时支付</w:t>
      </w:r>
      <w:r>
        <w:rPr>
          <w:rFonts w:hint="eastAsia" w:ascii="宋体" w:hAnsi="宋体" w:cs="宋体"/>
          <w:color w:val="auto"/>
          <w:sz w:val="24"/>
          <w:highlight w:val="none"/>
        </w:rPr>
        <w:t>监理</w:t>
      </w:r>
      <w:r>
        <w:rPr>
          <w:rFonts w:ascii="宋体" w:hAnsi="宋体" w:cs="宋体"/>
          <w:color w:val="auto"/>
          <w:sz w:val="24"/>
          <w:highlight w:val="none"/>
        </w:rPr>
        <w:t>项目费用。</w:t>
      </w:r>
    </w:p>
    <w:p>
      <w:pPr>
        <w:snapToGrid w:val="0"/>
        <w:spacing w:before="50" w:after="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（四）乙方的义务</w:t>
      </w:r>
    </w:p>
    <w:p>
      <w:pPr>
        <w:snapToGrid w:val="0"/>
        <w:spacing w:before="50" w:after="50" w:line="360" w:lineRule="auto"/>
        <w:ind w:firstLine="480" w:firstLineChars="200"/>
        <w:rPr>
          <w:rFonts w:ascii="宋体" w:hAnsi="宋体" w:cs="宋体"/>
          <w:color w:val="auto"/>
          <w:sz w:val="24"/>
          <w:highlight w:val="none"/>
        </w:rPr>
      </w:pPr>
      <w:r>
        <w:rPr>
          <w:rFonts w:ascii="宋体" w:hAnsi="宋体" w:cs="宋体"/>
          <w:color w:val="auto"/>
          <w:sz w:val="24"/>
          <w:highlight w:val="none"/>
        </w:rPr>
        <w:t>1.严谨有序地推进</w:t>
      </w:r>
      <w:r>
        <w:rPr>
          <w:rFonts w:hint="eastAsia" w:ascii="宋体" w:hAnsi="宋体" w:cs="宋体"/>
          <w:color w:val="auto"/>
          <w:sz w:val="24"/>
          <w:highlight w:val="none"/>
        </w:rPr>
        <w:t>项目</w:t>
      </w:r>
      <w:r>
        <w:rPr>
          <w:rFonts w:ascii="宋体" w:hAnsi="宋体" w:cs="宋体"/>
          <w:color w:val="auto"/>
          <w:sz w:val="24"/>
          <w:highlight w:val="none"/>
        </w:rPr>
        <w:t>工作；</w:t>
      </w:r>
    </w:p>
    <w:p>
      <w:pPr>
        <w:snapToGrid w:val="0"/>
        <w:spacing w:before="50" w:after="50" w:line="360" w:lineRule="auto"/>
        <w:ind w:firstLine="480" w:firstLineChars="200"/>
        <w:rPr>
          <w:rFonts w:ascii="宋体" w:hAnsi="宋体" w:cs="宋体"/>
          <w:color w:val="auto"/>
          <w:sz w:val="24"/>
          <w:highlight w:val="none"/>
        </w:rPr>
      </w:pPr>
      <w:r>
        <w:rPr>
          <w:rFonts w:ascii="宋体" w:hAnsi="宋体" w:cs="宋体"/>
          <w:color w:val="auto"/>
          <w:sz w:val="24"/>
          <w:highlight w:val="none"/>
        </w:rPr>
        <w:t>2.按合同约定要求和时间完成编制并提交工作成果；</w:t>
      </w:r>
    </w:p>
    <w:p>
      <w:pPr>
        <w:snapToGrid w:val="0"/>
        <w:spacing w:before="50" w:after="50" w:line="360" w:lineRule="auto"/>
        <w:ind w:firstLine="480" w:firstLineChars="200"/>
        <w:rPr>
          <w:rFonts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按合同约定要求和范围开展监理工作；</w:t>
      </w:r>
    </w:p>
    <w:p>
      <w:pPr>
        <w:snapToGrid w:val="0"/>
        <w:spacing w:before="50" w:after="50" w:line="360" w:lineRule="auto"/>
        <w:ind w:firstLine="480" w:firstLineChars="200"/>
        <w:rPr>
          <w:rFonts w:ascii="宋体" w:hAnsi="宋体" w:cs="宋体"/>
          <w:color w:val="auto"/>
          <w:sz w:val="24"/>
          <w:highlight w:val="none"/>
        </w:rPr>
      </w:pPr>
      <w:r>
        <w:rPr>
          <w:rFonts w:ascii="宋体" w:hAnsi="宋体" w:cs="宋体"/>
          <w:color w:val="auto"/>
          <w:sz w:val="24"/>
          <w:highlight w:val="none"/>
        </w:rPr>
        <w:t>4.将过程中发现的问题及时报告甲方并予以澄清；</w:t>
      </w:r>
    </w:p>
    <w:p>
      <w:pPr>
        <w:snapToGrid w:val="0"/>
        <w:spacing w:before="50" w:after="50" w:line="360" w:lineRule="auto"/>
        <w:ind w:firstLine="480" w:firstLineChars="200"/>
        <w:rPr>
          <w:rFonts w:ascii="宋体" w:hAnsi="宋体" w:cs="宋体"/>
          <w:color w:val="auto"/>
          <w:sz w:val="24"/>
          <w:highlight w:val="none"/>
        </w:rPr>
      </w:pPr>
      <w:r>
        <w:rPr>
          <w:rFonts w:ascii="宋体" w:hAnsi="宋体" w:cs="宋体"/>
          <w:color w:val="auto"/>
          <w:sz w:val="24"/>
          <w:highlight w:val="none"/>
        </w:rPr>
        <w:t>5.乙方应保证其提交的工作成果，不侵犯他人任何知识产权、著作权或其他合法权益。</w:t>
      </w:r>
    </w:p>
    <w:p>
      <w:pPr>
        <w:pStyle w:val="2"/>
        <w:numPr>
          <w:ilvl w:val="0"/>
          <w:numId w:val="1"/>
        </w:numPr>
        <w:tabs>
          <w:tab w:val="left" w:pos="567"/>
          <w:tab w:val="left" w:pos="993"/>
        </w:tabs>
        <w:spacing w:before="200" w:after="200" w:line="360" w:lineRule="auto"/>
        <w:ind w:left="227" w:hanging="227"/>
        <w:jc w:val="left"/>
        <w:rPr>
          <w:color w:val="auto"/>
          <w:sz w:val="28"/>
          <w:szCs w:val="28"/>
          <w:highlight w:val="none"/>
        </w:rPr>
      </w:pPr>
      <w:r>
        <w:rPr>
          <w:rFonts w:hint="eastAsia"/>
          <w:color w:val="auto"/>
          <w:sz w:val="28"/>
          <w:szCs w:val="28"/>
          <w:highlight w:val="none"/>
        </w:rPr>
        <w:t>合同金额及支付方式</w:t>
      </w:r>
    </w:p>
    <w:p>
      <w:pPr>
        <w:snapToGrid w:val="0"/>
        <w:spacing w:before="50" w:after="50" w:line="360" w:lineRule="auto"/>
        <w:ind w:firstLine="480" w:firstLineChars="200"/>
        <w:rPr>
          <w:rFonts w:ascii="宋体" w:hAnsi="宋体" w:cs="宋体"/>
          <w:color w:val="auto"/>
          <w:sz w:val="24"/>
          <w:highlight w:val="none"/>
        </w:rPr>
      </w:pPr>
      <w:r>
        <w:rPr>
          <w:rFonts w:hint="eastAsia" w:ascii="宋体" w:hAnsi="宋体" w:cs="宋体"/>
          <w:b/>
          <w:bCs/>
          <w:color w:val="auto"/>
          <w:sz w:val="24"/>
          <w:highlight w:val="none"/>
        </w:rPr>
        <w:t>（一）合同金额</w:t>
      </w:r>
    </w:p>
    <w:p>
      <w:pPr>
        <w:snapToGrid w:val="0"/>
        <w:spacing w:before="156" w:beforeLines="50" w:after="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本合同总金额为¥</w:t>
      </w:r>
      <w:r>
        <w:rPr>
          <w:rFonts w:hint="eastAsia" w:ascii="宋体" w:hAnsi="宋体" w:cs="宋体"/>
          <w:color w:val="auto"/>
          <w:sz w:val="24"/>
          <w:highlight w:val="none"/>
          <w:lang w:val="en-US" w:eastAsia="zh-CN"/>
        </w:rPr>
        <w:t>xxxx</w:t>
      </w:r>
      <w:r>
        <w:rPr>
          <w:rFonts w:hint="eastAsia" w:ascii="宋体" w:hAnsi="宋体" w:cs="宋体"/>
          <w:color w:val="auto"/>
          <w:sz w:val="24"/>
          <w:highlight w:val="none"/>
          <w:u w:val="single"/>
          <w:lang w:val="en-US" w:eastAsia="zh-CN"/>
        </w:rPr>
        <w:t>00</w:t>
      </w:r>
      <w:r>
        <w:rPr>
          <w:rFonts w:ascii="宋体" w:hAnsi="宋体" w:cs="宋体"/>
          <w:color w:val="auto"/>
          <w:sz w:val="24"/>
          <w:highlight w:val="none"/>
          <w:u w:val="single"/>
        </w:rPr>
        <w:t>.00</w:t>
      </w:r>
      <w:r>
        <w:rPr>
          <w:rFonts w:hint="eastAsia" w:ascii="宋体" w:hAnsi="宋体" w:cs="宋体"/>
          <w:color w:val="auto"/>
          <w:sz w:val="24"/>
          <w:highlight w:val="none"/>
        </w:rPr>
        <w:t>，即大写人民币</w:t>
      </w:r>
      <w:r>
        <w:rPr>
          <w:rFonts w:hint="eastAsia" w:ascii="宋体" w:hAnsi="宋体" w:cs="宋体"/>
          <w:color w:val="auto"/>
          <w:sz w:val="24"/>
          <w:highlight w:val="none"/>
          <w:u w:val="single"/>
        </w:rPr>
        <w:t>（大写）</w:t>
      </w:r>
      <w:r>
        <w:rPr>
          <w:rFonts w:hint="eastAsia" w:ascii="宋体" w:hAnsi="宋体" w:cs="宋体"/>
          <w:color w:val="auto"/>
          <w:sz w:val="24"/>
          <w:highlight w:val="none"/>
          <w:u w:val="single"/>
          <w:lang w:val="en-US" w:eastAsia="zh-CN"/>
        </w:rPr>
        <w:t xml:space="preserve">   元</w:t>
      </w:r>
      <w:r>
        <w:rPr>
          <w:rFonts w:hint="eastAsia" w:ascii="宋体" w:hAnsi="宋体" w:cs="宋体"/>
          <w:color w:val="auto"/>
          <w:sz w:val="24"/>
          <w:highlight w:val="none"/>
        </w:rPr>
        <w:t>整。合同总额包含监理项目有关的全部费用，具体包括调研费用、交通费、人员成本和管理费用、资料费、印刷费、评审费、各种税费以及合同实施过程中不可预见费用等。</w:t>
      </w:r>
    </w:p>
    <w:p>
      <w:pPr>
        <w:snapToGrid w:val="0"/>
        <w:spacing w:before="50" w:after="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（二）支付方式</w:t>
      </w:r>
    </w:p>
    <w:p>
      <w:pPr>
        <w:autoSpaceDE w:val="0"/>
        <w:autoSpaceDN w:val="0"/>
        <w:adjustRightInd w:val="0"/>
        <w:snapToGrid w:val="0"/>
        <w:spacing w:before="50" w:after="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1.支付安排：</w:t>
      </w:r>
    </w:p>
    <w:p>
      <w:pPr>
        <w:autoSpaceDE w:val="0"/>
        <w:autoSpaceDN w:val="0"/>
        <w:adjustRightInd w:val="0"/>
        <w:snapToGrid w:val="0"/>
        <w:spacing w:before="50" w:after="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第一笔款：双方合同签订完成且乙方提交的监理规划通过甲方审核后，5个工作日完成办理支付手续，甲方向乙方支付监理费总金额的</w:t>
      </w:r>
      <w:r>
        <w:rPr>
          <w:rFonts w:hint="eastAsia" w:ascii="宋体" w:hAnsi="宋体" w:cs="宋体"/>
          <w:color w:val="auto"/>
          <w:sz w:val="24"/>
          <w:highlight w:val="none"/>
          <w:lang w:val="en-US" w:eastAsia="zh-CN"/>
        </w:rPr>
        <w:t>30</w:t>
      </w:r>
      <w:r>
        <w:rPr>
          <w:rFonts w:ascii="宋体" w:hAnsi="宋体" w:cs="宋体"/>
          <w:color w:val="auto"/>
          <w:sz w:val="24"/>
          <w:highlight w:val="none"/>
        </w:rPr>
        <w:t>%,</w:t>
      </w:r>
      <w:r>
        <w:rPr>
          <w:rFonts w:hint="eastAsia" w:ascii="宋体" w:hAnsi="宋体" w:cs="宋体"/>
          <w:color w:val="auto"/>
          <w:sz w:val="24"/>
          <w:highlight w:val="none"/>
        </w:rPr>
        <w:t>即：¥</w:t>
      </w:r>
      <w:r>
        <w:rPr>
          <w:rFonts w:hint="eastAsia" w:ascii="宋体" w:hAnsi="宋体" w:cs="宋体"/>
          <w:color w:val="auto"/>
          <w:sz w:val="24"/>
          <w:highlight w:val="none"/>
          <w:lang w:val="en-US" w:eastAsia="zh-CN"/>
        </w:rPr>
        <w:t>xxxx</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rPr>
        <w:t>，人民币</w:t>
      </w:r>
      <w:r>
        <w:rPr>
          <w:rFonts w:hint="eastAsia" w:ascii="宋体" w:hAnsi="宋体" w:cs="宋体"/>
          <w:color w:val="auto"/>
          <w:sz w:val="24"/>
          <w:highlight w:val="none"/>
          <w:u w:val="single"/>
        </w:rPr>
        <w:t>（大写）</w:t>
      </w:r>
      <w:r>
        <w:rPr>
          <w:rFonts w:hint="eastAsia" w:ascii="宋体" w:hAnsi="宋体" w:cs="宋体"/>
          <w:color w:val="auto"/>
          <w:sz w:val="24"/>
          <w:highlight w:val="none"/>
          <w:u w:val="single"/>
          <w:lang w:val="en-US" w:eastAsia="zh-CN"/>
        </w:rPr>
        <w:t>捌万叁仟伍佰</w:t>
      </w:r>
      <w:r>
        <w:rPr>
          <w:rFonts w:hint="eastAsia" w:ascii="宋体" w:hAnsi="宋体" w:cs="宋体"/>
          <w:color w:val="auto"/>
          <w:sz w:val="24"/>
          <w:highlight w:val="none"/>
        </w:rPr>
        <w:t>元整。</w:t>
      </w:r>
    </w:p>
    <w:p>
      <w:pPr>
        <w:autoSpaceDE w:val="0"/>
        <w:autoSpaceDN w:val="0"/>
        <w:adjustRightInd w:val="0"/>
        <w:snapToGrid w:val="0"/>
        <w:spacing w:before="50" w:after="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第二笔款：所监理的项目通过初验收后，在收到发票后</w:t>
      </w:r>
      <w:r>
        <w:rPr>
          <w:rFonts w:ascii="宋体" w:hAnsi="宋体" w:cs="宋体"/>
          <w:color w:val="auto"/>
          <w:sz w:val="24"/>
          <w:highlight w:val="none"/>
        </w:rPr>
        <w:t>15</w:t>
      </w:r>
      <w:r>
        <w:rPr>
          <w:rFonts w:hint="eastAsia" w:ascii="宋体" w:hAnsi="宋体" w:cs="宋体"/>
          <w:color w:val="auto"/>
          <w:sz w:val="24"/>
          <w:highlight w:val="none"/>
        </w:rPr>
        <w:t>个工作日内，甲方向乙方支付监理费总金额的</w:t>
      </w:r>
      <w:r>
        <w:rPr>
          <w:rFonts w:hint="eastAsia" w:ascii="宋体" w:hAnsi="宋体" w:cs="宋体"/>
          <w:color w:val="auto"/>
          <w:sz w:val="24"/>
          <w:highlight w:val="none"/>
          <w:lang w:val="en-US" w:eastAsia="zh-CN"/>
        </w:rPr>
        <w:t>40</w:t>
      </w:r>
      <w:r>
        <w:rPr>
          <w:rFonts w:ascii="宋体" w:hAnsi="宋体" w:cs="宋体"/>
          <w:color w:val="auto"/>
          <w:sz w:val="24"/>
          <w:highlight w:val="none"/>
        </w:rPr>
        <w:t>%,</w:t>
      </w:r>
      <w:r>
        <w:rPr>
          <w:rFonts w:hint="eastAsia" w:ascii="宋体" w:hAnsi="宋体" w:cs="宋体"/>
          <w:color w:val="auto"/>
          <w:sz w:val="24"/>
          <w:highlight w:val="none"/>
        </w:rPr>
        <w:t>即：¥</w:t>
      </w:r>
      <w:r>
        <w:rPr>
          <w:rFonts w:hint="eastAsia" w:ascii="宋体" w:hAnsi="宋体" w:cs="宋体"/>
          <w:color w:val="auto"/>
          <w:sz w:val="24"/>
          <w:highlight w:val="none"/>
          <w:u w:val="single"/>
          <w:lang w:val="en-US" w:eastAsia="zh-CN"/>
        </w:rPr>
        <w:t>xxxx.00</w:t>
      </w:r>
      <w:r>
        <w:rPr>
          <w:rFonts w:hint="eastAsia" w:ascii="宋体" w:hAnsi="宋体" w:cs="宋体"/>
          <w:color w:val="auto"/>
          <w:sz w:val="24"/>
          <w:highlight w:val="none"/>
        </w:rPr>
        <w:t>，人民币</w:t>
      </w:r>
      <w:r>
        <w:rPr>
          <w:rFonts w:hint="eastAsia" w:ascii="宋体" w:hAnsi="宋体" w:cs="宋体"/>
          <w:color w:val="auto"/>
          <w:sz w:val="24"/>
          <w:highlight w:val="none"/>
          <w:u w:val="single"/>
        </w:rPr>
        <w:t>（大写）</w:t>
      </w:r>
      <w:r>
        <w:rPr>
          <w:rFonts w:hint="eastAsia" w:ascii="宋体" w:hAnsi="宋体" w:cs="宋体"/>
          <w:color w:val="auto"/>
          <w:sz w:val="24"/>
          <w:highlight w:val="none"/>
          <w:u w:val="single"/>
          <w:lang w:val="en-US" w:eastAsia="zh-CN"/>
        </w:rPr>
        <w:t>柒万陆仟零叁拾</w:t>
      </w:r>
      <w:r>
        <w:rPr>
          <w:rFonts w:hint="eastAsia" w:ascii="宋体" w:hAnsi="宋体" w:cs="宋体"/>
          <w:color w:val="auto"/>
          <w:sz w:val="24"/>
          <w:highlight w:val="none"/>
        </w:rPr>
        <w:t>元整。</w:t>
      </w:r>
    </w:p>
    <w:p>
      <w:pPr>
        <w:autoSpaceDE w:val="0"/>
        <w:autoSpaceDN w:val="0"/>
        <w:adjustRightInd w:val="0"/>
        <w:snapToGrid w:val="0"/>
        <w:spacing w:before="50" w:after="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第三笔款：所监理的项目通过合同验收且监理服务完成验收后，在收到发票后15个工作日内办理支付手续，甲方向乙方支付监理费总金额的</w:t>
      </w:r>
      <w:r>
        <w:rPr>
          <w:rFonts w:ascii="宋体" w:hAnsi="宋体" w:cs="宋体"/>
          <w:color w:val="auto"/>
          <w:sz w:val="24"/>
          <w:highlight w:val="none"/>
        </w:rPr>
        <w:t>3</w:t>
      </w:r>
      <w:r>
        <w:rPr>
          <w:rFonts w:hint="eastAsia" w:ascii="宋体" w:hAnsi="宋体" w:cs="宋体"/>
          <w:color w:val="auto"/>
          <w:sz w:val="24"/>
          <w:highlight w:val="none"/>
        </w:rPr>
        <w:t>0</w:t>
      </w:r>
      <w:r>
        <w:rPr>
          <w:rFonts w:ascii="宋体" w:hAnsi="宋体" w:cs="宋体"/>
          <w:color w:val="auto"/>
          <w:sz w:val="24"/>
          <w:highlight w:val="none"/>
        </w:rPr>
        <w:t>%,</w:t>
      </w:r>
      <w:r>
        <w:rPr>
          <w:rFonts w:hint="eastAsia" w:ascii="宋体" w:hAnsi="宋体" w:cs="宋体"/>
          <w:color w:val="auto"/>
          <w:sz w:val="24"/>
          <w:highlight w:val="none"/>
        </w:rPr>
        <w:t>即：¥</w:t>
      </w:r>
      <w:r>
        <w:rPr>
          <w:rFonts w:hint="eastAsia" w:ascii="宋体" w:hAnsi="宋体" w:cs="宋体"/>
          <w:color w:val="auto"/>
          <w:sz w:val="24"/>
          <w:highlight w:val="none"/>
          <w:u w:val="single"/>
          <w:lang w:val="en-US" w:eastAsia="zh-CN"/>
        </w:rPr>
        <w:t xml:space="preserve"> xxxx.00</w:t>
      </w:r>
      <w:r>
        <w:rPr>
          <w:rFonts w:hint="eastAsia" w:ascii="宋体" w:hAnsi="宋体" w:cs="宋体"/>
          <w:color w:val="auto"/>
          <w:sz w:val="24"/>
          <w:highlight w:val="none"/>
        </w:rPr>
        <w:t>，人民币</w:t>
      </w:r>
      <w:r>
        <w:rPr>
          <w:rFonts w:hint="eastAsia" w:ascii="宋体" w:hAnsi="宋体" w:cs="宋体"/>
          <w:color w:val="auto"/>
          <w:sz w:val="24"/>
          <w:highlight w:val="none"/>
          <w:u w:val="single"/>
        </w:rPr>
        <w:t>（大写）</w:t>
      </w:r>
      <w:r>
        <w:rPr>
          <w:rFonts w:hint="eastAsia" w:ascii="宋体" w:hAnsi="宋体" w:cs="宋体"/>
          <w:color w:val="auto"/>
          <w:sz w:val="24"/>
          <w:highlight w:val="none"/>
          <w:u w:val="single"/>
          <w:lang w:val="en-US" w:eastAsia="zh-CN"/>
        </w:rPr>
        <w:t>陆万捌仟叁佰柒拾</w:t>
      </w:r>
      <w:r>
        <w:rPr>
          <w:rFonts w:hint="eastAsia" w:ascii="宋体" w:hAnsi="宋体" w:cs="宋体"/>
          <w:color w:val="auto"/>
          <w:sz w:val="24"/>
          <w:highlight w:val="none"/>
        </w:rPr>
        <w:t>元整。</w:t>
      </w:r>
    </w:p>
    <w:p>
      <w:pPr>
        <w:autoSpaceDE w:val="0"/>
        <w:autoSpaceDN w:val="0"/>
        <w:adjustRightInd w:val="0"/>
        <w:snapToGrid w:val="0"/>
        <w:spacing w:before="50" w:after="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olor w:val="auto"/>
          <w:sz w:val="24"/>
          <w:highlight w:val="none"/>
        </w:rPr>
        <w:t>付款时间为甲方向政府采购支付部门提出支付申请的时间，而非款项实际支付时间，如因政府财政支付流程导致的支付延期。甲方不承担责任，也不能作为乙方延迟履行或不履行合同义务的抗辩理由。</w:t>
      </w:r>
    </w:p>
    <w:p>
      <w:pPr>
        <w:autoSpaceDE w:val="0"/>
        <w:autoSpaceDN w:val="0"/>
        <w:adjustRightInd w:val="0"/>
        <w:snapToGrid w:val="0"/>
        <w:spacing w:before="50" w:after="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3.双方确认的乙方的收款账户资料如下：</w:t>
      </w:r>
    </w:p>
    <w:p>
      <w:pPr>
        <w:snapToGrid w:val="0"/>
        <w:spacing w:before="50" w:after="50" w:line="360" w:lineRule="auto"/>
        <w:ind w:firstLine="480" w:firstLineChars="200"/>
        <w:rPr>
          <w:rFonts w:hint="eastAsia" w:ascii="宋体" w:hAnsi="宋体" w:cs="宋体"/>
          <w:color w:val="auto"/>
          <w:sz w:val="24"/>
          <w:highlight w:val="none"/>
          <w:u w:val="single"/>
          <w:lang w:val="en-US" w:eastAsia="zh-CN"/>
        </w:rPr>
      </w:pPr>
      <w:r>
        <w:rPr>
          <w:rFonts w:hint="eastAsia" w:ascii="宋体" w:hAnsi="宋体" w:cs="宋体"/>
          <w:color w:val="auto"/>
          <w:sz w:val="24"/>
          <w:highlight w:val="none"/>
        </w:rPr>
        <w:t>开户银行：</w:t>
      </w:r>
      <w:r>
        <w:rPr>
          <w:rFonts w:hint="eastAsia" w:ascii="宋体" w:hAnsi="宋体" w:cs="宋体"/>
          <w:color w:val="auto"/>
          <w:sz w:val="24"/>
          <w:highlight w:val="none"/>
          <w:u w:val="single"/>
          <w:lang w:val="en-US" w:eastAsia="zh-CN"/>
        </w:rPr>
        <w:t xml:space="preserve"> </w:t>
      </w:r>
    </w:p>
    <w:p>
      <w:pPr>
        <w:snapToGrid w:val="0"/>
        <w:spacing w:before="50" w:after="5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开户名称：</w:t>
      </w:r>
    </w:p>
    <w:p>
      <w:pPr>
        <w:snapToGrid w:val="0"/>
        <w:spacing w:before="50" w:after="50" w:line="360" w:lineRule="auto"/>
        <w:ind w:firstLine="480" w:firstLineChars="200"/>
        <w:rPr>
          <w:rFonts w:hint="default" w:ascii="宋体" w:hAnsi="宋体" w:cs="宋体"/>
          <w:color w:val="auto"/>
          <w:sz w:val="24"/>
          <w:highlight w:val="none"/>
          <w:lang w:val="en-US"/>
        </w:rPr>
      </w:pPr>
      <w:r>
        <w:rPr>
          <w:rFonts w:hint="eastAsia" w:ascii="宋体" w:hAnsi="宋体" w:cs="宋体"/>
          <w:color w:val="auto"/>
          <w:sz w:val="24"/>
          <w:highlight w:val="none"/>
        </w:rPr>
        <w:t>银行帐号：</w:t>
      </w:r>
      <w:r>
        <w:rPr>
          <w:rFonts w:hint="eastAsia" w:ascii="宋体" w:hAnsi="宋体" w:cs="宋体"/>
          <w:color w:val="auto"/>
          <w:sz w:val="24"/>
          <w:highlight w:val="none"/>
          <w:u w:val="single"/>
          <w:lang w:val="en-US" w:eastAsia="zh-CN"/>
        </w:rPr>
        <w:t xml:space="preserve">  </w:t>
      </w:r>
    </w:p>
    <w:p>
      <w:pPr>
        <w:snapToGrid w:val="0"/>
        <w:spacing w:before="50" w:after="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说明：乙方在本合同约定内容以外的附加工作报酬由双方协商确定。</w:t>
      </w:r>
    </w:p>
    <w:p>
      <w:pPr>
        <w:pStyle w:val="2"/>
        <w:numPr>
          <w:ilvl w:val="0"/>
          <w:numId w:val="1"/>
        </w:numPr>
        <w:tabs>
          <w:tab w:val="left" w:pos="567"/>
          <w:tab w:val="left" w:pos="993"/>
        </w:tabs>
        <w:spacing w:before="200" w:after="200" w:line="360" w:lineRule="auto"/>
        <w:ind w:left="227" w:hanging="227"/>
        <w:jc w:val="left"/>
        <w:rPr>
          <w:color w:val="auto"/>
          <w:sz w:val="28"/>
          <w:szCs w:val="28"/>
          <w:highlight w:val="none"/>
        </w:rPr>
      </w:pPr>
      <w:r>
        <w:rPr>
          <w:rFonts w:hint="eastAsia"/>
          <w:color w:val="auto"/>
          <w:sz w:val="28"/>
          <w:szCs w:val="28"/>
          <w:highlight w:val="none"/>
        </w:rPr>
        <w:t>违约责任</w:t>
      </w:r>
    </w:p>
    <w:p>
      <w:pPr>
        <w:snapToGrid w:val="0"/>
        <w:spacing w:before="50" w:after="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（一）乙方提供的服务不符合采购文件、报价文件或合同规定的，甲方有权拒收，并且乙方须向甲方支付合同总价</w:t>
      </w:r>
      <w:r>
        <w:rPr>
          <w:rFonts w:ascii="宋体" w:hAnsi="宋体" w:cs="宋体"/>
          <w:color w:val="auto"/>
          <w:sz w:val="24"/>
          <w:highlight w:val="none"/>
        </w:rPr>
        <w:t>10%的违约金，并退还甲方已支付的合同金额。</w:t>
      </w:r>
    </w:p>
    <w:p>
      <w:pPr>
        <w:snapToGrid w:val="0"/>
        <w:spacing w:before="50" w:after="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（二）如因乙方原因造成项目不能按进度计划规定的节点完成阶段任务，从逾期之日起每日按合同总价</w:t>
      </w:r>
      <w:r>
        <w:rPr>
          <w:rFonts w:ascii="宋体" w:hAnsi="宋体" w:cs="宋体"/>
          <w:color w:val="auto"/>
          <w:sz w:val="24"/>
          <w:highlight w:val="none"/>
        </w:rPr>
        <w:t>5‰的数额向甲方支付违约金；逾期半个月以上的，甲方有权单方终止合同，</w:t>
      </w:r>
      <w:r>
        <w:rPr>
          <w:rFonts w:hint="eastAsia" w:ascii="宋体" w:hAnsi="宋体" w:cs="宋体"/>
          <w:color w:val="auto"/>
          <w:sz w:val="24"/>
          <w:highlight w:val="none"/>
        </w:rPr>
        <w:t>乙方应</w:t>
      </w:r>
      <w:r>
        <w:rPr>
          <w:rFonts w:ascii="宋体" w:hAnsi="宋体" w:cs="宋体"/>
          <w:color w:val="auto"/>
          <w:sz w:val="24"/>
          <w:highlight w:val="none"/>
        </w:rPr>
        <w:t>退还甲方已支付的合同金额。由此造成的甲方一切损失由乙方承担</w:t>
      </w:r>
      <w:r>
        <w:rPr>
          <w:rFonts w:hint="eastAsia" w:ascii="宋体" w:hAnsi="宋体" w:cs="宋体"/>
          <w:color w:val="auto"/>
          <w:sz w:val="24"/>
          <w:highlight w:val="none"/>
        </w:rPr>
        <w:t>。</w:t>
      </w:r>
    </w:p>
    <w:p>
      <w:pPr>
        <w:snapToGrid w:val="0"/>
        <w:spacing w:before="50" w:after="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（三）其它违约责任按《中华人民共和国民法典</w:t>
      </w:r>
      <w:r>
        <w:rPr>
          <w:rFonts w:ascii="宋体" w:hAnsi="宋体" w:cs="宋体"/>
          <w:color w:val="auto"/>
          <w:sz w:val="24"/>
          <w:highlight w:val="none"/>
        </w:rPr>
        <w:t>》处理</w:t>
      </w:r>
      <w:r>
        <w:rPr>
          <w:rFonts w:hint="eastAsia" w:ascii="宋体" w:hAnsi="宋体" w:cs="宋体"/>
          <w:color w:val="auto"/>
          <w:sz w:val="24"/>
          <w:highlight w:val="none"/>
        </w:rPr>
        <w:t>。</w:t>
      </w:r>
    </w:p>
    <w:p>
      <w:pPr>
        <w:pStyle w:val="2"/>
        <w:numPr>
          <w:ilvl w:val="0"/>
          <w:numId w:val="1"/>
        </w:numPr>
        <w:tabs>
          <w:tab w:val="left" w:pos="567"/>
          <w:tab w:val="left" w:pos="993"/>
        </w:tabs>
        <w:spacing w:before="200" w:after="200" w:line="360" w:lineRule="auto"/>
        <w:ind w:left="227" w:hanging="227"/>
        <w:jc w:val="left"/>
        <w:rPr>
          <w:color w:val="auto"/>
          <w:sz w:val="28"/>
          <w:szCs w:val="28"/>
          <w:highlight w:val="none"/>
        </w:rPr>
      </w:pPr>
      <w:r>
        <w:rPr>
          <w:rFonts w:hint="eastAsia"/>
          <w:color w:val="auto"/>
          <w:sz w:val="28"/>
          <w:szCs w:val="28"/>
          <w:highlight w:val="none"/>
        </w:rPr>
        <w:t>不可抗力</w:t>
      </w:r>
    </w:p>
    <w:p>
      <w:pPr>
        <w:snapToGrid w:val="0"/>
        <w:spacing w:before="50" w:after="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（一）在合同有效期内，任何一方因不可抗力导致不能履行合同的，应在不可抗力事件消除后</w:t>
      </w:r>
      <w:r>
        <w:rPr>
          <w:rFonts w:ascii="宋体" w:hAnsi="宋体" w:cs="宋体"/>
          <w:color w:val="auto"/>
          <w:sz w:val="24"/>
          <w:highlight w:val="none"/>
        </w:rPr>
        <w:t>7日内向对方通报不能履行或不能完全履行的理由，在取得有关主管机关证明后，允许延期履行、部分履行或者不履行合同，并根据情况可部分或全部免于承担违约责任。</w:t>
      </w:r>
    </w:p>
    <w:p>
      <w:pPr>
        <w:snapToGrid w:val="0"/>
        <w:spacing w:before="50" w:after="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（二）合同所称不可抗力指不可预见、不可抗拒且不能避免妨碍双方完全履行合同义务的事件。不可抗力包括但不限于：</w:t>
      </w:r>
      <w:r>
        <w:rPr>
          <w:rFonts w:ascii="宋体" w:hAnsi="宋体" w:cs="宋体"/>
          <w:color w:val="auto"/>
          <w:sz w:val="24"/>
          <w:highlight w:val="none"/>
        </w:rPr>
        <w:t>地震、战争、政府禁令等。</w:t>
      </w:r>
    </w:p>
    <w:p>
      <w:pPr>
        <w:pStyle w:val="2"/>
        <w:numPr>
          <w:ilvl w:val="0"/>
          <w:numId w:val="1"/>
        </w:numPr>
        <w:tabs>
          <w:tab w:val="left" w:pos="567"/>
          <w:tab w:val="left" w:pos="993"/>
        </w:tabs>
        <w:spacing w:before="200" w:after="200" w:line="360" w:lineRule="auto"/>
        <w:ind w:left="227" w:hanging="227"/>
        <w:jc w:val="left"/>
        <w:rPr>
          <w:color w:val="auto"/>
          <w:sz w:val="28"/>
          <w:szCs w:val="28"/>
          <w:highlight w:val="none"/>
        </w:rPr>
      </w:pPr>
      <w:r>
        <w:rPr>
          <w:rFonts w:hint="eastAsia"/>
          <w:color w:val="auto"/>
          <w:sz w:val="28"/>
          <w:szCs w:val="28"/>
          <w:highlight w:val="none"/>
        </w:rPr>
        <w:t>争议解决办法</w:t>
      </w:r>
    </w:p>
    <w:p>
      <w:pPr>
        <w:snapToGrid w:val="0"/>
        <w:spacing w:before="50" w:after="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本合同在履行过程中发生的争议，由双方当事人协商解决，协商不成的依法向甲方所在地人民法院起诉。</w:t>
      </w:r>
    </w:p>
    <w:p>
      <w:pPr>
        <w:pStyle w:val="2"/>
        <w:numPr>
          <w:ilvl w:val="0"/>
          <w:numId w:val="1"/>
        </w:numPr>
        <w:tabs>
          <w:tab w:val="left" w:pos="567"/>
          <w:tab w:val="left" w:pos="993"/>
        </w:tabs>
        <w:spacing w:before="200" w:after="200" w:line="360" w:lineRule="auto"/>
        <w:ind w:left="227" w:hanging="227"/>
        <w:jc w:val="left"/>
        <w:rPr>
          <w:color w:val="auto"/>
          <w:sz w:val="28"/>
          <w:szCs w:val="28"/>
          <w:highlight w:val="none"/>
        </w:rPr>
      </w:pPr>
      <w:r>
        <w:rPr>
          <w:rFonts w:hint="eastAsia"/>
          <w:color w:val="auto"/>
          <w:sz w:val="28"/>
          <w:szCs w:val="28"/>
          <w:highlight w:val="none"/>
        </w:rPr>
        <w:t>其他</w:t>
      </w:r>
    </w:p>
    <w:p>
      <w:pPr>
        <w:snapToGrid w:val="0"/>
        <w:spacing w:before="50" w:after="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（一）本合同一式</w:t>
      </w:r>
      <w:r>
        <w:rPr>
          <w:rFonts w:hint="eastAsia" w:ascii="宋体" w:hAnsi="宋体" w:cs="宋体"/>
          <w:color w:val="auto"/>
          <w:sz w:val="24"/>
          <w:highlight w:val="none"/>
          <w:u w:val="single"/>
        </w:rPr>
        <w:t>肆</w:t>
      </w:r>
      <w:r>
        <w:rPr>
          <w:rFonts w:hint="eastAsia" w:ascii="宋体" w:hAnsi="宋体" w:cs="宋体"/>
          <w:color w:val="auto"/>
          <w:sz w:val="24"/>
          <w:highlight w:val="none"/>
        </w:rPr>
        <w:t>份，具有同等法律效力，甲持</w:t>
      </w:r>
      <w:r>
        <w:rPr>
          <w:rFonts w:hint="eastAsia" w:ascii="宋体" w:hAnsi="宋体" w:cs="宋体"/>
          <w:color w:val="auto"/>
          <w:sz w:val="24"/>
          <w:highlight w:val="none"/>
          <w:u w:val="single"/>
        </w:rPr>
        <w:t>贰</w:t>
      </w:r>
      <w:r>
        <w:rPr>
          <w:rFonts w:hint="eastAsia" w:ascii="宋体" w:hAnsi="宋体" w:cs="宋体"/>
          <w:color w:val="auto"/>
          <w:sz w:val="24"/>
          <w:highlight w:val="none"/>
        </w:rPr>
        <w:t>份，乙方持</w:t>
      </w:r>
      <w:r>
        <w:rPr>
          <w:rFonts w:hint="eastAsia" w:ascii="宋体" w:hAnsi="宋体" w:cs="宋体"/>
          <w:color w:val="auto"/>
          <w:sz w:val="24"/>
          <w:highlight w:val="none"/>
          <w:u w:val="single"/>
        </w:rPr>
        <w:t>贰</w:t>
      </w:r>
      <w:r>
        <w:rPr>
          <w:rFonts w:hint="eastAsia" w:ascii="宋体" w:hAnsi="宋体" w:cs="宋体"/>
          <w:color w:val="auto"/>
          <w:sz w:val="24"/>
          <w:highlight w:val="none"/>
        </w:rPr>
        <w:t>份。</w:t>
      </w:r>
    </w:p>
    <w:p>
      <w:pPr>
        <w:snapToGrid w:val="0"/>
        <w:spacing w:before="50" w:after="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（二）本合同自双方法定代表人或其授权代表人签字并加盖合同专用章或公章之日起生效，合同生效日期以最后一个签字日为准。</w:t>
      </w:r>
    </w:p>
    <w:p>
      <w:pPr>
        <w:pStyle w:val="2"/>
        <w:numPr>
          <w:ilvl w:val="0"/>
          <w:numId w:val="1"/>
        </w:numPr>
        <w:tabs>
          <w:tab w:val="left" w:pos="567"/>
          <w:tab w:val="left" w:pos="993"/>
        </w:tabs>
        <w:spacing w:before="200" w:after="200" w:line="360" w:lineRule="auto"/>
        <w:ind w:left="227" w:hanging="227"/>
        <w:jc w:val="left"/>
        <w:rPr>
          <w:color w:val="auto"/>
          <w:sz w:val="28"/>
          <w:szCs w:val="28"/>
          <w:highlight w:val="none"/>
        </w:rPr>
      </w:pPr>
      <w:r>
        <w:rPr>
          <w:rFonts w:hint="eastAsia"/>
          <w:color w:val="auto"/>
          <w:sz w:val="28"/>
          <w:szCs w:val="28"/>
          <w:highlight w:val="none"/>
        </w:rPr>
        <w:t>合同附件</w:t>
      </w:r>
    </w:p>
    <w:p>
      <w:pPr>
        <w:snapToGrid w:val="0"/>
        <w:spacing w:before="50" w:after="50"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保密协议。</w:t>
      </w:r>
    </w:p>
    <w:p>
      <w:pPr>
        <w:snapToGrid w:val="0"/>
        <w:spacing w:before="50" w:after="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（以下无正文）</w:t>
      </w:r>
    </w:p>
    <w:p>
      <w:pPr>
        <w:snapToGrid w:val="0"/>
        <w:spacing w:line="360" w:lineRule="auto"/>
        <w:ind w:firstLine="480" w:firstLineChars="200"/>
        <w:rPr>
          <w:rFonts w:ascii="宋体" w:hAnsi="宋体" w:cs="宋体"/>
          <w:color w:val="auto"/>
          <w:sz w:val="24"/>
          <w:highlight w:val="none"/>
        </w:rPr>
      </w:pPr>
    </w:p>
    <w:p>
      <w:pPr>
        <w:snapToGrid w:val="0"/>
        <w:spacing w:line="360" w:lineRule="auto"/>
        <w:ind w:firstLine="480" w:firstLineChars="200"/>
        <w:rPr>
          <w:rFonts w:ascii="宋体" w:hAnsi="宋体" w:cs="宋体"/>
          <w:color w:val="auto"/>
          <w:sz w:val="24"/>
          <w:highlight w:val="none"/>
        </w:rPr>
      </w:pPr>
    </w:p>
    <w:tbl>
      <w:tblPr>
        <w:tblStyle w:val="4"/>
        <w:tblW w:w="9214"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53"/>
        <w:gridCol w:w="425"/>
        <w:gridCol w:w="45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53" w:type="dxa"/>
            <w:vAlign w:val="top"/>
          </w:tcPr>
          <w:p>
            <w:pPr>
              <w:spacing w:line="440" w:lineRule="exact"/>
              <w:ind w:left="1680" w:hanging="1680" w:hangingChars="700"/>
              <w:rPr>
                <w:rFonts w:ascii="宋体" w:hAnsi="宋体"/>
                <w:color w:val="auto"/>
                <w:sz w:val="24"/>
                <w:highlight w:val="none"/>
              </w:rPr>
            </w:pPr>
            <w:r>
              <w:rPr>
                <w:rFonts w:hint="eastAsia" w:ascii="宋体" w:hAnsi="宋体"/>
                <w:color w:val="auto"/>
                <w:sz w:val="24"/>
                <w:highlight w:val="none"/>
              </w:rPr>
              <w:t>甲方（盖章）：中国共产党广州市委员会政法委员会</w:t>
            </w:r>
          </w:p>
        </w:tc>
        <w:tc>
          <w:tcPr>
            <w:tcW w:w="425" w:type="dxa"/>
            <w:vAlign w:val="top"/>
          </w:tcPr>
          <w:p>
            <w:pPr>
              <w:spacing w:line="440" w:lineRule="exact"/>
              <w:ind w:left="1673" w:hanging="1672" w:hangingChars="697"/>
              <w:rPr>
                <w:rFonts w:ascii="宋体" w:hAnsi="宋体"/>
                <w:color w:val="auto"/>
                <w:sz w:val="24"/>
                <w:highlight w:val="none"/>
              </w:rPr>
            </w:pPr>
          </w:p>
        </w:tc>
        <w:tc>
          <w:tcPr>
            <w:tcW w:w="4536" w:type="dxa"/>
            <w:vAlign w:val="top"/>
          </w:tcPr>
          <w:p>
            <w:pPr>
              <w:spacing w:line="440" w:lineRule="exact"/>
              <w:ind w:left="0" w:leftChars="0" w:firstLine="0" w:firstLineChars="0"/>
              <w:rPr>
                <w:rFonts w:hint="default" w:ascii="宋体" w:hAnsi="宋体" w:eastAsia="宋体"/>
                <w:color w:val="auto"/>
                <w:sz w:val="24"/>
                <w:highlight w:val="none"/>
                <w:lang w:val="en-US" w:eastAsia="zh-CN"/>
              </w:rPr>
            </w:pPr>
            <w:r>
              <w:rPr>
                <w:rFonts w:hint="eastAsia" w:ascii="宋体" w:hAnsi="宋体"/>
                <w:color w:val="auto"/>
                <w:sz w:val="24"/>
                <w:highlight w:val="none"/>
              </w:rPr>
              <w:t>乙方（盖章）：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53" w:type="dxa"/>
            <w:vAlign w:val="top"/>
          </w:tcPr>
          <w:p>
            <w:pPr>
              <w:spacing w:line="440" w:lineRule="exact"/>
              <w:rPr>
                <w:rFonts w:ascii="宋体" w:hAnsi="宋体"/>
                <w:color w:val="auto"/>
                <w:sz w:val="24"/>
                <w:highlight w:val="none"/>
              </w:rPr>
            </w:pPr>
            <w:r>
              <w:rPr>
                <w:rFonts w:hint="eastAsia" w:ascii="宋体" w:hAnsi="宋体"/>
                <w:color w:val="auto"/>
                <w:sz w:val="24"/>
                <w:highlight w:val="none"/>
              </w:rPr>
              <w:t>地</w:t>
            </w:r>
            <w:r>
              <w:rPr>
                <w:rFonts w:ascii="宋体" w:hAnsi="宋体"/>
                <w:color w:val="auto"/>
                <w:sz w:val="24"/>
                <w:highlight w:val="none"/>
              </w:rPr>
              <w:t xml:space="preserve">    址：</w:t>
            </w:r>
            <w:r>
              <w:rPr>
                <w:rFonts w:hint="eastAsia" w:ascii="宋体" w:hAnsi="宋体"/>
                <w:color w:val="auto"/>
                <w:sz w:val="24"/>
                <w:highlight w:val="none"/>
              </w:rPr>
              <w:t>广州市越秀区法政路30号</w:t>
            </w:r>
          </w:p>
        </w:tc>
        <w:tc>
          <w:tcPr>
            <w:tcW w:w="425" w:type="dxa"/>
            <w:vAlign w:val="top"/>
          </w:tcPr>
          <w:p>
            <w:pPr>
              <w:spacing w:line="440" w:lineRule="exact"/>
              <w:ind w:left="1200" w:hanging="1200" w:hangingChars="500"/>
              <w:rPr>
                <w:rFonts w:ascii="宋体" w:hAnsi="宋体"/>
                <w:color w:val="auto"/>
                <w:sz w:val="24"/>
                <w:highlight w:val="none"/>
              </w:rPr>
            </w:pPr>
          </w:p>
        </w:tc>
        <w:tc>
          <w:tcPr>
            <w:tcW w:w="4536" w:type="dxa"/>
            <w:vAlign w:val="top"/>
          </w:tcPr>
          <w:p>
            <w:pPr>
              <w:spacing w:line="440" w:lineRule="exact"/>
              <w:ind w:left="1200" w:hanging="1200" w:hangingChars="500"/>
              <w:rPr>
                <w:rFonts w:hint="eastAsia" w:ascii="宋体" w:hAnsi="宋体"/>
                <w:color w:val="auto"/>
                <w:sz w:val="24"/>
                <w:highlight w:val="none"/>
              </w:rPr>
            </w:pPr>
            <w:r>
              <w:rPr>
                <w:rFonts w:hint="eastAsia" w:ascii="宋体" w:hAnsi="宋体"/>
                <w:color w:val="auto"/>
                <w:sz w:val="24"/>
                <w:highlight w:val="none"/>
              </w:rPr>
              <w:t>地</w:t>
            </w:r>
            <w:r>
              <w:rPr>
                <w:rFonts w:ascii="宋体" w:hAnsi="宋体"/>
                <w:color w:val="auto"/>
                <w:sz w:val="24"/>
                <w:highlight w:val="none"/>
              </w:rPr>
              <w:t xml:space="preserve">    </w:t>
            </w:r>
            <w:r>
              <w:rPr>
                <w:rFonts w:hint="eastAsia" w:ascii="宋体" w:hAnsi="宋体"/>
                <w:color w:val="auto"/>
                <w:sz w:val="24"/>
                <w:highlight w:val="none"/>
              </w:rPr>
              <w:t>址：</w:t>
            </w:r>
          </w:p>
          <w:p>
            <w:pPr>
              <w:spacing w:line="440" w:lineRule="exact"/>
              <w:ind w:left="1200" w:hanging="1200" w:hangingChars="500"/>
              <w:rPr>
                <w:rFonts w:hint="eastAsia" w:ascii="宋体" w:hAnsi="宋体"/>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4253" w:type="dxa"/>
            <w:vAlign w:val="top"/>
          </w:tcPr>
          <w:p>
            <w:pPr>
              <w:spacing w:line="440" w:lineRule="exact"/>
              <w:rPr>
                <w:rFonts w:ascii="宋体" w:hAnsi="宋体"/>
                <w:color w:val="auto"/>
                <w:sz w:val="24"/>
                <w:highlight w:val="none"/>
                <w:u w:val="single"/>
              </w:rPr>
            </w:pPr>
            <w:r>
              <w:rPr>
                <w:rFonts w:hint="eastAsia" w:ascii="宋体" w:hAnsi="宋体"/>
                <w:bCs/>
                <w:color w:val="auto"/>
                <w:sz w:val="24"/>
                <w:highlight w:val="none"/>
              </w:rPr>
              <w:t>法定代表人或被授权人（签字）</w:t>
            </w:r>
            <w:r>
              <w:rPr>
                <w:rFonts w:hint="eastAsia" w:ascii="宋体" w:hAnsi="宋体"/>
                <w:color w:val="auto"/>
                <w:sz w:val="24"/>
                <w:highlight w:val="none"/>
              </w:rPr>
              <w:t>：</w:t>
            </w:r>
          </w:p>
          <w:p>
            <w:pPr>
              <w:spacing w:line="440" w:lineRule="exact"/>
              <w:rPr>
                <w:rFonts w:hint="eastAsia" w:ascii="宋体" w:hAnsi="宋体"/>
                <w:color w:val="auto"/>
                <w:sz w:val="24"/>
                <w:highlight w:val="none"/>
              </w:rPr>
            </w:pPr>
            <w:r>
              <w:rPr>
                <w:rFonts w:ascii="宋体" w:hAnsi="宋体"/>
                <w:color w:val="auto"/>
                <w:sz w:val="24"/>
                <w:highlight w:val="none"/>
              </w:rPr>
              <w:t xml:space="preserve">                                </w:t>
            </w:r>
          </w:p>
        </w:tc>
        <w:tc>
          <w:tcPr>
            <w:tcW w:w="425" w:type="dxa"/>
            <w:vAlign w:val="top"/>
          </w:tcPr>
          <w:p>
            <w:pPr>
              <w:spacing w:line="440" w:lineRule="exact"/>
              <w:rPr>
                <w:rFonts w:ascii="宋体" w:hAnsi="宋体"/>
                <w:color w:val="auto"/>
                <w:sz w:val="24"/>
                <w:highlight w:val="none"/>
              </w:rPr>
            </w:pPr>
          </w:p>
        </w:tc>
        <w:tc>
          <w:tcPr>
            <w:tcW w:w="4536" w:type="dxa"/>
            <w:vAlign w:val="top"/>
          </w:tcPr>
          <w:p>
            <w:pPr>
              <w:spacing w:line="440" w:lineRule="exact"/>
              <w:rPr>
                <w:rFonts w:ascii="宋体" w:hAnsi="宋体"/>
                <w:color w:val="auto"/>
                <w:sz w:val="24"/>
                <w:highlight w:val="none"/>
                <w:u w:val="single"/>
              </w:rPr>
            </w:pPr>
            <w:r>
              <w:rPr>
                <w:rFonts w:hint="eastAsia" w:ascii="宋体" w:hAnsi="宋体"/>
                <w:bCs/>
                <w:color w:val="auto"/>
                <w:sz w:val="24"/>
                <w:highlight w:val="none"/>
              </w:rPr>
              <w:t>法定代表人或被授权人（签字）</w:t>
            </w:r>
            <w:r>
              <w:rPr>
                <w:rFonts w:hint="eastAsia" w:ascii="宋体" w:hAnsi="宋体"/>
                <w:color w:val="auto"/>
                <w:sz w:val="24"/>
                <w:highlight w:val="none"/>
              </w:rPr>
              <w:t>：</w:t>
            </w:r>
          </w:p>
          <w:p>
            <w:pPr>
              <w:spacing w:line="440" w:lineRule="exact"/>
              <w:rPr>
                <w:rFonts w:ascii="宋体" w:hAnsi="宋体"/>
                <w:color w:val="auto"/>
                <w:sz w:val="24"/>
                <w:highlight w:val="none"/>
              </w:rPr>
            </w:pPr>
            <w:r>
              <w:rPr>
                <w:rFonts w:ascii="宋体" w:hAnsi="宋体"/>
                <w:color w:val="auto"/>
                <w:sz w:val="24"/>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53" w:type="dxa"/>
            <w:vAlign w:val="top"/>
          </w:tcPr>
          <w:p>
            <w:pPr>
              <w:spacing w:line="440" w:lineRule="exact"/>
              <w:rPr>
                <w:rFonts w:hint="eastAsia" w:ascii="宋体" w:hAnsi="宋体"/>
                <w:color w:val="auto"/>
                <w:sz w:val="24"/>
                <w:highlight w:val="none"/>
              </w:rPr>
            </w:pPr>
          </w:p>
        </w:tc>
        <w:tc>
          <w:tcPr>
            <w:tcW w:w="425" w:type="dxa"/>
            <w:vAlign w:val="top"/>
          </w:tcPr>
          <w:p>
            <w:pPr>
              <w:spacing w:line="440" w:lineRule="exact"/>
              <w:rPr>
                <w:rFonts w:ascii="宋体" w:hAnsi="宋体"/>
                <w:color w:val="auto"/>
                <w:sz w:val="24"/>
                <w:highlight w:val="none"/>
              </w:rPr>
            </w:pPr>
          </w:p>
        </w:tc>
        <w:tc>
          <w:tcPr>
            <w:tcW w:w="4536" w:type="dxa"/>
            <w:vAlign w:val="top"/>
          </w:tcPr>
          <w:p>
            <w:pPr>
              <w:spacing w:line="440" w:lineRule="exact"/>
              <w:rPr>
                <w:rFonts w:ascii="宋体" w:hAnsi="宋体"/>
                <w:color w:val="auto"/>
                <w:sz w:val="24"/>
                <w:highlight w:val="none"/>
              </w:rPr>
            </w:pPr>
            <w:r>
              <w:rPr>
                <w:rFonts w:ascii="宋体" w:hAnsi="宋体"/>
                <w:color w:val="auto"/>
                <w:sz w:val="24"/>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53" w:type="dxa"/>
            <w:vAlign w:val="top"/>
          </w:tcPr>
          <w:p>
            <w:pPr>
              <w:spacing w:line="440" w:lineRule="exact"/>
              <w:rPr>
                <w:rFonts w:ascii="宋体" w:hAnsi="宋体"/>
                <w:color w:val="auto"/>
                <w:sz w:val="24"/>
                <w:highlight w:val="none"/>
              </w:rPr>
            </w:pPr>
            <w:r>
              <w:rPr>
                <w:rFonts w:hint="eastAsia" w:ascii="宋体" w:hAnsi="宋体"/>
                <w:color w:val="auto"/>
                <w:sz w:val="24"/>
                <w:highlight w:val="none"/>
              </w:rPr>
              <w:t>签约时间：</w:t>
            </w:r>
            <w:r>
              <w:rPr>
                <w:rFonts w:ascii="宋体" w:hAnsi="宋体"/>
                <w:color w:val="auto"/>
                <w:sz w:val="24"/>
                <w:highlight w:val="none"/>
                <w:u w:val="single"/>
              </w:rPr>
              <w:t xml:space="preserve">     </w:t>
            </w:r>
            <w:r>
              <w:rPr>
                <w:rFonts w:hint="eastAsia"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rPr>
              <w:t>日</w:t>
            </w:r>
          </w:p>
        </w:tc>
        <w:tc>
          <w:tcPr>
            <w:tcW w:w="425" w:type="dxa"/>
            <w:vAlign w:val="top"/>
          </w:tcPr>
          <w:p>
            <w:pPr>
              <w:spacing w:line="440" w:lineRule="exact"/>
              <w:rPr>
                <w:rFonts w:ascii="宋体" w:hAnsi="宋体"/>
                <w:color w:val="auto"/>
                <w:sz w:val="24"/>
                <w:highlight w:val="none"/>
              </w:rPr>
            </w:pPr>
          </w:p>
        </w:tc>
        <w:tc>
          <w:tcPr>
            <w:tcW w:w="4536" w:type="dxa"/>
            <w:vAlign w:val="top"/>
          </w:tcPr>
          <w:p>
            <w:pPr>
              <w:spacing w:line="440" w:lineRule="exact"/>
              <w:rPr>
                <w:rFonts w:hint="eastAsia" w:ascii="宋体" w:hAnsi="宋体"/>
                <w:color w:val="auto"/>
                <w:sz w:val="24"/>
                <w:highlight w:val="none"/>
              </w:rPr>
            </w:pPr>
            <w:r>
              <w:rPr>
                <w:rFonts w:hint="eastAsia" w:ascii="宋体" w:hAnsi="宋体"/>
                <w:color w:val="auto"/>
                <w:sz w:val="24"/>
                <w:highlight w:val="none"/>
              </w:rPr>
              <w:t>签约时间：</w:t>
            </w:r>
            <w:r>
              <w:rPr>
                <w:rFonts w:ascii="宋体" w:hAnsi="宋体"/>
                <w:color w:val="auto"/>
                <w:sz w:val="24"/>
                <w:highlight w:val="none"/>
                <w:u w:val="single"/>
              </w:rPr>
              <w:t xml:space="preserve">     </w:t>
            </w:r>
            <w:r>
              <w:rPr>
                <w:rFonts w:hint="eastAsia"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rPr>
              <w:t>日</w:t>
            </w:r>
          </w:p>
        </w:tc>
      </w:tr>
    </w:tbl>
    <w:p>
      <w:pPr>
        <w:rPr>
          <w:rFonts w:hint="eastAsia" w:ascii="Times New Roman" w:hAnsi="Times New Roman"/>
          <w:b/>
          <w:color w:val="auto"/>
          <w:sz w:val="24"/>
          <w:highlight w:val="none"/>
        </w:rPr>
        <w:sectPr>
          <w:footerReference r:id="rId3" w:type="default"/>
          <w:pgSz w:w="11906" w:h="16838"/>
          <w:pgMar w:top="1440" w:right="1800" w:bottom="1440" w:left="1800" w:header="851" w:footer="992" w:gutter="0"/>
          <w:pgNumType w:start="1"/>
          <w:cols w:space="720" w:num="1"/>
          <w:docGrid w:type="lines" w:linePitch="312" w:charSpace="0"/>
        </w:sectPr>
      </w:pPr>
    </w:p>
    <w:p>
      <w:pPr>
        <w:spacing w:line="520" w:lineRule="exact"/>
        <w:jc w:val="left"/>
        <w:rPr>
          <w:rFonts w:ascii="Times New Roman" w:hAnsi="Times New Roman"/>
          <w:color w:val="auto"/>
          <w:highlight w:val="none"/>
        </w:rPr>
      </w:pPr>
      <w:r>
        <w:rPr>
          <w:rFonts w:ascii="Times New Roman" w:hAnsi="Times New Roman"/>
          <w:b/>
          <w:color w:val="auto"/>
          <w:sz w:val="24"/>
          <w:highlight w:val="none"/>
        </w:rPr>
        <w:t>合同附件：</w:t>
      </w:r>
    </w:p>
    <w:p>
      <w:pPr>
        <w:spacing w:line="520" w:lineRule="exact"/>
        <w:ind w:firstLine="482"/>
        <w:jc w:val="left"/>
        <w:rPr>
          <w:rFonts w:ascii="Times New Roman" w:hAnsi="Times New Roman"/>
          <w:color w:val="auto"/>
          <w:highlight w:val="none"/>
        </w:rPr>
      </w:pPr>
      <w:r>
        <w:rPr>
          <w:rFonts w:ascii="Times New Roman" w:hAnsi="Times New Roman"/>
          <w:b/>
          <w:color w:val="auto"/>
          <w:sz w:val="24"/>
          <w:highlight w:val="none"/>
        </w:rPr>
        <w:t xml:space="preserve">                    </w:t>
      </w:r>
      <w:r>
        <w:rPr>
          <w:rFonts w:ascii="Times New Roman" w:hAnsi="Times New Roman"/>
          <w:b/>
          <w:color w:val="auto"/>
          <w:sz w:val="44"/>
          <w:szCs w:val="44"/>
          <w:highlight w:val="none"/>
        </w:rPr>
        <w:t xml:space="preserve">  保密协议</w:t>
      </w:r>
    </w:p>
    <w:p>
      <w:pPr>
        <w:spacing w:line="520" w:lineRule="exact"/>
        <w:ind w:firstLine="480"/>
        <w:rPr>
          <w:rFonts w:ascii="Times New Roman" w:hAnsi="Times New Roman"/>
          <w:color w:val="auto"/>
          <w:highlight w:val="none"/>
        </w:rPr>
      </w:pPr>
    </w:p>
    <w:p>
      <w:pPr>
        <w:spacing w:line="520" w:lineRule="exact"/>
        <w:ind w:firstLine="540"/>
        <w:rPr>
          <w:rFonts w:ascii="Times New Roman" w:hAnsi="Times New Roman"/>
          <w:b/>
          <w:color w:val="auto"/>
          <w:sz w:val="24"/>
          <w:highlight w:val="none"/>
        </w:rPr>
      </w:pPr>
      <w:r>
        <w:rPr>
          <w:rFonts w:ascii="Times New Roman" w:hAnsi="Times New Roman"/>
          <w:b/>
          <w:color w:val="auto"/>
          <w:sz w:val="24"/>
          <w:highlight w:val="none"/>
        </w:rPr>
        <w:t>甲方：中国共产党广州市委员会政法委员会</w:t>
      </w:r>
    </w:p>
    <w:p>
      <w:pPr>
        <w:spacing w:line="520" w:lineRule="exact"/>
        <w:ind w:firstLine="540"/>
        <w:rPr>
          <w:rFonts w:hint="default" w:ascii="Times New Roman" w:hAnsi="Times New Roman" w:eastAsia="宋体"/>
          <w:color w:val="auto"/>
          <w:sz w:val="24"/>
          <w:highlight w:val="none"/>
          <w:lang w:val="en-US" w:eastAsia="zh-CN"/>
        </w:rPr>
      </w:pPr>
      <w:r>
        <w:rPr>
          <w:rFonts w:ascii="Times New Roman" w:hAnsi="Times New Roman"/>
          <w:b/>
          <w:color w:val="auto"/>
          <w:sz w:val="24"/>
          <w:highlight w:val="none"/>
        </w:rPr>
        <w:t>乙方：</w:t>
      </w:r>
      <w:r>
        <w:rPr>
          <w:rFonts w:hint="eastAsia" w:ascii="Times New Roman" w:hAnsi="Times New Roman"/>
          <w:b/>
          <w:color w:val="auto"/>
          <w:sz w:val="24"/>
          <w:highlight w:val="none"/>
          <w:lang w:val="en-US" w:eastAsia="zh-CN"/>
        </w:rPr>
        <w:t xml:space="preserve"> </w:t>
      </w:r>
    </w:p>
    <w:p>
      <w:pPr>
        <w:spacing w:line="520" w:lineRule="exact"/>
        <w:ind w:firstLine="480" w:firstLineChars="200"/>
        <w:rPr>
          <w:rFonts w:hint="eastAsia" w:ascii="Times New Roman" w:hAnsi="Times New Roman"/>
          <w:color w:val="auto"/>
          <w:sz w:val="24"/>
          <w:highlight w:val="none"/>
        </w:rPr>
      </w:pPr>
      <w:r>
        <w:rPr>
          <w:rFonts w:ascii="Times New Roman" w:hAnsi="Times New Roman"/>
          <w:color w:val="auto"/>
          <w:sz w:val="24"/>
          <w:highlight w:val="none"/>
        </w:rPr>
        <w:t>1.甲乙双方就中共广州市委政法委员会2024-2025年信息化运维</w:t>
      </w:r>
      <w:r>
        <w:rPr>
          <w:rFonts w:hint="eastAsia" w:ascii="Times New Roman" w:hAnsi="Times New Roman"/>
          <w:color w:val="auto"/>
          <w:sz w:val="24"/>
          <w:highlight w:val="none"/>
          <w:u w:val="single"/>
        </w:rPr>
        <w:t>项目监理服务项目（以下简称：监理</w:t>
      </w:r>
      <w:r>
        <w:rPr>
          <w:rFonts w:ascii="Times New Roman" w:hAnsi="Times New Roman"/>
          <w:color w:val="auto"/>
          <w:sz w:val="24"/>
          <w:highlight w:val="none"/>
          <w:u w:val="single"/>
        </w:rPr>
        <w:t>项目</w:t>
      </w:r>
      <w:r>
        <w:rPr>
          <w:rFonts w:hint="eastAsia" w:ascii="Times New Roman" w:hAnsi="Times New Roman"/>
          <w:color w:val="auto"/>
          <w:sz w:val="24"/>
          <w:highlight w:val="none"/>
          <w:u w:val="single"/>
        </w:rPr>
        <w:t>）</w:t>
      </w:r>
      <w:r>
        <w:rPr>
          <w:rFonts w:ascii="Times New Roman" w:hAnsi="Times New Roman"/>
          <w:color w:val="auto"/>
          <w:sz w:val="24"/>
          <w:highlight w:val="none"/>
        </w:rPr>
        <w:t>合作过程中，乙方为甲方提供</w:t>
      </w:r>
      <w:r>
        <w:rPr>
          <w:rFonts w:hint="eastAsia" w:ascii="Times New Roman" w:hAnsi="Times New Roman"/>
          <w:color w:val="auto"/>
          <w:sz w:val="24"/>
          <w:highlight w:val="none"/>
        </w:rPr>
        <w:t>监理</w:t>
      </w:r>
      <w:r>
        <w:rPr>
          <w:rFonts w:ascii="Times New Roman" w:hAnsi="Times New Roman"/>
          <w:color w:val="auto"/>
          <w:sz w:val="24"/>
          <w:highlight w:val="none"/>
        </w:rPr>
        <w:t>服务，甲方在工作过程中向乙方提供有关保密信息，且该保密信息属甲方合法所有，乙方及乙方人员承诺付保密义务</w:t>
      </w:r>
      <w:r>
        <w:rPr>
          <w:rFonts w:hint="eastAsia" w:ascii="Times New Roman" w:hAnsi="Times New Roman"/>
          <w:color w:val="auto"/>
          <w:sz w:val="24"/>
          <w:highlight w:val="none"/>
        </w:rPr>
        <w:t>。甲乙双方均须把保密资料的接触范围严格限制在因本协议规定目的而需接触保密资料的各自代表的范围内；同时乙方必须提供其单位参与建设者的证明材料。任何一方都应向对方承担因本方工作人员个人行为导致的泄密责任和经济赔偿。</w:t>
      </w:r>
    </w:p>
    <w:p>
      <w:pPr>
        <w:spacing w:line="52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2.乙方确保在</w:t>
      </w:r>
      <w:r>
        <w:rPr>
          <w:rFonts w:hint="eastAsia" w:ascii="Times New Roman" w:hAnsi="Times New Roman"/>
          <w:color w:val="auto"/>
          <w:sz w:val="24"/>
          <w:highlight w:val="none"/>
        </w:rPr>
        <w:t>监理</w:t>
      </w:r>
      <w:r>
        <w:rPr>
          <w:rFonts w:ascii="Times New Roman" w:hAnsi="Times New Roman"/>
          <w:color w:val="auto"/>
          <w:sz w:val="24"/>
          <w:highlight w:val="none"/>
        </w:rPr>
        <w:t>项目中获取的甲方相关信息（包括但不限于业务系统数据信息、单位及个人隐私信息、市委政法委中心平台和政法数据交换子系统源代码等）仅用于与合作有关的用途和目的。未经甲方书面同意，乙方不得利用此次合作所获取的甲方相关信息为己方及其他第三方获取任何利益。经双方协商，达成本协议。</w:t>
      </w:r>
    </w:p>
    <w:p>
      <w:pPr>
        <w:spacing w:line="520" w:lineRule="exact"/>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3</w:t>
      </w:r>
      <w:r>
        <w:rPr>
          <w:rFonts w:ascii="Times New Roman" w:hAnsi="Times New Roman"/>
          <w:color w:val="auto"/>
          <w:sz w:val="24"/>
          <w:highlight w:val="none"/>
        </w:rPr>
        <w:t>.</w:t>
      </w:r>
      <w:r>
        <w:rPr>
          <w:rFonts w:hint="eastAsia" w:ascii="Times New Roman" w:hAnsi="Times New Roman"/>
          <w:color w:val="auto"/>
          <w:sz w:val="24"/>
          <w:highlight w:val="none"/>
        </w:rPr>
        <w:t>信息定义</w:t>
      </w:r>
    </w:p>
    <w:p>
      <w:pPr>
        <w:spacing w:line="52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3.1.本协议所指保密信息是指：</w:t>
      </w:r>
    </w:p>
    <w:p>
      <w:pPr>
        <w:spacing w:line="52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3.1.1.在合作过程中，乙方接触到的相关内容，与合作有关或因合作产生的任何商业、技术、运营数据或其他性质的资料，包括但不限于数据信息及市委政法委中心平台和政法数据交换子系统程序源代码。</w:t>
      </w:r>
    </w:p>
    <w:p>
      <w:pPr>
        <w:spacing w:line="52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3.1.2.无论以何种形式或载于何种载体，无论在披露时是否以口头、图像或以书面等方式表明其具有保密性。</w:t>
      </w:r>
    </w:p>
    <w:p>
      <w:pPr>
        <w:spacing w:line="52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3.2.上述保密信息可以以数据、文字及记载上述内容的资料、光盘、软件、图书等有形媒介体现，也可通过口头等视听形式传递。</w:t>
      </w:r>
    </w:p>
    <w:p>
      <w:pPr>
        <w:spacing w:line="52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4.权利与义务：</w:t>
      </w:r>
    </w:p>
    <w:p>
      <w:pPr>
        <w:spacing w:line="52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4.1.乙方及乙方工作人员不得将接触到的相关内容（包括但不限于业务系统数据信息、单位及个人隐私信息、市委政法委中心平台和政法数据交换子系统源代码等）泄露给他人，不得翻阅与工作无关的文件和资料，不得从事其他与协议无关的工作。</w:t>
      </w:r>
    </w:p>
    <w:p>
      <w:pPr>
        <w:spacing w:line="52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4.2.乙方及乙方工作人员不得擅自记录、复制、拍摄、摘抄、收藏在工作中涉及的秘密和敏感信息，包括系统数据、第三方代码、接口等，不得将工作中涉及的相关项目技术方案及实施规划透露给他人。</w:t>
      </w:r>
    </w:p>
    <w:p>
      <w:pPr>
        <w:spacing w:line="52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4.3.乙方及乙方工作人员不得将在工作中获得的相关信息透露给他人，严禁私自下载、拷贝计算机内数据信息，不得擅自携带记载工作内容的硬盘、U盘和打印资料外出，严禁将系统的程序、口令、密钥等泄露给他人。</w:t>
      </w:r>
    </w:p>
    <w:p>
      <w:pPr>
        <w:spacing w:line="520" w:lineRule="exact"/>
        <w:ind w:firstLine="480" w:firstLineChars="200"/>
        <w:rPr>
          <w:rFonts w:hint="eastAsia" w:ascii="Times New Roman" w:hAnsi="Times New Roman"/>
          <w:color w:val="auto"/>
          <w:sz w:val="24"/>
          <w:highlight w:val="none"/>
        </w:rPr>
      </w:pPr>
      <w:r>
        <w:rPr>
          <w:rFonts w:ascii="Times New Roman" w:hAnsi="Times New Roman"/>
          <w:color w:val="auto"/>
          <w:sz w:val="24"/>
          <w:highlight w:val="none"/>
        </w:rPr>
        <w:t>4.4.乙方对其参与</w:t>
      </w:r>
      <w:r>
        <w:rPr>
          <w:rFonts w:hint="eastAsia" w:ascii="Times New Roman" w:hAnsi="Times New Roman"/>
          <w:color w:val="auto"/>
          <w:sz w:val="24"/>
          <w:highlight w:val="none"/>
        </w:rPr>
        <w:t>监理</w:t>
      </w:r>
      <w:r>
        <w:rPr>
          <w:rFonts w:ascii="Times New Roman" w:hAnsi="Times New Roman"/>
          <w:color w:val="auto"/>
          <w:sz w:val="24"/>
          <w:highlight w:val="none"/>
        </w:rPr>
        <w:t>项目的员工定期组织保密制度培训，并与其工作人员签订与本协议相同内容的保密协议，确保有关人员遵守本协议。乙方应将参与</w:t>
      </w:r>
      <w:r>
        <w:rPr>
          <w:rFonts w:hint="eastAsia" w:ascii="Times New Roman" w:hAnsi="Times New Roman"/>
          <w:color w:val="auto"/>
          <w:sz w:val="24"/>
          <w:highlight w:val="none"/>
        </w:rPr>
        <w:t>监理</w:t>
      </w:r>
      <w:r>
        <w:rPr>
          <w:rFonts w:ascii="Times New Roman" w:hAnsi="Times New Roman"/>
          <w:color w:val="auto"/>
          <w:sz w:val="24"/>
          <w:highlight w:val="none"/>
        </w:rPr>
        <w:t>项目员工的有关资料（如：身份证复印件、职称证明、项目经验等）给甲方，如需更换员工需事先征得甲方同意并提交相应的资料。</w:t>
      </w:r>
      <w:r>
        <w:rPr>
          <w:rFonts w:hint="eastAsia" w:ascii="Times New Roman" w:hAnsi="Times New Roman"/>
          <w:color w:val="auto"/>
          <w:sz w:val="24"/>
          <w:highlight w:val="none"/>
        </w:rPr>
        <w:t>乙方同样要承担其工作人员在离职后由个人行为导致的泄密责任和经济赔偿。</w:t>
      </w:r>
    </w:p>
    <w:p>
      <w:pPr>
        <w:spacing w:line="520" w:lineRule="exact"/>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4.5鉴于监理项目要求，甲方将在国家、省、市保密法规和制度许可的情况下，向乙方提供与监理项目相关的保密信息。乙方须按照国家、省、市的要求对甲方提供的保密信息进行妥善保管和使用，具体要求如下：</w:t>
      </w:r>
    </w:p>
    <w:p>
      <w:pPr>
        <w:spacing w:line="520" w:lineRule="exact"/>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4.5.1监理项目涉及的图形、图纸、模型等相关保密资料，必须指定专门人员保存和管理，同时，存放保密资料的硬件设施要符合国家的有关规定；</w:t>
      </w:r>
    </w:p>
    <w:p>
      <w:pPr>
        <w:spacing w:line="520" w:lineRule="exact"/>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4.5.2数据、技术、方法等所有属于甲方内部的无形信息，未经甲方许可，乙方不得向外界或第三方（包括媒体）透露。</w:t>
      </w:r>
    </w:p>
    <w:p>
      <w:pPr>
        <w:spacing w:line="520" w:lineRule="exact"/>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4.6如果合作项目不再继续进行或其中一方因故退出此项目，经对方在任何时候提出书面要求，另一方应当、并应促使其代表在五个工作日内销毁或向对方返还其占有的或控制的全部保密资料以及包含或体现了保密资料的全部文件和其它载体并连同全部副本。</w:t>
      </w:r>
    </w:p>
    <w:p>
      <w:pPr>
        <w:spacing w:line="52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5.上述限制条款不适用于以下情况：</w:t>
      </w:r>
    </w:p>
    <w:p>
      <w:pPr>
        <w:spacing w:line="52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5.1.在签署本协议之时或之前，保密信息已以合法方式属接受方所有；</w:t>
      </w:r>
    </w:p>
    <w:p>
      <w:pPr>
        <w:spacing w:line="52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5.2.保密信息在通知给接受方时，已经公开或能从公开领域获得；</w:t>
      </w:r>
    </w:p>
    <w:p>
      <w:pPr>
        <w:spacing w:line="52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5.3.接受方应法院或其它法律、行政管理部门要求披露的信息（通过口头提问、询问、要求资料或文件、传唤、民事或刑事调查或其他程序）因而透露保密信息，在该种情况发生时，接受方应立即向披露方发出通知，并作出必要说明。</w:t>
      </w:r>
    </w:p>
    <w:p>
      <w:pPr>
        <w:spacing w:line="52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5.4.保密信息披露方提供的保密信息，如涉及侵犯第三方知识产权的情况，接受方不对此侵权行为负责，且免于由此产生的索赔。</w:t>
      </w:r>
    </w:p>
    <w:p>
      <w:pPr>
        <w:spacing w:line="52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6.违约责任：</w:t>
      </w:r>
    </w:p>
    <w:p>
      <w:pPr>
        <w:spacing w:line="52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乙方对在履行本协议过程中所接触的工作秘密（包括但不限于协议履行过程中涉及的数据、市委政法委中心平台和政法数据交换子系统源代码、技术文档、商业秘密、业务信息、任何技术性资料、以及甲方为完成本协议提供的任何其他信息资料并且在提供时未说明是公开信息的）承担保密义务。未经甲方书面许可，乙方（包括但不限于乙方员工、代理人、顾问等）不得将从甲方获取的一切资料和信息拿到本协议范围之外使用，否则甲方除按照有关规定追究乙方单位及个人经济上的赔偿责任外，违反保密法律条文的须追究法律责任。</w:t>
      </w:r>
    </w:p>
    <w:p>
      <w:pPr>
        <w:spacing w:line="52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7.免责条款：</w:t>
      </w:r>
    </w:p>
    <w:p>
      <w:pPr>
        <w:spacing w:line="52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由于地震、水灾、火灾或政策变化等人力不能预见、不能避免、不能抗拒的原因，导致甲乙双方或一方不能履行或不能完全履行本协议项下的有关义务时，甲乙双方相互不承担违约责任；在不可抗力影响消除后的合理时间内，一方或双方应当继续履行本协议。</w:t>
      </w:r>
    </w:p>
    <w:p>
      <w:pPr>
        <w:spacing w:line="52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8.无论本合同是否切实得到履行或因任何原因变更、解除、终止、失效等，上述条款均始终有效。</w:t>
      </w:r>
    </w:p>
    <w:p>
      <w:pPr>
        <w:spacing w:line="52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9.争议的解决：</w:t>
      </w:r>
    </w:p>
    <w:p>
      <w:pPr>
        <w:spacing w:line="52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本协议受中华人民共和国（以下简称“中国”）的法律管辖并按照中国的法律进行解释。如双方无法协商解决，应提交甲方所在地人民法院诉讼解决。</w:t>
      </w:r>
    </w:p>
    <w:p>
      <w:pPr>
        <w:spacing w:line="52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9.1.经双方书面确认，任何一方不得变更或修改本协议，国家另有规定的除外。</w:t>
      </w:r>
    </w:p>
    <w:p>
      <w:pPr>
        <w:spacing w:line="52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9.2.本协议未尽事宜，双方可签订补充协议。补充协议为本协议不可分割的一部分，与本协议具有同等法律效力。</w:t>
      </w:r>
    </w:p>
    <w:p>
      <w:pPr>
        <w:ind w:firstLine="480"/>
        <w:rPr>
          <w:rFonts w:ascii="Times New Roman" w:hAnsi="Times New Roman"/>
          <w:color w:val="auto"/>
          <w:sz w:val="24"/>
          <w:highlight w:val="none"/>
        </w:rPr>
      </w:pPr>
    </w:p>
    <w:p>
      <w:pPr>
        <w:spacing w:line="560" w:lineRule="exact"/>
        <w:ind w:left="420"/>
        <w:rPr>
          <w:color w:val="auto"/>
          <w:sz w:val="24"/>
          <w:highlight w:val="none"/>
        </w:rPr>
      </w:pPr>
      <w:r>
        <w:rPr>
          <w:color w:val="auto"/>
          <w:sz w:val="24"/>
          <w:highlight w:val="none"/>
        </w:rPr>
        <w:t xml:space="preserve"> </w:t>
      </w:r>
    </w:p>
    <w:p>
      <w:pPr>
        <w:spacing w:line="560" w:lineRule="exact"/>
        <w:rPr>
          <w:rFonts w:hint="eastAsia"/>
          <w:color w:val="auto"/>
          <w:sz w:val="24"/>
          <w:highlight w:val="none"/>
        </w:rPr>
      </w:pPr>
      <w:r>
        <w:rPr>
          <w:color w:val="auto"/>
          <w:sz w:val="24"/>
          <w:highlight w:val="none"/>
        </w:rPr>
        <w:t>甲方：（盖章）</w:t>
      </w:r>
      <w:r>
        <w:rPr>
          <w:color w:val="auto"/>
          <w:sz w:val="24"/>
          <w:highlight w:val="none"/>
          <w:u w:val="single"/>
        </w:rPr>
        <w:t xml:space="preserve">             </w:t>
      </w:r>
      <w:r>
        <w:rPr>
          <w:color w:val="auto"/>
          <w:sz w:val="24"/>
          <w:highlight w:val="none"/>
        </w:rPr>
        <w:t xml:space="preserve">      乙方：（盖章）</w:t>
      </w:r>
      <w:r>
        <w:rPr>
          <w:color w:val="auto"/>
          <w:sz w:val="24"/>
          <w:highlight w:val="none"/>
          <w:u w:val="single"/>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2</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043645"/>
    <w:multiLevelType w:val="multilevel"/>
    <w:tmpl w:val="55043645"/>
    <w:lvl w:ilvl="0" w:tentative="0">
      <w:start w:val="1"/>
      <w:numFmt w:val="chineseCountingThousand"/>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75AA4275"/>
    <w:multiLevelType w:val="singleLevel"/>
    <w:tmpl w:val="75AA4275"/>
    <w:lvl w:ilvl="0" w:tentative="0">
      <w:start w:val="1"/>
      <w:numFmt w:val="decimal"/>
      <w:suff w:val="nothing"/>
      <w:lvlText w:val="%1．"/>
      <w:lvlJc w:val="left"/>
      <w:pPr>
        <w:ind w:left="0" w:firstLine="4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zNDdmY2I0MDllODZmZjA2YmQ3OGRiMTNlNmUwY2YifQ=="/>
  </w:docVars>
  <w:rsids>
    <w:rsidRoot w:val="1A253D05"/>
    <w:rsid w:val="1A253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黑体"/>
      <w:kern w:val="2"/>
      <w:sz w:val="21"/>
      <w:szCs w:val="22"/>
      <w:lang w:val="en-US" w:eastAsia="zh-CN" w:bidi="ar-SA"/>
    </w:rPr>
  </w:style>
  <w:style w:type="paragraph" w:styleId="2">
    <w:name w:val="heading 1"/>
    <w:basedOn w:val="1"/>
    <w:next w:val="1"/>
    <w:qFormat/>
    <w:uiPriority w:val="0"/>
    <w:pPr>
      <w:spacing w:before="312" w:beforeLines="100" w:after="312" w:afterLines="100" w:line="360" w:lineRule="auto"/>
      <w:jc w:val="left"/>
      <w:outlineLvl w:val="0"/>
    </w:pPr>
    <w:rPr>
      <w:rFonts w:ascii="黑体" w:hAnsi="黑体" w:eastAsia="黑体" w:cs="Times New Roman"/>
      <w:sz w:val="28"/>
      <w:szCs w:val="2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customStyle="1" w:styleId="6">
    <w:name w:val="null3"/>
    <w:hidden/>
    <w:qFormat/>
    <w:uiPriority w:val="0"/>
    <w:rPr>
      <w:rFonts w:hint="eastAsia" w:ascii="Calibri" w:hAnsi="Calibri" w:eastAsia="宋体" w:cs="黑体"/>
      <w:lang w:val="en-US" w:eastAsia="zh-CN" w:bidi="ar-SA"/>
    </w:rPr>
  </w:style>
  <w:style w:type="paragraph" w:customStyle="1" w:styleId="7">
    <w:name w:val="列出段落3"/>
    <w:basedOn w:val="1"/>
    <w:qFormat/>
    <w:uiPriority w:val="34"/>
    <w:pPr>
      <w:ind w:firstLine="420" w:firstLineChars="200"/>
    </w:pPr>
    <w:rPr>
      <w:szCs w:val="22"/>
    </w:rPr>
  </w:style>
  <w:style w:type="paragraph" w:customStyle="1" w:styleId="8">
    <w:name w:val="纯文本_0"/>
    <w:basedOn w:val="1"/>
    <w:unhideWhenUsed/>
    <w:qFormat/>
    <w:uiPriority w:val="0"/>
    <w:pPr>
      <w:widowControl/>
      <w:jc w:val="left"/>
    </w:pPr>
    <w:rPr>
      <w:rFonts w:ascii="宋体" w:hAnsi="Courier New" w:cs="Times New Roman"/>
      <w:kern w:val="0"/>
      <w:sz w:val="2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2024-08-30T06:43:00Z</dcterms:created>
  <dc:creator>梁浩华</dc:creator>
  <cp:lastModifiedBy>梁浩华</cp:lastModifiedBy>
  <dcterms:modified xsi:type="dcterms:W3CDTF">2024-08-30T06:43:22Z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BB017B80C002435899207FAEFBCF19A9_11</vt:lpwstr>
  </property>
</Properties>
</file>