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6"/>
          <w:szCs w:val="32"/>
          <w:highlight w:val="none"/>
          <w:lang w:val="en-US" w:eastAsia="zh-CN"/>
        </w:rPr>
      </w:pPr>
      <w:r>
        <w:rPr>
          <w:rFonts w:hint="eastAsia" w:ascii="宋体" w:hAnsi="宋体" w:eastAsia="宋体" w:cs="宋体"/>
          <w:b/>
          <w:sz w:val="36"/>
          <w:szCs w:val="32"/>
          <w:highlight w:val="none"/>
        </w:rPr>
        <w:t>中国大酒店1、2、5、6号电梯采购及相关服务项目</w:t>
      </w:r>
      <w:r>
        <w:rPr>
          <w:rFonts w:hint="eastAsia" w:ascii="宋体" w:hAnsi="宋体" w:eastAsia="宋体" w:cs="宋体"/>
          <w:b/>
          <w:sz w:val="36"/>
          <w:szCs w:val="32"/>
          <w:highlight w:val="none"/>
          <w:lang w:eastAsia="zh-CN"/>
        </w:rPr>
        <w:t>（</w:t>
      </w:r>
      <w:r>
        <w:rPr>
          <w:rFonts w:hint="eastAsia" w:ascii="宋体" w:hAnsi="宋体" w:eastAsia="宋体" w:cs="宋体"/>
          <w:b/>
          <w:sz w:val="36"/>
          <w:szCs w:val="32"/>
          <w:highlight w:val="none"/>
          <w:lang w:val="en-US" w:eastAsia="zh-CN"/>
        </w:rPr>
        <w:t>项目编号：JG2024-3896</w:t>
      </w:r>
      <w:r>
        <w:rPr>
          <w:rFonts w:hint="eastAsia" w:ascii="宋体" w:hAnsi="宋体" w:eastAsia="宋体" w:cs="宋体"/>
          <w:b/>
          <w:sz w:val="36"/>
          <w:szCs w:val="32"/>
          <w:highlight w:val="none"/>
          <w:lang w:eastAsia="zh-CN"/>
        </w:rPr>
        <w:t>）</w:t>
      </w:r>
      <w:r>
        <w:rPr>
          <w:rFonts w:hint="eastAsia" w:ascii="宋体" w:hAnsi="宋体" w:eastAsia="宋体" w:cs="宋体"/>
          <w:b/>
          <w:sz w:val="36"/>
          <w:szCs w:val="32"/>
          <w:highlight w:val="none"/>
          <w:lang w:val="en-US" w:eastAsia="zh-CN"/>
        </w:rPr>
        <w:t>补充公告</w:t>
      </w:r>
    </w:p>
    <w:p>
      <w:pPr>
        <w:pStyle w:val="7"/>
        <w:spacing w:line="360" w:lineRule="auto"/>
        <w:rPr>
          <w:rFonts w:hint="eastAsia" w:ascii="宋体" w:hAnsi="宋体" w:eastAsia="宋体" w:cs="宋体"/>
          <w:lang w:val="en-US" w:eastAsia="zh-CN"/>
        </w:rPr>
      </w:pPr>
    </w:p>
    <w:p>
      <w:pPr>
        <w:spacing w:line="360" w:lineRule="auto"/>
        <w:ind w:firstLine="440" w:firstLineChars="200"/>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中国大酒店1、2、5、6号电梯采购及相关服务项目</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项目编号：JG2024-3896</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于2024年08月08日在广州公共资源交易中心网站发布招标公告，现对原招标公告和招标文件的相关内容作如下修改:</w:t>
      </w:r>
    </w:p>
    <w:p>
      <w:pPr>
        <w:pStyle w:val="7"/>
        <w:rPr>
          <w:rFonts w:hint="eastAsia"/>
          <w:b/>
          <w:bCs/>
          <w:lang w:val="en-US"/>
        </w:rPr>
      </w:pPr>
      <w:r>
        <w:rPr>
          <w:rFonts w:hint="eastAsia"/>
          <w:b/>
          <w:bCs/>
          <w:lang w:val="en-US"/>
        </w:rPr>
        <w:t>一、招标公告及招标文件修改如下: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889"/>
        <w:gridCol w:w="5166"/>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2889" w:type="dxa"/>
          </w:tcPr>
          <w:p>
            <w:pPr>
              <w:jc w:val="center"/>
              <w:rPr>
                <w:rFonts w:hint="eastAsia" w:eastAsiaTheme="minorEastAsia"/>
                <w:b/>
                <w:bCs/>
                <w:vertAlign w:val="baseline"/>
                <w:lang w:val="en-US" w:eastAsia="zh-CN"/>
              </w:rPr>
            </w:pPr>
            <w:r>
              <w:rPr>
                <w:rFonts w:hint="eastAsia"/>
                <w:b/>
                <w:bCs/>
                <w:vertAlign w:val="baseline"/>
                <w:lang w:val="en-US" w:eastAsia="zh-CN"/>
              </w:rPr>
              <w:t>条款号</w:t>
            </w:r>
          </w:p>
        </w:tc>
        <w:tc>
          <w:tcPr>
            <w:tcW w:w="5166" w:type="dxa"/>
          </w:tcPr>
          <w:p>
            <w:pPr>
              <w:jc w:val="center"/>
              <w:rPr>
                <w:rFonts w:hint="default" w:eastAsiaTheme="minorEastAsia"/>
                <w:b/>
                <w:bCs/>
                <w:vertAlign w:val="baseline"/>
                <w:lang w:val="en-US" w:eastAsia="zh-CN"/>
              </w:rPr>
            </w:pPr>
            <w:r>
              <w:rPr>
                <w:rFonts w:hint="eastAsia"/>
                <w:b/>
                <w:bCs/>
                <w:vertAlign w:val="baseline"/>
                <w:lang w:val="en-US" w:eastAsia="zh-CN"/>
              </w:rPr>
              <w:t>原文</w:t>
            </w:r>
          </w:p>
        </w:tc>
        <w:tc>
          <w:tcPr>
            <w:tcW w:w="5690" w:type="dxa"/>
          </w:tcPr>
          <w:p>
            <w:pPr>
              <w:jc w:val="center"/>
              <w:rPr>
                <w:rFonts w:hint="default" w:eastAsiaTheme="minorEastAsia"/>
                <w:b/>
                <w:bCs/>
                <w:vertAlign w:val="baseline"/>
                <w:lang w:val="en-US" w:eastAsia="zh-CN"/>
              </w:rPr>
            </w:pPr>
            <w:r>
              <w:rPr>
                <w:rFonts w:hint="eastAsia"/>
                <w:b/>
                <w:bCs/>
                <w:vertAlign w:val="baseline"/>
                <w:lang w:val="en-US" w:eastAsia="zh-CN"/>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eastAsia" w:eastAsiaTheme="minorEastAsia"/>
                <w:vertAlign w:val="baseline"/>
                <w:lang w:val="en-US" w:eastAsia="zh-CN"/>
              </w:rPr>
            </w:pPr>
            <w:r>
              <w:rPr>
                <w:rFonts w:hint="eastAsia"/>
                <w:vertAlign w:val="baseline"/>
                <w:lang w:val="en-US" w:eastAsia="zh-CN"/>
              </w:rPr>
              <w:t>1</w:t>
            </w:r>
          </w:p>
        </w:tc>
        <w:tc>
          <w:tcPr>
            <w:tcW w:w="2889" w:type="dxa"/>
          </w:tcPr>
          <w:p>
            <w:pPr>
              <w:rPr>
                <w:rFonts w:hint="default" w:eastAsiaTheme="minorEastAsia"/>
                <w:vertAlign w:val="baseline"/>
                <w:lang w:val="en-US" w:eastAsia="zh-CN"/>
              </w:rPr>
            </w:pPr>
            <w:r>
              <w:rPr>
                <w:rFonts w:hint="eastAsia"/>
                <w:vertAlign w:val="baseline"/>
                <w:lang w:val="en-US" w:eastAsia="zh-CN"/>
              </w:rPr>
              <w:t>招标公告 3.1.1资质要求</w:t>
            </w:r>
          </w:p>
        </w:tc>
        <w:tc>
          <w:tcPr>
            <w:tcW w:w="5166" w:type="dxa"/>
          </w:tcPr>
          <w:p>
            <w:pPr>
              <w:rPr>
                <w:rFonts w:hint="eastAsia"/>
                <w:vertAlign w:val="baseline"/>
                <w:lang w:val="en-US"/>
              </w:rPr>
            </w:pPr>
            <w:r>
              <w:rPr>
                <w:rFonts w:hint="eastAsia"/>
                <w:vertAlign w:val="baseline"/>
                <w:lang w:val="en-US"/>
              </w:rPr>
              <w:t>法定代表人为同一个人的两个及两个以上法人，母公司、全资子公司及其控股公司，都不得在同一货物招标中同时投标。</w:t>
            </w:r>
          </w:p>
        </w:tc>
        <w:tc>
          <w:tcPr>
            <w:tcW w:w="5690" w:type="dxa"/>
          </w:tcPr>
          <w:p>
            <w:pPr>
              <w:rPr>
                <w:rFonts w:hint="eastAsia" w:eastAsiaTheme="minorEastAsia"/>
                <w:vertAlign w:val="baseline"/>
                <w:lang w:val="en-US" w:eastAsia="zh-CN"/>
              </w:rPr>
            </w:pPr>
            <w:r>
              <w:rPr>
                <w:rFonts w:hint="eastAsia"/>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eastAsia" w:eastAsiaTheme="minorEastAsia"/>
                <w:vertAlign w:val="baseline"/>
                <w:lang w:val="en-US" w:eastAsia="zh-CN"/>
              </w:rPr>
            </w:pPr>
            <w:r>
              <w:rPr>
                <w:rFonts w:hint="eastAsia"/>
                <w:vertAlign w:val="baseline"/>
                <w:lang w:val="en-US" w:eastAsia="zh-CN"/>
              </w:rPr>
              <w:t>2</w:t>
            </w:r>
          </w:p>
        </w:tc>
        <w:tc>
          <w:tcPr>
            <w:tcW w:w="2889" w:type="dxa"/>
          </w:tcPr>
          <w:p>
            <w:pPr>
              <w:rPr>
                <w:rFonts w:hint="default"/>
                <w:vertAlign w:val="baseline"/>
                <w:lang w:val="en-US"/>
              </w:rPr>
            </w:pPr>
            <w:r>
              <w:rPr>
                <w:rFonts w:hint="eastAsia"/>
                <w:vertAlign w:val="baseline"/>
                <w:lang w:val="en-US" w:eastAsia="zh-CN"/>
              </w:rPr>
              <w:t>招标公告 3.1.1资质要求 第二点</w:t>
            </w:r>
          </w:p>
        </w:tc>
        <w:tc>
          <w:tcPr>
            <w:tcW w:w="5166" w:type="dxa"/>
          </w:tcPr>
          <w:p>
            <w:pPr>
              <w:rPr>
                <w:rFonts w:hint="eastAsia"/>
                <w:vertAlign w:val="baseline"/>
                <w:lang w:val="en-US"/>
              </w:rPr>
            </w:pPr>
            <w:r>
              <w:rPr>
                <w:rFonts w:hint="eastAsia"/>
                <w:vertAlign w:val="baseline"/>
                <w:lang w:val="en-US"/>
              </w:rPr>
              <w:t>投标人必须是所投标设备的制造商（或制造商集团公司或制造商集团下属的子公司）或其授权的代理商或经销商；代理商或经销商需提供制造商的授权文件；同一个投标人所投设备均应为同一品牌。</w:t>
            </w:r>
          </w:p>
        </w:tc>
        <w:tc>
          <w:tcPr>
            <w:tcW w:w="5690" w:type="dxa"/>
          </w:tcPr>
          <w:p>
            <w:pPr>
              <w:rPr>
                <w:rFonts w:hint="eastAsia"/>
                <w:vertAlign w:val="baseline"/>
                <w:lang w:val="en-US"/>
              </w:rPr>
            </w:pPr>
            <w:r>
              <w:rPr>
                <w:rFonts w:hint="eastAsia"/>
                <w:vertAlign w:val="baseline"/>
                <w:lang w:val="en-US"/>
              </w:rPr>
              <w:t>投标人必须是拟投标设备的制造商（或制造商集团公司或制造商集团下属的子公司）或者其唯一授权代理商（代理商须提供由制造商针对本项目开具的唯一授权代理书（格式详见招标文件第六章投标文件格式））；同一个投标人所投设备均应为同一品牌；同一品牌的电梯只接受一名投标申请人参加投标（同一品牌电梯的制造商集团公司与制造商集团下属的子公司同时参加投标的，只接受制造商集团公司投标；同一品牌电梯的制造商集团下属的不同子公司同时参加投标的，以在广州公共资源交易中心数字交易平台上投标登记时间靠前的确定为正式投标人；制造商与代理商同时参与投标申请的，只接受制造商的投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eastAsia" w:eastAsiaTheme="minorEastAsia"/>
                <w:vertAlign w:val="baseline"/>
                <w:lang w:val="en-US" w:eastAsia="zh-CN"/>
              </w:rPr>
            </w:pPr>
            <w:r>
              <w:rPr>
                <w:rFonts w:hint="eastAsia"/>
                <w:vertAlign w:val="baseline"/>
                <w:lang w:val="en-US" w:eastAsia="zh-CN"/>
              </w:rPr>
              <w:t>3</w:t>
            </w:r>
          </w:p>
        </w:tc>
        <w:tc>
          <w:tcPr>
            <w:tcW w:w="2889" w:type="dxa"/>
          </w:tcPr>
          <w:p>
            <w:pPr>
              <w:rPr>
                <w:rFonts w:hint="eastAsia"/>
                <w:vertAlign w:val="baseline"/>
                <w:lang w:val="en-US"/>
              </w:rPr>
            </w:pPr>
            <w:r>
              <w:rPr>
                <w:rFonts w:hint="eastAsia"/>
                <w:vertAlign w:val="baseline"/>
                <w:lang w:val="en-US" w:eastAsia="zh-CN"/>
              </w:rPr>
              <w:t xml:space="preserve">招标公告 </w:t>
            </w:r>
            <w:r>
              <w:rPr>
                <w:rFonts w:hint="eastAsia"/>
                <w:vertAlign w:val="baseline"/>
                <w:lang w:val="en-US"/>
              </w:rPr>
              <w:t>3.1.2投标人需满足以下要求之一</w:t>
            </w:r>
          </w:p>
        </w:tc>
        <w:tc>
          <w:tcPr>
            <w:tcW w:w="5166" w:type="dxa"/>
          </w:tcPr>
          <w:p>
            <w:pPr>
              <w:rPr>
                <w:rFonts w:hint="eastAsia"/>
                <w:vertAlign w:val="baseline"/>
                <w:lang w:val="en-US"/>
              </w:rPr>
            </w:pPr>
            <w:r>
              <w:rPr>
                <w:rFonts w:hint="eastAsia"/>
                <w:vertAlign w:val="baseline"/>
                <w:lang w:val="en-US"/>
              </w:rPr>
              <w:t>①所投货物的制造商必须取得有效的《中华人民共和国特种设备制造许可证》（</w:t>
            </w:r>
            <w:r>
              <w:rPr>
                <w:rFonts w:hint="eastAsia"/>
                <w:vertAlign w:val="baseline"/>
                <w:lang w:val="en-US" w:eastAsia="zh-CN"/>
              </w:rPr>
              <w:t>电梯</w:t>
            </w:r>
            <w:r>
              <w:rPr>
                <w:rFonts w:hint="eastAsia"/>
                <w:vertAlign w:val="baseline"/>
                <w:lang w:val="en-US"/>
              </w:rPr>
              <w:t>）；并取得有效的《中华人民共和国特种设备安装改造维修许可证》（</w:t>
            </w:r>
            <w:r>
              <w:rPr>
                <w:rFonts w:hint="eastAsia"/>
                <w:vertAlign w:val="baseline"/>
                <w:lang w:val="en-US" w:eastAsia="zh-CN"/>
              </w:rPr>
              <w:t>电梯</w:t>
            </w:r>
            <w:r>
              <w:rPr>
                <w:rFonts w:hint="eastAsia"/>
                <w:vertAlign w:val="baseline"/>
                <w:lang w:val="en-US"/>
              </w:rPr>
              <w:t>）；</w:t>
            </w:r>
          </w:p>
          <w:p>
            <w:pPr>
              <w:rPr>
                <w:rFonts w:hint="eastAsia"/>
                <w:vertAlign w:val="baseline"/>
                <w:lang w:val="en-US"/>
              </w:rPr>
            </w:pPr>
            <w:r>
              <w:rPr>
                <w:rFonts w:hint="eastAsia"/>
                <w:vertAlign w:val="baseline"/>
                <w:lang w:val="en-US"/>
              </w:rPr>
              <w:t>②所投货物的制造商必须取得有效的《中华人民共和国特种设备生产许可证》，许可项目包含电梯制造（含安装、修理、改造）。</w:t>
            </w:r>
          </w:p>
        </w:tc>
        <w:tc>
          <w:tcPr>
            <w:tcW w:w="5690" w:type="dxa"/>
          </w:tcPr>
          <w:p>
            <w:pPr>
              <w:rPr>
                <w:rFonts w:hint="default" w:eastAsiaTheme="minorEastAsia"/>
                <w:vertAlign w:val="baseline"/>
                <w:lang w:val="en-US" w:eastAsia="zh-CN"/>
              </w:rPr>
            </w:pPr>
            <w:r>
              <w:rPr>
                <w:rFonts w:hint="default" w:eastAsiaTheme="minorEastAsia"/>
                <w:vertAlign w:val="baseline"/>
                <w:lang w:val="en-US" w:eastAsia="zh-CN"/>
              </w:rPr>
              <w:t>①所投货物的制造商必须取得有效的《中华人民共和国特种设备制造许可证》（曳引式客梯B级或以上）；并取得有效的《中华人民共和国特种设备安装改造维修许可证》（电梯B级或以上）；</w:t>
            </w:r>
          </w:p>
          <w:p>
            <w:pPr>
              <w:rPr>
                <w:rFonts w:hint="default" w:eastAsiaTheme="minorEastAsia"/>
                <w:vertAlign w:val="baseline"/>
                <w:lang w:val="en-US" w:eastAsia="zh-CN"/>
              </w:rPr>
            </w:pPr>
            <w:r>
              <w:rPr>
                <w:rFonts w:hint="default" w:eastAsiaTheme="minorEastAsia"/>
                <w:vertAlign w:val="baseline"/>
                <w:lang w:val="en-US" w:eastAsia="zh-CN"/>
              </w:rPr>
              <w:t>②所投货物的制造商必须取得有效的《中华人民共和国特种设备生产许可证》许可项目包含电梯制造（含安装、修理、改造），许可子项目包含：曳引驱动乘客电梯(含消防员电梯)B或以上。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eastAsia" w:eastAsiaTheme="minorEastAsia"/>
                <w:vertAlign w:val="baseline"/>
                <w:lang w:val="en-US" w:eastAsia="zh-CN"/>
              </w:rPr>
            </w:pPr>
            <w:r>
              <w:rPr>
                <w:rFonts w:hint="eastAsia"/>
                <w:vertAlign w:val="baseline"/>
                <w:lang w:val="en-US" w:eastAsia="zh-CN"/>
              </w:rPr>
              <w:t>4</w:t>
            </w:r>
          </w:p>
        </w:tc>
        <w:tc>
          <w:tcPr>
            <w:tcW w:w="2889" w:type="dxa"/>
          </w:tcPr>
          <w:p>
            <w:pPr>
              <w:rPr>
                <w:rFonts w:hint="default" w:eastAsiaTheme="minorEastAsia"/>
                <w:vertAlign w:val="baseline"/>
                <w:lang w:val="en-US" w:eastAsia="zh-CN"/>
              </w:rPr>
            </w:pPr>
            <w:r>
              <w:rPr>
                <w:rFonts w:hint="eastAsia"/>
                <w:vertAlign w:val="baseline"/>
                <w:lang w:val="en-US" w:eastAsia="zh-CN"/>
              </w:rPr>
              <w:t>招标公告 第六点 发布公告的媒介</w:t>
            </w:r>
          </w:p>
        </w:tc>
        <w:tc>
          <w:tcPr>
            <w:tcW w:w="5166" w:type="dxa"/>
          </w:tcPr>
          <w:p>
            <w:pPr>
              <w:rPr>
                <w:rFonts w:hint="eastAsia"/>
                <w:vertAlign w:val="baseline"/>
                <w:lang w:val="en-US"/>
              </w:rPr>
            </w:pPr>
            <w:r>
              <w:rPr>
                <w:rFonts w:hint="eastAsia"/>
                <w:vertAlign w:val="baseline"/>
                <w:lang w:val="en-US"/>
              </w:rPr>
              <w:t>本次招标公告同时在广州公共资源交易网（http://www.gzggzy.cn）、广东省招标投标监管网（http://zbtb.gd.gov.cn）、中国招标投标公共服务平台（http://www.cebpubservice.com）发布，本公告的修改、补充，在广州公共资源交易网发布。本公告在各媒体发布的文本如有不同之处，以在广州公共资源交易网发布的文本为准。</w:t>
            </w:r>
          </w:p>
        </w:tc>
        <w:tc>
          <w:tcPr>
            <w:tcW w:w="5690" w:type="dxa"/>
          </w:tcPr>
          <w:p>
            <w:pPr>
              <w:rPr>
                <w:rFonts w:hint="eastAsia"/>
                <w:vertAlign w:val="baseline"/>
                <w:lang w:val="en-US"/>
              </w:rPr>
            </w:pPr>
            <w:r>
              <w:rPr>
                <w:rFonts w:hint="eastAsia"/>
                <w:vertAlign w:val="baseline"/>
                <w:lang w:val="en-US"/>
              </w:rPr>
              <w:t>本次招标公告同时在广州公共资源交易网（http://www.gzggzy.cn）、广东省招标投标监管网（http://zbtb.gd.gov.cn）、中国招标投标公共服务平台（http://www.cebpubservice.com）发布，本公告的修改、补充，在广州公共资源交易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eastAsia" w:eastAsiaTheme="minorEastAsia"/>
                <w:vertAlign w:val="baseline"/>
                <w:lang w:val="en-US" w:eastAsia="zh-CN"/>
              </w:rPr>
            </w:pPr>
            <w:r>
              <w:rPr>
                <w:rFonts w:hint="eastAsia"/>
                <w:vertAlign w:val="baseline"/>
                <w:lang w:val="en-US" w:eastAsia="zh-CN"/>
              </w:rPr>
              <w:t>5</w:t>
            </w:r>
          </w:p>
        </w:tc>
        <w:tc>
          <w:tcPr>
            <w:tcW w:w="2889" w:type="dxa"/>
          </w:tcPr>
          <w:p>
            <w:pPr>
              <w:rPr>
                <w:rFonts w:hint="default" w:eastAsiaTheme="minorEastAsia"/>
                <w:vertAlign w:val="baseline"/>
                <w:lang w:val="en-US" w:eastAsia="zh-CN"/>
              </w:rPr>
            </w:pPr>
            <w:r>
              <w:rPr>
                <w:rFonts w:hint="eastAsia"/>
                <w:vertAlign w:val="baseline"/>
                <w:lang w:val="en-US" w:eastAsia="zh-CN"/>
              </w:rPr>
              <w:t>投标人须知前附表 1.1.2</w:t>
            </w:r>
          </w:p>
        </w:tc>
        <w:tc>
          <w:tcPr>
            <w:tcW w:w="5166" w:type="dxa"/>
          </w:tcPr>
          <w:p>
            <w:pPr>
              <w:rPr>
                <w:rFonts w:hint="eastAsia"/>
                <w:vertAlign w:val="baseline"/>
                <w:lang w:val="en-US"/>
              </w:rPr>
            </w:pPr>
            <w:r>
              <w:rPr>
                <w:rFonts w:hint="eastAsia" w:ascii="宋体" w:hAnsi="宋体" w:eastAsia="宋体" w:cs="宋体"/>
                <w:szCs w:val="21"/>
                <w:highlight w:val="none"/>
              </w:rPr>
              <w:t>详见招标公告。</w:t>
            </w:r>
          </w:p>
        </w:tc>
        <w:tc>
          <w:tcPr>
            <w:tcW w:w="5690" w:type="dxa"/>
            <w:vAlign w:val="center"/>
          </w:tcPr>
          <w:p>
            <w:pPr>
              <w:jc w:val="left"/>
              <w:rPr>
                <w:rFonts w:hint="eastAsia" w:ascii="宋体" w:hAnsi="宋体" w:cs="宋体"/>
                <w:szCs w:val="21"/>
                <w:highlight w:val="none"/>
              </w:rPr>
            </w:pPr>
            <w:r>
              <w:rPr>
                <w:rFonts w:hint="eastAsia" w:ascii="宋体" w:hAnsi="宋体" w:cs="宋体"/>
                <w:szCs w:val="21"/>
                <w:highlight w:val="none"/>
              </w:rPr>
              <w:t>招 标 人：中国大酒店</w:t>
            </w:r>
          </w:p>
          <w:p>
            <w:pPr>
              <w:jc w:val="left"/>
              <w:rPr>
                <w:rFonts w:hint="eastAsia" w:ascii="宋体" w:hAnsi="宋体" w:cs="宋体"/>
                <w:szCs w:val="21"/>
                <w:highlight w:val="none"/>
              </w:rPr>
            </w:pPr>
            <w:r>
              <w:rPr>
                <w:rFonts w:hint="eastAsia" w:ascii="宋体" w:hAnsi="宋体" w:cs="宋体"/>
                <w:szCs w:val="21"/>
                <w:highlight w:val="none"/>
              </w:rPr>
              <w:t>地    址：广东省广州市越秀区流花路122号</w:t>
            </w:r>
          </w:p>
          <w:p>
            <w:pPr>
              <w:jc w:val="left"/>
              <w:rPr>
                <w:rFonts w:ascii="宋体" w:hAnsi="宋体" w:cs="宋体"/>
                <w:szCs w:val="21"/>
                <w:highlight w:val="none"/>
              </w:rPr>
            </w:pPr>
            <w:r>
              <w:rPr>
                <w:rFonts w:hint="eastAsia" w:ascii="宋体" w:hAnsi="宋体" w:cs="宋体"/>
                <w:szCs w:val="21"/>
                <w:highlight w:val="none"/>
              </w:rPr>
              <w:t>联 系 人：杨工</w:t>
            </w:r>
          </w:p>
          <w:p>
            <w:pPr>
              <w:jc w:val="left"/>
              <w:rPr>
                <w:rFonts w:hint="eastAsia"/>
                <w:vertAlign w:val="baseline"/>
                <w:lang w:val="en-US"/>
              </w:rPr>
            </w:pPr>
            <w:r>
              <w:rPr>
                <w:rFonts w:hint="eastAsia" w:ascii="宋体" w:hAnsi="宋体" w:cs="宋体"/>
                <w:szCs w:val="21"/>
                <w:highlight w:val="none"/>
              </w:rPr>
              <w:t>电    话：18126866631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eastAsia" w:eastAsiaTheme="minorEastAsia"/>
                <w:vertAlign w:val="baseline"/>
                <w:lang w:val="en-US" w:eastAsia="zh-CN"/>
              </w:rPr>
            </w:pPr>
            <w:r>
              <w:rPr>
                <w:rFonts w:hint="eastAsia"/>
                <w:vertAlign w:val="baseline"/>
                <w:lang w:val="en-US" w:eastAsia="zh-CN"/>
              </w:rPr>
              <w:t>6</w:t>
            </w:r>
          </w:p>
        </w:tc>
        <w:tc>
          <w:tcPr>
            <w:tcW w:w="2889" w:type="dxa"/>
          </w:tcPr>
          <w:p>
            <w:pPr>
              <w:rPr>
                <w:rFonts w:hint="default"/>
                <w:vertAlign w:val="baseline"/>
                <w:lang w:val="en-US"/>
              </w:rPr>
            </w:pPr>
            <w:r>
              <w:rPr>
                <w:rFonts w:hint="eastAsia"/>
                <w:vertAlign w:val="baseline"/>
                <w:lang w:val="en-US" w:eastAsia="zh-CN"/>
              </w:rPr>
              <w:t>投标人须知前附表1.1.3</w:t>
            </w:r>
          </w:p>
        </w:tc>
        <w:tc>
          <w:tcPr>
            <w:tcW w:w="5166" w:type="dxa"/>
          </w:tcPr>
          <w:p>
            <w:pPr>
              <w:rPr>
                <w:rFonts w:hint="eastAsia"/>
                <w:vertAlign w:val="baseline"/>
                <w:lang w:val="en-US"/>
              </w:rPr>
            </w:pPr>
            <w:r>
              <w:rPr>
                <w:rFonts w:hint="eastAsia" w:ascii="宋体" w:hAnsi="宋体" w:eastAsia="宋体" w:cs="宋体"/>
                <w:szCs w:val="21"/>
                <w:highlight w:val="none"/>
              </w:rPr>
              <w:t>详见招标公告。</w:t>
            </w:r>
          </w:p>
        </w:tc>
        <w:tc>
          <w:tcPr>
            <w:tcW w:w="5690" w:type="dxa"/>
            <w:vAlign w:val="center"/>
          </w:tcPr>
          <w:p>
            <w:pPr>
              <w:jc w:val="left"/>
              <w:rPr>
                <w:rFonts w:hint="eastAsia" w:ascii="宋体" w:hAnsi="宋体" w:cs="宋体"/>
                <w:szCs w:val="21"/>
                <w:highlight w:val="none"/>
              </w:rPr>
            </w:pPr>
            <w:r>
              <w:rPr>
                <w:rFonts w:hint="eastAsia" w:ascii="宋体" w:hAnsi="宋体" w:cs="宋体"/>
                <w:szCs w:val="21"/>
                <w:highlight w:val="none"/>
              </w:rPr>
              <w:t>招标代理机构：新誉时代工程咨询有限公司</w:t>
            </w:r>
          </w:p>
          <w:p>
            <w:pPr>
              <w:jc w:val="left"/>
              <w:rPr>
                <w:rFonts w:hint="eastAsia" w:ascii="宋体" w:hAnsi="宋体" w:cs="宋体"/>
                <w:szCs w:val="21"/>
                <w:highlight w:val="none"/>
              </w:rPr>
            </w:pPr>
            <w:r>
              <w:rPr>
                <w:rFonts w:hint="eastAsia" w:ascii="宋体" w:hAnsi="宋体" w:cs="宋体"/>
                <w:szCs w:val="21"/>
                <w:highlight w:val="none"/>
              </w:rPr>
              <w:t>地    址：广州市天河区体育西路123号新创举大厦14楼自编1401</w:t>
            </w:r>
          </w:p>
          <w:p>
            <w:pPr>
              <w:jc w:val="left"/>
              <w:rPr>
                <w:rFonts w:ascii="宋体" w:hAnsi="宋体" w:cs="宋体"/>
                <w:szCs w:val="21"/>
                <w:highlight w:val="none"/>
              </w:rPr>
            </w:pPr>
            <w:r>
              <w:rPr>
                <w:rFonts w:hint="eastAsia" w:ascii="宋体" w:hAnsi="宋体" w:cs="宋体"/>
                <w:szCs w:val="21"/>
                <w:highlight w:val="none"/>
              </w:rPr>
              <w:t>联 系 人：龙工</w:t>
            </w:r>
          </w:p>
          <w:p>
            <w:pPr>
              <w:jc w:val="left"/>
              <w:rPr>
                <w:rFonts w:hint="eastAsia"/>
                <w:vertAlign w:val="baseline"/>
                <w:lang w:val="en-US"/>
              </w:rPr>
            </w:pPr>
            <w:r>
              <w:rPr>
                <w:rFonts w:hint="eastAsia" w:ascii="宋体" w:hAnsi="宋体" w:cs="宋体"/>
                <w:szCs w:val="21"/>
                <w:highlight w:val="none"/>
              </w:rPr>
              <w:t>电    话：18928904449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7</w:t>
            </w:r>
          </w:p>
        </w:tc>
        <w:tc>
          <w:tcPr>
            <w:tcW w:w="2889" w:type="dxa"/>
          </w:tcPr>
          <w:p>
            <w:pPr>
              <w:rPr>
                <w:rFonts w:hint="default"/>
                <w:vertAlign w:val="baseline"/>
                <w:lang w:val="en-US"/>
              </w:rPr>
            </w:pPr>
            <w:r>
              <w:rPr>
                <w:rFonts w:hint="eastAsia"/>
                <w:vertAlign w:val="baseline"/>
                <w:lang w:val="en-US" w:eastAsia="zh-CN"/>
              </w:rPr>
              <w:t>投标人须知前附表1.2.1</w:t>
            </w:r>
          </w:p>
        </w:tc>
        <w:tc>
          <w:tcPr>
            <w:tcW w:w="5166" w:type="dxa"/>
          </w:tcPr>
          <w:p>
            <w:pPr>
              <w:rPr>
                <w:rFonts w:hint="eastAsia"/>
                <w:vertAlign w:val="baseline"/>
                <w:lang w:val="en-US"/>
              </w:rPr>
            </w:pPr>
            <w:r>
              <w:rPr>
                <w:rFonts w:hint="eastAsia" w:ascii="宋体" w:hAnsi="宋体" w:eastAsia="宋体" w:cs="宋体"/>
                <w:szCs w:val="21"/>
                <w:highlight w:val="none"/>
              </w:rPr>
              <w:t>资金；100%。</w:t>
            </w:r>
          </w:p>
        </w:tc>
        <w:tc>
          <w:tcPr>
            <w:tcW w:w="5690" w:type="dxa"/>
          </w:tcPr>
          <w:p>
            <w:pPr>
              <w:rPr>
                <w:rFonts w:hint="eastAsia"/>
                <w:vertAlign w:val="baseline"/>
                <w:lang w:val="en-US"/>
              </w:rPr>
            </w:pPr>
            <w:r>
              <w:rPr>
                <w:rFonts w:hint="eastAsia" w:ascii="宋体" w:hAnsi="宋体" w:eastAsia="宋体" w:cs="宋体"/>
                <w:szCs w:val="21"/>
                <w:highlight w:val="none"/>
              </w:rPr>
              <w:t>企业自筹资金；100%。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8</w:t>
            </w:r>
          </w:p>
        </w:tc>
        <w:tc>
          <w:tcPr>
            <w:tcW w:w="2889" w:type="dxa"/>
          </w:tcPr>
          <w:p>
            <w:pPr>
              <w:rPr>
                <w:rFonts w:hint="eastAsia" w:eastAsia="宋体"/>
                <w:vertAlign w:val="baseline"/>
                <w:lang w:val="en-US" w:eastAsia="zh-CN"/>
              </w:rPr>
            </w:pPr>
            <w:r>
              <w:rPr>
                <w:rFonts w:hint="eastAsia"/>
                <w:vertAlign w:val="baseline"/>
                <w:lang w:val="en-US" w:eastAsia="zh-CN"/>
              </w:rPr>
              <w:t xml:space="preserve">评标办法前附表 </w:t>
            </w:r>
            <w:r>
              <w:rPr>
                <w:rFonts w:hint="eastAsia" w:ascii="宋体" w:hAnsi="宋体" w:eastAsia="宋体" w:cs="宋体"/>
                <w:szCs w:val="21"/>
                <w:highlight w:val="none"/>
              </w:rPr>
              <w:t>2.1.2</w:t>
            </w:r>
            <w:r>
              <w:rPr>
                <w:rFonts w:hint="eastAsia" w:ascii="宋体" w:hAnsi="宋体" w:eastAsia="宋体" w:cs="宋体"/>
                <w:szCs w:val="21"/>
                <w:highlight w:val="none"/>
                <w:lang w:val="en-US" w:eastAsia="zh-CN"/>
              </w:rPr>
              <w:t xml:space="preserve"> 资格评审标准</w:t>
            </w:r>
          </w:p>
        </w:tc>
        <w:tc>
          <w:tcPr>
            <w:tcW w:w="5166" w:type="dxa"/>
          </w:tcPr>
          <w:p>
            <w:pPr>
              <w:rPr>
                <w:rFonts w:hint="eastAsia" w:ascii="宋体" w:hAnsi="宋体" w:eastAsia="宋体" w:cs="宋体"/>
                <w:szCs w:val="21"/>
                <w:highlight w:val="none"/>
              </w:rPr>
            </w:pPr>
            <w:r>
              <w:rPr>
                <w:rFonts w:hint="eastAsia" w:ascii="宋体" w:hAnsi="宋体" w:eastAsia="宋体" w:cs="宋体"/>
                <w:szCs w:val="21"/>
                <w:highlight w:val="none"/>
              </w:rPr>
              <w:t>未被纳入失信联合惩戒名单且被限制参与相关项目投标</w:t>
            </w:r>
          </w:p>
        </w:tc>
        <w:tc>
          <w:tcPr>
            <w:tcW w:w="5690" w:type="dxa"/>
          </w:tcPr>
          <w:p>
            <w:pPr>
              <w:rPr>
                <w:rFonts w:hint="eastAsia" w:ascii="宋体" w:hAnsi="宋体" w:eastAsia="宋体" w:cs="宋体"/>
                <w:szCs w:val="21"/>
                <w:highlight w:val="none"/>
              </w:rPr>
            </w:pPr>
            <w:r>
              <w:rPr>
                <w:rFonts w:hint="eastAsia" w:ascii="宋体" w:hAnsi="宋体" w:eastAsia="宋体" w:cs="宋体"/>
                <w:szCs w:val="21"/>
                <w:highlight w:val="none"/>
              </w:rPr>
              <w:t>未被列入拖欠农民工工资失信联合惩戒对象名单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9</w:t>
            </w:r>
          </w:p>
        </w:tc>
        <w:tc>
          <w:tcPr>
            <w:tcW w:w="2889" w:type="dxa"/>
          </w:tcPr>
          <w:p>
            <w:pPr>
              <w:rPr>
                <w:rFonts w:hint="default"/>
                <w:highlight w:val="none"/>
                <w:vertAlign w:val="baseline"/>
                <w:lang w:val="en-US" w:eastAsia="zh-CN"/>
              </w:rPr>
            </w:pPr>
            <w:r>
              <w:rPr>
                <w:rFonts w:hint="eastAsia"/>
                <w:highlight w:val="none"/>
                <w:vertAlign w:val="baseline"/>
                <w:lang w:val="en-US" w:eastAsia="zh-CN"/>
              </w:rPr>
              <w:t>评标办法前附表 2.2.2 评标基准价计算方法</w:t>
            </w:r>
          </w:p>
        </w:tc>
        <w:tc>
          <w:tcPr>
            <w:tcW w:w="5166" w:type="dxa"/>
          </w:tcPr>
          <w:p>
            <w:pPr>
              <w:spacing w:line="400" w:lineRule="exact"/>
              <w:rPr>
                <w:rFonts w:ascii="宋体" w:hAnsi="宋体" w:eastAsia="宋体" w:cs="宋体"/>
                <w:szCs w:val="21"/>
                <w:highlight w:val="none"/>
              </w:rPr>
            </w:pPr>
            <w:r>
              <w:rPr>
                <w:rFonts w:hint="eastAsia" w:ascii="宋体" w:hAnsi="宋体" w:eastAsia="宋体" w:cs="宋体"/>
                <w:szCs w:val="21"/>
                <w:highlight w:val="none"/>
              </w:rPr>
              <w:t>参与评标基准价计算范围为[最高投标限价×90%，最高投标限价]，超过此范围的报价不参与评标基准价的计算。</w:t>
            </w:r>
          </w:p>
          <w:p>
            <w:pPr>
              <w:pStyle w:val="2"/>
              <w:ind w:left="0" w:leftChars="0" w:firstLine="0" w:firstLineChars="0"/>
              <w:rPr>
                <w:highlight w:val="none"/>
              </w:rPr>
            </w:pPr>
            <w:r>
              <w:rPr>
                <w:rFonts w:hint="eastAsia"/>
                <w:highlight w:val="none"/>
              </w:rPr>
              <w:t>评审价格</w:t>
            </w:r>
            <w:r>
              <w:rPr>
                <w:highlight w:val="none"/>
              </w:rPr>
              <w:t>=各</w:t>
            </w:r>
            <w:r>
              <w:rPr>
                <w:rFonts w:hint="eastAsia"/>
                <w:highlight w:val="none"/>
              </w:rPr>
              <w:t>投标</w:t>
            </w:r>
            <w:r>
              <w:rPr>
                <w:highlight w:val="none"/>
              </w:rPr>
              <w:t>人经修正后的含税总价－各</w:t>
            </w:r>
            <w:r>
              <w:rPr>
                <w:rFonts w:hint="eastAsia"/>
                <w:highlight w:val="none"/>
              </w:rPr>
              <w:t>投标</w:t>
            </w:r>
            <w:r>
              <w:rPr>
                <w:highlight w:val="none"/>
              </w:rPr>
              <w:t>人经修正后的含税总价÷（1＋各</w:t>
            </w:r>
            <w:r>
              <w:rPr>
                <w:rFonts w:hint="eastAsia"/>
                <w:highlight w:val="none"/>
              </w:rPr>
              <w:t>投标</w:t>
            </w:r>
            <w:r>
              <w:rPr>
                <w:highlight w:val="none"/>
              </w:rPr>
              <w:t>人增值税税率）×各</w:t>
            </w:r>
            <w:r>
              <w:rPr>
                <w:rFonts w:hint="eastAsia"/>
                <w:highlight w:val="none"/>
              </w:rPr>
              <w:t>投标</w:t>
            </w:r>
            <w:r>
              <w:rPr>
                <w:highlight w:val="none"/>
              </w:rPr>
              <w:t>人增值税税率×（1＋12％）</w:t>
            </w:r>
          </w:p>
          <w:p>
            <w:pPr>
              <w:spacing w:line="400" w:lineRule="exact"/>
              <w:rPr>
                <w:rFonts w:ascii="宋体" w:hAnsi="宋体" w:eastAsia="宋体" w:cs="宋体"/>
                <w:szCs w:val="21"/>
                <w:highlight w:val="none"/>
              </w:rPr>
            </w:pPr>
            <w:r>
              <w:rPr>
                <w:rFonts w:hint="eastAsia" w:ascii="宋体" w:hAnsi="宋体" w:eastAsia="宋体" w:cs="宋体"/>
                <w:szCs w:val="21"/>
                <w:highlight w:val="none"/>
              </w:rPr>
              <w:t>1.当投标价格在参与评标基准价计算范围[最高投标限价×90%，最高投标限价]内且通过形式评审、资格评审、响应性评审的有效投标人大于等于5名时，所有入围的有效投标价中去掉一个最高价和一个最低价，取余下有效评审价格的算术平均值作为评标基准价。</w:t>
            </w:r>
          </w:p>
          <w:p>
            <w:pPr>
              <w:spacing w:line="400" w:lineRule="exact"/>
              <w:rPr>
                <w:rFonts w:ascii="宋体" w:hAnsi="宋体" w:eastAsia="宋体" w:cs="宋体"/>
                <w:szCs w:val="21"/>
                <w:highlight w:val="none"/>
              </w:rPr>
            </w:pPr>
            <w:r>
              <w:rPr>
                <w:rFonts w:hint="eastAsia" w:ascii="宋体" w:hAnsi="宋体" w:eastAsia="宋体" w:cs="宋体"/>
                <w:szCs w:val="21"/>
                <w:highlight w:val="none"/>
              </w:rPr>
              <w:t>2.当投标价格在参与评标基准价计算范围内且通过形式评审、资格评审、响应性评审的有效投标人小于5名时，取所有入围的有效评审价格的算术平均值作为评标基准价。</w:t>
            </w:r>
          </w:p>
          <w:p>
            <w:pPr>
              <w:rPr>
                <w:rFonts w:hint="eastAsia" w:ascii="宋体" w:hAnsi="宋体" w:eastAsia="宋体" w:cs="宋体"/>
                <w:szCs w:val="21"/>
                <w:highlight w:val="none"/>
              </w:rPr>
            </w:pPr>
            <w:r>
              <w:rPr>
                <w:rFonts w:hint="eastAsia" w:ascii="宋体" w:hAnsi="宋体" w:eastAsia="宋体" w:cs="宋体"/>
                <w:szCs w:val="21"/>
                <w:highlight w:val="none"/>
              </w:rPr>
              <w:t>3.若没有投标价格在参与评标基准价计算范围内且通过形式评审、资格评审、响应性评审的有效投标人时，最高投标限价之评审价格×90%为评标基准价。最高投标限价之评审价格，按上述计算各投标人之评审价格的方法计算。</w:t>
            </w:r>
          </w:p>
        </w:tc>
        <w:tc>
          <w:tcPr>
            <w:tcW w:w="5690" w:type="dxa"/>
          </w:tcPr>
          <w:p>
            <w:pPr>
              <w:spacing w:line="400" w:lineRule="exact"/>
              <w:rPr>
                <w:rFonts w:ascii="宋体" w:hAnsi="宋体" w:eastAsia="宋体" w:cs="宋体"/>
                <w:szCs w:val="21"/>
                <w:highlight w:val="none"/>
              </w:rPr>
            </w:pPr>
            <w:r>
              <w:rPr>
                <w:rFonts w:hint="eastAsia" w:ascii="宋体" w:hAnsi="宋体" w:eastAsia="宋体" w:cs="宋体"/>
                <w:szCs w:val="21"/>
                <w:highlight w:val="none"/>
              </w:rPr>
              <w:t>1.当投标价格在参与评标基准价计算范围[最高投标限价×90%，最高投标限价]内且通过形式评审、资格评审、响应性评审的有效投标人大于等于5名时，所有入围的有效投标价中去掉一个最高价和一个最低价，取余下有效</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价格的算术平均值作为评标基准价。</w:t>
            </w:r>
          </w:p>
          <w:p>
            <w:pPr>
              <w:spacing w:line="400" w:lineRule="exact"/>
              <w:rPr>
                <w:rFonts w:ascii="宋体" w:hAnsi="宋体" w:eastAsia="宋体" w:cs="宋体"/>
                <w:szCs w:val="21"/>
                <w:highlight w:val="none"/>
              </w:rPr>
            </w:pPr>
            <w:r>
              <w:rPr>
                <w:rFonts w:hint="eastAsia" w:ascii="宋体" w:hAnsi="宋体" w:eastAsia="宋体" w:cs="宋体"/>
                <w:szCs w:val="21"/>
                <w:highlight w:val="none"/>
              </w:rPr>
              <w:t>2.当投标价格在参与评标基准价计算范围[最高投标限价×90%，最高投标限价]内且通过形式评审、资格评审、响应性评审的有效投标人小于5名时，取所有入围的有效投标价的算术平均值作为评标基准价。</w:t>
            </w:r>
          </w:p>
          <w:p>
            <w:pPr>
              <w:rPr>
                <w:rFonts w:hint="eastAsia" w:ascii="宋体" w:hAnsi="宋体" w:cs="宋体" w:eastAsiaTheme="minorEastAsia"/>
                <w:szCs w:val="21"/>
                <w:highlight w:val="none"/>
                <w:lang w:eastAsia="zh-CN"/>
              </w:rPr>
            </w:pPr>
            <w:r>
              <w:rPr>
                <w:rFonts w:hint="eastAsia" w:ascii="宋体" w:hAnsi="宋体" w:eastAsia="宋体" w:cs="宋体"/>
                <w:szCs w:val="21"/>
                <w:highlight w:val="none"/>
              </w:rPr>
              <w:t>3.若没有投标价格在参与评标基准价计算范围[最高投标限价×90%，最高投标限价]内且通过形式评审、资格评审、响应性评审的有效投标人时，</w:t>
            </w:r>
            <w:r>
              <w:rPr>
                <w:rFonts w:hint="eastAsia" w:ascii="宋体" w:hAnsi="宋体" w:cs="宋体"/>
                <w:color w:val="auto"/>
                <w:kern w:val="0"/>
                <w:szCs w:val="21"/>
                <w:highlight w:val="none"/>
                <w:lang w:bidi="ar"/>
              </w:rPr>
              <w:t>以最高投标限价×90%为评标基准价</w:t>
            </w:r>
            <w:r>
              <w:rPr>
                <w:rFonts w:hint="eastAsia" w:ascii="宋体" w:hAnsi="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10</w:t>
            </w:r>
          </w:p>
        </w:tc>
        <w:tc>
          <w:tcPr>
            <w:tcW w:w="2889" w:type="dxa"/>
          </w:tcPr>
          <w:p>
            <w:pPr>
              <w:jc w:val="center"/>
              <w:rPr>
                <w:rFonts w:hint="eastAsia" w:ascii="宋体" w:hAnsi="宋体" w:eastAsia="宋体" w:cs="宋体"/>
                <w:szCs w:val="21"/>
                <w:highlight w:val="none"/>
                <w:lang w:val="en-US" w:eastAsia="zh-CN"/>
              </w:rPr>
            </w:pPr>
            <w:r>
              <w:rPr>
                <w:rFonts w:hint="eastAsia"/>
                <w:vertAlign w:val="baseline"/>
                <w:lang w:val="en-US" w:eastAsia="zh-CN"/>
              </w:rPr>
              <w:t xml:space="preserve">评标办法前附表 </w:t>
            </w:r>
            <w:r>
              <w:rPr>
                <w:rFonts w:hint="eastAsia" w:ascii="宋体" w:hAnsi="宋体" w:eastAsia="宋体" w:cs="宋体"/>
                <w:szCs w:val="21"/>
                <w:highlight w:val="none"/>
              </w:rPr>
              <w:t>2.2.4（1）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商务评分标准</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同类项目经验</w:t>
            </w:r>
          </w:p>
          <w:p>
            <w:pPr>
              <w:rPr>
                <w:rFonts w:hint="eastAsia" w:eastAsia="宋体"/>
                <w:vertAlign w:val="baseline"/>
                <w:lang w:val="en-US" w:eastAsia="zh-CN"/>
              </w:rPr>
            </w:pPr>
          </w:p>
        </w:tc>
        <w:tc>
          <w:tcPr>
            <w:tcW w:w="5166" w:type="dxa"/>
          </w:tcPr>
          <w:p>
            <w:pPr>
              <w:snapToGrid w:val="0"/>
              <w:rPr>
                <w:rFonts w:ascii="宋体" w:hAnsi="宋体" w:eastAsia="宋体" w:cs="宋体"/>
                <w:szCs w:val="21"/>
                <w:highlight w:val="none"/>
              </w:rPr>
            </w:pPr>
            <w:r>
              <w:rPr>
                <w:rFonts w:hint="eastAsia" w:ascii="宋体" w:hAnsi="宋体" w:eastAsia="宋体" w:cs="宋体"/>
                <w:szCs w:val="21"/>
                <w:highlight w:val="none"/>
              </w:rPr>
              <w:t>投标人近3年的同类项目业绩(以合同签订时间为准)，每提供一项得0.5分，本项最高得2分。</w:t>
            </w:r>
          </w:p>
          <w:p>
            <w:pPr>
              <w:rPr>
                <w:rFonts w:hint="eastAsia" w:ascii="宋体" w:hAnsi="宋体" w:eastAsia="宋体" w:cs="宋体"/>
                <w:szCs w:val="21"/>
                <w:highlight w:val="none"/>
              </w:rPr>
            </w:pPr>
            <w:r>
              <w:rPr>
                <w:rFonts w:hint="eastAsia" w:ascii="宋体" w:hAnsi="宋体" w:eastAsia="宋体" w:cs="宋体"/>
                <w:szCs w:val="21"/>
                <w:highlight w:val="none"/>
              </w:rPr>
              <w:t>备注：需提供合同关键页（含签订合同双方的单位名称、合同项目名称、签订合同双方的落款盖章）复印件，不提供不得分。</w:t>
            </w:r>
          </w:p>
        </w:tc>
        <w:tc>
          <w:tcPr>
            <w:tcW w:w="5690" w:type="dxa"/>
          </w:tcPr>
          <w:p>
            <w:pPr>
              <w:rPr>
                <w:rFonts w:hint="eastAsia" w:ascii="宋体" w:hAnsi="宋体" w:eastAsia="宋体" w:cs="宋体"/>
                <w:szCs w:val="21"/>
                <w:highlight w:val="none"/>
              </w:rPr>
            </w:pPr>
            <w:r>
              <w:rPr>
                <w:rFonts w:hint="eastAsia" w:ascii="宋体" w:hAnsi="宋体" w:eastAsia="宋体" w:cs="宋体"/>
                <w:szCs w:val="21"/>
                <w:highlight w:val="none"/>
              </w:rPr>
              <w:t>投标人近3年的同类项目业绩，每提供一项得0.5分，本项最高得3分。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11</w:t>
            </w:r>
          </w:p>
        </w:tc>
        <w:tc>
          <w:tcPr>
            <w:tcW w:w="2889" w:type="dxa"/>
            <w:vAlign w:val="top"/>
          </w:tcPr>
          <w:p>
            <w:pPr>
              <w:jc w:val="center"/>
              <w:rPr>
                <w:rFonts w:hint="eastAsia" w:ascii="宋体" w:hAnsi="宋体" w:eastAsia="宋体" w:cs="宋体"/>
                <w:szCs w:val="21"/>
                <w:highlight w:val="none"/>
                <w:lang w:val="en-US" w:eastAsia="zh-CN"/>
              </w:rPr>
            </w:pPr>
            <w:r>
              <w:rPr>
                <w:rFonts w:hint="eastAsia"/>
                <w:vertAlign w:val="baseline"/>
                <w:lang w:val="en-US" w:eastAsia="zh-CN"/>
              </w:rPr>
              <w:t xml:space="preserve">评标办法前附表 </w:t>
            </w:r>
            <w:r>
              <w:rPr>
                <w:rFonts w:hint="eastAsia" w:ascii="宋体" w:hAnsi="宋体" w:eastAsia="宋体" w:cs="宋体"/>
                <w:szCs w:val="21"/>
                <w:highlight w:val="none"/>
              </w:rPr>
              <w:t>2.2.4（1）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商务评分标准</w:t>
            </w:r>
            <w:r>
              <w:rPr>
                <w:rFonts w:hint="eastAsia" w:ascii="宋体" w:hAnsi="宋体" w:eastAsia="宋体" w:cs="宋体"/>
                <w:szCs w:val="21"/>
                <w:highlight w:val="none"/>
                <w:lang w:val="en-US" w:eastAsia="zh-CN"/>
              </w:rPr>
              <w:t xml:space="preserve"> 进度计划方案</w:t>
            </w:r>
          </w:p>
          <w:p>
            <w:pPr>
              <w:rPr>
                <w:rFonts w:hint="eastAsia" w:eastAsia="宋体"/>
                <w:vertAlign w:val="baseline"/>
                <w:lang w:val="en-US" w:eastAsia="zh-CN"/>
              </w:rPr>
            </w:pPr>
          </w:p>
        </w:tc>
        <w:tc>
          <w:tcPr>
            <w:tcW w:w="5166" w:type="dxa"/>
            <w:vAlign w:val="top"/>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根据项目进度计划方案进行综合评分：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优：进度计划方案非常科学合理、切实可行，得4分；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良：进度计划方案较科学合理、较切实可行，得3分；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中：进度计划方案一般科学合理、一般切实可行，得2分；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差：进度计划方案不够科学合理、不够切实可行，得1分；</w:t>
            </w:r>
          </w:p>
          <w:p>
            <w:pPr>
              <w:rPr>
                <w:rFonts w:hint="eastAsia"/>
              </w:rPr>
            </w:pPr>
            <w:r>
              <w:rPr>
                <w:rFonts w:hint="eastAsia" w:ascii="Times New Roman" w:hAnsi="Times New Roman" w:eastAsia="宋体" w:cs="Times New Roman"/>
                <w:highlight w:val="none"/>
              </w:rPr>
              <w:t>不提供不得分。</w:t>
            </w:r>
          </w:p>
        </w:tc>
        <w:tc>
          <w:tcPr>
            <w:tcW w:w="5690" w:type="dxa"/>
            <w:vAlign w:val="top"/>
          </w:tcPr>
          <w:p>
            <w:pPr>
              <w:numPr>
                <w:ilvl w:val="0"/>
                <w:numId w:val="0"/>
              </w:numPr>
              <w:rPr>
                <w:rFonts w:hint="eastAsia"/>
                <w:highlight w:val="none"/>
              </w:rPr>
            </w:pPr>
            <w:r>
              <w:rPr>
                <w:rFonts w:hint="eastAsia"/>
                <w:highlight w:val="none"/>
              </w:rPr>
              <w:t>根据项目进度计划方案进行综合评分：</w:t>
            </w:r>
          </w:p>
          <w:p>
            <w:pPr>
              <w:numPr>
                <w:ilvl w:val="0"/>
                <w:numId w:val="0"/>
              </w:numPr>
              <w:rPr>
                <w:rFonts w:hint="eastAsia"/>
                <w:highlight w:val="none"/>
              </w:rPr>
            </w:pPr>
            <w:r>
              <w:rPr>
                <w:rFonts w:hint="eastAsia"/>
                <w:highlight w:val="none"/>
              </w:rPr>
              <w:t>优：进度计划方案非常科学合理、切实可行，得5分；</w:t>
            </w:r>
          </w:p>
          <w:p>
            <w:pPr>
              <w:numPr>
                <w:ilvl w:val="0"/>
                <w:numId w:val="0"/>
              </w:numPr>
              <w:rPr>
                <w:rFonts w:hint="eastAsia"/>
                <w:highlight w:val="none"/>
              </w:rPr>
            </w:pPr>
            <w:r>
              <w:rPr>
                <w:rFonts w:hint="eastAsia"/>
                <w:highlight w:val="none"/>
              </w:rPr>
              <w:t>良：进度计划方案较科学合理、较切实可行，得3分；</w:t>
            </w:r>
          </w:p>
          <w:p>
            <w:pPr>
              <w:numPr>
                <w:ilvl w:val="0"/>
                <w:numId w:val="0"/>
              </w:numPr>
              <w:rPr>
                <w:rFonts w:hint="eastAsia"/>
                <w:highlight w:val="none"/>
              </w:rPr>
            </w:pPr>
            <w:r>
              <w:rPr>
                <w:rFonts w:hint="eastAsia"/>
                <w:highlight w:val="none"/>
              </w:rPr>
              <w:t>中：进度计划方案一般科学合理、一般切实可行，得2分；</w:t>
            </w:r>
          </w:p>
          <w:p>
            <w:pPr>
              <w:numPr>
                <w:ilvl w:val="0"/>
                <w:numId w:val="0"/>
              </w:numPr>
              <w:rPr>
                <w:rFonts w:hint="eastAsia"/>
                <w:highlight w:val="none"/>
              </w:rPr>
            </w:pPr>
            <w:r>
              <w:rPr>
                <w:rFonts w:hint="eastAsia"/>
                <w:highlight w:val="none"/>
              </w:rPr>
              <w:t>差：进度计划方案不够科学合理、不够切实可行，得1分；</w:t>
            </w:r>
          </w:p>
          <w:p>
            <w:pPr>
              <w:numPr>
                <w:ilvl w:val="0"/>
                <w:numId w:val="0"/>
              </w:numPr>
              <w:ind w:left="0" w:leftChars="0" w:firstLine="0" w:firstLineChars="0"/>
              <w:rPr>
                <w:rFonts w:hint="eastAsia" w:ascii="宋体" w:hAnsi="宋体" w:eastAsia="宋体" w:cs="宋体"/>
                <w:szCs w:val="21"/>
                <w:highlight w:val="none"/>
              </w:rPr>
            </w:pPr>
            <w:r>
              <w:rPr>
                <w:rFonts w:hint="eastAsia"/>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12</w:t>
            </w:r>
          </w:p>
        </w:tc>
        <w:tc>
          <w:tcPr>
            <w:tcW w:w="2889" w:type="dxa"/>
          </w:tcPr>
          <w:p>
            <w:pPr>
              <w:rPr>
                <w:rFonts w:hint="eastAsia"/>
                <w:vertAlign w:val="baseline"/>
                <w:lang w:val="en-US" w:eastAsia="zh-CN"/>
              </w:rPr>
            </w:pPr>
            <w:r>
              <w:rPr>
                <w:rFonts w:hint="eastAsia"/>
                <w:vertAlign w:val="baseline"/>
                <w:lang w:val="en-US" w:eastAsia="zh-CN"/>
              </w:rPr>
              <w:t xml:space="preserve">评标办法前附表 </w:t>
            </w:r>
            <w:r>
              <w:rPr>
                <w:rFonts w:hint="eastAsia" w:ascii="宋体" w:hAnsi="宋体" w:eastAsia="宋体" w:cs="宋体"/>
                <w:szCs w:val="21"/>
                <w:highlight w:val="none"/>
              </w:rPr>
              <w:t>2.2.4（1）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商务评分标准</w:t>
            </w:r>
            <w:r>
              <w:rPr>
                <w:rFonts w:hint="eastAsia" w:ascii="宋体" w:hAnsi="宋体" w:eastAsia="宋体" w:cs="宋体"/>
                <w:szCs w:val="21"/>
                <w:highlight w:val="none"/>
                <w:lang w:val="en-US" w:eastAsia="zh-CN"/>
              </w:rPr>
              <w:t xml:space="preserve"> </w:t>
            </w:r>
            <w:r>
              <w:rPr>
                <w:rFonts w:hint="eastAsia" w:ascii="宋体" w:hAnsi="宋体" w:eastAsia="宋体" w:cs="宋体"/>
                <w:bCs/>
                <w:szCs w:val="21"/>
                <w:highlight w:val="none"/>
              </w:rPr>
              <w:t>质量控制保障措施和方法</w:t>
            </w:r>
          </w:p>
        </w:tc>
        <w:tc>
          <w:tcPr>
            <w:tcW w:w="5166" w:type="dxa"/>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根据项目质量控制保障措施和方法进行综合评分：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优：方案具体详细、可行性和针对性强，得4分；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良：方案较具体详细、可行性和针对性较强，得3分；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中：方案一般具体详细、可行性和针对性一般，得2分；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差：方案不够具体详细、可行性和针对性差，得1分；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不提供不得分。</w:t>
            </w:r>
          </w:p>
        </w:tc>
        <w:tc>
          <w:tcPr>
            <w:tcW w:w="5690" w:type="dxa"/>
          </w:tcPr>
          <w:p>
            <w:pPr>
              <w:numPr>
                <w:ilvl w:val="0"/>
                <w:numId w:val="0"/>
              </w:numPr>
              <w:rPr>
                <w:rFonts w:hint="eastAsia"/>
                <w:highlight w:val="none"/>
              </w:rPr>
            </w:pPr>
            <w:r>
              <w:rPr>
                <w:rFonts w:hint="eastAsia"/>
                <w:highlight w:val="none"/>
              </w:rPr>
              <w:t>根据项目质量控制保障措施和方法进行综合评分：</w:t>
            </w:r>
          </w:p>
          <w:p>
            <w:pPr>
              <w:numPr>
                <w:ilvl w:val="0"/>
                <w:numId w:val="0"/>
              </w:numPr>
              <w:rPr>
                <w:rFonts w:hint="eastAsia"/>
                <w:highlight w:val="none"/>
              </w:rPr>
            </w:pPr>
            <w:r>
              <w:rPr>
                <w:rFonts w:hint="eastAsia"/>
                <w:highlight w:val="none"/>
              </w:rPr>
              <w:t>优：方案具体详细、可行性和针对性强，得5分；</w:t>
            </w:r>
          </w:p>
          <w:p>
            <w:pPr>
              <w:numPr>
                <w:ilvl w:val="0"/>
                <w:numId w:val="0"/>
              </w:numPr>
              <w:rPr>
                <w:rFonts w:hint="eastAsia"/>
                <w:highlight w:val="none"/>
              </w:rPr>
            </w:pPr>
            <w:r>
              <w:rPr>
                <w:rFonts w:hint="eastAsia"/>
                <w:highlight w:val="none"/>
              </w:rPr>
              <w:t>良：方案较具体详细、可行性和针对性较强，得3分；</w:t>
            </w:r>
          </w:p>
          <w:p>
            <w:pPr>
              <w:numPr>
                <w:ilvl w:val="0"/>
                <w:numId w:val="0"/>
              </w:numPr>
              <w:rPr>
                <w:rFonts w:hint="eastAsia"/>
                <w:highlight w:val="none"/>
              </w:rPr>
            </w:pPr>
            <w:r>
              <w:rPr>
                <w:rFonts w:hint="eastAsia"/>
                <w:highlight w:val="none"/>
              </w:rPr>
              <w:t>中：方案一般具体详细、可行性和针对性一般，得2分；</w:t>
            </w:r>
          </w:p>
          <w:p>
            <w:pPr>
              <w:numPr>
                <w:ilvl w:val="0"/>
                <w:numId w:val="0"/>
              </w:numPr>
              <w:rPr>
                <w:rFonts w:hint="eastAsia"/>
                <w:highlight w:val="none"/>
              </w:rPr>
            </w:pPr>
            <w:r>
              <w:rPr>
                <w:rFonts w:hint="eastAsia"/>
                <w:highlight w:val="none"/>
              </w:rPr>
              <w:t>差：方案不够具体详细、可行性和针对性差，得1分；</w:t>
            </w:r>
          </w:p>
          <w:p>
            <w:pPr>
              <w:numPr>
                <w:ilvl w:val="0"/>
                <w:numId w:val="0"/>
              </w:numPr>
              <w:rPr>
                <w:rFonts w:hint="eastAsia"/>
                <w:highlight w:val="none"/>
              </w:rPr>
            </w:pPr>
            <w:r>
              <w:rPr>
                <w:rFonts w:hint="eastAsia"/>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9" w:type="dxa"/>
          </w:tcPr>
          <w:p>
            <w:pPr>
              <w:rPr>
                <w:rFonts w:hint="default"/>
                <w:vertAlign w:val="baseline"/>
                <w:lang w:val="en-US" w:eastAsia="zh-CN"/>
              </w:rPr>
            </w:pPr>
            <w:r>
              <w:rPr>
                <w:rFonts w:hint="eastAsia"/>
                <w:vertAlign w:val="baseline"/>
                <w:lang w:val="en-US" w:eastAsia="zh-CN"/>
              </w:rPr>
              <w:t>13</w:t>
            </w:r>
          </w:p>
        </w:tc>
        <w:tc>
          <w:tcPr>
            <w:tcW w:w="2889" w:type="dxa"/>
            <w:vAlign w:val="top"/>
          </w:tcPr>
          <w:p>
            <w:pPr>
              <w:jc w:val="center"/>
              <w:rPr>
                <w:rFonts w:hint="eastAsia"/>
                <w:vertAlign w:val="baseline"/>
                <w:lang w:val="en-US" w:eastAsia="zh-CN"/>
              </w:rPr>
            </w:pPr>
            <w:r>
              <w:rPr>
                <w:rFonts w:hint="eastAsia"/>
                <w:highlight w:val="none"/>
                <w:vertAlign w:val="baseline"/>
                <w:lang w:val="en-US" w:eastAsia="zh-CN"/>
              </w:rPr>
              <w:t xml:space="preserve">评标办法前附表 </w:t>
            </w:r>
            <w:r>
              <w:rPr>
                <w:rFonts w:hint="eastAsia" w:ascii="宋体" w:hAnsi="宋体" w:eastAsia="宋体" w:cs="宋体"/>
                <w:szCs w:val="21"/>
                <w:highlight w:val="none"/>
              </w:rPr>
              <w:t>2.2.4（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 xml:space="preserve"> 技术</w:t>
            </w:r>
            <w:bookmarkStart w:id="0" w:name="_GoBack"/>
            <w:bookmarkEnd w:id="0"/>
            <w:r>
              <w:rPr>
                <w:rFonts w:hint="eastAsia" w:ascii="宋体" w:hAnsi="宋体" w:eastAsia="宋体" w:cs="宋体"/>
                <w:szCs w:val="21"/>
                <w:highlight w:val="none"/>
              </w:rPr>
              <w:t>评分标准</w:t>
            </w:r>
            <w:r>
              <w:rPr>
                <w:rFonts w:hint="eastAsia" w:ascii="宋体" w:hAnsi="宋体" w:eastAsia="宋体" w:cs="宋体"/>
                <w:szCs w:val="21"/>
                <w:highlight w:val="none"/>
                <w:lang w:val="en-US" w:eastAsia="zh-CN"/>
              </w:rPr>
              <w:t xml:space="preserve"> 环保产品声明</w:t>
            </w:r>
          </w:p>
        </w:tc>
        <w:tc>
          <w:tcPr>
            <w:tcW w:w="5166" w:type="dxa"/>
            <w:vAlign w:val="top"/>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1.投标产品获环境产品声明证书(EPD)的，得3分；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2.其他情况不得分。</w:t>
            </w:r>
          </w:p>
        </w:tc>
        <w:tc>
          <w:tcPr>
            <w:tcW w:w="5690" w:type="dxa"/>
            <w:vAlign w:val="top"/>
          </w:tcPr>
          <w:p>
            <w:pPr>
              <w:rPr>
                <w:rFonts w:hint="eastAsia"/>
                <w:highlight w:val="none"/>
              </w:rPr>
            </w:pPr>
            <w:r>
              <w:rPr>
                <w:rFonts w:hint="eastAsia" w:ascii="宋体" w:hAnsi="宋体" w:eastAsia="宋体" w:cs="宋体"/>
                <w:szCs w:val="21"/>
                <w:highlight w:val="no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14</w:t>
            </w:r>
          </w:p>
        </w:tc>
        <w:tc>
          <w:tcPr>
            <w:tcW w:w="2889" w:type="dxa"/>
            <w:vAlign w:val="top"/>
          </w:tcPr>
          <w:p>
            <w:pPr>
              <w:rPr>
                <w:rFonts w:hint="eastAsia"/>
                <w:vertAlign w:val="baseline"/>
                <w:lang w:val="en-US" w:eastAsia="zh-CN"/>
              </w:rPr>
            </w:pPr>
            <w:r>
              <w:rPr>
                <w:rFonts w:hint="eastAsia"/>
                <w:vertAlign w:val="baseline"/>
                <w:lang w:val="en-US" w:eastAsia="zh-CN"/>
              </w:rPr>
              <w:t xml:space="preserve">评标办法前附表 </w:t>
            </w:r>
            <w:r>
              <w:rPr>
                <w:rFonts w:hint="eastAsia" w:ascii="宋体" w:hAnsi="宋体" w:eastAsia="宋体" w:cs="宋体"/>
                <w:szCs w:val="21"/>
                <w:highlight w:val="none"/>
                <w:lang w:val="en-US" w:eastAsia="zh-CN"/>
              </w:rPr>
              <w:t xml:space="preserve">说明 </w:t>
            </w:r>
          </w:p>
        </w:tc>
        <w:tc>
          <w:tcPr>
            <w:tcW w:w="5166" w:type="dxa"/>
            <w:vAlign w:val="top"/>
          </w:tcPr>
          <w:p>
            <w:pPr>
              <w:numPr>
                <w:ilvl w:val="0"/>
                <w:numId w:val="1"/>
              </w:numPr>
              <w:rPr>
                <w:rFonts w:hint="eastAsia"/>
              </w:rPr>
            </w:pPr>
            <w:r>
              <w:rPr>
                <w:rFonts w:hint="eastAsia"/>
              </w:rPr>
              <w:t>类似供货业绩：需同时提供采购合同和交货证明（或技术监督部门确认的检验合格报告或经建设单位确认的验收报告或验收证明）扫描件并加盖投标单位电子印章。业绩完成时间以交货证明或技术监督部门确认的检验合格报告或经建设单位确认的验收报告或验收证明为准。金额以采购合同为准。</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4、上述资料不提供或提供不齐全或提供不符合要求的不得分。中标单位需准备投标文件涉及的所有原件待查，如原件不齐或与原件不符的，招标人有权取消其中标人资格，并上报建设行政主管部门。</w:t>
            </w:r>
          </w:p>
        </w:tc>
        <w:tc>
          <w:tcPr>
            <w:tcW w:w="5690" w:type="dxa"/>
            <w:vAlign w:val="top"/>
          </w:tcPr>
          <w:p>
            <w:pPr>
              <w:numPr>
                <w:ilvl w:val="0"/>
                <w:numId w:val="0"/>
              </w:numPr>
              <w:rPr>
                <w:rFonts w:hint="eastAsia"/>
                <w:highlight w:val="none"/>
              </w:rPr>
            </w:pPr>
            <w:r>
              <w:rPr>
                <w:rFonts w:hint="eastAsia"/>
                <w:highlight w:val="none"/>
              </w:rPr>
              <w:t>1、类似供货业绩：需同时提供采购合同和交货证明（或技术监督部门确认的检验合格报告或经建设单位确认的验收报告或验收证明）扫描件并加盖投标单位电子印章。业绩完成时间以交货证明或技术监督部门确认的检验合格报告或经建设单位确认的验收报告或验收证明为准。</w:t>
            </w:r>
          </w:p>
          <w:p>
            <w:pPr>
              <w:numPr>
                <w:ilvl w:val="0"/>
                <w:numId w:val="0"/>
              </w:numPr>
              <w:ind w:left="0" w:leftChars="0" w:firstLine="0" w:firstLineChars="0"/>
              <w:rPr>
                <w:rFonts w:hint="eastAsia"/>
                <w:highlight w:val="none"/>
              </w:rPr>
            </w:pPr>
            <w:r>
              <w:rPr>
                <w:rFonts w:hint="eastAsia"/>
                <w:highlight w:val="none"/>
              </w:rPr>
              <w:t>4、上述资料不提供或提供不齐全或提供不符合要求的不得分。中标单位需准备投标文件涉及的所有原件待查。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15</w:t>
            </w:r>
          </w:p>
        </w:tc>
        <w:tc>
          <w:tcPr>
            <w:tcW w:w="2889" w:type="dxa"/>
          </w:tcPr>
          <w:p>
            <w:pPr>
              <w:jc w:val="center"/>
              <w:rPr>
                <w:rFonts w:hint="eastAsia"/>
                <w:highlight w:val="none"/>
                <w:vertAlign w:val="baseline"/>
                <w:lang w:val="en-US" w:eastAsia="zh-CN"/>
              </w:rPr>
            </w:pPr>
            <w:r>
              <w:rPr>
                <w:rFonts w:hint="eastAsia"/>
                <w:highlight w:val="none"/>
                <w:vertAlign w:val="baseline"/>
                <w:lang w:val="en-US" w:eastAsia="zh-CN"/>
              </w:rPr>
              <w:t xml:space="preserve">评标办法前附表 </w:t>
            </w:r>
            <w:r>
              <w:rPr>
                <w:rFonts w:hint="eastAsia" w:ascii="宋体" w:hAnsi="宋体" w:eastAsia="宋体" w:cs="宋体"/>
                <w:szCs w:val="21"/>
                <w:highlight w:val="none"/>
              </w:rPr>
              <w:t>2.2.4（2）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技术评分标准</w:t>
            </w:r>
            <w:r>
              <w:rPr>
                <w:rFonts w:hint="eastAsia" w:ascii="宋体" w:hAnsi="宋体" w:eastAsia="宋体" w:cs="宋体"/>
                <w:szCs w:val="21"/>
                <w:highlight w:val="none"/>
                <w:lang w:val="en-US" w:eastAsia="zh-CN"/>
              </w:rPr>
              <w:t xml:space="preserve"> </w:t>
            </w:r>
            <w:r>
              <w:rPr>
                <w:rFonts w:hint="eastAsia" w:ascii="宋体" w:hAnsi="宋体" w:eastAsia="宋体" w:cs="宋体"/>
                <w:bCs/>
                <w:szCs w:val="21"/>
                <w:highlight w:val="none"/>
              </w:rPr>
              <w:t>控制柜</w:t>
            </w:r>
          </w:p>
        </w:tc>
        <w:tc>
          <w:tcPr>
            <w:tcW w:w="5166" w:type="dxa"/>
          </w:tcPr>
          <w:p>
            <w:pPr>
              <w:rPr>
                <w:rFonts w:ascii="宋体" w:hAnsi="宋体" w:eastAsia="宋体" w:cs="宋体"/>
                <w:szCs w:val="21"/>
                <w:highlight w:val="none"/>
              </w:rPr>
            </w:pPr>
            <w:r>
              <w:rPr>
                <w:rFonts w:hint="eastAsia" w:ascii="宋体" w:hAnsi="宋体" w:eastAsia="宋体" w:cs="宋体"/>
                <w:szCs w:val="21"/>
                <w:highlight w:val="none"/>
              </w:rPr>
              <w:t>1.控制柜结构合理，技术先进，材质优良。其中客梯满足指标：宽电压设计（380V±15%）；抗雷击电压≥10KV得2分；</w:t>
            </w:r>
          </w:p>
          <w:p>
            <w:pPr>
              <w:rPr>
                <w:rFonts w:ascii="宋体" w:hAnsi="宋体" w:eastAsia="宋体" w:cs="宋体"/>
                <w:szCs w:val="21"/>
                <w:highlight w:val="none"/>
              </w:rPr>
            </w:pPr>
            <w:r>
              <w:rPr>
                <w:rFonts w:hint="eastAsia" w:ascii="宋体" w:hAnsi="宋体" w:eastAsia="宋体" w:cs="宋体"/>
                <w:szCs w:val="21"/>
                <w:highlight w:val="none"/>
              </w:rPr>
              <w:t>2.控制柜结构较合理，技术较先进，材质较优良。客梯满足指标：宽电压设计（380V±10%）；抗雷击电压≥6KV，得1分；</w:t>
            </w:r>
          </w:p>
          <w:p>
            <w:pPr>
              <w:rPr>
                <w:rFonts w:ascii="宋体" w:hAnsi="宋体" w:eastAsia="宋体" w:cs="宋体"/>
                <w:szCs w:val="21"/>
                <w:highlight w:val="none"/>
              </w:rPr>
            </w:pPr>
            <w:r>
              <w:rPr>
                <w:rFonts w:hint="eastAsia" w:ascii="宋体" w:hAnsi="宋体" w:eastAsia="宋体" w:cs="宋体"/>
                <w:szCs w:val="21"/>
                <w:highlight w:val="none"/>
              </w:rPr>
              <w:t>3.控制柜结构不够合理，技术不够先进，材质不够优良。客梯满足指标：宽电压设计（380V±7%）；未考虑抗雷击电压，得0.5分。</w:t>
            </w:r>
          </w:p>
          <w:p>
            <w:pPr>
              <w:rPr>
                <w:rFonts w:ascii="宋体" w:hAnsi="宋体" w:eastAsia="宋体" w:cs="宋体"/>
                <w:szCs w:val="21"/>
                <w:highlight w:val="none"/>
              </w:rPr>
            </w:pPr>
            <w:r>
              <w:rPr>
                <w:rFonts w:hint="eastAsia" w:ascii="宋体" w:hAnsi="宋体" w:eastAsia="宋体" w:cs="宋体"/>
                <w:szCs w:val="21"/>
                <w:highlight w:val="none"/>
              </w:rPr>
              <w:t>4. 其他情况不得分。</w:t>
            </w:r>
          </w:p>
          <w:p>
            <w:pPr>
              <w:rPr>
                <w:rFonts w:hint="eastAsia" w:ascii="宋体" w:hAnsi="宋体" w:eastAsia="宋体" w:cs="宋体"/>
                <w:szCs w:val="21"/>
                <w:highlight w:val="none"/>
              </w:rPr>
            </w:pPr>
            <w:r>
              <w:rPr>
                <w:rFonts w:hint="eastAsia" w:ascii="宋体" w:hAnsi="宋体" w:eastAsia="宋体" w:cs="宋体"/>
                <w:szCs w:val="21"/>
                <w:highlight w:val="none"/>
              </w:rPr>
              <w:t>注：须提供具备CMA和CNAS标识的第三方检测机构出具的检测报告扫描件。未提供或其他不得分。</w:t>
            </w:r>
          </w:p>
        </w:tc>
        <w:tc>
          <w:tcPr>
            <w:tcW w:w="5690" w:type="dxa"/>
          </w:tcPr>
          <w:p>
            <w:pPr>
              <w:rPr>
                <w:rFonts w:ascii="宋体" w:hAnsi="宋体" w:eastAsia="宋体" w:cs="宋体"/>
                <w:szCs w:val="21"/>
                <w:highlight w:val="none"/>
              </w:rPr>
            </w:pPr>
            <w:r>
              <w:rPr>
                <w:rFonts w:hint="eastAsia" w:ascii="宋体" w:hAnsi="宋体" w:eastAsia="宋体" w:cs="宋体"/>
                <w:szCs w:val="21"/>
                <w:highlight w:val="none"/>
              </w:rPr>
              <w:t>1.控制柜结构合理，技术先进，材质优良。其中客梯满足指标：宽电压设计（380V±15%）</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抗雷击电压≥10KV得2分；</w:t>
            </w:r>
          </w:p>
          <w:p>
            <w:pPr>
              <w:rPr>
                <w:rFonts w:ascii="宋体" w:hAnsi="宋体" w:eastAsia="宋体" w:cs="宋体"/>
                <w:szCs w:val="21"/>
                <w:highlight w:val="none"/>
              </w:rPr>
            </w:pPr>
            <w:r>
              <w:rPr>
                <w:rFonts w:hint="eastAsia" w:ascii="宋体" w:hAnsi="宋体" w:eastAsia="宋体" w:cs="宋体"/>
                <w:szCs w:val="21"/>
                <w:highlight w:val="none"/>
              </w:rPr>
              <w:t>2.控制柜结构较合理，技术较先进，材质较优良。客梯满足指标：宽电压设计（380V±10%）</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抗雷击电压≥6KV，得1分；</w:t>
            </w:r>
          </w:p>
          <w:p>
            <w:pPr>
              <w:rPr>
                <w:rFonts w:ascii="宋体" w:hAnsi="宋体" w:eastAsia="宋体" w:cs="宋体"/>
                <w:szCs w:val="21"/>
                <w:highlight w:val="none"/>
              </w:rPr>
            </w:pPr>
            <w:r>
              <w:rPr>
                <w:rFonts w:hint="eastAsia" w:ascii="宋体" w:hAnsi="宋体" w:eastAsia="宋体" w:cs="宋体"/>
                <w:szCs w:val="21"/>
                <w:highlight w:val="none"/>
              </w:rPr>
              <w:t>3.控制柜结构不够合理，技术不够先进，材质不够优良。客梯满足指标：宽电压设计（380V±7%）</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未考虑抗雷击电压，得0.5分。</w:t>
            </w:r>
          </w:p>
          <w:p>
            <w:pPr>
              <w:rPr>
                <w:rFonts w:ascii="宋体" w:hAnsi="宋体" w:eastAsia="宋体" w:cs="宋体"/>
                <w:szCs w:val="21"/>
                <w:highlight w:val="none"/>
              </w:rPr>
            </w:pPr>
            <w:r>
              <w:rPr>
                <w:rFonts w:hint="eastAsia" w:ascii="宋体" w:hAnsi="宋体" w:eastAsia="宋体" w:cs="宋体"/>
                <w:szCs w:val="21"/>
                <w:highlight w:val="none"/>
              </w:rPr>
              <w:t>4.其他情况不得分。</w:t>
            </w:r>
          </w:p>
          <w:p>
            <w:pPr>
              <w:rPr>
                <w:rFonts w:hint="eastAsia" w:ascii="宋体" w:hAnsi="宋体" w:eastAsia="宋体" w:cs="宋体"/>
                <w:szCs w:val="21"/>
                <w:highlight w:val="none"/>
              </w:rPr>
            </w:pPr>
            <w:r>
              <w:rPr>
                <w:rFonts w:hint="eastAsia" w:ascii="宋体" w:hAnsi="宋体" w:eastAsia="宋体" w:cs="宋体"/>
                <w:szCs w:val="21"/>
                <w:highlight w:val="none"/>
              </w:rPr>
              <w:t>注：须提供具备CMA和CNAS标识的第三方检测机构出具的检测报告扫描件。未提供或其他不得分。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top"/>
          </w:tcPr>
          <w:p>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16</w:t>
            </w:r>
          </w:p>
        </w:tc>
        <w:tc>
          <w:tcPr>
            <w:tcW w:w="2889" w:type="dxa"/>
          </w:tcPr>
          <w:p>
            <w:pPr>
              <w:jc w:val="center"/>
              <w:rPr>
                <w:rFonts w:hint="eastAsia"/>
                <w:highlight w:val="none"/>
                <w:vertAlign w:val="baseline"/>
                <w:lang w:val="en-US" w:eastAsia="zh-CN"/>
              </w:rPr>
            </w:pPr>
            <w:r>
              <w:rPr>
                <w:rFonts w:hint="eastAsia"/>
                <w:highlight w:val="none"/>
                <w:vertAlign w:val="baseline"/>
                <w:lang w:val="en-US" w:eastAsia="zh-CN"/>
              </w:rPr>
              <w:t xml:space="preserve">评标办法前附表 </w:t>
            </w:r>
            <w:r>
              <w:rPr>
                <w:rFonts w:hint="eastAsia" w:ascii="宋体" w:hAnsi="宋体" w:eastAsia="宋体" w:cs="宋体"/>
                <w:szCs w:val="21"/>
                <w:highlight w:val="none"/>
              </w:rPr>
              <w:t>2.2.4（2）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技术评分标准</w:t>
            </w:r>
            <w:r>
              <w:rPr>
                <w:rFonts w:hint="eastAsia" w:ascii="宋体" w:hAnsi="宋体" w:eastAsia="宋体" w:cs="宋体"/>
                <w:szCs w:val="21"/>
                <w:highlight w:val="none"/>
                <w:lang w:val="en-US" w:eastAsia="zh-CN"/>
              </w:rPr>
              <w:t xml:space="preserve"> 产品能效等级</w:t>
            </w:r>
          </w:p>
        </w:tc>
        <w:tc>
          <w:tcPr>
            <w:tcW w:w="5166" w:type="dxa"/>
          </w:tcPr>
          <w:p>
            <w:pPr>
              <w:rPr>
                <w:rFonts w:hint="eastAsia" w:ascii="宋体" w:hAnsi="宋体" w:eastAsia="宋体" w:cs="宋体"/>
                <w:szCs w:val="21"/>
                <w:highlight w:val="none"/>
              </w:rPr>
            </w:pPr>
            <w:r>
              <w:rPr>
                <w:rFonts w:hint="eastAsia" w:ascii="宋体" w:hAnsi="宋体" w:eastAsia="宋体" w:cs="宋体"/>
                <w:szCs w:val="21"/>
                <w:highlight w:val="none"/>
              </w:rPr>
              <w:t>1.投标电梯获得整机能效等级认证 A+++级（符合ISO 25745 或GB/T 30559标准）的得2分。</w:t>
            </w:r>
          </w:p>
          <w:p>
            <w:pPr>
              <w:rPr>
                <w:rFonts w:hint="eastAsia" w:ascii="宋体" w:hAnsi="宋体" w:eastAsia="宋体" w:cs="宋体"/>
                <w:szCs w:val="21"/>
                <w:highlight w:val="none"/>
              </w:rPr>
            </w:pPr>
            <w:r>
              <w:rPr>
                <w:rFonts w:hint="eastAsia" w:ascii="宋体" w:hAnsi="宋体" w:eastAsia="宋体" w:cs="宋体"/>
                <w:szCs w:val="21"/>
                <w:highlight w:val="none"/>
              </w:rPr>
              <w:t>2.投标电梯获得整机能效等级认证 A级（符合ISO 25745 或GB/T 30559标准）的，得1分。</w:t>
            </w:r>
          </w:p>
          <w:p>
            <w:pPr>
              <w:rPr>
                <w:rFonts w:hint="eastAsia" w:ascii="宋体" w:hAnsi="宋体" w:eastAsia="宋体" w:cs="宋体"/>
                <w:szCs w:val="21"/>
                <w:highlight w:val="none"/>
              </w:rPr>
            </w:pPr>
            <w:r>
              <w:rPr>
                <w:rFonts w:hint="eastAsia" w:ascii="宋体" w:hAnsi="宋体" w:eastAsia="宋体" w:cs="宋体"/>
                <w:szCs w:val="21"/>
                <w:highlight w:val="none"/>
              </w:rPr>
              <w:t>3. 投标电梯获得整机能效等级认证 A级以下的，得0.5分</w:t>
            </w:r>
          </w:p>
          <w:p>
            <w:pPr>
              <w:rPr>
                <w:rFonts w:hint="eastAsia" w:ascii="宋体" w:hAnsi="宋体" w:eastAsia="宋体" w:cs="宋体"/>
                <w:szCs w:val="21"/>
                <w:highlight w:val="none"/>
              </w:rPr>
            </w:pPr>
            <w:r>
              <w:rPr>
                <w:rFonts w:hint="eastAsia" w:ascii="宋体" w:hAnsi="宋体" w:eastAsia="宋体" w:cs="宋体"/>
                <w:szCs w:val="21"/>
                <w:highlight w:val="none"/>
              </w:rPr>
              <w:t>注：须提供具备CMA和CNAS标识的第三方检测机构出具的检测报告扫描件。未提供或其他不得分。</w:t>
            </w:r>
          </w:p>
        </w:tc>
        <w:tc>
          <w:tcPr>
            <w:tcW w:w="5690" w:type="dxa"/>
          </w:tcPr>
          <w:p>
            <w:pPr>
              <w:rPr>
                <w:rFonts w:ascii="宋体" w:hAnsi="宋体" w:eastAsia="宋体" w:cs="宋体"/>
                <w:szCs w:val="21"/>
                <w:highlight w:val="none"/>
              </w:rPr>
            </w:pPr>
            <w:r>
              <w:rPr>
                <w:rFonts w:hint="eastAsia" w:ascii="宋体" w:hAnsi="宋体" w:eastAsia="宋体" w:cs="宋体"/>
                <w:szCs w:val="21"/>
                <w:highlight w:val="none"/>
              </w:rPr>
              <w:t>1.投标电梯获得整机能效等级认证A级（符合ISO 25745 或GB/T 30559标准）的得2分。</w:t>
            </w:r>
          </w:p>
          <w:p>
            <w:pPr>
              <w:rPr>
                <w:rFonts w:ascii="宋体" w:hAnsi="宋体" w:eastAsia="宋体" w:cs="宋体"/>
                <w:szCs w:val="21"/>
                <w:highlight w:val="none"/>
              </w:rPr>
            </w:pPr>
            <w:r>
              <w:rPr>
                <w:rFonts w:hint="eastAsia" w:ascii="宋体" w:hAnsi="宋体" w:eastAsia="宋体" w:cs="宋体"/>
                <w:szCs w:val="21"/>
                <w:highlight w:val="none"/>
              </w:rPr>
              <w:t>2.投标电梯获得整机能效等级认证</w:t>
            </w:r>
            <w:r>
              <w:rPr>
                <w:rFonts w:hint="eastAsia" w:ascii="宋体" w:hAnsi="宋体" w:eastAsia="宋体" w:cs="宋体"/>
                <w:szCs w:val="21"/>
                <w:highlight w:val="none"/>
                <w:lang w:val="en-US" w:eastAsia="zh-CN"/>
              </w:rPr>
              <w:t>B</w:t>
            </w:r>
            <w:r>
              <w:rPr>
                <w:rFonts w:hint="eastAsia" w:ascii="宋体" w:hAnsi="宋体" w:eastAsia="宋体" w:cs="宋体"/>
                <w:szCs w:val="21"/>
                <w:highlight w:val="none"/>
              </w:rPr>
              <w:t>级（符合ISO 25745 或GB/T 30559标准）的，得1分。</w:t>
            </w:r>
          </w:p>
          <w:p>
            <w:pPr>
              <w:rPr>
                <w:rFonts w:ascii="宋体" w:hAnsi="宋体" w:eastAsia="宋体" w:cs="宋体"/>
                <w:szCs w:val="21"/>
                <w:highlight w:val="none"/>
              </w:rPr>
            </w:pPr>
            <w:r>
              <w:rPr>
                <w:rFonts w:hint="eastAsia" w:ascii="宋体" w:hAnsi="宋体" w:eastAsia="宋体" w:cs="宋体"/>
                <w:szCs w:val="21"/>
                <w:highlight w:val="none"/>
              </w:rPr>
              <w:t>3. 投标电梯获得整机能效等级认证</w:t>
            </w:r>
            <w:r>
              <w:rPr>
                <w:rFonts w:hint="eastAsia" w:ascii="宋体" w:hAnsi="宋体" w:eastAsia="宋体" w:cs="宋体"/>
                <w:szCs w:val="21"/>
                <w:highlight w:val="none"/>
                <w:lang w:val="en-US" w:eastAsia="zh-CN"/>
              </w:rPr>
              <w:t>C</w:t>
            </w:r>
            <w:r>
              <w:rPr>
                <w:rFonts w:hint="eastAsia" w:ascii="宋体" w:hAnsi="宋体" w:eastAsia="宋体" w:cs="宋体"/>
                <w:szCs w:val="21"/>
                <w:highlight w:val="none"/>
              </w:rPr>
              <w:t>级以下的，得0.5分</w:t>
            </w:r>
          </w:p>
          <w:p>
            <w:pPr>
              <w:rPr>
                <w:rFonts w:hint="eastAsia" w:ascii="宋体" w:hAnsi="宋体" w:eastAsia="宋体" w:cs="宋体"/>
                <w:szCs w:val="21"/>
                <w:highlight w:val="none"/>
              </w:rPr>
            </w:pPr>
            <w:r>
              <w:rPr>
                <w:rFonts w:hint="eastAsia" w:ascii="宋体" w:hAnsi="宋体" w:eastAsia="宋体" w:cs="宋体"/>
                <w:szCs w:val="21"/>
                <w:highlight w:val="none"/>
              </w:rPr>
              <w:t>注：须提供具备CMA和CNAS标识的第三方检测机构出具的检测报告扫描件。未提供或其他不得分。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top"/>
          </w:tcPr>
          <w:p>
            <w:p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17</w:t>
            </w:r>
          </w:p>
        </w:tc>
        <w:tc>
          <w:tcPr>
            <w:tcW w:w="2889" w:type="dxa"/>
          </w:tcPr>
          <w:p>
            <w:pPr>
              <w:jc w:val="center"/>
              <w:rPr>
                <w:rFonts w:hint="default"/>
                <w:vertAlign w:val="baseline"/>
                <w:lang w:val="en-US" w:eastAsia="zh-CN"/>
              </w:rPr>
            </w:pPr>
            <w:r>
              <w:rPr>
                <w:rFonts w:hint="eastAsia"/>
                <w:vertAlign w:val="baseline"/>
                <w:lang w:val="en-US" w:eastAsia="zh-CN"/>
              </w:rPr>
              <w:t>投标文件格式 （一）基本情况表</w:t>
            </w:r>
          </w:p>
        </w:tc>
        <w:tc>
          <w:tcPr>
            <w:tcW w:w="5166" w:type="dxa"/>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近三年营业额</w:t>
            </w:r>
            <w:r>
              <w:rPr>
                <w:rFonts w:hint="eastAsia" w:ascii="宋体" w:hAnsi="宋体" w:eastAsia="宋体" w:cs="宋体"/>
                <w:szCs w:val="21"/>
                <w:highlight w:val="none"/>
                <w:u w:val="single"/>
              </w:rPr>
              <w:t>（2021年至2023年）</w:t>
            </w:r>
          </w:p>
        </w:tc>
        <w:tc>
          <w:tcPr>
            <w:tcW w:w="5690" w:type="dxa"/>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top"/>
          </w:tcPr>
          <w:p>
            <w:p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18</w:t>
            </w:r>
          </w:p>
        </w:tc>
        <w:tc>
          <w:tcPr>
            <w:tcW w:w="2889" w:type="dxa"/>
          </w:tcPr>
          <w:p>
            <w:pPr>
              <w:jc w:val="center"/>
              <w:rPr>
                <w:rFonts w:hint="eastAsia"/>
                <w:vertAlign w:val="baseline"/>
                <w:lang w:val="en-US" w:eastAsia="zh-CN"/>
              </w:rPr>
            </w:pPr>
            <w:r>
              <w:rPr>
                <w:rFonts w:hint="eastAsia"/>
                <w:vertAlign w:val="baseline"/>
                <w:lang w:val="en-US" w:eastAsia="zh-CN"/>
              </w:rPr>
              <w:t>投标文件格式 （二）投标人声明</w:t>
            </w:r>
          </w:p>
        </w:tc>
        <w:tc>
          <w:tcPr>
            <w:tcW w:w="10856" w:type="dxa"/>
            <w:gridSpan w:val="2"/>
          </w:tcPr>
          <w:p>
            <w:p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pPr>
              <w:rPr>
                <w:rFonts w:hint="default"/>
                <w:vertAlign w:val="baseline"/>
                <w:lang w:val="en-US" w:eastAsia="zh-CN"/>
              </w:rPr>
            </w:pPr>
            <w:r>
              <w:rPr>
                <w:rFonts w:hint="eastAsia"/>
                <w:vertAlign w:val="baseline"/>
                <w:lang w:val="en-US" w:eastAsia="zh-CN"/>
              </w:rPr>
              <w:t>19</w:t>
            </w:r>
          </w:p>
        </w:tc>
        <w:tc>
          <w:tcPr>
            <w:tcW w:w="2889" w:type="dxa"/>
          </w:tcPr>
          <w:p>
            <w:pPr>
              <w:jc w:val="center"/>
              <w:rPr>
                <w:rFonts w:hint="eastAsia"/>
                <w:vertAlign w:val="baseline"/>
                <w:lang w:val="en-US" w:eastAsia="zh-CN"/>
              </w:rPr>
            </w:pPr>
            <w:r>
              <w:rPr>
                <w:rFonts w:hint="eastAsia"/>
                <w:vertAlign w:val="baseline"/>
                <w:lang w:val="en-US" w:eastAsia="zh-CN"/>
              </w:rPr>
              <w:t>投标文件格式 十四、其他资料关于响应电梯轿厢尺寸及交货期的承诺函</w:t>
            </w:r>
          </w:p>
        </w:tc>
        <w:tc>
          <w:tcPr>
            <w:tcW w:w="10856" w:type="dxa"/>
            <w:gridSpan w:val="2"/>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（详见后附表）</w:t>
            </w:r>
          </w:p>
        </w:tc>
      </w:tr>
    </w:tbl>
    <w:p>
      <w:pPr>
        <w:ind w:firstLine="420" w:firstLineChars="200"/>
        <w:rPr>
          <w:rFonts w:hint="eastAsia"/>
          <w:lang w:val="en-US"/>
        </w:rPr>
      </w:pPr>
      <w:r>
        <w:rPr>
          <w:rFonts w:hint="eastAsia"/>
          <w:lang w:val="en-US"/>
        </w:rPr>
        <w:t>原招标公告、招标文件的内容与本补充公告发布的内容不一致之处的，以本补充公告内容为准，本补充公告为招标文件的组成部分，如对同一事项的表述与之前所发出的招标公告、招标文件不符，则以本补充公告为准，原招标公告、招标文件的其他内容与要求不变。详见后附的招标文件和招标公告。</w:t>
      </w:r>
    </w:p>
    <w:p>
      <w:pPr>
        <w:pStyle w:val="7"/>
        <w:numPr>
          <w:ilvl w:val="0"/>
          <w:numId w:val="2"/>
        </w:numPr>
        <w:rPr>
          <w:rFonts w:hint="eastAsia"/>
          <w:b/>
          <w:bCs/>
          <w:lang w:val="en-US"/>
        </w:rPr>
      </w:pPr>
      <w:r>
        <w:rPr>
          <w:rFonts w:hint="eastAsia"/>
          <w:b/>
          <w:bCs/>
          <w:lang w:val="en-US"/>
        </w:rPr>
        <w:t>本项目日程安排调整如下</w:t>
      </w:r>
    </w:p>
    <w:p>
      <w:pPr>
        <w:numPr>
          <w:ilvl w:val="0"/>
          <w:numId w:val="0"/>
        </w:numPr>
        <w:ind w:firstLine="420" w:firstLineChars="200"/>
        <w:rPr>
          <w:rFonts w:hint="eastAsia"/>
          <w:lang w:val="en-US" w:eastAsia="zh-CN"/>
        </w:rPr>
      </w:pPr>
      <w:r>
        <w:rPr>
          <w:rFonts w:hint="eastAsia"/>
          <w:lang w:val="en-US"/>
        </w:rPr>
        <w:t>投标登记及递交投标文件及开标时间:请登录广州公共资源交易中心网站首页，点击“建设工程一项目查询(日程安排、答疑纪要)”，输入项目编号即可查询(投标截止时间与开标时间是否有变化，请投标人密切关注本项目在广州公共资源交易中心网的</w:t>
      </w:r>
      <w:r>
        <w:rPr>
          <w:rFonts w:hint="eastAsia"/>
          <w:lang w:val="en-US" w:eastAsia="zh-CN"/>
        </w:rPr>
        <w:t>日程安排，如有变动，以最新安排为准。</w:t>
      </w:r>
    </w:p>
    <w:p>
      <w:pPr>
        <w:pStyle w:val="7"/>
        <w:rPr>
          <w:rFonts w:hint="eastAsia"/>
          <w:lang w:val="en-US" w:eastAsia="zh-CN"/>
        </w:rPr>
      </w:pPr>
    </w:p>
    <w:p>
      <w:pPr>
        <w:pStyle w:val="7"/>
        <w:jc w:val="right"/>
        <w:rPr>
          <w:rFonts w:hint="eastAsia"/>
          <w:lang w:val="en-US" w:eastAsia="zh-CN"/>
        </w:rPr>
      </w:pPr>
      <w:r>
        <w:rPr>
          <w:rFonts w:hint="eastAsia"/>
          <w:lang w:val="en-US" w:eastAsia="zh-CN"/>
        </w:rPr>
        <w:t>招标单位：中国大酒店</w:t>
      </w:r>
    </w:p>
    <w:p>
      <w:pPr>
        <w:rPr>
          <w:rFonts w:hint="eastAsia"/>
          <w:lang w:val="en-US" w:eastAsia="zh-CN"/>
        </w:rPr>
      </w:pPr>
    </w:p>
    <w:p>
      <w:pPr>
        <w:jc w:val="right"/>
        <w:rPr>
          <w:rFonts w:hint="eastAsia"/>
          <w:lang w:val="en-US" w:eastAsia="zh-CN"/>
        </w:rPr>
      </w:pPr>
      <w:r>
        <w:rPr>
          <w:rFonts w:hint="eastAsia"/>
          <w:lang w:val="en-US" w:eastAsia="zh-CN"/>
        </w:rPr>
        <w:t>招标代理机构：新誉时代工程咨询有限公司</w:t>
      </w:r>
    </w:p>
    <w:p>
      <w:pPr>
        <w:pStyle w:val="2"/>
        <w:rPr>
          <w:rFonts w:hint="eastAsia"/>
          <w:lang w:val="en-US" w:eastAsia="zh-CN"/>
        </w:rPr>
      </w:pPr>
    </w:p>
    <w:p>
      <w:pPr>
        <w:pStyle w:val="7"/>
        <w:jc w:val="right"/>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hint="eastAsia"/>
          <w:lang w:val="en-US" w:eastAsia="zh-CN"/>
        </w:rPr>
        <w:t>日期：2024年8月28日</w:t>
      </w:r>
    </w:p>
    <w:p>
      <w:pPr>
        <w:pStyle w:val="7"/>
        <w:numPr>
          <w:ilvl w:val="0"/>
          <w:numId w:val="0"/>
        </w:numPr>
        <w:rPr>
          <w:rFonts w:hint="eastAsia"/>
          <w:b/>
          <w:bCs/>
          <w:lang w:val="en-US" w:eastAsia="zh-CN"/>
        </w:rPr>
      </w:pPr>
      <w:r>
        <w:rPr>
          <w:rFonts w:hint="eastAsia"/>
          <w:b/>
          <w:bCs/>
          <w:lang w:val="en-US" w:eastAsia="zh-CN"/>
        </w:rPr>
        <w:t>附表</w:t>
      </w:r>
    </w:p>
    <w:p>
      <w:pPr>
        <w:pStyle w:val="7"/>
        <w:numPr>
          <w:ilvl w:val="0"/>
          <w:numId w:val="0"/>
        </w:numPr>
        <w:rPr>
          <w:rFonts w:hint="eastAsia"/>
          <w:b/>
          <w:bCs/>
          <w:lang w:val="en-US" w:eastAsia="zh-CN"/>
        </w:rPr>
      </w:pPr>
      <w:r>
        <w:rPr>
          <w:rFonts w:hint="eastAsia"/>
          <w:b/>
          <w:bCs/>
          <w:lang w:val="en-US" w:eastAsia="zh-CN"/>
        </w:rPr>
        <w:t>现文：</w:t>
      </w:r>
    </w:p>
    <w:p>
      <w:pPr>
        <w:pStyle w:val="7"/>
        <w:numPr>
          <w:ilvl w:val="0"/>
          <w:numId w:val="0"/>
        </w:numPr>
        <w:rPr>
          <w:rFonts w:hint="eastAsia"/>
          <w:b w:val="0"/>
          <w:bCs w:val="0"/>
          <w:lang w:val="en-US" w:eastAsia="zh-CN"/>
        </w:rPr>
      </w:pPr>
      <w:r>
        <w:rPr>
          <w:rFonts w:hint="eastAsia"/>
          <w:b w:val="0"/>
          <w:bCs w:val="0"/>
          <w:lang w:val="en-US" w:eastAsia="zh-CN"/>
        </w:rPr>
        <w:t>（附表一）</w:t>
      </w:r>
    </w:p>
    <w:p>
      <w:pPr>
        <w:widowControl/>
        <w:jc w:val="left"/>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（二）投标人声明</w:t>
      </w:r>
    </w:p>
    <w:p>
      <w:pPr>
        <w:widowControl/>
        <w:snapToGrid w:val="0"/>
        <w:spacing w:before="260" w:after="260" w:line="360" w:lineRule="auto"/>
        <w:ind w:right="384"/>
        <w:jc w:val="center"/>
        <w:rPr>
          <w:rFonts w:ascii="宋体" w:hAnsi="宋体" w:eastAsia="宋体" w:cs="宋体"/>
          <w:kern w:val="0"/>
          <w:szCs w:val="21"/>
          <w:highlight w:val="none"/>
        </w:rPr>
      </w:pPr>
      <w:r>
        <w:rPr>
          <w:rFonts w:hint="eastAsia" w:ascii="宋体" w:hAnsi="宋体" w:eastAsia="宋体" w:cs="宋体"/>
          <w:kern w:val="0"/>
          <w:szCs w:val="21"/>
          <w:highlight w:val="none"/>
        </w:rPr>
        <w:t>投标人声明</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lang w:val="en-US" w:eastAsia="zh-CN"/>
        </w:rPr>
        <w:t>广州市越秀区建设和水务局</w:t>
      </w:r>
      <w:r>
        <w:rPr>
          <w:rFonts w:hint="eastAsia" w:ascii="宋体" w:hAnsi="宋体" w:eastAsia="宋体" w:cs="宋体"/>
          <w:kern w:val="0"/>
          <w:szCs w:val="21"/>
          <w:highlight w:val="none"/>
        </w:rPr>
        <w:t>、本招标项目招标人及招标监管机构：</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本公司就参加</w:t>
      </w:r>
      <w:r>
        <w:rPr>
          <w:rFonts w:hint="eastAsia" w:ascii="宋体" w:hAnsi="宋体" w:eastAsia="宋体" w:cs="宋体"/>
          <w:kern w:val="0"/>
          <w:szCs w:val="21"/>
          <w:highlight w:val="none"/>
          <w:u w:val="single"/>
        </w:rPr>
        <w:t>                项目</w:t>
      </w:r>
      <w:r>
        <w:rPr>
          <w:rFonts w:ascii="宋体" w:hAnsi="宋体" w:eastAsia="宋体" w:cs="宋体"/>
          <w:kern w:val="0"/>
          <w:szCs w:val="21"/>
          <w:highlight w:val="none"/>
        </w:rPr>
        <w:t>投标工作，作出郑重声明：</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一、本公司保证投标登记材料及其后提供的一切材料都是真实的。</w:t>
      </w:r>
      <w:r>
        <w:rPr>
          <w:rFonts w:ascii="宋体" w:hAnsi="宋体" w:eastAsia="宋体" w:cs="宋体"/>
          <w:kern w:val="0"/>
          <w:szCs w:val="21"/>
          <w:highlight w:val="none"/>
        </w:rPr>
        <w:t>如我司成为本项目中标候选人，我司同意并授权招标人将我司投标文件商务部分的人员、业绩、奖项等资料进行公示。</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二、本公司保证不与其他单位围标、串标，不出让投标资格，不向招标人或评标委员会成员行贿。</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三、本公司不存在招标文件第二章投标人须知第1.4.3项所规定的任何一种情形。</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五、本公司承诺，中标后严格执行安全生产相关管理规定。</w:t>
      </w:r>
    </w:p>
    <w:p>
      <w:pPr>
        <w:snapToGrid w:val="0"/>
        <w:spacing w:line="360" w:lineRule="auto"/>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六、法定代表人为同一人的两个及两个以上法人，母公司、全资子公司及其控股公司，不得在该项目中同时投标，否则全部取消资格。</w:t>
      </w:r>
    </w:p>
    <w:p>
      <w:pPr>
        <w:snapToGrid w:val="0"/>
        <w:spacing w:line="360"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本公司违反上述保证，或本声明陈述与事实不符，经查实，本公司愿意接受公开通报，承担由此带来的法律后果。</w:t>
      </w:r>
    </w:p>
    <w:p>
      <w:pPr>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特此声明。</w:t>
      </w:r>
    </w:p>
    <w:p>
      <w:pPr>
        <w:snapToGrid w:val="0"/>
        <w:spacing w:line="360" w:lineRule="auto"/>
        <w:ind w:firstLine="3780" w:firstLineChars="1800"/>
        <w:rPr>
          <w:rFonts w:ascii="宋体" w:hAnsi="宋体" w:eastAsia="宋体" w:cs="宋体"/>
          <w:kern w:val="0"/>
          <w:szCs w:val="21"/>
          <w:highlight w:val="none"/>
        </w:rPr>
      </w:pPr>
      <w:r>
        <w:rPr>
          <w:rFonts w:hint="eastAsia" w:ascii="宋体" w:hAnsi="宋体" w:eastAsia="宋体" w:cs="宋体"/>
          <w:kern w:val="0"/>
          <w:szCs w:val="21"/>
          <w:highlight w:val="none"/>
        </w:rPr>
        <w:t>声明企业：            (企业公章)</w:t>
      </w:r>
    </w:p>
    <w:p>
      <w:pPr>
        <w:snapToGrid w:val="0"/>
        <w:spacing w:line="360" w:lineRule="auto"/>
        <w:ind w:firstLine="3721" w:firstLineChars="1772"/>
        <w:rPr>
          <w:rFonts w:ascii="宋体" w:hAnsi="宋体" w:eastAsia="宋体" w:cs="宋体"/>
          <w:kern w:val="0"/>
          <w:szCs w:val="21"/>
          <w:highlight w:val="none"/>
        </w:rPr>
      </w:pPr>
      <w:r>
        <w:rPr>
          <w:rFonts w:hint="eastAsia" w:ascii="宋体" w:hAnsi="宋体" w:eastAsia="宋体" w:cs="宋体"/>
          <w:kern w:val="0"/>
          <w:szCs w:val="21"/>
          <w:highlight w:val="none"/>
        </w:rPr>
        <w:t>法定代表人（单位负责人）签字：</w:t>
      </w:r>
    </w:p>
    <w:p>
      <w:pPr>
        <w:spacing w:line="360" w:lineRule="auto"/>
        <w:ind w:firstLine="6720" w:firstLineChars="3200"/>
        <w:rPr>
          <w:rFonts w:ascii="宋体" w:hAnsi="宋体" w:eastAsia="宋体" w:cs="宋体"/>
          <w:kern w:val="0"/>
          <w:szCs w:val="21"/>
          <w:highlight w:val="none"/>
        </w:rPr>
      </w:pPr>
      <w:r>
        <w:rPr>
          <w:rFonts w:hint="eastAsia" w:ascii="宋体" w:hAnsi="宋体" w:eastAsia="宋体" w:cs="宋体"/>
          <w:kern w:val="0"/>
          <w:szCs w:val="21"/>
          <w:highlight w:val="none"/>
        </w:rPr>
        <w:t>年   月   日</w:t>
      </w:r>
    </w:p>
    <w:p>
      <w:pPr>
        <w:ind w:firstLine="420" w:firstLineChars="200"/>
        <w:rPr>
          <w:rFonts w:ascii="Times New Roman" w:hAnsi="Times New Roman" w:eastAsia="宋体" w:cs="Times New Roman"/>
          <w:szCs w:val="24"/>
          <w:highlight w:val="none"/>
        </w:rPr>
      </w:pP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7"/>
        <w:numPr>
          <w:ilvl w:val="0"/>
          <w:numId w:val="0"/>
        </w:numPr>
        <w:rPr>
          <w:rFonts w:hint="eastAsia"/>
          <w:b/>
          <w:bCs/>
          <w:lang w:val="en-US" w:eastAsia="zh-CN"/>
        </w:rPr>
      </w:pPr>
      <w:r>
        <w:rPr>
          <w:rFonts w:hint="eastAsia"/>
          <w:b/>
          <w:bCs/>
          <w:lang w:val="en-US" w:eastAsia="zh-CN"/>
        </w:rPr>
        <w:t>附表</w:t>
      </w:r>
    </w:p>
    <w:p>
      <w:pPr>
        <w:pStyle w:val="7"/>
        <w:numPr>
          <w:ilvl w:val="0"/>
          <w:numId w:val="0"/>
        </w:numPr>
        <w:rPr>
          <w:rFonts w:hint="eastAsia"/>
          <w:b/>
          <w:bCs/>
          <w:lang w:val="en-US" w:eastAsia="zh-CN"/>
        </w:rPr>
      </w:pPr>
      <w:r>
        <w:rPr>
          <w:rFonts w:hint="eastAsia"/>
          <w:b/>
          <w:bCs/>
          <w:lang w:val="en-US" w:eastAsia="zh-CN"/>
        </w:rPr>
        <w:t>现文：</w:t>
      </w:r>
    </w:p>
    <w:p>
      <w:pPr>
        <w:pStyle w:val="7"/>
        <w:numPr>
          <w:ilvl w:val="0"/>
          <w:numId w:val="0"/>
        </w:numPr>
        <w:rPr>
          <w:rFonts w:hint="eastAsia"/>
          <w:b w:val="0"/>
          <w:bCs w:val="0"/>
          <w:lang w:val="en-US" w:eastAsia="zh-CN"/>
        </w:rPr>
      </w:pPr>
      <w:r>
        <w:rPr>
          <w:rFonts w:hint="eastAsia"/>
          <w:b w:val="0"/>
          <w:bCs w:val="0"/>
          <w:lang w:val="en-US" w:eastAsia="zh-CN"/>
        </w:rPr>
        <w:t>（附表二）</w:t>
      </w:r>
    </w:p>
    <w:p>
      <w:pPr>
        <w:rPr>
          <w:rFonts w:hint="eastAsia"/>
          <w:lang w:val="en-US" w:eastAsia="zh-CN"/>
        </w:rPr>
      </w:pPr>
    </w:p>
    <w:p>
      <w:pPr>
        <w:widowControl/>
        <w:tabs>
          <w:tab w:val="left" w:pos="720"/>
        </w:tabs>
        <w:spacing w:line="500" w:lineRule="exact"/>
        <w:jc w:val="center"/>
        <w:rPr>
          <w:rFonts w:ascii="宋体" w:hAnsi="宋体" w:eastAsia="宋体" w:cs="宋体"/>
          <w:b/>
          <w:bCs/>
          <w:kern w:val="44"/>
          <w:sz w:val="40"/>
          <w:highlight w:val="none"/>
        </w:rPr>
      </w:pPr>
      <w:r>
        <w:rPr>
          <w:rFonts w:hint="eastAsia" w:ascii="宋体" w:hAnsi="宋体" w:eastAsia="宋体" w:cs="宋体"/>
          <w:b/>
          <w:bCs/>
          <w:kern w:val="44"/>
          <w:sz w:val="40"/>
          <w:highlight w:val="none"/>
        </w:rPr>
        <w:t>关于响应电梯轿厢尺寸及交货期的承诺函</w:t>
      </w:r>
    </w:p>
    <w:p>
      <w:pPr>
        <w:widowControl/>
        <w:tabs>
          <w:tab w:val="left" w:pos="720"/>
        </w:tabs>
        <w:spacing w:line="500" w:lineRule="exact"/>
        <w:jc w:val="center"/>
        <w:rPr>
          <w:rFonts w:ascii="宋体" w:hAnsi="宋体" w:eastAsia="宋体" w:cs="宋体"/>
          <w:b/>
          <w:bCs/>
          <w:kern w:val="44"/>
          <w:sz w:val="40"/>
          <w:highlight w:val="none"/>
        </w:rPr>
      </w:pPr>
    </w:p>
    <w:p>
      <w:pPr>
        <w:widowControl/>
        <w:tabs>
          <w:tab w:val="left" w:pos="720"/>
        </w:tabs>
        <w:spacing w:line="50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致招标人：</w:t>
      </w:r>
    </w:p>
    <w:p>
      <w:pPr>
        <w:widowControl/>
        <w:tabs>
          <w:tab w:val="left" w:pos="720"/>
        </w:tabs>
        <w:spacing w:line="50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我公司已收到</w:t>
      </w:r>
      <w:r>
        <w:rPr>
          <w:rFonts w:hint="eastAsia" w:ascii="宋体" w:hAnsi="宋体" w:eastAsia="宋体" w:cs="宋体"/>
          <w:sz w:val="28"/>
          <w:szCs w:val="28"/>
          <w:highlight w:val="none"/>
          <w:u w:val="single"/>
        </w:rPr>
        <w:t>中国大酒店1、2、5、6号电梯采购及相关服务项目</w:t>
      </w:r>
      <w:r>
        <w:rPr>
          <w:rFonts w:hint="eastAsia" w:ascii="宋体" w:hAnsi="宋体" w:eastAsia="宋体" w:cs="宋体"/>
          <w:sz w:val="28"/>
          <w:szCs w:val="28"/>
          <w:highlight w:val="none"/>
        </w:rPr>
        <w:t>的招标电梯轿厢尺寸，现作出以下承诺：若我公司中标，我方提供的产品无条件满足本项目的招标电梯轿厢尺寸要求，我方承诺将按招标文件要求及投标承诺完成供货、安装及相关服务，我司承诺交货期为</w:t>
      </w:r>
      <w:r>
        <w:rPr>
          <w:rFonts w:hint="eastAsia" w:ascii="宋体" w:hAnsi="宋体" w:eastAsia="宋体" w:cs="宋体"/>
          <w:sz w:val="28"/>
          <w:szCs w:val="28"/>
          <w:highlight w:val="none"/>
          <w:u w:val="single"/>
        </w:rPr>
        <w:t>（按招标文件约定）</w:t>
      </w:r>
      <w:r>
        <w:rPr>
          <w:rFonts w:hint="eastAsia" w:ascii="宋体" w:hAnsi="宋体" w:eastAsia="宋体" w:cs="宋体"/>
          <w:sz w:val="28"/>
          <w:szCs w:val="28"/>
          <w:highlight w:val="none"/>
        </w:rPr>
        <w:t>，交货地点为</w:t>
      </w:r>
      <w:r>
        <w:rPr>
          <w:rFonts w:hint="eastAsia" w:ascii="宋体" w:hAnsi="宋体" w:eastAsia="宋体" w:cs="宋体"/>
          <w:sz w:val="28"/>
          <w:szCs w:val="28"/>
          <w:highlight w:val="none"/>
          <w:u w:val="single"/>
        </w:rPr>
        <w:t>（按招标文件约定）</w:t>
      </w:r>
      <w:r>
        <w:rPr>
          <w:rFonts w:hint="eastAsia" w:ascii="宋体" w:hAnsi="宋体" w:eastAsia="宋体" w:cs="宋体"/>
          <w:sz w:val="28"/>
          <w:szCs w:val="28"/>
          <w:highlight w:val="none"/>
        </w:rPr>
        <w:t>。如我司违背上述承诺，我司同意招标人取消我司的中标资格</w:t>
      </w:r>
      <w:r>
        <w:rPr>
          <w:rFonts w:hint="eastAsia" w:ascii="宋体" w:hAnsi="宋体" w:eastAsia="宋体" w:cs="宋体"/>
          <w:sz w:val="28"/>
          <w:szCs w:val="28"/>
          <w:highlight w:val="none"/>
          <w:lang w:val="en-US" w:eastAsia="zh-CN"/>
        </w:rPr>
        <w:t>或终止合同事宜</w:t>
      </w:r>
      <w:r>
        <w:rPr>
          <w:rFonts w:hint="eastAsia" w:ascii="宋体" w:hAnsi="宋体" w:eastAsia="宋体" w:cs="宋体"/>
          <w:sz w:val="28"/>
          <w:szCs w:val="28"/>
          <w:highlight w:val="none"/>
        </w:rPr>
        <w:t>。</w:t>
      </w:r>
    </w:p>
    <w:p>
      <w:pPr>
        <w:widowControl/>
        <w:tabs>
          <w:tab w:val="left" w:pos="720"/>
        </w:tabs>
        <w:spacing w:line="500" w:lineRule="exact"/>
        <w:jc w:val="center"/>
        <w:rPr>
          <w:rFonts w:ascii="宋体" w:hAnsi="宋体" w:eastAsia="宋体" w:cs="宋体"/>
          <w:sz w:val="24"/>
          <w:highlight w:val="none"/>
        </w:rPr>
      </w:pPr>
    </w:p>
    <w:p>
      <w:pPr>
        <w:widowControl/>
        <w:snapToGrid w:val="0"/>
        <w:spacing w:line="360" w:lineRule="auto"/>
        <w:ind w:left="4620" w:leftChars="2200" w:firstLine="360"/>
        <w:jc w:val="left"/>
        <w:rPr>
          <w:rFonts w:ascii="宋体" w:hAnsi="宋体" w:eastAsia="宋体" w:cs="宋体"/>
          <w:kern w:val="0"/>
          <w:sz w:val="28"/>
          <w:szCs w:val="28"/>
          <w:highlight w:val="none"/>
        </w:rPr>
      </w:pPr>
    </w:p>
    <w:p>
      <w:pPr>
        <w:widowControl/>
        <w:snapToGrid w:val="0"/>
        <w:spacing w:line="360" w:lineRule="auto"/>
        <w:ind w:left="4620" w:leftChars="2200" w:firstLine="360"/>
        <w:jc w:val="left"/>
        <w:rPr>
          <w:rFonts w:ascii="宋体" w:hAnsi="宋体" w:eastAsia="宋体" w:cs="宋体"/>
          <w:kern w:val="0"/>
          <w:sz w:val="28"/>
          <w:szCs w:val="28"/>
          <w:highlight w:val="none"/>
        </w:rPr>
      </w:pPr>
    </w:p>
    <w:p>
      <w:pPr>
        <w:widowControl/>
        <w:snapToGrid w:val="0"/>
        <w:spacing w:line="360" w:lineRule="auto"/>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投标人（公章）：   </w:t>
      </w:r>
    </w:p>
    <w:p>
      <w:pPr>
        <w:widowControl/>
        <w:snapToGrid w:val="0"/>
        <w:spacing w:line="360" w:lineRule="auto"/>
        <w:ind w:right="1120"/>
        <w:rPr>
          <w:rFonts w:ascii="宋体" w:hAnsi="宋体" w:eastAsia="宋体" w:cs="宋体"/>
          <w:kern w:val="0"/>
          <w:sz w:val="28"/>
          <w:szCs w:val="28"/>
          <w:highlight w:val="none"/>
        </w:rPr>
      </w:pPr>
      <w:r>
        <w:rPr>
          <w:rFonts w:hint="eastAsia" w:ascii="宋体" w:hAnsi="宋体" w:eastAsia="宋体" w:cs="宋体"/>
          <w:kern w:val="0"/>
          <w:sz w:val="28"/>
          <w:szCs w:val="28"/>
          <w:highlight w:val="none"/>
        </w:rPr>
        <w:t>法定代表人（单位负责人）或其授权代理人（签名或盖章）：</w:t>
      </w:r>
    </w:p>
    <w:p>
      <w:pPr>
        <w:widowControl/>
        <w:snapToGrid w:val="0"/>
        <w:spacing w:line="360" w:lineRule="auto"/>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日   期：</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20E48"/>
    <w:multiLevelType w:val="singleLevel"/>
    <w:tmpl w:val="D6120E48"/>
    <w:lvl w:ilvl="0" w:tentative="0">
      <w:start w:val="1"/>
      <w:numFmt w:val="decimal"/>
      <w:suff w:val="nothing"/>
      <w:lvlText w:val="%1、"/>
      <w:lvlJc w:val="left"/>
    </w:lvl>
  </w:abstractNum>
  <w:abstractNum w:abstractNumId="1">
    <w:nsid w:val="51DF5985"/>
    <w:multiLevelType w:val="singleLevel"/>
    <w:tmpl w:val="51DF598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hkNGVlOTk0MTBiNzRmNTZkYTcyMWIyMGZmNjMifQ=="/>
    <w:docVar w:name="KSO_WPS_MARK_KEY" w:val="fbd87bbc-d3e0-4af2-a496-e0a4999c1291"/>
  </w:docVars>
  <w:rsids>
    <w:rsidRoot w:val="79E24DA2"/>
    <w:rsid w:val="03593735"/>
    <w:rsid w:val="049B394B"/>
    <w:rsid w:val="04F34700"/>
    <w:rsid w:val="06A74175"/>
    <w:rsid w:val="06BD5DFB"/>
    <w:rsid w:val="0753050D"/>
    <w:rsid w:val="079E78EE"/>
    <w:rsid w:val="07ED2710"/>
    <w:rsid w:val="0C8C24F7"/>
    <w:rsid w:val="0CCC4FEA"/>
    <w:rsid w:val="0D477AA7"/>
    <w:rsid w:val="0F2904D1"/>
    <w:rsid w:val="0FAE56DB"/>
    <w:rsid w:val="114A310B"/>
    <w:rsid w:val="11515ABE"/>
    <w:rsid w:val="11B0086C"/>
    <w:rsid w:val="135857BD"/>
    <w:rsid w:val="13631E11"/>
    <w:rsid w:val="1A0E727D"/>
    <w:rsid w:val="1A784916"/>
    <w:rsid w:val="1CE912A0"/>
    <w:rsid w:val="1DAD1554"/>
    <w:rsid w:val="1F136AA8"/>
    <w:rsid w:val="1FDE0E64"/>
    <w:rsid w:val="226D64CF"/>
    <w:rsid w:val="25441D55"/>
    <w:rsid w:val="25C62CD7"/>
    <w:rsid w:val="272A15A5"/>
    <w:rsid w:val="280D0539"/>
    <w:rsid w:val="28846321"/>
    <w:rsid w:val="28FC235B"/>
    <w:rsid w:val="2AB676AF"/>
    <w:rsid w:val="2C891334"/>
    <w:rsid w:val="2D460049"/>
    <w:rsid w:val="2E460A02"/>
    <w:rsid w:val="2EB8678E"/>
    <w:rsid w:val="2F25260C"/>
    <w:rsid w:val="2F8C4439"/>
    <w:rsid w:val="37C93427"/>
    <w:rsid w:val="37DC365D"/>
    <w:rsid w:val="38AE3672"/>
    <w:rsid w:val="39B73AC0"/>
    <w:rsid w:val="3EC83776"/>
    <w:rsid w:val="40047A37"/>
    <w:rsid w:val="424D3EFC"/>
    <w:rsid w:val="42C57F36"/>
    <w:rsid w:val="46C865E1"/>
    <w:rsid w:val="48C13F31"/>
    <w:rsid w:val="4A0D425E"/>
    <w:rsid w:val="4A5B1EE0"/>
    <w:rsid w:val="4A7D35C7"/>
    <w:rsid w:val="4B4340EE"/>
    <w:rsid w:val="4CEA7877"/>
    <w:rsid w:val="4E632830"/>
    <w:rsid w:val="538F568A"/>
    <w:rsid w:val="53F00B8B"/>
    <w:rsid w:val="548B2F99"/>
    <w:rsid w:val="553D1BAE"/>
    <w:rsid w:val="59BC506B"/>
    <w:rsid w:val="5CDE2EED"/>
    <w:rsid w:val="5D896437"/>
    <w:rsid w:val="5EB804F7"/>
    <w:rsid w:val="5F303AA6"/>
    <w:rsid w:val="62061683"/>
    <w:rsid w:val="64F805D3"/>
    <w:rsid w:val="65990A67"/>
    <w:rsid w:val="65DF6900"/>
    <w:rsid w:val="69074555"/>
    <w:rsid w:val="69272577"/>
    <w:rsid w:val="69F05A30"/>
    <w:rsid w:val="69FC69FB"/>
    <w:rsid w:val="6D885538"/>
    <w:rsid w:val="6E1708A3"/>
    <w:rsid w:val="6E204E9F"/>
    <w:rsid w:val="6F123B67"/>
    <w:rsid w:val="700905CB"/>
    <w:rsid w:val="726648F5"/>
    <w:rsid w:val="768135A6"/>
    <w:rsid w:val="79244A67"/>
    <w:rsid w:val="79E24DA2"/>
    <w:rsid w:val="7DA168CE"/>
    <w:rsid w:val="7EF17C29"/>
    <w:rsid w:val="7FFA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67"/>
      </w:tabs>
      <w:spacing w:after="120" w:line="240" w:lineRule="auto"/>
      <w:ind w:left="200" w:firstLine="200" w:firstLineChars="200"/>
    </w:pPr>
    <w:rPr>
      <w:kern w:val="2"/>
      <w:sz w:val="21"/>
      <w:szCs w:val="24"/>
    </w:rPr>
  </w:style>
  <w:style w:type="paragraph" w:styleId="3">
    <w:name w:val="Body Text Indent"/>
    <w:basedOn w:val="1"/>
    <w:next w:val="4"/>
    <w:qFormat/>
    <w:uiPriority w:val="0"/>
    <w:pPr>
      <w:tabs>
        <w:tab w:val="left" w:pos="567"/>
      </w:tabs>
      <w:spacing w:line="360" w:lineRule="auto"/>
      <w:ind w:left="420" w:leftChars="200"/>
    </w:pPr>
    <w:rPr>
      <w:rFonts w:ascii="Calibri" w:hAnsi="Calibri" w:eastAsia="宋体" w:cs="Times New Roman"/>
      <w:kern w:val="0"/>
      <w:sz w:val="20"/>
      <w:szCs w:val="21"/>
    </w:rPr>
  </w:style>
  <w:style w:type="paragraph" w:styleId="4">
    <w:name w:val="envelope return"/>
    <w:basedOn w:val="1"/>
    <w:qFormat/>
    <w:uiPriority w:val="0"/>
    <w:pPr>
      <w:snapToGrid w:val="0"/>
    </w:pPr>
    <w:rPr>
      <w:rFonts w:ascii="Arial" w:hAnsi="Arial" w:eastAsia="宋体" w:cs="Times New Roman"/>
      <w:szCs w:val="24"/>
    </w:rPr>
  </w:style>
  <w:style w:type="paragraph" w:styleId="5">
    <w:name w:val="Body Text"/>
    <w:basedOn w:val="1"/>
    <w:next w:val="1"/>
    <w:qFormat/>
    <w:uiPriority w:val="0"/>
    <w:pPr>
      <w:spacing w:after="120"/>
    </w:pPr>
    <w:rPr>
      <w:rFonts w:ascii="Calibri" w:hAnsi="Calibri" w:eastAsia="宋体" w:cs="Times New Roman"/>
      <w:kern w:val="0"/>
      <w:sz w:val="20"/>
      <w:szCs w:val="20"/>
    </w:rPr>
  </w:style>
  <w:style w:type="paragraph" w:styleId="6">
    <w:name w:val="annotation text"/>
    <w:basedOn w:val="1"/>
    <w:qFormat/>
    <w:uiPriority w:val="0"/>
    <w:pPr>
      <w:jc w:val="left"/>
    </w:pPr>
    <w:rPr>
      <w:rFonts w:ascii="Calibri" w:hAnsi="Calibri" w:eastAsia="宋体" w:cs="Times New Roman"/>
      <w:kern w:val="0"/>
      <w:sz w:val="20"/>
      <w:szCs w:val="20"/>
    </w:rPr>
  </w:style>
  <w:style w:type="paragraph" w:styleId="7">
    <w:name w:val="Plain Text"/>
    <w:basedOn w:val="1"/>
    <w:next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20</TotalTime>
  <Pages>8</Pages>
  <Words>5018</Words>
  <Characters>5456</Characters>
  <DocSecurity>0</DocSecurity>
  <Lines>0</Lines>
  <Paragraphs>0</Paragraphs>
  <ScaleCrop>false</ScaleCrop>
  <LinksUpToDate>false</LinksUpToDate>
  <CharactersWithSpaces>5574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2024-08-20T06:09:00Z</dcterms:created>
  <dcterms:modified xsi:type="dcterms:W3CDTF">2024-08-28T07:35:05Z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2A71618E79EF435CB7A6A4C0D2A45338</vt:lpwstr>
  </property>
</Properties>
</file>