
<file path=[Content_Types].xml><?xml version="1.0" encoding="utf-8"?>
<Types xmlns="http://schemas.openxmlformats.org/package/2006/content-types">
  <Default Extension="xml" ContentType="application/xml"/>
  <Default Extension="xlsx" ContentType="application/vnd.openxmlformats-officedocument.spreadsheetml.shee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ascii="宋体" w:hAnsi="宋体" w:eastAsia="宋体" w:cs="宋体"/>
          <w:highlight w:val="none"/>
        </w:rPr>
      </w:pPr>
    </w:p>
    <w:p>
      <w:pPr>
        <w:spacing w:line="400" w:lineRule="exact"/>
        <w:jc w:val="center"/>
        <w:rPr>
          <w:rFonts w:ascii="宋体" w:hAnsi="宋体" w:eastAsia="宋体" w:cs="宋体"/>
          <w:highlight w:val="none"/>
        </w:rPr>
      </w:pPr>
    </w:p>
    <w:p>
      <w:pPr>
        <w:spacing w:line="400" w:lineRule="exact"/>
        <w:jc w:val="center"/>
        <w:rPr>
          <w:rFonts w:ascii="宋体" w:hAnsi="宋体" w:eastAsia="宋体" w:cs="宋体"/>
          <w:highlight w:val="none"/>
        </w:rPr>
      </w:pPr>
    </w:p>
    <w:p>
      <w:pPr>
        <w:spacing w:line="360" w:lineRule="auto"/>
        <w:jc w:val="center"/>
        <w:rPr>
          <w:rFonts w:ascii="宋体" w:hAnsi="宋体" w:eastAsia="宋体" w:cs="宋体"/>
          <w:b/>
          <w:sz w:val="48"/>
          <w:szCs w:val="44"/>
          <w:highlight w:val="none"/>
        </w:rPr>
      </w:pPr>
      <w:r>
        <w:rPr>
          <w:rFonts w:hint="eastAsia" w:ascii="宋体" w:hAnsi="宋体" w:eastAsia="宋体" w:cs="宋体"/>
          <w:b/>
          <w:sz w:val="48"/>
          <w:szCs w:val="44"/>
          <w:highlight w:val="none"/>
        </w:rPr>
        <w:t>中国大酒店1、2、5、6号电梯采购及相关服务项目</w:t>
      </w: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center"/>
        <w:rPr>
          <w:rFonts w:ascii="宋体" w:hAnsi="宋体" w:eastAsia="宋体" w:cs="宋体"/>
          <w:b/>
          <w:sz w:val="52"/>
          <w:szCs w:val="52"/>
          <w:highlight w:val="none"/>
        </w:rPr>
      </w:pPr>
    </w:p>
    <w:p>
      <w:pPr>
        <w:spacing w:line="360" w:lineRule="auto"/>
        <w:jc w:val="center"/>
        <w:rPr>
          <w:rFonts w:ascii="宋体" w:hAnsi="宋体" w:eastAsia="宋体" w:cs="宋体"/>
          <w:b/>
          <w:sz w:val="52"/>
          <w:szCs w:val="52"/>
          <w:highlight w:val="none"/>
        </w:rPr>
      </w:pPr>
      <w:r>
        <w:rPr>
          <w:rFonts w:hint="eastAsia" w:ascii="宋体" w:hAnsi="宋体" w:eastAsia="宋体" w:cs="宋体"/>
          <w:b/>
          <w:sz w:val="52"/>
          <w:szCs w:val="52"/>
          <w:highlight w:val="none"/>
        </w:rPr>
        <w:t>招标文件</w:t>
      </w: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highlight w:val="none"/>
        </w:rPr>
      </w:pPr>
    </w:p>
    <w:p>
      <w:pPr>
        <w:spacing w:line="360" w:lineRule="auto"/>
        <w:jc w:val="left"/>
        <w:rPr>
          <w:rFonts w:ascii="宋体" w:hAnsi="宋体" w:eastAsia="宋体" w:cs="宋体"/>
          <w:b/>
          <w:sz w:val="32"/>
          <w:szCs w:val="32"/>
          <w:highlight w:val="none"/>
        </w:rPr>
      </w:pPr>
      <w:r>
        <w:rPr>
          <w:rFonts w:hint="eastAsia" w:ascii="宋体" w:hAnsi="宋体" w:eastAsia="宋体" w:cs="宋体"/>
          <w:b/>
          <w:sz w:val="32"/>
          <w:szCs w:val="32"/>
          <w:highlight w:val="none"/>
        </w:rPr>
        <w:t>招   标   人：中国大酒店</w:t>
      </w:r>
    </w:p>
    <w:p>
      <w:pPr>
        <w:spacing w:line="360" w:lineRule="auto"/>
        <w:jc w:val="left"/>
        <w:rPr>
          <w:rFonts w:ascii="宋体" w:hAnsi="宋体" w:eastAsia="宋体" w:cs="宋体"/>
          <w:b/>
          <w:color w:val="auto"/>
          <w:sz w:val="32"/>
          <w:szCs w:val="32"/>
          <w:highlight w:val="none"/>
        </w:rPr>
      </w:pPr>
      <w:r>
        <w:rPr>
          <w:rFonts w:hint="eastAsia" w:ascii="宋体" w:hAnsi="宋体" w:eastAsia="宋体" w:cs="宋体"/>
          <w:b/>
          <w:sz w:val="32"/>
          <w:szCs w:val="32"/>
          <w:highlight w:val="none"/>
        </w:rPr>
        <w:t>招标代理机构：新誉时代</w:t>
      </w:r>
      <w:r>
        <w:rPr>
          <w:rFonts w:hint="eastAsia" w:ascii="宋体" w:hAnsi="宋体" w:eastAsia="宋体" w:cs="宋体"/>
          <w:b/>
          <w:color w:val="auto"/>
          <w:sz w:val="32"/>
          <w:szCs w:val="32"/>
          <w:highlight w:val="none"/>
        </w:rPr>
        <w:t>工程咨询有限公司</w:t>
      </w:r>
    </w:p>
    <w:p>
      <w:pPr>
        <w:spacing w:line="360" w:lineRule="auto"/>
        <w:ind w:firstLine="3534" w:firstLineChars="1100"/>
        <w:rPr>
          <w:rFonts w:ascii="宋体" w:hAnsi="宋体" w:eastAsia="宋体" w:cs="宋体"/>
          <w:b/>
          <w:color w:val="auto"/>
          <w:sz w:val="32"/>
          <w:szCs w:val="32"/>
          <w:highlight w:val="none"/>
        </w:rPr>
        <w:sectPr>
          <w:footerReference r:id="rId3" w:type="default"/>
          <w:pgSz w:w="11906" w:h="16838"/>
          <w:pgMar w:top="1247" w:right="1274" w:bottom="1134" w:left="1418" w:header="851" w:footer="379" w:gutter="0"/>
          <w:pgNumType w:fmt="decimal"/>
          <w:cols w:space="720" w:num="1"/>
          <w:docGrid w:linePitch="312" w:charSpace="0"/>
        </w:sectPr>
      </w:pPr>
      <w:r>
        <w:rPr>
          <w:rFonts w:hint="eastAsia" w:ascii="宋体" w:hAnsi="宋体" w:eastAsia="宋体" w:cs="宋体"/>
          <w:b/>
          <w:color w:val="auto"/>
          <w:sz w:val="32"/>
          <w:szCs w:val="32"/>
          <w:highlight w:val="none"/>
        </w:rPr>
        <w:t>2024年</w:t>
      </w:r>
      <w:r>
        <w:rPr>
          <w:rFonts w:hint="eastAsia" w:ascii="宋体" w:hAnsi="宋体" w:eastAsia="宋体" w:cs="宋体"/>
          <w:b/>
          <w:color w:val="auto"/>
          <w:sz w:val="32"/>
          <w:szCs w:val="32"/>
          <w:highlight w:val="none"/>
          <w:lang w:val="en-US" w:eastAsia="zh-CN"/>
        </w:rPr>
        <w:t>8</w:t>
      </w:r>
      <w:r>
        <w:rPr>
          <w:rFonts w:hint="eastAsia" w:ascii="宋体" w:hAnsi="宋体" w:eastAsia="宋体" w:cs="宋体"/>
          <w:b/>
          <w:color w:val="auto"/>
          <w:sz w:val="32"/>
          <w:szCs w:val="32"/>
          <w:highlight w:val="none"/>
        </w:rPr>
        <w:t>月</w:t>
      </w:r>
    </w:p>
    <w:p>
      <w:pPr>
        <w:keepNext/>
        <w:keepLines/>
        <w:widowControl/>
        <w:spacing w:line="360" w:lineRule="auto"/>
        <w:jc w:val="center"/>
        <w:rPr>
          <w:rFonts w:ascii="宋体" w:hAnsi="宋体" w:eastAsia="宋体" w:cs="宋体"/>
          <w:b/>
          <w:bCs/>
          <w:kern w:val="0"/>
          <w:sz w:val="40"/>
          <w:szCs w:val="40"/>
          <w:highlight w:val="none"/>
        </w:rPr>
      </w:pPr>
      <w:r>
        <w:rPr>
          <w:rFonts w:hint="eastAsia" w:ascii="宋体" w:hAnsi="宋体" w:eastAsia="宋体" w:cs="宋体"/>
          <w:b/>
          <w:bCs/>
          <w:kern w:val="0"/>
          <w:sz w:val="40"/>
          <w:szCs w:val="40"/>
          <w:highlight w:val="none"/>
          <w:lang w:val="zh-CN"/>
        </w:rPr>
        <w:t>目</w:t>
      </w:r>
      <w:r>
        <w:rPr>
          <w:rFonts w:hint="eastAsia" w:ascii="宋体" w:hAnsi="宋体" w:eastAsia="宋体" w:cs="宋体"/>
          <w:b/>
          <w:bCs/>
          <w:kern w:val="0"/>
          <w:sz w:val="40"/>
          <w:szCs w:val="40"/>
          <w:highlight w:val="none"/>
        </w:rPr>
        <w:t xml:space="preserve">   </w:t>
      </w:r>
      <w:r>
        <w:rPr>
          <w:rFonts w:hint="eastAsia" w:ascii="宋体" w:hAnsi="宋体" w:eastAsia="宋体" w:cs="宋体"/>
          <w:b/>
          <w:bCs/>
          <w:kern w:val="0"/>
          <w:sz w:val="40"/>
          <w:szCs w:val="40"/>
          <w:highlight w:val="none"/>
          <w:lang w:val="zh-CN"/>
        </w:rPr>
        <w:t>录</w:t>
      </w:r>
    </w:p>
    <w:p>
      <w:pPr>
        <w:jc w:val="center"/>
        <w:rPr>
          <w:rFonts w:ascii="宋体" w:hAnsi="宋体" w:eastAsia="宋体" w:cs="宋体"/>
          <w:highlight w:val="none"/>
        </w:rPr>
      </w:pPr>
    </w:p>
    <w:p>
      <w:pPr>
        <w:widowControl/>
        <w:tabs>
          <w:tab w:val="right" w:leader="dot" w:pos="9214"/>
        </w:tabs>
        <w:spacing w:after="100" w:line="276" w:lineRule="auto"/>
        <w:jc w:val="left"/>
        <w:rPr>
          <w:rFonts w:ascii="宋体" w:hAnsi="宋体" w:eastAsia="宋体" w:cs="宋体"/>
          <w:kern w:val="0"/>
          <w:sz w:val="32"/>
          <w:szCs w:val="32"/>
          <w:highlight w:val="none"/>
        </w:rPr>
      </w:pP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TOC \o "1-1" \h \u </w:instrText>
      </w:r>
      <w:r>
        <w:rPr>
          <w:rFonts w:hint="eastAsia" w:ascii="宋体" w:hAnsi="宋体" w:eastAsia="宋体" w:cs="宋体"/>
          <w:kern w:val="0"/>
          <w:sz w:val="32"/>
          <w:szCs w:val="32"/>
          <w:highlight w:val="none"/>
        </w:rPr>
        <w:fldChar w:fldCharType="separate"/>
      </w:r>
      <w:r>
        <w:rPr>
          <w:highlight w:val="none"/>
        </w:rPr>
        <w:fldChar w:fldCharType="begin"/>
      </w:r>
      <w:r>
        <w:rPr>
          <w:highlight w:val="none"/>
        </w:rPr>
        <w:instrText xml:space="preserve"> HYPERLINK \l "_Toc29079" </w:instrText>
      </w:r>
      <w:r>
        <w:rPr>
          <w:highlight w:val="none"/>
        </w:rPr>
        <w:fldChar w:fldCharType="separate"/>
      </w:r>
      <w:r>
        <w:rPr>
          <w:rFonts w:hint="eastAsia" w:ascii="宋体" w:hAnsi="宋体" w:eastAsia="宋体" w:cs="宋体"/>
          <w:kern w:val="44"/>
          <w:sz w:val="32"/>
          <w:szCs w:val="24"/>
          <w:highlight w:val="none"/>
        </w:rPr>
        <w:t>第一卷</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_Toc29079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3</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"_Toc4399" </w:instrText>
      </w:r>
      <w:r>
        <w:rPr>
          <w:highlight w:val="none"/>
        </w:rPr>
        <w:fldChar w:fldCharType="separate"/>
      </w:r>
      <w:r>
        <w:rPr>
          <w:rFonts w:hint="eastAsia" w:ascii="宋体" w:hAnsi="宋体" w:eastAsia="宋体" w:cs="宋体"/>
          <w:kern w:val="0"/>
          <w:sz w:val="32"/>
          <w:szCs w:val="32"/>
          <w:highlight w:val="none"/>
        </w:rPr>
        <w:t>第一章招标公告（另册）</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t>3</w:t>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"_Toc3683" </w:instrText>
      </w:r>
      <w:r>
        <w:rPr>
          <w:highlight w:val="none"/>
        </w:rPr>
        <w:fldChar w:fldCharType="separate"/>
      </w:r>
      <w:r>
        <w:rPr>
          <w:rFonts w:hint="eastAsia" w:ascii="宋体" w:hAnsi="宋体" w:eastAsia="宋体" w:cs="宋体"/>
          <w:kern w:val="0"/>
          <w:sz w:val="32"/>
          <w:szCs w:val="32"/>
          <w:highlight w:val="none"/>
        </w:rPr>
        <w:t>第二章投标人须知</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_Toc3683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4</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"_Toc6657" </w:instrText>
      </w:r>
      <w:r>
        <w:rPr>
          <w:highlight w:val="none"/>
        </w:rPr>
        <w:fldChar w:fldCharType="separate"/>
      </w:r>
      <w:r>
        <w:rPr>
          <w:rFonts w:hint="eastAsia" w:ascii="宋体" w:hAnsi="宋体" w:eastAsia="宋体" w:cs="宋体"/>
          <w:kern w:val="0"/>
          <w:sz w:val="32"/>
          <w:szCs w:val="32"/>
          <w:highlight w:val="none"/>
        </w:rPr>
        <w:t>第三章评标办法（综合评分法）</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_Toc6657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31</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"_Toc26595" </w:instrText>
      </w:r>
      <w:r>
        <w:rPr>
          <w:highlight w:val="none"/>
        </w:rPr>
        <w:fldChar w:fldCharType="separate"/>
      </w:r>
      <w:r>
        <w:rPr>
          <w:rFonts w:hint="eastAsia" w:ascii="宋体" w:hAnsi="宋体" w:eastAsia="宋体" w:cs="宋体"/>
          <w:kern w:val="0"/>
          <w:sz w:val="32"/>
          <w:szCs w:val="32"/>
          <w:highlight w:val="none"/>
        </w:rPr>
        <w:t>第四章合同条款及格式</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_Toc26595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39</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"_Toc31929" </w:instrText>
      </w:r>
      <w:r>
        <w:rPr>
          <w:highlight w:val="none"/>
        </w:rPr>
        <w:fldChar w:fldCharType="separate"/>
      </w:r>
      <w:r>
        <w:rPr>
          <w:rFonts w:hint="eastAsia" w:ascii="宋体" w:hAnsi="宋体" w:eastAsia="宋体" w:cs="宋体"/>
          <w:kern w:val="44"/>
          <w:sz w:val="32"/>
          <w:szCs w:val="24"/>
          <w:highlight w:val="none"/>
        </w:rPr>
        <w:t>第二卷</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_Toc31929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40</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"_Toc4278" </w:instrText>
      </w:r>
      <w:r>
        <w:rPr>
          <w:highlight w:val="none"/>
        </w:rPr>
        <w:fldChar w:fldCharType="separate"/>
      </w:r>
      <w:r>
        <w:rPr>
          <w:rFonts w:hint="eastAsia" w:ascii="宋体" w:hAnsi="宋体" w:eastAsia="宋体" w:cs="宋体"/>
          <w:kern w:val="0"/>
          <w:sz w:val="32"/>
          <w:szCs w:val="32"/>
          <w:highlight w:val="none"/>
        </w:rPr>
        <w:t>第五章 供货要求</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_Toc4278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41</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"_Toc13167" </w:instrText>
      </w:r>
      <w:r>
        <w:rPr>
          <w:highlight w:val="none"/>
        </w:rPr>
        <w:fldChar w:fldCharType="separate"/>
      </w:r>
      <w:r>
        <w:rPr>
          <w:rFonts w:hint="eastAsia" w:ascii="宋体" w:hAnsi="宋体" w:eastAsia="宋体" w:cs="宋体"/>
          <w:kern w:val="0"/>
          <w:sz w:val="32"/>
          <w:szCs w:val="32"/>
          <w:highlight w:val="none"/>
        </w:rPr>
        <w:t>第三卷</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_Toc13167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42</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widowControl/>
        <w:tabs>
          <w:tab w:val="right" w:leader="dot" w:pos="9214"/>
        </w:tabs>
        <w:spacing w:after="100" w:line="276" w:lineRule="auto"/>
        <w:jc w:val="left"/>
        <w:rPr>
          <w:rFonts w:ascii="宋体" w:hAnsi="宋体" w:eastAsia="宋体" w:cs="宋体"/>
          <w:kern w:val="0"/>
          <w:sz w:val="32"/>
          <w:szCs w:val="32"/>
          <w:highlight w:val="none"/>
        </w:rPr>
      </w:pPr>
      <w:r>
        <w:rPr>
          <w:highlight w:val="none"/>
        </w:rPr>
        <w:fldChar w:fldCharType="begin"/>
      </w:r>
      <w:r>
        <w:rPr>
          <w:highlight w:val="none"/>
        </w:rPr>
        <w:instrText xml:space="preserve"> HYPERLINK \l "_Toc27812" </w:instrText>
      </w:r>
      <w:r>
        <w:rPr>
          <w:highlight w:val="none"/>
        </w:rPr>
        <w:fldChar w:fldCharType="separate"/>
      </w:r>
      <w:r>
        <w:rPr>
          <w:rFonts w:hint="eastAsia" w:ascii="宋体" w:hAnsi="宋体" w:eastAsia="宋体" w:cs="宋体"/>
          <w:kern w:val="0"/>
          <w:sz w:val="32"/>
          <w:szCs w:val="32"/>
          <w:highlight w:val="none"/>
        </w:rPr>
        <w:t>第六章 投标文件格式</w:t>
      </w:r>
      <w:r>
        <w:rPr>
          <w:rFonts w:hint="eastAsia" w:ascii="宋体" w:hAnsi="宋体" w:eastAsia="宋体" w:cs="宋体"/>
          <w:kern w:val="0"/>
          <w:sz w:val="32"/>
          <w:szCs w:val="32"/>
          <w:highlight w:val="none"/>
        </w:rPr>
        <w:tab/>
      </w:r>
      <w:r>
        <w:rPr>
          <w:rFonts w:hint="eastAsia" w:ascii="宋体" w:hAnsi="宋体" w:eastAsia="宋体" w:cs="宋体"/>
          <w:kern w:val="0"/>
          <w:sz w:val="32"/>
          <w:szCs w:val="32"/>
          <w:highlight w:val="none"/>
        </w:rPr>
        <w:fldChar w:fldCharType="begin"/>
      </w:r>
      <w:r>
        <w:rPr>
          <w:rFonts w:hint="eastAsia" w:ascii="宋体" w:hAnsi="宋体" w:eastAsia="宋体" w:cs="宋体"/>
          <w:kern w:val="0"/>
          <w:sz w:val="32"/>
          <w:szCs w:val="32"/>
          <w:highlight w:val="none"/>
        </w:rPr>
        <w:instrText xml:space="preserve"> PAGEREF _Toc27812 </w:instrText>
      </w:r>
      <w:r>
        <w:rPr>
          <w:rFonts w:hint="eastAsia" w:ascii="宋体" w:hAnsi="宋体" w:eastAsia="宋体" w:cs="宋体"/>
          <w:kern w:val="0"/>
          <w:sz w:val="32"/>
          <w:szCs w:val="32"/>
          <w:highlight w:val="none"/>
        </w:rPr>
        <w:fldChar w:fldCharType="separate"/>
      </w:r>
      <w:r>
        <w:rPr>
          <w:rFonts w:hint="eastAsia" w:ascii="宋体" w:hAnsi="宋体" w:eastAsia="宋体" w:cs="宋体"/>
          <w:kern w:val="0"/>
          <w:sz w:val="32"/>
          <w:szCs w:val="32"/>
          <w:highlight w:val="none"/>
        </w:rPr>
        <w:t>43</w:t>
      </w:r>
      <w:r>
        <w:rPr>
          <w:rFonts w:hint="eastAsia" w:ascii="宋体" w:hAnsi="宋体" w:eastAsia="宋体" w:cs="宋体"/>
          <w:kern w:val="0"/>
          <w:sz w:val="32"/>
          <w:szCs w:val="32"/>
          <w:highlight w:val="none"/>
        </w:rPr>
        <w:fldChar w:fldCharType="end"/>
      </w:r>
      <w:r>
        <w:rPr>
          <w:rFonts w:hint="eastAsia" w:ascii="宋体" w:hAnsi="宋体" w:eastAsia="宋体" w:cs="宋体"/>
          <w:kern w:val="0"/>
          <w:sz w:val="32"/>
          <w:szCs w:val="32"/>
          <w:highlight w:val="none"/>
        </w:rPr>
        <w:fldChar w:fldCharType="end"/>
      </w:r>
    </w:p>
    <w:p>
      <w:pPr>
        <w:spacing w:line="360" w:lineRule="auto"/>
        <w:jc w:val="center"/>
        <w:rPr>
          <w:rFonts w:ascii="宋体" w:hAnsi="宋体" w:eastAsia="宋体" w:cs="宋体"/>
          <w:highlight w:val="none"/>
        </w:rPr>
      </w:pPr>
      <w:r>
        <w:rPr>
          <w:rFonts w:hint="eastAsia" w:ascii="宋体" w:hAnsi="宋体" w:eastAsia="宋体" w:cs="宋体"/>
          <w:sz w:val="28"/>
          <w:szCs w:val="32"/>
          <w:highlight w:val="none"/>
        </w:rPr>
        <w:fldChar w:fldCharType="end"/>
      </w:r>
    </w:p>
    <w:p>
      <w:pPr>
        <w:widowControl/>
        <w:spacing w:line="360" w:lineRule="auto"/>
        <w:jc w:val="center"/>
        <w:rPr>
          <w:rFonts w:ascii="宋体" w:hAnsi="宋体" w:eastAsia="宋体" w:cs="宋体"/>
          <w:b/>
          <w:kern w:val="44"/>
          <w:sz w:val="44"/>
          <w:szCs w:val="20"/>
          <w:highlight w:val="none"/>
          <w:lang w:val="zh-CN"/>
        </w:rPr>
      </w:pPr>
      <w:r>
        <w:rPr>
          <w:rFonts w:hint="eastAsia" w:ascii="宋体" w:hAnsi="宋体" w:eastAsia="宋体" w:cs="宋体"/>
          <w:b/>
          <w:sz w:val="44"/>
          <w:highlight w:val="none"/>
        </w:rPr>
        <w:br w:type="page"/>
      </w:r>
    </w:p>
    <w:p>
      <w:pPr>
        <w:spacing w:line="502" w:lineRule="exact"/>
        <w:ind w:right="220"/>
        <w:jc w:val="center"/>
        <w:outlineLvl w:val="0"/>
        <w:rPr>
          <w:rFonts w:ascii="宋体" w:hAnsi="宋体" w:eastAsia="宋体" w:cs="宋体"/>
          <w:b/>
          <w:kern w:val="44"/>
          <w:sz w:val="44"/>
          <w:szCs w:val="20"/>
          <w:highlight w:val="none"/>
        </w:rPr>
      </w:pPr>
      <w:bookmarkStart w:id="0" w:name="_Toc29079"/>
      <w:r>
        <w:rPr>
          <w:rFonts w:hint="eastAsia" w:ascii="宋体" w:hAnsi="宋体" w:eastAsia="宋体" w:cs="宋体"/>
          <w:b/>
          <w:kern w:val="44"/>
          <w:sz w:val="44"/>
          <w:szCs w:val="20"/>
          <w:highlight w:val="none"/>
        </w:rPr>
        <w:t>第一卷</w:t>
      </w:r>
      <w:bookmarkEnd w:id="0"/>
    </w:p>
    <w:p>
      <w:pPr>
        <w:widowControl/>
        <w:spacing w:line="259" w:lineRule="auto"/>
        <w:ind w:right="1604"/>
        <w:jc w:val="right"/>
        <w:rPr>
          <w:rFonts w:ascii="宋体" w:hAnsi="宋体" w:eastAsia="宋体" w:cs="宋体"/>
          <w:sz w:val="32"/>
          <w:szCs w:val="32"/>
          <w:highlight w:val="none"/>
        </w:rPr>
      </w:pPr>
    </w:p>
    <w:p>
      <w:pPr>
        <w:widowControl/>
        <w:spacing w:line="259" w:lineRule="auto"/>
        <w:ind w:right="1604"/>
        <w:jc w:val="center"/>
        <w:rPr>
          <w:rFonts w:ascii="宋体" w:hAnsi="宋体" w:eastAsia="宋体" w:cs="宋体"/>
          <w:b/>
          <w:bCs/>
          <w:sz w:val="44"/>
          <w:szCs w:val="44"/>
          <w:highlight w:val="none"/>
        </w:rPr>
      </w:pPr>
      <w:r>
        <w:rPr>
          <w:rFonts w:hint="eastAsia" w:ascii="宋体" w:hAnsi="宋体" w:eastAsia="宋体" w:cs="宋体"/>
          <w:b/>
          <w:bCs/>
          <w:sz w:val="44"/>
          <w:szCs w:val="44"/>
          <w:highlight w:val="none"/>
        </w:rPr>
        <w:t xml:space="preserve">        第一章招标公告</w:t>
      </w:r>
    </w:p>
    <w:p>
      <w:pPr>
        <w:pStyle w:val="7"/>
        <w:spacing w:before="0" w:after="0" w:line="324" w:lineRule="auto"/>
        <w:rPr>
          <w:rFonts w:ascii="宋体" w:hAnsi="宋体" w:cs="宋体"/>
          <w:sz w:val="28"/>
          <w:szCs w:val="28"/>
          <w:highlight w:val="none"/>
        </w:rPr>
      </w:pPr>
      <w:bookmarkStart w:id="1" w:name="_Toc491883077"/>
      <w:r>
        <w:rPr>
          <w:rFonts w:hint="eastAsia" w:ascii="宋体" w:hAnsi="宋体" w:cs="宋体"/>
          <w:sz w:val="28"/>
          <w:szCs w:val="28"/>
          <w:highlight w:val="none"/>
        </w:rPr>
        <w:t>1. 招标条件</w:t>
      </w:r>
      <w:bookmarkEnd w:id="1"/>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本招标项目中国大酒店1、2、5、6号电梯采购及相关服务项目，招标人为中国大酒店，招标项目资金来自</w:t>
      </w:r>
      <w:r>
        <w:rPr>
          <w:rFonts w:hint="eastAsia" w:ascii="宋体" w:hAnsi="宋体" w:cs="宋体"/>
          <w:szCs w:val="21"/>
          <w:highlight w:val="none"/>
          <w:u w:val="single"/>
        </w:rPr>
        <w:t>自筹资金</w:t>
      </w:r>
      <w:r>
        <w:rPr>
          <w:rFonts w:hint="eastAsia" w:ascii="宋体" w:hAnsi="宋体" w:cs="宋体"/>
          <w:szCs w:val="21"/>
          <w:highlight w:val="none"/>
        </w:rPr>
        <w:t>，出资比例为</w:t>
      </w:r>
      <w:r>
        <w:rPr>
          <w:rFonts w:hint="eastAsia" w:ascii="宋体" w:hAnsi="宋体" w:cs="宋体"/>
          <w:szCs w:val="21"/>
          <w:highlight w:val="none"/>
          <w:u w:val="single"/>
        </w:rPr>
        <w:t>100%</w:t>
      </w:r>
      <w:r>
        <w:rPr>
          <w:rFonts w:hint="eastAsia" w:ascii="宋体" w:hAnsi="宋体" w:cs="宋体"/>
          <w:szCs w:val="21"/>
          <w:highlight w:val="none"/>
        </w:rPr>
        <w:t>。该项目已具备招标条件，现对中国大酒店1、2、5、6号电梯采购及相关服务项目进行公开招标。</w:t>
      </w:r>
    </w:p>
    <w:p>
      <w:pPr>
        <w:pStyle w:val="7"/>
        <w:spacing w:before="0" w:after="0" w:line="324" w:lineRule="auto"/>
        <w:rPr>
          <w:rFonts w:ascii="宋体" w:hAnsi="宋体" w:cs="宋体"/>
          <w:sz w:val="28"/>
          <w:szCs w:val="28"/>
          <w:highlight w:val="none"/>
        </w:rPr>
      </w:pPr>
      <w:bookmarkStart w:id="2" w:name="_Toc491883078"/>
      <w:r>
        <w:rPr>
          <w:rFonts w:hint="eastAsia" w:ascii="宋体" w:hAnsi="宋体" w:cs="宋体"/>
          <w:sz w:val="28"/>
          <w:szCs w:val="28"/>
          <w:highlight w:val="none"/>
        </w:rPr>
        <w:t>2. 项目概况与招标范围</w:t>
      </w:r>
      <w:bookmarkEnd w:id="2"/>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rPr>
        <w:t>2.1招标项目名称：中国大酒店1、2、5、6号电梯采购及相关服务项目</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 xml:space="preserve">    项目代码：</w:t>
      </w:r>
      <w:r>
        <w:rPr>
          <w:rFonts w:hint="eastAsia" w:ascii="宋体" w:hAnsi="宋体" w:cs="宋体"/>
          <w:szCs w:val="21"/>
          <w:highlight w:val="none"/>
          <w:u w:val="single"/>
        </w:rPr>
        <w:t xml:space="preserve"> </w:t>
      </w:r>
      <w:r>
        <w:rPr>
          <w:rFonts w:ascii="宋体" w:hAnsi="宋体" w:cs="宋体"/>
          <w:szCs w:val="21"/>
          <w:highlight w:val="none"/>
          <w:u w:val="single"/>
        </w:rPr>
        <w:t>2407</w:t>
      </w:r>
      <w:r>
        <w:rPr>
          <w:rFonts w:hint="eastAsia" w:ascii="宋体" w:hAnsi="宋体" w:cs="宋体"/>
          <w:szCs w:val="21"/>
          <w:highlight w:val="none"/>
          <w:u w:val="single"/>
        </w:rPr>
        <w:t>-</w:t>
      </w:r>
      <w:r>
        <w:rPr>
          <w:rFonts w:ascii="宋体" w:hAnsi="宋体" w:cs="宋体"/>
          <w:szCs w:val="21"/>
          <w:highlight w:val="none"/>
          <w:u w:val="single"/>
        </w:rPr>
        <w:t>440100</w:t>
      </w:r>
      <w:r>
        <w:rPr>
          <w:rFonts w:hint="eastAsia" w:ascii="宋体" w:hAnsi="宋体" w:cs="宋体"/>
          <w:szCs w:val="21"/>
          <w:highlight w:val="none"/>
          <w:u w:val="single"/>
        </w:rPr>
        <w:t>-</w:t>
      </w:r>
      <w:r>
        <w:rPr>
          <w:rFonts w:ascii="宋体" w:hAnsi="宋体" w:cs="宋体"/>
          <w:szCs w:val="21"/>
          <w:highlight w:val="none"/>
          <w:u w:val="single"/>
        </w:rPr>
        <w:t>04</w:t>
      </w:r>
      <w:r>
        <w:rPr>
          <w:rFonts w:hint="eastAsia" w:ascii="宋体" w:hAnsi="宋体" w:cs="宋体"/>
          <w:szCs w:val="21"/>
          <w:highlight w:val="none"/>
          <w:u w:val="single"/>
        </w:rPr>
        <w:t>-</w:t>
      </w:r>
      <w:r>
        <w:rPr>
          <w:rFonts w:ascii="宋体" w:hAnsi="宋体" w:cs="宋体"/>
          <w:szCs w:val="21"/>
          <w:highlight w:val="none"/>
          <w:u w:val="single"/>
        </w:rPr>
        <w:t>05</w:t>
      </w:r>
      <w:r>
        <w:rPr>
          <w:rFonts w:hint="eastAsia" w:ascii="宋体" w:hAnsi="宋体" w:cs="宋体"/>
          <w:szCs w:val="21"/>
          <w:highlight w:val="none"/>
          <w:u w:val="single"/>
        </w:rPr>
        <w:t>-</w:t>
      </w:r>
      <w:r>
        <w:rPr>
          <w:rFonts w:ascii="宋体" w:hAnsi="宋体" w:cs="宋体"/>
          <w:szCs w:val="21"/>
          <w:highlight w:val="none"/>
          <w:u w:val="single"/>
        </w:rPr>
        <w:t>927947</w:t>
      </w:r>
      <w:r>
        <w:rPr>
          <w:rFonts w:hint="eastAsia" w:ascii="宋体" w:hAnsi="宋体" w:cs="宋体"/>
          <w:szCs w:val="21"/>
          <w:highlight w:val="none"/>
          <w:u w:val="single"/>
        </w:rPr>
        <w:t xml:space="preserve"> </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2.2项目概况：酒店的1、2、5、6号电梯是客人使用的载客电梯，使用至今已40年，现拟计划对上述电梯进行采购及升级改造服务。</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2.3项目地点：广州市流花路122号中国大酒店A座1#、2#电梯、H座5#、6#电梯。</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2.4招标采购设备名称、数量及技术规格：</w:t>
      </w:r>
      <w:r>
        <w:rPr>
          <w:rFonts w:hint="eastAsia" w:ascii="宋体" w:hAnsi="宋体" w:cs="宋体"/>
          <w:szCs w:val="21"/>
          <w:highlight w:val="none"/>
          <w:u w:val="single"/>
        </w:rPr>
        <w:t>具体详见招标文件的《用户需求书》。</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2.5招标范围：</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2.5.1标段划分：</w:t>
      </w:r>
      <w:r>
        <w:rPr>
          <w:rFonts w:hint="eastAsia" w:ascii="宋体" w:hAnsi="宋体" w:cs="宋体"/>
          <w:szCs w:val="21"/>
          <w:highlight w:val="none"/>
          <w:u w:val="single"/>
        </w:rPr>
        <w:t>本项目划分1个标段。</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rPr>
        <w:t>2.5.2招标内容：电梯设备及材料的供应、施工、运输、卸货、安装，调试、电梯监控系统、包报装、包报拆装、包检测(验收所需要的所有检测)，包验收合格。按照有机电安装及电梯生产安装标准、规范、规定，满足国家和地方相关投标的安装、检验的标准、规范和规定。要求安装施工应严格按照施工安装规范施工。</w:t>
      </w:r>
      <w:r>
        <w:rPr>
          <w:rFonts w:hint="eastAsia" w:ascii="宋体" w:hAnsi="宋体" w:cs="宋体"/>
          <w:szCs w:val="21"/>
          <w:highlight w:val="none"/>
          <w:u w:val="single"/>
        </w:rPr>
        <w:t>具体详见招标文件的《用户需求书》。</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2.5.4交货期：计划2024年8月份施工，交货期：130天 ，交货期内需完成四台电梯同时施工(包含电梯设计、生产、运输、安装，技监局检验合格)。</w:t>
      </w:r>
    </w:p>
    <w:p>
      <w:pPr>
        <w:pStyle w:val="2"/>
        <w:ind w:left="199" w:leftChars="95" w:firstLine="199" w:firstLineChars="95"/>
        <w:rPr>
          <w:rFonts w:ascii="宋体" w:hAnsi="宋体"/>
          <w:highlight w:val="none"/>
        </w:rPr>
      </w:pPr>
      <w:r>
        <w:rPr>
          <w:rFonts w:ascii="宋体" w:hAnsi="宋体"/>
          <w:highlight w:val="none"/>
        </w:rPr>
        <w:t>2.5.5</w:t>
      </w:r>
      <w:r>
        <w:rPr>
          <w:rFonts w:hint="eastAsia" w:ascii="宋体" w:hAnsi="宋体" w:cs="宋体" w:eastAsiaTheme="minorEastAsia"/>
          <w:szCs w:val="21"/>
          <w:highlight w:val="none"/>
        </w:rPr>
        <w:t>验收要求：电梯设备及材料的供应、施工、运输、卸货、安装，调试、电梯监控系统、包报装、包报拆装、包检测</w:t>
      </w:r>
      <w:r>
        <w:rPr>
          <w:rFonts w:ascii="宋体" w:hAnsi="宋体" w:cs="宋体" w:eastAsiaTheme="minorEastAsia"/>
          <w:szCs w:val="21"/>
          <w:highlight w:val="none"/>
        </w:rPr>
        <w:t>(验收所需要的所有检测)，包验收</w:t>
      </w:r>
      <w:r>
        <w:rPr>
          <w:rFonts w:hint="eastAsia" w:ascii="宋体" w:hAnsi="宋体" w:cs="宋体" w:eastAsiaTheme="minorEastAsia"/>
          <w:szCs w:val="21"/>
          <w:highlight w:val="none"/>
        </w:rPr>
        <w:t>；包电梯轿厢装修竣工验收合格。</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rPr>
        <w:t>2.5.</w:t>
      </w:r>
      <w:r>
        <w:rPr>
          <w:rFonts w:ascii="宋体" w:hAnsi="宋体" w:cs="宋体"/>
          <w:szCs w:val="21"/>
          <w:highlight w:val="none"/>
        </w:rPr>
        <w:t>6</w:t>
      </w:r>
      <w:r>
        <w:rPr>
          <w:rFonts w:hint="eastAsia" w:ascii="宋体" w:hAnsi="宋体" w:cs="宋体"/>
          <w:szCs w:val="21"/>
          <w:highlight w:val="none"/>
        </w:rPr>
        <w:t xml:space="preserve">交货地点：广州市流花路122号中国大酒店A座1#、2#电梯、H座5#、6#电梯。 </w:t>
      </w:r>
    </w:p>
    <w:p>
      <w:pPr>
        <w:spacing w:line="324" w:lineRule="auto"/>
        <w:ind w:firstLine="420" w:firstLineChars="200"/>
        <w:rPr>
          <w:rFonts w:ascii="宋体" w:hAnsi="宋体" w:eastAsia="宋体" w:cs="宋体"/>
          <w:szCs w:val="21"/>
          <w:highlight w:val="none"/>
        </w:rPr>
      </w:pPr>
      <w:r>
        <w:rPr>
          <w:rFonts w:hint="eastAsia" w:ascii="宋体" w:hAnsi="宋体" w:cs="宋体"/>
          <w:szCs w:val="21"/>
          <w:highlight w:val="none"/>
        </w:rPr>
        <w:t>2.5.</w:t>
      </w:r>
      <w:r>
        <w:rPr>
          <w:rFonts w:ascii="宋体" w:hAnsi="宋体" w:cs="宋体"/>
          <w:szCs w:val="21"/>
          <w:highlight w:val="none"/>
        </w:rPr>
        <w:t>7</w:t>
      </w:r>
      <w:r>
        <w:rPr>
          <w:rFonts w:hint="eastAsia" w:ascii="宋体" w:hAnsi="宋体" w:cs="宋体"/>
          <w:szCs w:val="21"/>
          <w:highlight w:val="none"/>
        </w:rPr>
        <w:t>最高投标限价：3,045,700.00元。</w:t>
      </w:r>
      <w:r>
        <w:rPr>
          <w:rFonts w:hint="eastAsia" w:ascii="宋体" w:hAnsi="宋体" w:cs="宋体"/>
          <w:szCs w:val="21"/>
          <w:highlight w:val="none"/>
          <w:u w:val="single"/>
        </w:rPr>
        <w:t>具体详见《最高投标限价公布函》</w:t>
      </w:r>
    </w:p>
    <w:p>
      <w:pPr>
        <w:pStyle w:val="7"/>
        <w:spacing w:before="0" w:after="0" w:line="324" w:lineRule="auto"/>
        <w:rPr>
          <w:rFonts w:ascii="宋体" w:hAnsi="宋体" w:cs="宋体"/>
          <w:sz w:val="28"/>
          <w:szCs w:val="28"/>
          <w:highlight w:val="none"/>
        </w:rPr>
      </w:pPr>
      <w:bookmarkStart w:id="3" w:name="_Toc491883079"/>
      <w:r>
        <w:rPr>
          <w:rFonts w:hint="eastAsia" w:ascii="宋体" w:hAnsi="宋体" w:cs="宋体"/>
          <w:sz w:val="28"/>
          <w:szCs w:val="28"/>
          <w:highlight w:val="none"/>
        </w:rPr>
        <w:t>3. 投标人资格要求</w:t>
      </w:r>
      <w:bookmarkEnd w:id="3"/>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3.1本次招标要求投标人具备相应的资质，并具有与本招标项目相应的供货能力，具体要求如下：</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3.1.1资质要求：</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①投标人须是法人或者其他组织，同时持有工商行政管理部门核发的营业执照，按国家法律经营；法定代表人为同一个人的两个及两个以上法人，母公司、全资子公司及其控股公司，都不得</w:t>
      </w:r>
      <w:r>
        <w:rPr>
          <w:rFonts w:ascii="宋体" w:hAnsi="宋体" w:cs="宋体"/>
          <w:szCs w:val="21"/>
          <w:highlight w:val="none"/>
          <w:u w:val="single"/>
        </w:rPr>
        <w:t>在同一</w:t>
      </w:r>
      <w:r>
        <w:rPr>
          <w:rFonts w:hint="eastAsia" w:ascii="宋体" w:hAnsi="宋体" w:cs="宋体"/>
          <w:szCs w:val="21"/>
          <w:highlight w:val="none"/>
          <w:u w:val="single"/>
        </w:rPr>
        <w:t>货物</w:t>
      </w:r>
      <w:r>
        <w:rPr>
          <w:rFonts w:ascii="宋体" w:hAnsi="宋体" w:cs="宋体"/>
          <w:szCs w:val="21"/>
          <w:highlight w:val="none"/>
          <w:u w:val="single"/>
        </w:rPr>
        <w:t>招标中</w:t>
      </w:r>
      <w:r>
        <w:rPr>
          <w:rFonts w:hint="eastAsia" w:ascii="宋体" w:hAnsi="宋体" w:cs="宋体"/>
          <w:szCs w:val="21"/>
          <w:highlight w:val="none"/>
          <w:u w:val="single"/>
        </w:rPr>
        <w:t>同时投标。</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②</w:t>
      </w:r>
      <w:r>
        <w:rPr>
          <w:rFonts w:hint="eastAsia" w:ascii="宋体" w:hAnsi="宋体" w:cs="宋体"/>
          <w:szCs w:val="21"/>
          <w:u w:val="single"/>
        </w:rPr>
        <w:t>投标人必须是拟投标设备的制造商（或制造商集团公司或制造商集团下属的子公司）或者其唯一授权代理商（代理商须提供由制造商针对本项目开具的唯一</w:t>
      </w:r>
      <w:r>
        <w:rPr>
          <w:rFonts w:hint="eastAsia" w:ascii="宋体" w:hAnsi="宋体" w:cs="宋体"/>
          <w:szCs w:val="21"/>
          <w:highlight w:val="none"/>
          <w:u w:val="single"/>
        </w:rPr>
        <w:t>授权代理书（格式详见招标文件第六章投标文件格式））；同一个投标人所投设备均应为同一</w:t>
      </w:r>
      <w:r>
        <w:rPr>
          <w:rFonts w:hint="eastAsia" w:ascii="宋体" w:hAnsi="宋体" w:cs="宋体"/>
          <w:szCs w:val="21"/>
          <w:u w:val="single"/>
        </w:rPr>
        <w:t>品牌；同一品牌的电梯只接受一名投标申请人参加投标（同一品牌电梯的制造商集团公司与制造商集团下属的子公司同时参加投标的，只接受制造商集团公司投标；同一品牌电梯的制造商集团下属的不同子公司同时参加投标的，以在广州公共资源交易中心数字交易平台上投标登记时间靠前的确定为正式投标人；制造商与代理商同时参与投标申请的，只接受制造商的投标申请）。</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3.1.2投标人需满足以下要求之一：</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①所投货物的制造商必须取得有效的《中华人民共和国特种设备制造许可证》（</w:t>
      </w:r>
      <w:r>
        <w:rPr>
          <w:rFonts w:hint="eastAsia" w:ascii="宋体" w:hAnsi="宋体" w:cs="宋体" w:eastAsiaTheme="minorEastAsia"/>
          <w:i w:val="0"/>
          <w:iCs w:val="0"/>
          <w:caps w:val="0"/>
          <w:spacing w:val="0"/>
          <w:sz w:val="21"/>
          <w:szCs w:val="21"/>
          <w:highlight w:val="none"/>
          <w:u w:val="single"/>
          <w:shd w:val="clear"/>
        </w:rPr>
        <w:t>曳引式客梯</w:t>
      </w:r>
      <w:r>
        <w:rPr>
          <w:rFonts w:hint="eastAsia" w:ascii="宋体" w:hAnsi="宋体" w:cs="宋体" w:eastAsiaTheme="minorEastAsia"/>
          <w:i w:val="0"/>
          <w:iCs w:val="0"/>
          <w:caps w:val="0"/>
          <w:spacing w:val="0"/>
          <w:sz w:val="21"/>
          <w:szCs w:val="21"/>
          <w:highlight w:val="none"/>
          <w:u w:val="single"/>
          <w:shd w:val="clear"/>
          <w:lang w:val="en-US" w:eastAsia="zh-CN"/>
        </w:rPr>
        <w:t>B</w:t>
      </w:r>
      <w:r>
        <w:rPr>
          <w:rFonts w:hint="eastAsia" w:ascii="宋体" w:hAnsi="宋体" w:cs="宋体" w:eastAsiaTheme="minorEastAsia"/>
          <w:i w:val="0"/>
          <w:iCs w:val="0"/>
          <w:caps w:val="0"/>
          <w:spacing w:val="0"/>
          <w:sz w:val="21"/>
          <w:szCs w:val="21"/>
          <w:highlight w:val="none"/>
          <w:u w:val="single"/>
          <w:shd w:val="clear"/>
        </w:rPr>
        <w:t>级或以上</w:t>
      </w:r>
      <w:r>
        <w:rPr>
          <w:rFonts w:hint="eastAsia" w:ascii="宋体" w:hAnsi="宋体" w:cs="宋体"/>
          <w:szCs w:val="21"/>
          <w:highlight w:val="none"/>
          <w:u w:val="single"/>
        </w:rPr>
        <w:t>）；并取得有效的《中华人民共和国特种设备安装改造维修许可证》（电梯B级或以上）；</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②所投货物的制造商必须取得有效的《中华人民共和国特种设备生产许可证》许可项目包含电梯制造（含安装、修理、改造）</w:t>
      </w:r>
      <w:r>
        <w:rPr>
          <w:rFonts w:hint="eastAsia" w:ascii="宋体" w:hAnsi="宋体" w:cs="宋体"/>
          <w:szCs w:val="21"/>
          <w:highlight w:val="none"/>
          <w:u w:val="single"/>
          <w:lang w:eastAsia="zh-CN"/>
        </w:rPr>
        <w:t>，</w:t>
      </w:r>
      <w:r>
        <w:rPr>
          <w:rFonts w:hint="eastAsia" w:ascii="宋体" w:hAnsi="宋体" w:cs="宋体"/>
          <w:szCs w:val="21"/>
          <w:highlight w:val="none"/>
          <w:u w:val="single"/>
        </w:rPr>
        <w:t>许可子项目包含：曳引驱动乘客电梯(含消防员电梯)</w:t>
      </w:r>
      <w:r>
        <w:rPr>
          <w:rFonts w:hint="eastAsia" w:ascii="宋体" w:hAnsi="宋体" w:cs="宋体"/>
          <w:szCs w:val="21"/>
          <w:highlight w:val="none"/>
          <w:u w:val="single"/>
          <w:lang w:val="en-US" w:eastAsia="zh-CN"/>
        </w:rPr>
        <w:t>B</w:t>
      </w:r>
      <w:r>
        <w:rPr>
          <w:rFonts w:ascii="微软雅黑" w:hAnsi="微软雅黑" w:eastAsia="微软雅黑" w:cs="微软雅黑"/>
          <w:i w:val="0"/>
          <w:iCs w:val="0"/>
          <w:caps w:val="0"/>
          <w:color w:val="333333"/>
          <w:spacing w:val="0"/>
          <w:sz w:val="21"/>
          <w:szCs w:val="21"/>
          <w:highlight w:val="none"/>
          <w:u w:val="single"/>
          <w:shd w:val="clear" w:fill="FFFFFF"/>
        </w:rPr>
        <w:t>或以上</w:t>
      </w:r>
      <w:r>
        <w:rPr>
          <w:rFonts w:hint="eastAsia" w:ascii="宋体" w:hAnsi="宋体" w:cs="宋体"/>
          <w:szCs w:val="21"/>
          <w:highlight w:val="none"/>
          <w:u w:val="single"/>
        </w:rPr>
        <w:t>。</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3.2关于联合体投标：本项目不接受联合体投标。</w:t>
      </w:r>
    </w:p>
    <w:p>
      <w:pPr>
        <w:spacing w:line="324" w:lineRule="auto"/>
        <w:ind w:firstLine="420" w:firstLineChars="200"/>
        <w:rPr>
          <w:rFonts w:ascii="宋体" w:hAnsi="宋体" w:cs="宋体"/>
          <w:szCs w:val="21"/>
          <w:highlight w:val="none"/>
          <w:u w:val="single"/>
        </w:rPr>
      </w:pPr>
      <w:r>
        <w:rPr>
          <w:rFonts w:hint="eastAsia" w:ascii="宋体" w:hAnsi="宋体" w:cs="宋体"/>
          <w:szCs w:val="21"/>
          <w:highlight w:val="none"/>
          <w:u w:val="single"/>
        </w:rPr>
        <w:t>3.3投标人已按照规定格式和内容签署盖章《投标人声明》（详见招标文件第六章投标文件格式）。</w:t>
      </w:r>
    </w:p>
    <w:p>
      <w:pPr>
        <w:spacing w:line="324" w:lineRule="auto"/>
        <w:ind w:firstLine="420" w:firstLineChars="200"/>
        <w:rPr>
          <w:rFonts w:hint="eastAsia" w:ascii="宋体" w:hAnsi="宋体" w:cs="宋体"/>
          <w:szCs w:val="21"/>
          <w:highlight w:val="none"/>
          <w:u w:val="single"/>
        </w:rPr>
      </w:pPr>
      <w:r>
        <w:rPr>
          <w:rFonts w:hint="eastAsia" w:ascii="宋体" w:hAnsi="宋体" w:cs="宋体"/>
          <w:szCs w:val="21"/>
          <w:highlight w:val="none"/>
          <w:u w:val="single"/>
        </w:rPr>
        <w:t>3.4未被列入拖欠农民工工资失信联合惩戒对象名单（投标人无需提供资料，按交易系统比对的结果进行评审）。</w:t>
      </w:r>
    </w:p>
    <w:p>
      <w:pPr>
        <w:pStyle w:val="7"/>
        <w:rPr>
          <w:rFonts w:ascii="宋体" w:hAnsi="宋体" w:cs="宋体"/>
          <w:sz w:val="28"/>
          <w:szCs w:val="28"/>
          <w:highlight w:val="none"/>
        </w:rPr>
      </w:pPr>
      <w:bookmarkStart w:id="4" w:name="_Toc491883080"/>
      <w:r>
        <w:rPr>
          <w:rFonts w:hint="eastAsia" w:ascii="宋体" w:hAnsi="宋体" w:cs="宋体"/>
          <w:sz w:val="28"/>
          <w:szCs w:val="28"/>
          <w:highlight w:val="none"/>
        </w:rPr>
        <w:t>4. 招标文件的获取</w:t>
      </w:r>
      <w:bookmarkEnd w:id="4"/>
      <w:r>
        <w:rPr>
          <w:rFonts w:hint="eastAsia" w:ascii="宋体" w:hAnsi="宋体" w:cs="宋体"/>
          <w:sz w:val="28"/>
          <w:szCs w:val="28"/>
          <w:highlight w:val="none"/>
        </w:rPr>
        <w:t>及招标公告发布</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4.1凡有意参加投标者，请2024年   月   日   时   分至2024年   月   日   时 分(北京时间，下同)，登录广州公共资源交易中心交易平台网站（</w:t>
      </w:r>
      <w:r>
        <w:rPr>
          <w:rFonts w:hint="eastAsia" w:ascii="宋体" w:hAnsi="宋体" w:cs="宋体"/>
          <w:szCs w:val="21"/>
          <w:highlight w:val="none"/>
        </w:rPr>
        <w:t>http://www.gzggzy.cn/</w:t>
      </w:r>
      <w:r>
        <w:rPr>
          <w:rFonts w:hint="eastAsia" w:ascii="宋体" w:hAnsi="宋体" w:cs="宋体"/>
          <w:kern w:val="0"/>
          <w:szCs w:val="21"/>
          <w:highlight w:val="none"/>
        </w:rPr>
        <w:t>）下载招标文件。</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4.2本项目采用资格后审方式。</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4.3招标公告发布时间</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发布招标公告时间（含本日）为：2024年  月  日    时   分至2024年  月  日  时    分；</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注：（1）发布招标公告的时间为招标公告发出之日起至递交投标文件截止时间止。</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（2）本公告发布之日起发布招标文件，并从招标公告发布之日起开始计算备标时间。</w:t>
      </w:r>
    </w:p>
    <w:p>
      <w:pPr>
        <w:widowControl/>
        <w:shd w:val="clear" w:color="auto" w:fill="FFFFFF"/>
        <w:snapToGrid w:val="0"/>
        <w:spacing w:line="324"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（3）电子招投标操作流程详见广州公共资源交易中心网站发布的《房屋建筑和市政基础设施工程全流程电子化项目专章》。</w:t>
      </w:r>
    </w:p>
    <w:p>
      <w:pPr>
        <w:pStyle w:val="7"/>
        <w:spacing w:before="0" w:after="0" w:line="324" w:lineRule="auto"/>
        <w:rPr>
          <w:rFonts w:ascii="宋体" w:hAnsi="宋体" w:cs="宋体"/>
          <w:sz w:val="28"/>
          <w:szCs w:val="28"/>
          <w:highlight w:val="none"/>
        </w:rPr>
      </w:pPr>
      <w:bookmarkStart w:id="5" w:name="_Toc491883081"/>
      <w:r>
        <w:rPr>
          <w:rFonts w:hint="eastAsia" w:ascii="宋体" w:hAnsi="宋体" w:cs="宋体"/>
          <w:sz w:val="28"/>
          <w:szCs w:val="28"/>
          <w:highlight w:val="none"/>
        </w:rPr>
        <w:t>5. 投标文件的递交</w:t>
      </w:r>
      <w:bookmarkEnd w:id="5"/>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5.1（B）</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5.1.1投标文件递交的截止时间（投标截止时间，下同）请登录广州公共资源交易中心网站首页，点击“建设工程”专栏中的“项目查询（日程安排、答疑纪要）”，输入项目编号或项目名称即可查询，并请密切留意招标答疑中的相关信息，投标人应在截止时间前通过广州公共资源交易中心数字交易平台（http://www.gzggzy.cn/）递交电子投标文件。</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投标人完成电子投标上传后，电子招标投标交易平台即时向投标人发出递交回执通知。递交时间以递交回执通知载明的传输时间为准。</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5.1.2投标文件光盘（备用）递交时间、地点：请登录广州公共资源交易中心网站首页，点击“建设工程”专栏中的“项目查询（日程安排、答疑纪要）”，输入项目编号或项目名称即可查询，并请密切留意招标答疑中的相关信息。（电子光盘需按规定封装。投标人将数据刻录到光盘之后，投标前自行检查文件是否可以读取）。</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5.1.3投标文件解密时间为：请登录广州公共资源交易中心网站首页，点击“建设工程”专栏中的“项目查询（日程安排、答疑纪要）”，输入项目编号或项目名称即可查询，并请密切留意招标答疑中的相关信息，投标人应在截止时间后通过广州公共资源交易中心数字交易平台（网址：http://www.gzggzy.cn/）对电子投标文件进行投标文件解密。</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5.1.4　递交投标文件截止时间与开标时间是否有变化，请密切留意补充公告及招标答疑中的相关信息。</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5.1.5　投标人通过</w:t>
      </w:r>
      <w:r>
        <w:rPr>
          <w:rFonts w:hint="eastAsia" w:ascii="宋体" w:hAnsi="宋体" w:cs="宋体"/>
          <w:szCs w:val="21"/>
          <w:highlight w:val="none"/>
          <w:u w:val="single"/>
        </w:rPr>
        <w:t>广州公共资源交易中心数字</w:t>
      </w:r>
      <w:r>
        <w:rPr>
          <w:rFonts w:hint="eastAsia" w:ascii="宋体" w:hAnsi="宋体" w:cs="宋体"/>
          <w:szCs w:val="21"/>
          <w:highlight w:val="none"/>
        </w:rPr>
        <w:t>交易平台递交电子投标文件。投标人应在递交投标文件截止时间前，登录</w:t>
      </w:r>
      <w:r>
        <w:rPr>
          <w:rFonts w:hint="eastAsia" w:ascii="宋体" w:hAnsi="宋体" w:cs="宋体"/>
          <w:szCs w:val="21"/>
          <w:highlight w:val="none"/>
          <w:u w:val="single"/>
        </w:rPr>
        <w:t>广州公共资源交易中心</w:t>
      </w:r>
      <w:r>
        <w:rPr>
          <w:rFonts w:hint="eastAsia" w:ascii="宋体" w:hAnsi="宋体" w:cs="宋体"/>
          <w:szCs w:val="21"/>
          <w:highlight w:val="none"/>
        </w:rPr>
        <w:t>数字交易平台网站办理网上投标登记手续。按照</w:t>
      </w:r>
      <w:r>
        <w:rPr>
          <w:rFonts w:hint="eastAsia" w:ascii="宋体" w:hAnsi="宋体" w:cs="宋体"/>
          <w:szCs w:val="21"/>
          <w:highlight w:val="none"/>
          <w:u w:val="single"/>
        </w:rPr>
        <w:t>广州公共资源交易中心</w:t>
      </w:r>
      <w:r>
        <w:rPr>
          <w:rFonts w:hint="eastAsia" w:ascii="宋体" w:hAnsi="宋体" w:cs="宋体"/>
          <w:szCs w:val="21"/>
          <w:highlight w:val="none"/>
        </w:rPr>
        <w:t>交易平台关于全流程电子化项目的相关指南进行操作。详见：</w:t>
      </w:r>
      <w:r>
        <w:rPr>
          <w:rFonts w:hint="eastAsia" w:ascii="宋体" w:hAnsi="宋体" w:cs="宋体"/>
          <w:szCs w:val="21"/>
          <w:highlight w:val="none"/>
          <w:u w:val="single"/>
        </w:rPr>
        <w:t>广州公共资源交易中心网站</w:t>
      </w:r>
      <w:r>
        <w:rPr>
          <w:rFonts w:hint="eastAsia" w:ascii="宋体" w:hAnsi="宋体" w:cs="宋体"/>
          <w:szCs w:val="21"/>
          <w:highlight w:val="none"/>
        </w:rPr>
        <w:t>。 投标人需在广州公共资源交易中心办理企业信息登记。</w:t>
      </w:r>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5.2 （B）逾期送达的投标文件，电子招标投标交易平台将予以拒收。</w:t>
      </w:r>
    </w:p>
    <w:p>
      <w:pPr>
        <w:pStyle w:val="7"/>
        <w:spacing w:before="0" w:after="0" w:line="324" w:lineRule="auto"/>
        <w:rPr>
          <w:rFonts w:ascii="宋体" w:hAnsi="宋体" w:cs="宋体"/>
          <w:sz w:val="28"/>
          <w:szCs w:val="28"/>
          <w:highlight w:val="none"/>
        </w:rPr>
      </w:pPr>
      <w:bookmarkStart w:id="6" w:name="_Toc491883082"/>
      <w:r>
        <w:rPr>
          <w:rFonts w:hint="eastAsia" w:ascii="宋体" w:hAnsi="宋体" w:cs="宋体"/>
          <w:sz w:val="28"/>
          <w:szCs w:val="28"/>
          <w:highlight w:val="none"/>
        </w:rPr>
        <w:t>6. 发布公告的媒介</w:t>
      </w:r>
      <w:bookmarkEnd w:id="6"/>
    </w:p>
    <w:p>
      <w:pPr>
        <w:spacing w:line="324" w:lineRule="auto"/>
        <w:ind w:firstLine="420" w:firstLineChars="200"/>
        <w:rPr>
          <w:rFonts w:ascii="宋体" w:hAnsi="宋体" w:cs="宋体"/>
          <w:szCs w:val="21"/>
          <w:highlight w:val="none"/>
        </w:rPr>
      </w:pPr>
      <w:r>
        <w:rPr>
          <w:rFonts w:hint="eastAsia" w:ascii="宋体" w:hAnsi="宋体" w:cs="宋体"/>
          <w:szCs w:val="21"/>
          <w:highlight w:val="none"/>
        </w:rPr>
        <w:t>本次招标公告同时在广州公共资源交易网（http://www.gzggzy.cn）、广东省招标投标监管网（</w:t>
      </w:r>
      <w:r>
        <w:rPr>
          <w:highlight w:val="none"/>
        </w:rPr>
        <w:fldChar w:fldCharType="begin"/>
      </w:r>
      <w:r>
        <w:rPr>
          <w:highlight w:val="none"/>
        </w:rPr>
        <w:instrText xml:space="preserve"> HYPERLINK "http://zbtb.gd.gov.cn" </w:instrText>
      </w:r>
      <w:r>
        <w:rPr>
          <w:highlight w:val="none"/>
        </w:rPr>
        <w:fldChar w:fldCharType="separate"/>
      </w:r>
      <w:r>
        <w:rPr>
          <w:rStyle w:val="38"/>
          <w:rFonts w:hint="eastAsia" w:ascii="宋体" w:hAnsi="宋体" w:cs="宋体"/>
          <w:color w:val="auto"/>
          <w:szCs w:val="21"/>
          <w:highlight w:val="none"/>
        </w:rPr>
        <w:t>http://zbtb.gd.gov.cn</w:t>
      </w:r>
      <w:r>
        <w:rPr>
          <w:rStyle w:val="38"/>
          <w:rFonts w:hint="eastAsia" w:ascii="宋体" w:hAnsi="宋体" w:cs="宋体"/>
          <w:color w:val="auto"/>
          <w:szCs w:val="21"/>
          <w:highlight w:val="none"/>
        </w:rPr>
        <w:fldChar w:fldCharType="end"/>
      </w:r>
      <w:r>
        <w:rPr>
          <w:rFonts w:hint="eastAsia" w:ascii="宋体" w:hAnsi="宋体" w:cs="宋体"/>
          <w:szCs w:val="21"/>
          <w:highlight w:val="none"/>
        </w:rPr>
        <w:t>）、中国招标投标公共服务平台（http://www.cebpubservice.com）发布，本公告的修改、补充，在广州公共资源交易网发布。</w:t>
      </w:r>
    </w:p>
    <w:p>
      <w:pPr>
        <w:pStyle w:val="7"/>
        <w:spacing w:before="0" w:after="0" w:line="324" w:lineRule="auto"/>
        <w:rPr>
          <w:rFonts w:ascii="宋体" w:hAnsi="宋体" w:eastAsia="宋体" w:cs="宋体"/>
          <w:sz w:val="28"/>
          <w:szCs w:val="28"/>
          <w:highlight w:val="none"/>
        </w:rPr>
      </w:pPr>
      <w:bookmarkStart w:id="7" w:name="_Toc491883083"/>
      <w:r>
        <w:rPr>
          <w:rFonts w:hint="eastAsia" w:ascii="宋体" w:hAnsi="宋体" w:eastAsia="宋体" w:cs="宋体"/>
          <w:sz w:val="28"/>
          <w:szCs w:val="28"/>
          <w:highlight w:val="none"/>
        </w:rPr>
        <w:t>7. 联系方式</w:t>
      </w:r>
      <w:bookmarkEnd w:id="7"/>
    </w:p>
    <w:p>
      <w:pPr>
        <w:snapToGrid w:val="0"/>
        <w:spacing w:line="324" w:lineRule="auto"/>
        <w:rPr>
          <w:rFonts w:ascii="宋体" w:hAnsi="宋体" w:cs="宋体"/>
          <w:szCs w:val="21"/>
          <w:highlight w:val="none"/>
        </w:rPr>
      </w:pPr>
      <w:bookmarkStart w:id="8" w:name="_Toc10785"/>
      <w:bookmarkEnd w:id="8"/>
      <w:bookmarkStart w:id="9" w:name="_Toc247513934"/>
      <w:bookmarkEnd w:id="9"/>
      <w:bookmarkStart w:id="10" w:name="_Toc152042288"/>
      <w:bookmarkEnd w:id="10"/>
      <w:bookmarkStart w:id="11" w:name="_Toc30817"/>
      <w:bookmarkEnd w:id="11"/>
      <w:bookmarkStart w:id="12" w:name="_Toc247513935"/>
      <w:bookmarkEnd w:id="12"/>
      <w:bookmarkStart w:id="13" w:name="_Toc247527535"/>
      <w:bookmarkEnd w:id="13"/>
      <w:bookmarkStart w:id="14" w:name="_Toc352691455"/>
      <w:bookmarkEnd w:id="14"/>
      <w:bookmarkStart w:id="15" w:name="_Toc352691453"/>
      <w:bookmarkEnd w:id="15"/>
      <w:bookmarkStart w:id="16" w:name="_Toc361508563"/>
      <w:bookmarkEnd w:id="16"/>
      <w:bookmarkStart w:id="17" w:name="_Toc17972"/>
      <w:bookmarkEnd w:id="17"/>
      <w:bookmarkStart w:id="18" w:name="_Toc144974481"/>
      <w:bookmarkEnd w:id="18"/>
      <w:bookmarkStart w:id="19" w:name="_Toc300834929"/>
      <w:bookmarkEnd w:id="19"/>
      <w:bookmarkStart w:id="20" w:name="_Toc369531495"/>
      <w:bookmarkEnd w:id="20"/>
      <w:bookmarkStart w:id="21" w:name="_Toc361508560"/>
      <w:bookmarkEnd w:id="21"/>
      <w:bookmarkStart w:id="22" w:name="_Toc369531497"/>
      <w:bookmarkEnd w:id="22"/>
      <w:bookmarkStart w:id="23" w:name="_Toc152045513"/>
      <w:bookmarkEnd w:id="23"/>
      <w:bookmarkStart w:id="24" w:name="_Toc361508562"/>
      <w:bookmarkEnd w:id="24"/>
      <w:bookmarkStart w:id="25" w:name="_Toc352691456"/>
      <w:bookmarkEnd w:id="25"/>
      <w:bookmarkStart w:id="26" w:name="_Toc144974480"/>
      <w:bookmarkEnd w:id="26"/>
      <w:bookmarkStart w:id="27" w:name="_Toc300834927"/>
      <w:bookmarkEnd w:id="27"/>
      <w:bookmarkStart w:id="28" w:name="_Toc369531498"/>
      <w:bookmarkEnd w:id="28"/>
      <w:bookmarkStart w:id="29" w:name="_Toc152045512"/>
      <w:bookmarkEnd w:id="29"/>
      <w:bookmarkStart w:id="30" w:name="_Toc384308187"/>
      <w:bookmarkEnd w:id="30"/>
      <w:bookmarkStart w:id="31" w:name="_Toc384308185"/>
      <w:bookmarkEnd w:id="31"/>
      <w:bookmarkStart w:id="32" w:name="_Toc384308188"/>
      <w:bookmarkEnd w:id="32"/>
      <w:bookmarkStart w:id="33" w:name="_Toc247527536"/>
      <w:bookmarkEnd w:id="33"/>
      <w:bookmarkStart w:id="34" w:name="_Toc152042289"/>
      <w:bookmarkEnd w:id="34"/>
      <w:bookmarkStart w:id="35" w:name="_Toc300834930"/>
      <w:bookmarkEnd w:id="35"/>
      <w:r>
        <w:rPr>
          <w:rFonts w:hint="eastAsia" w:ascii="宋体" w:hAnsi="宋体" w:cs="宋体"/>
          <w:szCs w:val="21"/>
          <w:highlight w:val="none"/>
        </w:rPr>
        <w:t>招 标 人：中国大酒店</w:t>
      </w:r>
    </w:p>
    <w:p>
      <w:pPr>
        <w:snapToGrid w:val="0"/>
        <w:spacing w:line="324" w:lineRule="auto"/>
        <w:rPr>
          <w:rFonts w:ascii="宋体" w:hAnsi="宋体" w:cs="宋体"/>
          <w:szCs w:val="21"/>
          <w:highlight w:val="none"/>
        </w:rPr>
      </w:pPr>
      <w:r>
        <w:rPr>
          <w:rFonts w:hint="eastAsia" w:ascii="宋体" w:hAnsi="宋体" w:cs="宋体"/>
          <w:szCs w:val="21"/>
          <w:highlight w:val="none"/>
        </w:rPr>
        <w:t>地    址：广东省广州市越秀区流花路122号</w:t>
      </w:r>
    </w:p>
    <w:p>
      <w:pPr>
        <w:snapToGrid w:val="0"/>
        <w:spacing w:line="324" w:lineRule="auto"/>
        <w:rPr>
          <w:rFonts w:ascii="宋体" w:hAnsi="宋体" w:cs="宋体"/>
          <w:szCs w:val="21"/>
          <w:highlight w:val="none"/>
        </w:rPr>
      </w:pPr>
      <w:r>
        <w:rPr>
          <w:rFonts w:hint="eastAsia" w:ascii="宋体" w:hAnsi="宋体" w:cs="宋体"/>
          <w:szCs w:val="21"/>
          <w:highlight w:val="none"/>
        </w:rPr>
        <w:t>联 系 人：杨工</w:t>
      </w:r>
    </w:p>
    <w:p>
      <w:pPr>
        <w:snapToGrid w:val="0"/>
        <w:spacing w:line="324" w:lineRule="auto"/>
        <w:rPr>
          <w:rFonts w:ascii="宋体" w:hAnsi="宋体" w:cs="宋体"/>
          <w:szCs w:val="21"/>
          <w:highlight w:val="none"/>
        </w:rPr>
      </w:pPr>
      <w:r>
        <w:rPr>
          <w:rFonts w:hint="eastAsia" w:ascii="宋体" w:hAnsi="宋体" w:cs="宋体"/>
          <w:szCs w:val="21"/>
          <w:highlight w:val="none"/>
        </w:rPr>
        <w:t>电    话：1</w:t>
      </w:r>
      <w:r>
        <w:rPr>
          <w:rFonts w:ascii="宋体" w:hAnsi="宋体" w:cs="宋体"/>
          <w:szCs w:val="21"/>
          <w:highlight w:val="none"/>
        </w:rPr>
        <w:t>8126866631</w:t>
      </w:r>
    </w:p>
    <w:p>
      <w:pPr>
        <w:topLinePunct/>
        <w:snapToGrid w:val="0"/>
        <w:spacing w:line="324" w:lineRule="auto"/>
        <w:ind w:firstLine="420" w:firstLineChars="200"/>
        <w:rPr>
          <w:rFonts w:ascii="宋体" w:hAnsi="宋体" w:cs="宋体"/>
          <w:szCs w:val="21"/>
          <w:highlight w:val="none"/>
        </w:rPr>
      </w:pPr>
    </w:p>
    <w:p>
      <w:pPr>
        <w:snapToGrid w:val="0"/>
        <w:spacing w:line="324" w:lineRule="auto"/>
        <w:rPr>
          <w:rFonts w:ascii="宋体" w:hAnsi="宋体" w:cs="宋体"/>
          <w:szCs w:val="21"/>
          <w:highlight w:val="none"/>
        </w:rPr>
      </w:pPr>
      <w:r>
        <w:rPr>
          <w:rFonts w:hint="eastAsia" w:ascii="宋体" w:hAnsi="宋体" w:cs="宋体"/>
          <w:szCs w:val="21"/>
          <w:highlight w:val="none"/>
        </w:rPr>
        <w:t>招标代理机构：新誉时代工程咨询有限公司</w:t>
      </w:r>
    </w:p>
    <w:p>
      <w:pPr>
        <w:snapToGrid w:val="0"/>
        <w:spacing w:line="324" w:lineRule="auto"/>
        <w:rPr>
          <w:rFonts w:hint="eastAsia" w:ascii="宋体" w:hAnsi="宋体" w:cs="宋体" w:eastAsiaTheme="minorEastAsia"/>
          <w:szCs w:val="21"/>
          <w:highlight w:val="none"/>
          <w:lang w:eastAsia="zh-CN"/>
        </w:rPr>
      </w:pPr>
      <w:r>
        <w:rPr>
          <w:rFonts w:hint="eastAsia" w:ascii="宋体" w:hAnsi="宋体" w:cs="宋体"/>
          <w:szCs w:val="21"/>
          <w:highlight w:val="none"/>
        </w:rPr>
        <w:t>地    址：</w:t>
      </w:r>
      <w:r>
        <w:rPr>
          <w:rFonts w:hint="eastAsia" w:ascii="宋体" w:hAnsi="宋体" w:cs="宋体"/>
          <w:szCs w:val="21"/>
          <w:highlight w:val="none"/>
          <w:lang w:eastAsia="zh-CN"/>
        </w:rPr>
        <w:t>广州市天河区体育西路123号新创举大厦14楼自编1401</w:t>
      </w:r>
    </w:p>
    <w:p>
      <w:pPr>
        <w:snapToGrid w:val="0"/>
        <w:spacing w:line="324" w:lineRule="auto"/>
        <w:rPr>
          <w:rFonts w:ascii="宋体" w:hAnsi="宋体" w:cs="宋体"/>
          <w:szCs w:val="21"/>
          <w:highlight w:val="none"/>
        </w:rPr>
      </w:pPr>
      <w:r>
        <w:rPr>
          <w:rFonts w:hint="eastAsia" w:ascii="宋体" w:hAnsi="宋体" w:cs="宋体"/>
          <w:szCs w:val="21"/>
          <w:highlight w:val="none"/>
        </w:rPr>
        <w:t xml:space="preserve">联系人：龙工 </w:t>
      </w:r>
    </w:p>
    <w:p>
      <w:pPr>
        <w:snapToGrid w:val="0"/>
        <w:spacing w:line="324" w:lineRule="auto"/>
        <w:rPr>
          <w:rFonts w:ascii="宋体" w:hAnsi="宋体" w:cs="宋体"/>
          <w:szCs w:val="21"/>
          <w:highlight w:val="none"/>
        </w:rPr>
      </w:pPr>
      <w:r>
        <w:rPr>
          <w:rFonts w:hint="eastAsia" w:ascii="宋体" w:hAnsi="宋体" w:cs="宋体"/>
          <w:szCs w:val="21"/>
          <w:highlight w:val="none"/>
        </w:rPr>
        <w:t>联系电话：18928904449</w:t>
      </w:r>
    </w:p>
    <w:p>
      <w:pPr>
        <w:topLinePunct/>
        <w:snapToGrid w:val="0"/>
        <w:spacing w:line="324" w:lineRule="auto"/>
        <w:rPr>
          <w:rFonts w:ascii="宋体" w:hAnsi="宋体" w:cs="宋体"/>
          <w:szCs w:val="21"/>
          <w:highlight w:val="none"/>
        </w:rPr>
      </w:pPr>
    </w:p>
    <w:p>
      <w:pPr>
        <w:snapToGrid w:val="0"/>
        <w:spacing w:line="324" w:lineRule="auto"/>
        <w:rPr>
          <w:rFonts w:ascii="宋体" w:hAnsi="宋体" w:cs="宋体"/>
          <w:szCs w:val="21"/>
          <w:highlight w:val="none"/>
        </w:rPr>
      </w:pPr>
      <w:r>
        <w:rPr>
          <w:rFonts w:hint="eastAsia" w:ascii="宋体" w:hAnsi="宋体" w:cs="宋体"/>
          <w:szCs w:val="21"/>
          <w:highlight w:val="none"/>
        </w:rPr>
        <w:t>潜在投标人或利害关系人对本招标公告及招标文件有异议的，应当在投标截止时间10日前向招标人书面提出。</w:t>
      </w:r>
    </w:p>
    <w:p>
      <w:pPr>
        <w:snapToGrid w:val="0"/>
        <w:spacing w:line="324" w:lineRule="auto"/>
        <w:rPr>
          <w:rFonts w:ascii="宋体" w:hAnsi="宋体" w:cs="宋体"/>
          <w:szCs w:val="21"/>
          <w:highlight w:val="none"/>
        </w:rPr>
      </w:pPr>
      <w:r>
        <w:rPr>
          <w:rFonts w:hint="eastAsia" w:ascii="宋体" w:hAnsi="宋体" w:cs="宋体"/>
          <w:szCs w:val="21"/>
          <w:highlight w:val="none"/>
        </w:rPr>
        <w:t>异议受理部门：中国大酒店</w:t>
      </w:r>
    </w:p>
    <w:p>
      <w:pPr>
        <w:snapToGrid w:val="0"/>
        <w:spacing w:line="324" w:lineRule="auto"/>
        <w:rPr>
          <w:rFonts w:ascii="宋体" w:hAnsi="宋体" w:cs="宋体"/>
          <w:szCs w:val="21"/>
          <w:highlight w:val="none"/>
        </w:rPr>
      </w:pPr>
      <w:r>
        <w:rPr>
          <w:rFonts w:hint="eastAsia" w:ascii="宋体" w:hAnsi="宋体" w:cs="宋体"/>
          <w:szCs w:val="21"/>
          <w:highlight w:val="none"/>
        </w:rPr>
        <w:t>地址：中国大酒店三楼纪检监督室</w:t>
      </w:r>
    </w:p>
    <w:p>
      <w:pPr>
        <w:snapToGrid w:val="0"/>
        <w:spacing w:line="324" w:lineRule="auto"/>
        <w:rPr>
          <w:rFonts w:ascii="宋体" w:hAnsi="宋体" w:cs="宋体"/>
          <w:szCs w:val="21"/>
          <w:highlight w:val="none"/>
        </w:rPr>
      </w:pPr>
      <w:r>
        <w:rPr>
          <w:rFonts w:hint="eastAsia" w:ascii="宋体" w:hAnsi="宋体" w:cs="宋体"/>
          <w:szCs w:val="21"/>
          <w:highlight w:val="none"/>
        </w:rPr>
        <w:t>电话：86666888-3878或3379</w:t>
      </w:r>
    </w:p>
    <w:p>
      <w:pPr>
        <w:snapToGrid w:val="0"/>
        <w:spacing w:line="324" w:lineRule="auto"/>
        <w:rPr>
          <w:rFonts w:ascii="宋体" w:hAnsi="宋体" w:cs="宋体"/>
          <w:szCs w:val="21"/>
          <w:highlight w:val="none"/>
        </w:rPr>
      </w:pPr>
      <w:r>
        <w:rPr>
          <w:rFonts w:hint="eastAsia" w:ascii="宋体" w:hAnsi="宋体" w:cs="宋体"/>
          <w:szCs w:val="21"/>
          <w:highlight w:val="none"/>
        </w:rPr>
        <w:t>注：潜在投标人或利害关系人可以通过线下或线上的形式提出异议。线上提出异议的，应通过交易平台提交，招标人也应通过交易平台答复线上提出的异议。具体按照交易平台相关指南进行操作。作出答复前，应当暂停招标投标活动。</w:t>
      </w:r>
    </w:p>
    <w:p>
      <w:pPr>
        <w:snapToGrid w:val="0"/>
        <w:spacing w:line="324" w:lineRule="auto"/>
        <w:rPr>
          <w:rFonts w:ascii="宋体" w:hAnsi="宋体" w:cs="宋体"/>
          <w:szCs w:val="21"/>
          <w:highlight w:val="none"/>
        </w:rPr>
      </w:pPr>
    </w:p>
    <w:p>
      <w:pPr>
        <w:snapToGrid w:val="0"/>
        <w:spacing w:line="324" w:lineRule="auto"/>
        <w:rPr>
          <w:rFonts w:ascii="宋体" w:hAnsi="宋体" w:cs="宋体"/>
          <w:szCs w:val="21"/>
          <w:highlight w:val="none"/>
        </w:rPr>
      </w:pPr>
      <w:r>
        <w:rPr>
          <w:rFonts w:hint="eastAsia" w:ascii="宋体" w:hAnsi="宋体" w:cs="宋体"/>
          <w:szCs w:val="21"/>
          <w:highlight w:val="none"/>
        </w:rPr>
        <w:t>招标监督机构：广州市越秀区建设工程招投标管理中心</w:t>
      </w:r>
    </w:p>
    <w:p>
      <w:pPr>
        <w:snapToGrid w:val="0"/>
        <w:spacing w:line="324" w:lineRule="auto"/>
        <w:jc w:val="right"/>
        <w:rPr>
          <w:rFonts w:hint="eastAsia" w:ascii="宋体" w:hAnsi="宋体" w:cs="宋体"/>
          <w:szCs w:val="21"/>
          <w:highlight w:val="none"/>
        </w:rPr>
      </w:pPr>
    </w:p>
    <w:p>
      <w:pPr>
        <w:snapToGrid w:val="0"/>
        <w:spacing w:line="324" w:lineRule="auto"/>
        <w:jc w:val="right"/>
        <w:rPr>
          <w:rFonts w:ascii="宋体" w:hAnsi="宋体" w:cs="宋体"/>
          <w:szCs w:val="21"/>
          <w:highlight w:val="none"/>
        </w:rPr>
      </w:pPr>
      <w:r>
        <w:rPr>
          <w:rFonts w:hint="eastAsia" w:ascii="宋体" w:hAnsi="宋体" w:cs="宋体"/>
          <w:szCs w:val="21"/>
          <w:highlight w:val="none"/>
        </w:rPr>
        <w:t>中国大酒店</w:t>
      </w:r>
    </w:p>
    <w:p>
      <w:pPr>
        <w:snapToGrid w:val="0"/>
        <w:spacing w:line="324" w:lineRule="auto"/>
        <w:jc w:val="right"/>
        <w:rPr>
          <w:rFonts w:ascii="宋体" w:hAnsi="宋体" w:cs="宋体"/>
          <w:szCs w:val="21"/>
          <w:highlight w:val="none"/>
        </w:rPr>
      </w:pPr>
    </w:p>
    <w:p>
      <w:pPr>
        <w:snapToGrid w:val="0"/>
        <w:spacing w:line="324" w:lineRule="auto"/>
        <w:jc w:val="right"/>
        <w:rPr>
          <w:rFonts w:ascii="宋体" w:hAnsi="宋体" w:cs="宋体"/>
          <w:szCs w:val="21"/>
          <w:highlight w:val="none"/>
        </w:rPr>
      </w:pPr>
      <w:r>
        <w:rPr>
          <w:rFonts w:hint="eastAsia" w:ascii="宋体" w:hAnsi="宋体" w:cs="宋体"/>
          <w:szCs w:val="21"/>
          <w:highlight w:val="none"/>
        </w:rPr>
        <w:t>新誉时代工程咨询有限公司</w:t>
      </w:r>
    </w:p>
    <w:p>
      <w:pPr>
        <w:snapToGrid w:val="0"/>
        <w:spacing w:line="324" w:lineRule="auto"/>
        <w:jc w:val="right"/>
        <w:rPr>
          <w:rFonts w:ascii="宋体" w:hAnsi="宋体" w:cs="宋体"/>
          <w:szCs w:val="21"/>
          <w:highlight w:val="none"/>
        </w:rPr>
      </w:pPr>
    </w:p>
    <w:p>
      <w:pPr>
        <w:snapToGrid w:val="0"/>
        <w:spacing w:line="324" w:lineRule="auto"/>
        <w:jc w:val="right"/>
        <w:rPr>
          <w:rFonts w:ascii="宋体" w:hAnsi="宋体" w:cs="宋体"/>
          <w:highlight w:val="none"/>
        </w:rPr>
      </w:pPr>
      <w:r>
        <w:rPr>
          <w:rFonts w:hint="eastAsia" w:ascii="宋体" w:hAnsi="宋体" w:cs="宋体"/>
          <w:szCs w:val="21"/>
          <w:highlight w:val="none"/>
        </w:rPr>
        <w:t xml:space="preserve">2024年    月    日  </w:t>
      </w:r>
    </w:p>
    <w:p>
      <w:pPr>
        <w:widowControl/>
        <w:spacing w:line="259" w:lineRule="auto"/>
        <w:ind w:right="1604"/>
        <w:jc w:val="center"/>
        <w:rPr>
          <w:rFonts w:ascii="宋体" w:hAnsi="宋体" w:eastAsia="宋体" w:cs="宋体"/>
          <w:sz w:val="22"/>
          <w:highlight w:val="none"/>
        </w:rPr>
      </w:pPr>
      <w:r>
        <w:rPr>
          <w:rFonts w:hint="eastAsia" w:ascii="宋体" w:hAnsi="宋体" w:eastAsia="宋体" w:cs="宋体"/>
          <w:b/>
          <w:sz w:val="44"/>
          <w:highlight w:val="none"/>
        </w:rPr>
        <w:br w:type="page"/>
      </w:r>
    </w:p>
    <w:p>
      <w:pPr>
        <w:spacing w:line="502" w:lineRule="exact"/>
        <w:ind w:right="220"/>
        <w:jc w:val="center"/>
        <w:outlineLvl w:val="0"/>
        <w:rPr>
          <w:rFonts w:ascii="宋体" w:hAnsi="宋体" w:eastAsia="宋体" w:cs="宋体"/>
          <w:b/>
          <w:sz w:val="44"/>
          <w:highlight w:val="none"/>
        </w:rPr>
      </w:pPr>
      <w:bookmarkStart w:id="36" w:name="_Toc3683"/>
      <w:r>
        <w:rPr>
          <w:rFonts w:hint="eastAsia" w:ascii="宋体" w:hAnsi="宋体" w:eastAsia="宋体" w:cs="宋体"/>
          <w:b/>
          <w:sz w:val="44"/>
          <w:highlight w:val="none"/>
        </w:rPr>
        <w:t>第二章投标人须知</w:t>
      </w:r>
      <w:bookmarkEnd w:id="36"/>
    </w:p>
    <w:p>
      <w:pPr>
        <w:spacing w:line="201" w:lineRule="exact"/>
        <w:rPr>
          <w:rFonts w:ascii="宋体" w:hAnsi="宋体" w:eastAsia="宋体" w:cs="宋体"/>
          <w:highlight w:val="none"/>
        </w:rPr>
      </w:pPr>
    </w:p>
    <w:p>
      <w:pPr>
        <w:jc w:val="center"/>
        <w:rPr>
          <w:rFonts w:ascii="宋体" w:hAnsi="宋体" w:eastAsia="宋体" w:cs="宋体"/>
          <w:b/>
          <w:sz w:val="32"/>
          <w:highlight w:val="none"/>
        </w:rPr>
      </w:pPr>
      <w:r>
        <w:rPr>
          <w:rFonts w:hint="eastAsia" w:ascii="宋体" w:hAnsi="宋体" w:eastAsia="宋体" w:cs="宋体"/>
          <w:b/>
          <w:sz w:val="32"/>
          <w:highlight w:val="none"/>
        </w:rPr>
        <w:t>投标人须知前附表</w:t>
      </w:r>
    </w:p>
    <w:tbl>
      <w:tblPr>
        <w:tblStyle w:val="31"/>
        <w:tblW w:w="4999" w:type="pct"/>
        <w:tblInd w:w="0" w:type="dxa"/>
        <w:tblLayout w:type="autofit"/>
        <w:tblCellMar>
          <w:top w:w="0" w:type="dxa"/>
          <w:left w:w="108" w:type="dxa"/>
          <w:bottom w:w="0" w:type="dxa"/>
          <w:right w:w="108" w:type="dxa"/>
        </w:tblCellMar>
      </w:tblPr>
      <w:tblGrid>
        <w:gridCol w:w="1168"/>
        <w:gridCol w:w="2043"/>
        <w:gridCol w:w="5929"/>
      </w:tblGrid>
      <w:tr>
        <w:tblPrEx>
          <w:tblCellMar>
            <w:top w:w="0" w:type="dxa"/>
            <w:left w:w="108" w:type="dxa"/>
            <w:bottom w:w="0" w:type="dxa"/>
            <w:right w:w="108" w:type="dxa"/>
          </w:tblCellMar>
        </w:tblPrEx>
        <w:trPr>
          <w:trHeight w:val="106" w:hRule="atLeast"/>
          <w:tblHeader/>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条款号</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条款名称</w:t>
            </w:r>
          </w:p>
        </w:tc>
        <w:tc>
          <w:tcPr>
            <w:tcW w:w="324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编列内容</w:t>
            </w:r>
          </w:p>
        </w:tc>
      </w:tr>
      <w:tr>
        <w:tblPrEx>
          <w:tblCellMar>
            <w:top w:w="0" w:type="dxa"/>
            <w:left w:w="108" w:type="dxa"/>
            <w:bottom w:w="0" w:type="dxa"/>
            <w:right w:w="108" w:type="dxa"/>
          </w:tblCellMar>
        </w:tblPrEx>
        <w:trPr>
          <w:trHeight w:val="427"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招标人</w:t>
            </w: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宋体"/>
                <w:szCs w:val="21"/>
                <w:highlight w:val="none"/>
              </w:rPr>
            </w:pPr>
            <w:r>
              <w:rPr>
                <w:rFonts w:hint="eastAsia" w:ascii="宋体" w:hAnsi="宋体" w:cs="宋体"/>
                <w:szCs w:val="21"/>
                <w:highlight w:val="none"/>
              </w:rPr>
              <w:t>招 标 人：中国大酒店</w:t>
            </w:r>
          </w:p>
          <w:p>
            <w:pPr>
              <w:jc w:val="left"/>
              <w:rPr>
                <w:rFonts w:hint="eastAsia" w:ascii="宋体" w:hAnsi="宋体" w:cs="宋体"/>
                <w:szCs w:val="21"/>
                <w:highlight w:val="none"/>
              </w:rPr>
            </w:pPr>
            <w:r>
              <w:rPr>
                <w:rFonts w:hint="eastAsia" w:ascii="宋体" w:hAnsi="宋体" w:cs="宋体"/>
                <w:szCs w:val="21"/>
                <w:highlight w:val="none"/>
              </w:rPr>
              <w:t>地    址：广东省广州市越秀区流花路122号</w:t>
            </w:r>
          </w:p>
          <w:p>
            <w:pPr>
              <w:jc w:val="left"/>
              <w:rPr>
                <w:rFonts w:ascii="宋体" w:hAnsi="宋体" w:cs="宋体"/>
                <w:szCs w:val="21"/>
                <w:highlight w:val="none"/>
              </w:rPr>
            </w:pPr>
            <w:r>
              <w:rPr>
                <w:rFonts w:hint="eastAsia" w:ascii="宋体" w:hAnsi="宋体" w:cs="宋体"/>
                <w:szCs w:val="21"/>
                <w:highlight w:val="none"/>
              </w:rPr>
              <w:t>联 系 人：杨工</w:t>
            </w:r>
          </w:p>
          <w:p>
            <w:pPr>
              <w:jc w:val="left"/>
              <w:rPr>
                <w:rFonts w:ascii="宋体" w:hAnsi="宋体" w:eastAsia="宋体" w:cs="宋体"/>
                <w:szCs w:val="21"/>
                <w:highlight w:val="none"/>
              </w:rPr>
            </w:pPr>
            <w:r>
              <w:rPr>
                <w:rFonts w:hint="eastAsia" w:ascii="宋体" w:hAnsi="宋体" w:cs="宋体"/>
                <w:szCs w:val="21"/>
                <w:highlight w:val="none"/>
              </w:rPr>
              <w:t>电    话：18126866631</w:t>
            </w:r>
          </w:p>
        </w:tc>
      </w:tr>
      <w:tr>
        <w:tblPrEx>
          <w:tblCellMar>
            <w:top w:w="0" w:type="dxa"/>
            <w:left w:w="108" w:type="dxa"/>
            <w:bottom w:w="0" w:type="dxa"/>
            <w:right w:w="108" w:type="dxa"/>
          </w:tblCellMar>
        </w:tblPrEx>
        <w:trPr>
          <w:trHeight w:val="427"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招标代理机构</w:t>
            </w:r>
          </w:p>
        </w:tc>
        <w:tc>
          <w:tcPr>
            <w:tcW w:w="5929"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宋体"/>
                <w:szCs w:val="21"/>
                <w:highlight w:val="none"/>
              </w:rPr>
            </w:pPr>
            <w:r>
              <w:rPr>
                <w:rFonts w:hint="eastAsia" w:ascii="宋体" w:hAnsi="宋体" w:cs="宋体"/>
                <w:szCs w:val="21"/>
                <w:highlight w:val="none"/>
              </w:rPr>
              <w:t>招标代理机构：新誉时代工程咨询有限公司</w:t>
            </w:r>
          </w:p>
          <w:p>
            <w:pPr>
              <w:jc w:val="left"/>
              <w:rPr>
                <w:rFonts w:hint="eastAsia" w:ascii="宋体" w:hAnsi="宋体" w:cs="宋体"/>
                <w:szCs w:val="21"/>
                <w:highlight w:val="none"/>
              </w:rPr>
            </w:pPr>
            <w:r>
              <w:rPr>
                <w:rFonts w:hint="eastAsia" w:ascii="宋体" w:hAnsi="宋体" w:cs="宋体"/>
                <w:szCs w:val="21"/>
                <w:highlight w:val="none"/>
              </w:rPr>
              <w:t>地    址：广州市天河区体育西路123号新创举大厦14楼自编1401</w:t>
            </w:r>
          </w:p>
          <w:p>
            <w:pPr>
              <w:jc w:val="left"/>
              <w:rPr>
                <w:rFonts w:ascii="宋体" w:hAnsi="宋体" w:cs="宋体"/>
                <w:szCs w:val="21"/>
                <w:highlight w:val="none"/>
              </w:rPr>
            </w:pPr>
            <w:r>
              <w:rPr>
                <w:rFonts w:hint="eastAsia" w:ascii="宋体" w:hAnsi="宋体" w:cs="宋体"/>
                <w:szCs w:val="21"/>
                <w:highlight w:val="none"/>
              </w:rPr>
              <w:t>联 系 人：龙工</w:t>
            </w:r>
          </w:p>
          <w:p>
            <w:pPr>
              <w:jc w:val="left"/>
              <w:rPr>
                <w:rFonts w:ascii="宋体" w:hAnsi="宋体" w:eastAsia="宋体" w:cs="宋体"/>
                <w:szCs w:val="21"/>
                <w:highlight w:val="none"/>
              </w:rPr>
            </w:pPr>
            <w:r>
              <w:rPr>
                <w:rFonts w:hint="eastAsia" w:ascii="宋体" w:hAnsi="宋体" w:cs="宋体"/>
                <w:szCs w:val="21"/>
                <w:highlight w:val="none"/>
              </w:rPr>
              <w:t>电    话：18928904449</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1.1.4</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招标项目名称</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详见招标公告。</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1.1.5</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工程项目名称</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中国大酒店1、2、5、6号电梯采购及相关服务项目</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1.2.1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资金来源及比例</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企业自筹资金；100%。</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1.2.2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资金落实情况</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已落实。</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1.3.1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招标范围</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详见公告</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1.3.2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交货期</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计划2024年8月份施工，按照130天/工期，四台电梯同时施工(包含电梯设计、生产、运输、安装，技监局检验合格投入使用时间)。</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1.3.3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交货地点</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详见招标公告。</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1.3.4</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技术性能指标</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详见第五章“供货要求”。</w:t>
            </w:r>
          </w:p>
        </w:tc>
      </w:tr>
      <w:tr>
        <w:tblPrEx>
          <w:tblCellMar>
            <w:top w:w="0" w:type="dxa"/>
            <w:left w:w="108" w:type="dxa"/>
            <w:bottom w:w="0" w:type="dxa"/>
            <w:right w:w="108" w:type="dxa"/>
          </w:tblCellMar>
        </w:tblPrEx>
        <w:trPr>
          <w:trHeight w:val="92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1.4.1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投标人资质条件、能力、信誉</w:t>
            </w:r>
          </w:p>
        </w:tc>
        <w:tc>
          <w:tcPr>
            <w:tcW w:w="3242" w:type="pct"/>
            <w:tcBorders>
              <w:top w:val="single" w:color="auto" w:sz="4" w:space="0"/>
              <w:left w:val="single" w:color="auto" w:sz="4" w:space="0"/>
              <w:bottom w:val="single" w:color="auto" w:sz="4" w:space="0"/>
              <w:right w:val="single" w:color="auto" w:sz="4" w:space="0"/>
            </w:tcBorders>
            <w:vAlign w:val="center"/>
          </w:tcPr>
          <w:p>
            <w:pPr>
              <w:snapToGrid w:val="0"/>
              <w:ind w:right="141" w:rightChars="67"/>
              <w:rPr>
                <w:rFonts w:ascii="宋体" w:hAnsi="宋体" w:eastAsia="宋体" w:cs="宋体"/>
                <w:szCs w:val="21"/>
                <w:highlight w:val="none"/>
              </w:rPr>
            </w:pPr>
            <w:r>
              <w:rPr>
                <w:rFonts w:hint="eastAsia" w:ascii="宋体" w:hAnsi="宋体" w:eastAsia="宋体" w:cs="宋体"/>
                <w:szCs w:val="21"/>
                <w:highlight w:val="none"/>
              </w:rPr>
              <w:t>（1）资质要求：</w:t>
            </w:r>
            <w:r>
              <w:rPr>
                <w:rFonts w:hint="eastAsia" w:ascii="宋体" w:hAnsi="宋体" w:eastAsia="宋体" w:cs="宋体"/>
                <w:szCs w:val="21"/>
                <w:highlight w:val="none"/>
                <w:u w:val="single"/>
              </w:rPr>
              <w:t>详见招标公告“3.投标人资格要求”</w:t>
            </w:r>
          </w:p>
          <w:p>
            <w:pPr>
              <w:snapToGrid w:val="0"/>
              <w:ind w:right="141" w:rightChars="67"/>
              <w:rPr>
                <w:rFonts w:ascii="宋体" w:hAnsi="宋体" w:eastAsia="宋体" w:cs="宋体"/>
                <w:szCs w:val="21"/>
                <w:highlight w:val="none"/>
              </w:rPr>
            </w:pPr>
            <w:r>
              <w:rPr>
                <w:rFonts w:hint="eastAsia" w:ascii="宋体" w:hAnsi="宋体" w:eastAsia="宋体" w:cs="宋体"/>
                <w:szCs w:val="21"/>
                <w:highlight w:val="none"/>
              </w:rPr>
              <w:t>（2）财务要求：本项目不适用</w:t>
            </w:r>
          </w:p>
          <w:p>
            <w:pPr>
              <w:snapToGrid w:val="0"/>
              <w:ind w:right="141" w:rightChars="67"/>
              <w:rPr>
                <w:rFonts w:ascii="宋体" w:hAnsi="宋体" w:eastAsia="宋体" w:cs="宋体"/>
                <w:szCs w:val="21"/>
                <w:highlight w:val="none"/>
              </w:rPr>
            </w:pPr>
            <w:r>
              <w:rPr>
                <w:rFonts w:hint="eastAsia" w:ascii="宋体" w:hAnsi="宋体" w:eastAsia="宋体" w:cs="宋体"/>
                <w:szCs w:val="21"/>
                <w:highlight w:val="none"/>
              </w:rPr>
              <w:t>（3）投标设备业绩：</w:t>
            </w:r>
          </w:p>
          <w:p>
            <w:pPr>
              <w:snapToGrid w:val="0"/>
              <w:ind w:right="141" w:rightChars="67"/>
              <w:rPr>
                <w:rFonts w:ascii="宋体" w:hAnsi="宋体" w:eastAsia="宋体" w:cs="宋体"/>
                <w:szCs w:val="21"/>
                <w:highlight w:val="none"/>
              </w:rPr>
            </w:pPr>
            <w:r>
              <w:rPr>
                <w:rFonts w:hint="eastAsia" w:ascii="宋体" w:hAnsi="宋体" w:eastAsia="宋体" w:cs="宋体"/>
                <w:szCs w:val="21"/>
                <w:highlight w:val="none"/>
              </w:rPr>
              <w:t>（4）信誉要求：本项目不适用</w:t>
            </w:r>
          </w:p>
          <w:p>
            <w:pPr>
              <w:jc w:val="left"/>
              <w:rPr>
                <w:rFonts w:ascii="宋体" w:hAnsi="宋体" w:eastAsia="宋体" w:cs="宋体"/>
                <w:szCs w:val="21"/>
                <w:highlight w:val="none"/>
                <w:u w:val="single"/>
              </w:rPr>
            </w:pPr>
            <w:r>
              <w:rPr>
                <w:rFonts w:hint="eastAsia" w:ascii="宋体" w:hAnsi="宋体" w:eastAsia="宋体" w:cs="宋体"/>
                <w:szCs w:val="21"/>
                <w:highlight w:val="none"/>
              </w:rPr>
              <w:t>（5）其他要求：</w:t>
            </w:r>
            <w:r>
              <w:rPr>
                <w:rFonts w:hint="eastAsia" w:ascii="宋体" w:hAnsi="宋体" w:eastAsia="宋体" w:cs="宋体"/>
                <w:szCs w:val="21"/>
                <w:highlight w:val="none"/>
                <w:u w:val="single"/>
              </w:rPr>
              <w:t>详见招标公告“3.投标人资格要求”</w:t>
            </w:r>
          </w:p>
        </w:tc>
      </w:tr>
      <w:tr>
        <w:tblPrEx>
          <w:tblCellMar>
            <w:top w:w="0" w:type="dxa"/>
            <w:left w:w="108" w:type="dxa"/>
            <w:bottom w:w="0" w:type="dxa"/>
            <w:right w:w="108" w:type="dxa"/>
          </w:tblCellMar>
        </w:tblPrEx>
        <w:trPr>
          <w:trHeight w:val="21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1.4.2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是否接受联合体投标</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szCs w:val="21"/>
                <w:highlight w:val="none"/>
              </w:rPr>
            </w:pPr>
            <w:r>
              <w:rPr>
                <w:rFonts w:hint="eastAsia" w:ascii="宋体" w:hAnsi="宋体" w:eastAsia="宋体" w:cs="宋体"/>
                <w:szCs w:val="21"/>
                <w:highlight w:val="none"/>
              </w:rPr>
              <w:t>■不接受</w:t>
            </w:r>
          </w:p>
          <w:p>
            <w:pPr>
              <w:jc w:val="left"/>
              <w:rPr>
                <w:rFonts w:ascii="宋体" w:hAnsi="宋体" w:eastAsia="宋体" w:cs="宋体"/>
                <w:szCs w:val="21"/>
                <w:highlight w:val="none"/>
              </w:rPr>
            </w:pPr>
            <w:r>
              <w:rPr>
                <w:rFonts w:hint="eastAsia" w:ascii="宋体" w:hAnsi="宋体" w:eastAsia="宋体" w:cs="宋体"/>
                <w:szCs w:val="21"/>
                <w:highlight w:val="none"/>
              </w:rPr>
              <w:t>□接受，应满足下列要求：</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1.4.3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投标人不得存在的其他情形</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23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1.9.1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投标预备会</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■不召开</w:t>
            </w:r>
          </w:p>
          <w:p>
            <w:pPr>
              <w:jc w:val="left"/>
              <w:rPr>
                <w:rFonts w:ascii="宋体" w:hAnsi="宋体" w:eastAsia="宋体" w:cs="宋体"/>
                <w:szCs w:val="21"/>
                <w:highlight w:val="none"/>
              </w:rPr>
            </w:pPr>
            <w:r>
              <w:rPr>
                <w:rFonts w:hint="eastAsia" w:ascii="宋体" w:hAnsi="宋体" w:eastAsia="宋体" w:cs="宋体"/>
                <w:szCs w:val="21"/>
                <w:highlight w:val="none"/>
              </w:rPr>
              <w:t>□召开，召开时间：</w:t>
            </w:r>
          </w:p>
          <w:p>
            <w:pPr>
              <w:topLinePunct/>
              <w:ind w:firstLine="840" w:firstLineChars="400"/>
              <w:jc w:val="left"/>
              <w:rPr>
                <w:rFonts w:ascii="宋体" w:hAnsi="宋体" w:eastAsia="宋体" w:cs="宋体"/>
                <w:kern w:val="0"/>
                <w:szCs w:val="21"/>
                <w:highlight w:val="none"/>
              </w:rPr>
            </w:pPr>
            <w:r>
              <w:rPr>
                <w:rFonts w:hint="eastAsia" w:ascii="宋体" w:hAnsi="宋体" w:eastAsia="宋体" w:cs="宋体"/>
                <w:kern w:val="0"/>
                <w:szCs w:val="21"/>
                <w:highlight w:val="none"/>
              </w:rPr>
              <w:t>召开地点：</w:t>
            </w:r>
          </w:p>
        </w:tc>
      </w:tr>
      <w:tr>
        <w:tblPrEx>
          <w:tblCellMar>
            <w:top w:w="0" w:type="dxa"/>
            <w:left w:w="108" w:type="dxa"/>
            <w:bottom w:w="0" w:type="dxa"/>
            <w:right w:w="108" w:type="dxa"/>
          </w:tblCellMar>
        </w:tblPrEx>
        <w:trPr>
          <w:trHeight w:val="106" w:hRule="atLeast"/>
        </w:trPr>
        <w:tc>
          <w:tcPr>
            <w:tcW w:w="639"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1.9.2</w:t>
            </w:r>
          </w:p>
        </w:tc>
        <w:tc>
          <w:tcPr>
            <w:tcW w:w="1117"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投标人在投标预备会前提出问题</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时间：/。</w:t>
            </w:r>
          </w:p>
        </w:tc>
      </w:tr>
      <w:tr>
        <w:tblPrEx>
          <w:tblCellMar>
            <w:top w:w="0" w:type="dxa"/>
            <w:left w:w="108" w:type="dxa"/>
            <w:bottom w:w="0" w:type="dxa"/>
            <w:right w:w="108" w:type="dxa"/>
          </w:tblCellMar>
        </w:tblPrEx>
        <w:trPr>
          <w:trHeight w:val="35" w:hRule="atLeast"/>
        </w:trPr>
        <w:tc>
          <w:tcPr>
            <w:tcW w:w="639"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117"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形式：/。</w:t>
            </w:r>
          </w:p>
        </w:tc>
      </w:tr>
      <w:tr>
        <w:tblPrEx>
          <w:tblCellMar>
            <w:top w:w="0" w:type="dxa"/>
            <w:left w:w="108" w:type="dxa"/>
            <w:bottom w:w="0" w:type="dxa"/>
            <w:right w:w="108" w:type="dxa"/>
          </w:tblCellMar>
        </w:tblPrEx>
        <w:trPr>
          <w:trHeight w:val="106" w:hRule="atLeast"/>
        </w:trPr>
        <w:tc>
          <w:tcPr>
            <w:tcW w:w="639"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1.9.3</w:t>
            </w:r>
          </w:p>
        </w:tc>
        <w:tc>
          <w:tcPr>
            <w:tcW w:w="1117"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招标文件澄清发出的形式</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u w:val="single"/>
              </w:rPr>
              <w:t>/</w:t>
            </w:r>
          </w:p>
        </w:tc>
      </w:tr>
      <w:tr>
        <w:tblPrEx>
          <w:tblCellMar>
            <w:top w:w="0" w:type="dxa"/>
            <w:left w:w="108" w:type="dxa"/>
            <w:bottom w:w="0" w:type="dxa"/>
            <w:right w:w="108" w:type="dxa"/>
          </w:tblCellMar>
        </w:tblPrEx>
        <w:trPr>
          <w:trHeight w:val="427" w:hRule="atLeast"/>
        </w:trPr>
        <w:tc>
          <w:tcPr>
            <w:tcW w:w="639"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1.10.1</w:t>
            </w:r>
          </w:p>
        </w:tc>
        <w:tc>
          <w:tcPr>
            <w:tcW w:w="1117"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分包</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kern w:val="0"/>
                <w:szCs w:val="21"/>
                <w:highlight w:val="none"/>
              </w:rPr>
              <w:t>■</w:t>
            </w:r>
            <w:r>
              <w:rPr>
                <w:rFonts w:hint="eastAsia" w:ascii="宋体" w:hAnsi="宋体" w:eastAsia="宋体" w:cs="宋体"/>
                <w:szCs w:val="21"/>
                <w:highlight w:val="none"/>
              </w:rPr>
              <w:t>不允许</w:t>
            </w:r>
          </w:p>
          <w:p>
            <w:pPr>
              <w:jc w:val="left"/>
              <w:rPr>
                <w:rFonts w:ascii="宋体" w:hAnsi="宋体" w:eastAsia="宋体" w:cs="宋体"/>
                <w:szCs w:val="21"/>
                <w:highlight w:val="none"/>
              </w:rPr>
            </w:pPr>
            <w:r>
              <w:rPr>
                <w:rFonts w:hint="eastAsia" w:ascii="宋体" w:hAnsi="宋体" w:eastAsia="宋体" w:cs="宋体"/>
                <w:szCs w:val="21"/>
                <w:highlight w:val="none"/>
              </w:rPr>
              <w:t>□允许，分包内容要求：</w:t>
            </w:r>
          </w:p>
          <w:p>
            <w:pPr>
              <w:jc w:val="left"/>
              <w:rPr>
                <w:rFonts w:ascii="宋体" w:hAnsi="宋体" w:eastAsia="宋体" w:cs="宋体"/>
                <w:szCs w:val="21"/>
                <w:highlight w:val="none"/>
              </w:rPr>
            </w:pPr>
            <w:r>
              <w:rPr>
                <w:rFonts w:hint="eastAsia" w:ascii="宋体" w:hAnsi="宋体" w:eastAsia="宋体" w:cs="宋体"/>
                <w:szCs w:val="21"/>
                <w:highlight w:val="none"/>
              </w:rPr>
              <w:t>分包金额要求：</w:t>
            </w:r>
          </w:p>
          <w:p>
            <w:pPr>
              <w:jc w:val="left"/>
              <w:rPr>
                <w:rFonts w:ascii="宋体" w:hAnsi="宋体" w:eastAsia="宋体" w:cs="宋体"/>
                <w:szCs w:val="21"/>
                <w:highlight w:val="none"/>
              </w:rPr>
            </w:pPr>
            <w:r>
              <w:rPr>
                <w:rFonts w:hint="eastAsia" w:ascii="宋体" w:hAnsi="宋体" w:eastAsia="宋体" w:cs="宋体"/>
                <w:szCs w:val="21"/>
                <w:highlight w:val="none"/>
              </w:rPr>
              <w:t>对分包人的资质要求：</w:t>
            </w:r>
          </w:p>
        </w:tc>
      </w:tr>
      <w:tr>
        <w:tblPrEx>
          <w:tblCellMar>
            <w:top w:w="0" w:type="dxa"/>
            <w:left w:w="108" w:type="dxa"/>
            <w:bottom w:w="0" w:type="dxa"/>
            <w:right w:w="108" w:type="dxa"/>
          </w:tblCellMar>
        </w:tblPrEx>
        <w:trPr>
          <w:trHeight w:val="106" w:hRule="atLeast"/>
        </w:trPr>
        <w:tc>
          <w:tcPr>
            <w:tcW w:w="639"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1.11.1</w:t>
            </w:r>
          </w:p>
        </w:tc>
        <w:tc>
          <w:tcPr>
            <w:tcW w:w="1117"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实质性要求和条件</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u w:val="single"/>
              </w:rPr>
              <w:t>“技术需求书”中带“★”号的条款均为实质</w:t>
            </w:r>
            <w:r>
              <w:rPr>
                <w:rFonts w:hint="eastAsia" w:ascii="宋体" w:hAnsi="宋体" w:eastAsia="宋体" w:cs="宋体"/>
                <w:spacing w:val="-2"/>
                <w:szCs w:val="21"/>
                <w:highlight w:val="none"/>
                <w:u w:val="single"/>
              </w:rPr>
              <w:t>性</w:t>
            </w:r>
            <w:r>
              <w:rPr>
                <w:rFonts w:hint="eastAsia" w:ascii="宋体" w:hAnsi="宋体" w:eastAsia="宋体" w:cs="宋体"/>
                <w:szCs w:val="21"/>
                <w:highlight w:val="none"/>
                <w:u w:val="single"/>
              </w:rPr>
              <w:t>要</w:t>
            </w:r>
            <w:r>
              <w:rPr>
                <w:rFonts w:hint="eastAsia" w:ascii="宋体" w:hAnsi="宋体" w:eastAsia="宋体" w:cs="宋体"/>
                <w:spacing w:val="-2"/>
                <w:szCs w:val="21"/>
                <w:highlight w:val="none"/>
                <w:u w:val="single"/>
              </w:rPr>
              <w:t>求</w:t>
            </w:r>
            <w:r>
              <w:rPr>
                <w:rFonts w:hint="eastAsia" w:ascii="宋体" w:hAnsi="宋体" w:eastAsia="宋体" w:cs="宋体"/>
                <w:szCs w:val="21"/>
                <w:highlight w:val="none"/>
                <w:u w:val="single"/>
              </w:rPr>
              <w:t>和</w:t>
            </w:r>
            <w:r>
              <w:rPr>
                <w:rFonts w:hint="eastAsia" w:ascii="宋体" w:hAnsi="宋体" w:eastAsia="宋体" w:cs="宋体"/>
                <w:spacing w:val="-2"/>
                <w:szCs w:val="21"/>
                <w:highlight w:val="none"/>
                <w:u w:val="single"/>
              </w:rPr>
              <w:t>条</w:t>
            </w:r>
            <w:r>
              <w:rPr>
                <w:rFonts w:hint="eastAsia" w:ascii="宋体" w:hAnsi="宋体" w:eastAsia="宋体" w:cs="宋体"/>
                <w:szCs w:val="21"/>
                <w:highlight w:val="none"/>
                <w:u w:val="single"/>
              </w:rPr>
              <w:t>件。</w:t>
            </w:r>
          </w:p>
        </w:tc>
      </w:tr>
      <w:tr>
        <w:tblPrEx>
          <w:tblCellMar>
            <w:top w:w="0" w:type="dxa"/>
            <w:left w:w="108" w:type="dxa"/>
            <w:bottom w:w="0" w:type="dxa"/>
            <w:right w:w="108" w:type="dxa"/>
          </w:tblCellMar>
        </w:tblPrEx>
        <w:trPr>
          <w:trHeight w:val="12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1.11.3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其他可以被接受的技术支持资料</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w:t>
            </w:r>
          </w:p>
        </w:tc>
      </w:tr>
      <w:tr>
        <w:tblPrEx>
          <w:tblCellMar>
            <w:top w:w="0" w:type="dxa"/>
            <w:left w:w="108" w:type="dxa"/>
            <w:bottom w:w="0" w:type="dxa"/>
            <w:right w:w="108" w:type="dxa"/>
          </w:tblCellMar>
        </w:tblPrEx>
        <w:trPr>
          <w:trHeight w:val="36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1.11.4</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偏差</w:t>
            </w:r>
          </w:p>
        </w:tc>
        <w:tc>
          <w:tcPr>
            <w:tcW w:w="3242" w:type="pct"/>
            <w:tcBorders>
              <w:top w:val="single" w:color="auto" w:sz="4" w:space="0"/>
              <w:left w:val="single" w:color="auto" w:sz="4" w:space="0"/>
              <w:bottom w:val="single" w:color="auto" w:sz="4" w:space="0"/>
              <w:right w:val="single" w:color="auto" w:sz="4" w:space="0"/>
            </w:tcBorders>
          </w:tcPr>
          <w:p>
            <w:pPr>
              <w:jc w:val="left"/>
              <w:rPr>
                <w:rFonts w:ascii="宋体" w:hAnsi="宋体" w:eastAsia="宋体" w:cs="宋体"/>
                <w:szCs w:val="21"/>
                <w:highlight w:val="none"/>
              </w:rPr>
            </w:pPr>
            <w:r>
              <w:rPr>
                <w:rFonts w:hint="eastAsia" w:ascii="宋体" w:hAnsi="宋体" w:eastAsia="宋体" w:cs="宋体"/>
                <w:szCs w:val="21"/>
                <w:highlight w:val="none"/>
              </w:rPr>
              <w:t>□不允许</w:t>
            </w:r>
          </w:p>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■允许，偏差范围：符合招标文件等有关资料</w:t>
            </w:r>
          </w:p>
          <w:p>
            <w:pPr>
              <w:topLinePunct/>
              <w:ind w:firstLine="840" w:firstLineChars="400"/>
              <w:jc w:val="left"/>
              <w:rPr>
                <w:rFonts w:ascii="宋体" w:hAnsi="宋体" w:eastAsia="宋体" w:cs="宋体"/>
                <w:kern w:val="0"/>
                <w:szCs w:val="21"/>
                <w:highlight w:val="none"/>
              </w:rPr>
            </w:pPr>
            <w:r>
              <w:rPr>
                <w:rFonts w:hint="eastAsia" w:ascii="宋体" w:hAnsi="宋体" w:eastAsia="宋体" w:cs="宋体"/>
                <w:kern w:val="0"/>
                <w:szCs w:val="21"/>
                <w:highlight w:val="none"/>
              </w:rPr>
              <w:t>最高项数：符合招标文件等有关资料</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构成招标文件的其他资料</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u w:val="single"/>
              </w:rPr>
              <w:t>招标文件的澄清、修改、补充通知等内容</w:t>
            </w:r>
          </w:p>
        </w:tc>
      </w:tr>
      <w:tr>
        <w:tblPrEx>
          <w:tblCellMar>
            <w:top w:w="0" w:type="dxa"/>
            <w:left w:w="108" w:type="dxa"/>
            <w:bottom w:w="0" w:type="dxa"/>
            <w:right w:w="108" w:type="dxa"/>
          </w:tblCellMar>
        </w:tblPrEx>
        <w:trPr>
          <w:trHeight w:val="106" w:hRule="atLeast"/>
        </w:trPr>
        <w:tc>
          <w:tcPr>
            <w:tcW w:w="639"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2.2.1</w:t>
            </w:r>
          </w:p>
        </w:tc>
        <w:tc>
          <w:tcPr>
            <w:tcW w:w="1117"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投标人要求澄清招标文件</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 xml:space="preserve">时间： </w:t>
            </w:r>
            <w:r>
              <w:rPr>
                <w:rFonts w:ascii="宋体" w:hAnsi="宋体" w:eastAsia="宋体" w:cs="宋体"/>
                <w:szCs w:val="21"/>
                <w:highlight w:val="none"/>
              </w:rPr>
              <w:t xml:space="preserve">     </w:t>
            </w:r>
            <w:r>
              <w:rPr>
                <w:rFonts w:hint="eastAsia" w:ascii="宋体" w:hAnsi="宋体" w:eastAsia="宋体" w:cs="宋体"/>
                <w:szCs w:val="21"/>
                <w:highlight w:val="none"/>
                <w:u w:val="single"/>
              </w:rPr>
              <w:t>年    月    日    时</w:t>
            </w:r>
            <w:r>
              <w:rPr>
                <w:rFonts w:hint="eastAsia" w:ascii="宋体" w:hAnsi="宋体" w:eastAsia="宋体" w:cs="宋体"/>
                <w:szCs w:val="21"/>
                <w:highlight w:val="none"/>
              </w:rPr>
              <w:t>前。（在提交投标文件截止时间18天前提出。）</w:t>
            </w:r>
          </w:p>
        </w:tc>
      </w:tr>
      <w:tr>
        <w:tblPrEx>
          <w:tblCellMar>
            <w:top w:w="0" w:type="dxa"/>
            <w:left w:w="108" w:type="dxa"/>
            <w:bottom w:w="0" w:type="dxa"/>
            <w:right w:w="108" w:type="dxa"/>
          </w:tblCellMar>
        </w:tblPrEx>
        <w:trPr>
          <w:trHeight w:val="35" w:hRule="atLeast"/>
        </w:trPr>
        <w:tc>
          <w:tcPr>
            <w:tcW w:w="639"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117"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形式：1、投标人的疑问通过广州公共资源交易中心数字交易平台提交。具体要求：操作详见广州公共资源交易中心网站发布的《房屋建筑和市政基础设施工程全流程电子化项目专章》。提交问题时一律不得署名。</w:t>
            </w:r>
          </w:p>
          <w:p>
            <w:pPr>
              <w:jc w:val="left"/>
              <w:rPr>
                <w:rFonts w:ascii="宋体" w:hAnsi="宋体" w:eastAsia="宋体" w:cs="宋体"/>
                <w:szCs w:val="21"/>
                <w:highlight w:val="none"/>
              </w:rPr>
            </w:pPr>
            <w:r>
              <w:rPr>
                <w:rFonts w:hint="eastAsia" w:ascii="宋体" w:hAnsi="宋体" w:eastAsia="宋体" w:cs="宋体"/>
                <w:szCs w:val="21"/>
                <w:highlight w:val="none"/>
              </w:rPr>
              <w:t>2、招标答疑采用网上答疑方式进行。投标人若对招标文件（包括最高投标限价）有疑问的，可在规定的时间内通过广州公共资源交易中心网站进入提问区域将问题提交给招标人或招标代理人，提交问题时一律不得署名。</w:t>
            </w:r>
          </w:p>
          <w:p>
            <w:pPr>
              <w:jc w:val="left"/>
              <w:rPr>
                <w:rFonts w:ascii="宋体" w:hAnsi="宋体" w:eastAsia="宋体" w:cs="宋体"/>
                <w:szCs w:val="21"/>
                <w:highlight w:val="none"/>
              </w:rPr>
            </w:pPr>
            <w:r>
              <w:rPr>
                <w:rFonts w:hint="eastAsia" w:ascii="宋体" w:hAnsi="宋体" w:eastAsia="宋体" w:cs="宋体"/>
                <w:szCs w:val="21"/>
                <w:highlight w:val="none"/>
              </w:rPr>
              <w:t>网上答疑的操作指南为：登陆广州公共资源交易中心网站 （http://www.gzggzy.cn）→进入“我是投标人”→进入“新建设工程交易平台”→进入“我的投标”→通过项目编号或项目名称找到所需的项目→在上述的答疑时间内点击“答疑提问”→“新建问题”→无记名或匿名提出问题。</w:t>
            </w:r>
          </w:p>
          <w:p>
            <w:pPr>
              <w:jc w:val="left"/>
              <w:rPr>
                <w:rFonts w:ascii="宋体" w:hAnsi="宋体" w:eastAsia="宋体" w:cs="宋体"/>
                <w:szCs w:val="21"/>
                <w:highlight w:val="none"/>
              </w:rPr>
            </w:pPr>
            <w:r>
              <w:rPr>
                <w:rFonts w:hint="eastAsia" w:ascii="宋体" w:hAnsi="宋体" w:eastAsia="宋体" w:cs="宋体"/>
                <w:szCs w:val="21"/>
                <w:highlight w:val="none"/>
              </w:rPr>
              <w:t>3、投标人应在投标截止时间18日前停止提问。招标人应在投标截止时间15日前解答投标人对招标文件提出的疑问，形成答疑文件，在广州公共资源交易中心网站项目答疑专区发布。</w:t>
            </w:r>
          </w:p>
          <w:p>
            <w:pPr>
              <w:jc w:val="left"/>
              <w:rPr>
                <w:rFonts w:ascii="宋体" w:hAnsi="宋体" w:eastAsia="宋体" w:cs="宋体"/>
                <w:szCs w:val="21"/>
                <w:highlight w:val="none"/>
              </w:rPr>
            </w:pPr>
            <w:r>
              <w:rPr>
                <w:rFonts w:hint="eastAsia" w:ascii="宋体" w:hAnsi="宋体" w:eastAsia="宋体" w:cs="宋体"/>
                <w:szCs w:val="21"/>
                <w:highlight w:val="none"/>
              </w:rPr>
              <w:t>4、招标答疑文件一经在广州公共资源交易中心网站发布，视作已发放给所有投标人。</w:t>
            </w:r>
          </w:p>
          <w:p>
            <w:pPr>
              <w:jc w:val="left"/>
              <w:rPr>
                <w:rFonts w:ascii="宋体" w:hAnsi="宋体" w:eastAsia="宋体" w:cs="宋体"/>
                <w:b/>
                <w:szCs w:val="21"/>
                <w:highlight w:val="none"/>
                <w:u w:val="single"/>
              </w:rPr>
            </w:pPr>
            <w:r>
              <w:rPr>
                <w:rFonts w:hint="eastAsia" w:ascii="宋体" w:hAnsi="宋体" w:eastAsia="宋体" w:cs="宋体"/>
                <w:szCs w:val="21"/>
                <w:highlight w:val="none"/>
              </w:rPr>
              <w:t>5、招标答疑文件为招标文件的一部分。投标人可在广州公资源交易中心网站浏览、下载招标答疑文件。</w:t>
            </w:r>
          </w:p>
        </w:tc>
      </w:tr>
      <w:tr>
        <w:tblPrEx>
          <w:tblCellMar>
            <w:top w:w="0" w:type="dxa"/>
            <w:left w:w="108" w:type="dxa"/>
            <w:bottom w:w="0" w:type="dxa"/>
            <w:right w:w="108" w:type="dxa"/>
          </w:tblCellMar>
        </w:tblPrEx>
        <w:trPr>
          <w:trHeight w:val="106" w:hRule="atLeast"/>
        </w:trPr>
        <w:tc>
          <w:tcPr>
            <w:tcW w:w="639"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2.2.2</w:t>
            </w:r>
          </w:p>
        </w:tc>
        <w:tc>
          <w:tcPr>
            <w:tcW w:w="1117"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招标文件澄清发出的形式</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u w:val="single"/>
              </w:rPr>
            </w:pPr>
            <w:r>
              <w:rPr>
                <w:rFonts w:hint="eastAsia" w:ascii="宋体" w:hAnsi="宋体" w:eastAsia="宋体" w:cs="宋体"/>
                <w:szCs w:val="21"/>
                <w:highlight w:val="none"/>
              </w:rPr>
              <w:t>发出时间：</w:t>
            </w:r>
            <w:r>
              <w:rPr>
                <w:rFonts w:hint="eastAsia" w:ascii="宋体" w:hAnsi="宋体" w:eastAsia="宋体" w:cs="宋体"/>
                <w:szCs w:val="21"/>
                <w:highlight w:val="none"/>
                <w:u w:val="single"/>
              </w:rPr>
              <w:t>投标截止时间15日前</w:t>
            </w:r>
          </w:p>
          <w:p>
            <w:pPr>
              <w:jc w:val="left"/>
              <w:rPr>
                <w:rFonts w:ascii="宋体" w:hAnsi="宋体" w:eastAsia="宋体" w:cs="宋体"/>
                <w:szCs w:val="21"/>
                <w:highlight w:val="none"/>
              </w:rPr>
            </w:pPr>
            <w:r>
              <w:rPr>
                <w:rFonts w:hint="eastAsia" w:ascii="宋体" w:hAnsi="宋体" w:eastAsia="宋体" w:cs="宋体"/>
                <w:szCs w:val="21"/>
                <w:highlight w:val="none"/>
              </w:rPr>
              <w:t>发出形式：在广州公共资源交易中心网站通过项目答疑专区网上公开发布。</w:t>
            </w:r>
          </w:p>
        </w:tc>
      </w:tr>
      <w:tr>
        <w:tblPrEx>
          <w:tblCellMar>
            <w:top w:w="0" w:type="dxa"/>
            <w:left w:w="108" w:type="dxa"/>
            <w:bottom w:w="0" w:type="dxa"/>
            <w:right w:w="108" w:type="dxa"/>
          </w:tblCellMar>
        </w:tblPrEx>
        <w:trPr>
          <w:trHeight w:val="106" w:hRule="atLeast"/>
        </w:trPr>
        <w:tc>
          <w:tcPr>
            <w:tcW w:w="639"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2.2.3</w:t>
            </w:r>
          </w:p>
        </w:tc>
        <w:tc>
          <w:tcPr>
            <w:tcW w:w="1117"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投标人确认收到招标文件澄清</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时间：</w:t>
            </w:r>
            <w:r>
              <w:rPr>
                <w:rFonts w:hint="eastAsia" w:ascii="宋体" w:hAnsi="宋体" w:eastAsia="宋体" w:cs="宋体"/>
                <w:szCs w:val="21"/>
                <w:highlight w:val="none"/>
                <w:u w:val="single"/>
              </w:rPr>
              <w:t>从招标文件澄清及答疑文件发布之日起即视为投标人已确认收到。</w:t>
            </w:r>
          </w:p>
        </w:tc>
      </w:tr>
      <w:tr>
        <w:tblPrEx>
          <w:tblCellMar>
            <w:top w:w="0" w:type="dxa"/>
            <w:left w:w="108" w:type="dxa"/>
            <w:bottom w:w="0" w:type="dxa"/>
            <w:right w:w="108" w:type="dxa"/>
          </w:tblCellMar>
        </w:tblPrEx>
        <w:trPr>
          <w:trHeight w:val="35" w:hRule="atLeast"/>
        </w:trPr>
        <w:tc>
          <w:tcPr>
            <w:tcW w:w="639"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117"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形式：招标文件澄清（招标答疑纪要）一经在广州公共资源交易中心网站发布，视作已发放给所有投标人。</w:t>
            </w:r>
          </w:p>
        </w:tc>
      </w:tr>
      <w:tr>
        <w:tblPrEx>
          <w:tblCellMar>
            <w:top w:w="0" w:type="dxa"/>
            <w:left w:w="108" w:type="dxa"/>
            <w:bottom w:w="0" w:type="dxa"/>
            <w:right w:w="108" w:type="dxa"/>
          </w:tblCellMar>
        </w:tblPrEx>
        <w:trPr>
          <w:trHeight w:val="106" w:hRule="atLeast"/>
        </w:trPr>
        <w:tc>
          <w:tcPr>
            <w:tcW w:w="639"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2.3.1</w:t>
            </w:r>
          </w:p>
        </w:tc>
        <w:tc>
          <w:tcPr>
            <w:tcW w:w="1117" w:type="pct"/>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招标文件修改发出的形式</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u w:val="single"/>
              </w:rPr>
              <w:t>以补充公告或项目答疑澄清的方式在广州公共资源交易中心网站发布发布</w:t>
            </w:r>
          </w:p>
        </w:tc>
      </w:tr>
      <w:tr>
        <w:tblPrEx>
          <w:tblCellMar>
            <w:top w:w="0" w:type="dxa"/>
            <w:left w:w="108" w:type="dxa"/>
            <w:bottom w:w="0" w:type="dxa"/>
            <w:right w:w="108" w:type="dxa"/>
          </w:tblCellMar>
        </w:tblPrEx>
        <w:trPr>
          <w:trHeight w:val="106" w:hRule="atLeast"/>
        </w:trPr>
        <w:tc>
          <w:tcPr>
            <w:tcW w:w="639"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2.3.2</w:t>
            </w:r>
          </w:p>
        </w:tc>
        <w:tc>
          <w:tcPr>
            <w:tcW w:w="1117"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投标人确认收到招标文件修改</w:t>
            </w:r>
          </w:p>
        </w:tc>
        <w:tc>
          <w:tcPr>
            <w:tcW w:w="324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时间：</w:t>
            </w:r>
            <w:r>
              <w:rPr>
                <w:rFonts w:hint="eastAsia" w:ascii="宋体" w:hAnsi="宋体" w:eastAsia="宋体" w:cs="宋体"/>
                <w:szCs w:val="21"/>
                <w:highlight w:val="none"/>
                <w:u w:val="single"/>
              </w:rPr>
              <w:t>从招标文件修改文件发布之日起即视为投标人已确认收到。</w:t>
            </w:r>
          </w:p>
        </w:tc>
      </w:tr>
      <w:tr>
        <w:tblPrEx>
          <w:tblCellMar>
            <w:top w:w="0" w:type="dxa"/>
            <w:left w:w="108" w:type="dxa"/>
            <w:bottom w:w="0" w:type="dxa"/>
            <w:right w:w="108" w:type="dxa"/>
          </w:tblCellMar>
        </w:tblPrEx>
        <w:trPr>
          <w:trHeight w:val="35" w:hRule="atLeast"/>
        </w:trPr>
        <w:tc>
          <w:tcPr>
            <w:tcW w:w="639"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117"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324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形式：</w:t>
            </w:r>
            <w:r>
              <w:rPr>
                <w:rFonts w:hint="eastAsia" w:ascii="宋体" w:hAnsi="宋体" w:eastAsia="宋体" w:cs="宋体"/>
                <w:szCs w:val="21"/>
                <w:highlight w:val="none"/>
                <w:u w:val="single"/>
              </w:rPr>
              <w:t>招标文件修改一经在广州公共资源交易中心网站发布，视作已发放给所有投标人，无需确认。潜在投标人应自行关注广州公共资源交易中心的网站公告，招标人不再一一通知。投标人因自身贻误行为导致投标失败的，责任自负。</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3.1.1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构成投标文件的其他资料</w:t>
            </w:r>
          </w:p>
        </w:tc>
        <w:tc>
          <w:tcPr>
            <w:tcW w:w="3242" w:type="pct"/>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u w:val="single"/>
              </w:rPr>
              <w:t>满足本项目评审要求的其他资料。</w:t>
            </w:r>
          </w:p>
        </w:tc>
      </w:tr>
      <w:tr>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3.2.1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增值税税金的计算方法</w:t>
            </w:r>
          </w:p>
        </w:tc>
        <w:tc>
          <w:tcPr>
            <w:tcW w:w="3242" w:type="pct"/>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21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3.2.4</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最高投标限价</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□无</w:t>
            </w:r>
          </w:p>
          <w:p>
            <w:pPr>
              <w:jc w:val="left"/>
              <w:rPr>
                <w:rFonts w:ascii="宋体" w:hAnsi="宋体" w:eastAsia="宋体" w:cs="宋体"/>
                <w:b/>
                <w:szCs w:val="21"/>
                <w:highlight w:val="none"/>
              </w:rPr>
            </w:pPr>
            <w:r>
              <w:rPr>
                <w:rFonts w:hint="eastAsia" w:ascii="宋体" w:hAnsi="宋体" w:eastAsia="宋体" w:cs="宋体"/>
                <w:szCs w:val="21"/>
                <w:highlight w:val="none"/>
              </w:rPr>
              <w:t>■有，最高投标限价：3,045,700.00元（即招标控制价）具体详见《最高投标限价公布函》</w:t>
            </w:r>
          </w:p>
          <w:p>
            <w:pPr>
              <w:jc w:val="left"/>
              <w:rPr>
                <w:rFonts w:ascii="宋体" w:hAnsi="宋体" w:eastAsia="宋体" w:cs="宋体"/>
                <w:szCs w:val="21"/>
                <w:highlight w:val="none"/>
              </w:rPr>
            </w:pPr>
            <w:r>
              <w:rPr>
                <w:rFonts w:hint="eastAsia" w:ascii="宋体" w:hAnsi="宋体" w:eastAsia="宋体" w:cs="宋体"/>
                <w:b/>
                <w:szCs w:val="21"/>
                <w:highlight w:val="none"/>
              </w:rPr>
              <w:t>投标人报价不得高于最高投标限价，否则做无效投标处理。</w:t>
            </w:r>
          </w:p>
        </w:tc>
      </w:tr>
      <w:tr>
        <w:tblPrEx>
          <w:tblCellMar>
            <w:top w:w="0" w:type="dxa"/>
            <w:left w:w="108" w:type="dxa"/>
            <w:bottom w:w="0" w:type="dxa"/>
            <w:right w:w="108" w:type="dxa"/>
          </w:tblCellMar>
        </w:tblPrEx>
        <w:trPr>
          <w:trHeight w:val="106"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3.2.5</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投标报价的其他要求</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szCs w:val="21"/>
                <w:highlight w:val="none"/>
              </w:rPr>
            </w:pPr>
            <w:r>
              <w:rPr>
                <w:rFonts w:hint="eastAsia" w:ascii="宋体" w:hAnsi="宋体" w:eastAsia="宋体" w:cs="宋体"/>
                <w:szCs w:val="21"/>
                <w:highlight w:val="none"/>
              </w:rPr>
              <w:t>1、各投标单位在招标控制价内根据企业自身实力进行含税报价</w:t>
            </w:r>
            <w:r>
              <w:rPr>
                <w:rFonts w:hint="eastAsia" w:ascii="宋体" w:hAnsi="宋体" w:eastAsia="宋体" w:cs="宋体"/>
                <w:b/>
                <w:szCs w:val="21"/>
                <w:highlight w:val="none"/>
              </w:rPr>
              <w:t>（以元为单位，保留两位小数，第三位小数四舍五入）。</w:t>
            </w:r>
          </w:p>
          <w:p>
            <w:pPr>
              <w:jc w:val="left"/>
              <w:rPr>
                <w:rFonts w:ascii="宋体" w:hAnsi="宋体" w:eastAsia="宋体" w:cs="宋体"/>
                <w:b/>
                <w:szCs w:val="21"/>
                <w:highlight w:val="none"/>
              </w:rPr>
            </w:pPr>
            <w:r>
              <w:rPr>
                <w:rFonts w:hint="eastAsia" w:ascii="宋体" w:hAnsi="宋体" w:eastAsia="宋体" w:cs="宋体"/>
                <w:b/>
                <w:szCs w:val="21"/>
                <w:highlight w:val="none"/>
              </w:rPr>
              <w:t>2、投标人在投标截止时间前修改投标函中的投标总价的，应同时修改第六章“投标文件格式”中投标报价表的相应报价。</w:t>
            </w:r>
          </w:p>
          <w:p>
            <w:pPr>
              <w:jc w:val="left"/>
              <w:rPr>
                <w:rFonts w:ascii="宋体" w:hAnsi="宋体" w:eastAsia="宋体" w:cs="宋体"/>
                <w:szCs w:val="21"/>
                <w:highlight w:val="none"/>
              </w:rPr>
            </w:pPr>
            <w:r>
              <w:rPr>
                <w:rFonts w:hint="eastAsia" w:ascii="宋体" w:hAnsi="宋体" w:eastAsia="宋体" w:cs="宋体"/>
                <w:szCs w:val="21"/>
                <w:highlight w:val="none"/>
              </w:rPr>
              <w:t>3、投标人的报价，应是其按第五章“技术需求”完成设备采购及服务工作的所有费用，包括人工费、试验、检测仪器、设备使用费、管理费和利润，以及检验检测费、保险费、合同明示或暗示的风险、责任和义务涉及费用等。</w:t>
            </w:r>
          </w:p>
          <w:p>
            <w:pPr>
              <w:jc w:val="left"/>
              <w:rPr>
                <w:rFonts w:ascii="宋体" w:hAnsi="宋体" w:eastAsia="宋体" w:cs="宋体"/>
                <w:szCs w:val="21"/>
                <w:highlight w:val="none"/>
              </w:rPr>
            </w:pPr>
            <w:r>
              <w:rPr>
                <w:rFonts w:hint="eastAsia" w:ascii="宋体" w:hAnsi="宋体" w:eastAsia="宋体" w:cs="宋体"/>
                <w:b/>
                <w:szCs w:val="21"/>
                <w:highlight w:val="none"/>
                <w:u w:val="single"/>
              </w:rPr>
              <w:t>4、投标报价超过最高投标限价的投标文件将被否决其投标。</w:t>
            </w:r>
          </w:p>
        </w:tc>
      </w:tr>
      <w:tr>
        <w:tblPrEx>
          <w:tblCellMar>
            <w:top w:w="0" w:type="dxa"/>
            <w:left w:w="108" w:type="dxa"/>
            <w:bottom w:w="0" w:type="dxa"/>
            <w:right w:w="108" w:type="dxa"/>
          </w:tblCellMar>
        </w:tblPrEx>
        <w:trPr>
          <w:trHeight w:val="110"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3.3.1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投标有效期</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szCs w:val="21"/>
                <w:highlight w:val="none"/>
                <w:u w:val="single"/>
              </w:rPr>
            </w:pPr>
            <w:r>
              <w:rPr>
                <w:rFonts w:hint="eastAsia" w:ascii="宋体" w:hAnsi="宋体" w:eastAsia="宋体" w:cs="宋体"/>
                <w:szCs w:val="21"/>
                <w:highlight w:val="none"/>
              </w:rPr>
              <w:t>90日历天（从投标截止之日算起）</w:t>
            </w:r>
          </w:p>
        </w:tc>
      </w:tr>
      <w:tr>
        <w:tblPrEx>
          <w:tblCellMar>
            <w:top w:w="0" w:type="dxa"/>
            <w:left w:w="108" w:type="dxa"/>
            <w:bottom w:w="0" w:type="dxa"/>
            <w:right w:w="108" w:type="dxa"/>
          </w:tblCellMar>
        </w:tblPrEx>
        <w:trPr>
          <w:trHeight w:val="22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3.4.1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投标保证金</w:t>
            </w:r>
          </w:p>
        </w:tc>
        <w:tc>
          <w:tcPr>
            <w:tcW w:w="324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本项目收取投标保证金6万元人民币，缴纳时间在递交投标文件截止时间之前。</w:t>
            </w:r>
          </w:p>
          <w:p>
            <w:pPr>
              <w:topLinePunct/>
              <w:jc w:val="left"/>
              <w:rPr>
                <w:rFonts w:ascii="宋体" w:hAnsi="宋体" w:eastAsia="宋体" w:cs="宋体"/>
                <w:szCs w:val="21"/>
                <w:highlight w:val="none"/>
              </w:rPr>
            </w:pPr>
            <w:r>
              <w:rPr>
                <w:rFonts w:hint="eastAsia" w:ascii="宋体" w:hAnsi="宋体" w:eastAsia="宋体" w:cs="宋体"/>
                <w:szCs w:val="21"/>
                <w:highlight w:val="none"/>
              </w:rPr>
              <w:t>1、投标保证金可采用现金、支票、转账、银行保函、保证保险、专业工程担保公司担保等方式，须在递交投标文件截止时间前完成缴纳。</w:t>
            </w:r>
          </w:p>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2、现金或支票形式提交的，由广州公共资源交易中心代收（保证金从投标人基本账户转账至广州公共资源交易中心）。具体操作要求详见广州公共资源交易中心最新的投标保证金缴纳操作流程及有关指引，递交事宜请自行咨询交易中心；请各投标人在投标文件递交截止时间前按上述金额递交至广州公共资源交易中心，到账情况以开标时广州公共资源交易中心数据库查询的信息为准。</w:t>
            </w:r>
          </w:p>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3、如采用银行保函或保证保险或专业担保公司担保的形式提交的，银行投标保函需开具给招标人，投标保证保险需开具给招标人（受益人也必须是招标人）。在开标前不强制要求提交相关文本原件，但投标人应在投标文件中提交投标保函或投标保证保险文本或专业担保公司担保的扫描件并加盖投标人电子印章。评审结束后，中标候选人应在中标候选人公示前提交其办理的投标保函或投标保证保险扫描件并在网上予以公示。如投标人选择在开标前提交相关文本原件的，可在投标截止时间前单独密封递交至开标室（密封袋上应写明“[项目名称]投标保证金凭证原件”，时间及地点同递交投标文件备用光盘或U盘的时间及地点一致）。</w:t>
            </w:r>
          </w:p>
          <w:p>
            <w:pPr>
              <w:wordWrap w:val="0"/>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4、如采用非现金电子化形式递交投标保证金，按广州公共资源交易中心发布的《广州公共资源交易中心关于开通电子保函服务功能的通知》操作。详见：http://ggzy.gz.gov.cn/zxgg/822128.jhtml。</w:t>
            </w:r>
          </w:p>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5、投标保证金有效期应当与投标有效期一致。</w:t>
            </w:r>
          </w:p>
        </w:tc>
      </w:tr>
      <w:tr>
        <w:tblPrEx>
          <w:tblCellMar>
            <w:top w:w="0" w:type="dxa"/>
            <w:left w:w="108" w:type="dxa"/>
            <w:bottom w:w="0" w:type="dxa"/>
            <w:right w:w="108" w:type="dxa"/>
          </w:tblCellMar>
        </w:tblPrEx>
        <w:trPr>
          <w:trHeight w:val="22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3.5</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资格审查资料的特殊要求</w:t>
            </w:r>
          </w:p>
        </w:tc>
        <w:tc>
          <w:tcPr>
            <w:tcW w:w="3242" w:type="pct"/>
            <w:tcBorders>
              <w:top w:val="single" w:color="auto" w:sz="4" w:space="0"/>
              <w:left w:val="single" w:color="auto" w:sz="4" w:space="0"/>
              <w:bottom w:val="single" w:color="auto" w:sz="4" w:space="0"/>
              <w:right w:val="single" w:color="auto" w:sz="4" w:space="0"/>
            </w:tcBorders>
            <w:vAlign w:val="center"/>
          </w:tcPr>
          <w:p>
            <w:pPr>
              <w:snapToGrid w:val="0"/>
              <w:ind w:right="141" w:rightChars="67"/>
              <w:rPr>
                <w:rFonts w:ascii="宋体" w:hAnsi="宋体" w:eastAsia="宋体" w:cs="宋体"/>
                <w:szCs w:val="21"/>
                <w:highlight w:val="none"/>
              </w:rPr>
            </w:pPr>
            <w:r>
              <w:rPr>
                <w:rFonts w:hint="eastAsia" w:ascii="宋体" w:hAnsi="宋体" w:eastAsia="宋体" w:cs="宋体"/>
                <w:spacing w:val="-1"/>
                <w:szCs w:val="21"/>
                <w:highlight w:val="none"/>
              </w:rPr>
              <w:t>□</w:t>
            </w:r>
            <w:r>
              <w:rPr>
                <w:rFonts w:hint="eastAsia" w:ascii="宋体" w:hAnsi="宋体" w:eastAsia="宋体" w:cs="宋体"/>
                <w:szCs w:val="21"/>
                <w:highlight w:val="none"/>
              </w:rPr>
              <w:t>无</w:t>
            </w:r>
          </w:p>
          <w:p>
            <w:pPr>
              <w:topLinePunct/>
              <w:jc w:val="left"/>
              <w:rPr>
                <w:rFonts w:ascii="宋体" w:hAnsi="宋体" w:eastAsia="宋体" w:cs="宋体"/>
                <w:szCs w:val="21"/>
                <w:highlight w:val="none"/>
              </w:rPr>
            </w:pPr>
            <w:r>
              <w:rPr>
                <w:rFonts w:hint="eastAsia" w:ascii="宋体" w:hAnsi="宋体" w:eastAsia="宋体" w:cs="宋体"/>
                <w:szCs w:val="21"/>
                <w:highlight w:val="none"/>
              </w:rPr>
              <w:t>■有，具</w:t>
            </w:r>
            <w:r>
              <w:rPr>
                <w:rFonts w:hint="eastAsia" w:ascii="宋体" w:hAnsi="宋体" w:eastAsia="宋体" w:cs="宋体"/>
                <w:spacing w:val="-2"/>
                <w:szCs w:val="21"/>
                <w:highlight w:val="none"/>
              </w:rPr>
              <w:t>体</w:t>
            </w:r>
            <w:r>
              <w:rPr>
                <w:rFonts w:hint="eastAsia" w:ascii="宋体" w:hAnsi="宋体" w:eastAsia="宋体" w:cs="宋体"/>
                <w:szCs w:val="21"/>
                <w:highlight w:val="none"/>
              </w:rPr>
              <w:t>要</w:t>
            </w:r>
            <w:r>
              <w:rPr>
                <w:rFonts w:hint="eastAsia" w:ascii="宋体" w:hAnsi="宋体" w:eastAsia="宋体" w:cs="宋体"/>
                <w:spacing w:val="-2"/>
                <w:szCs w:val="21"/>
                <w:highlight w:val="none"/>
              </w:rPr>
              <w:t>求</w:t>
            </w:r>
            <w:r>
              <w:rPr>
                <w:rFonts w:hint="eastAsia" w:ascii="宋体" w:hAnsi="宋体" w:eastAsia="宋体" w:cs="宋体"/>
                <w:szCs w:val="21"/>
                <w:highlight w:val="none"/>
              </w:rPr>
              <w:t>：本招标项目资格审查不要求提供“近年财务状况表”“近年发生的诉讼及仲裁情况”， “正在供货和新承接的项目情况表”，相关内容不作为资格审查内容。</w:t>
            </w:r>
          </w:p>
          <w:p>
            <w:pPr>
              <w:topLinePunct/>
              <w:jc w:val="left"/>
              <w:rPr>
                <w:rFonts w:ascii="宋体" w:hAnsi="宋体" w:eastAsia="宋体" w:cs="宋体"/>
                <w:kern w:val="0"/>
                <w:szCs w:val="21"/>
                <w:highlight w:val="none"/>
              </w:rPr>
            </w:pPr>
            <w:r>
              <w:rPr>
                <w:rFonts w:hint="eastAsia" w:ascii="宋体" w:hAnsi="宋体" w:eastAsia="宋体" w:cs="宋体"/>
                <w:szCs w:val="21"/>
                <w:highlight w:val="none"/>
              </w:rPr>
              <w:t>投标人应按本章第1.4款规定的要求提供资格审查资料。</w:t>
            </w:r>
          </w:p>
        </w:tc>
      </w:tr>
      <w:tr>
        <w:tblPrEx>
          <w:tblCellMar>
            <w:top w:w="0" w:type="dxa"/>
            <w:left w:w="108" w:type="dxa"/>
            <w:bottom w:w="0" w:type="dxa"/>
            <w:right w:w="108" w:type="dxa"/>
          </w:tblCellMar>
        </w:tblPrEx>
        <w:trPr>
          <w:trHeight w:val="22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3.5.2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近年财务状况的年份要求</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pacing w:val="-2"/>
                <w:szCs w:val="21"/>
                <w:highlight w:val="none"/>
              </w:rPr>
              <w:t>本项目不适用</w:t>
            </w:r>
          </w:p>
        </w:tc>
      </w:tr>
      <w:tr>
        <w:tblPrEx>
          <w:tblCellMar>
            <w:top w:w="0" w:type="dxa"/>
            <w:left w:w="108" w:type="dxa"/>
            <w:bottom w:w="0" w:type="dxa"/>
            <w:right w:w="108" w:type="dxa"/>
          </w:tblCellMar>
        </w:tblPrEx>
        <w:trPr>
          <w:trHeight w:val="22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3.5.3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近年完成的类似项目情况的时间要求</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pacing w:val="-2"/>
                <w:szCs w:val="21"/>
                <w:highlight w:val="none"/>
              </w:rPr>
              <w:t>/</w:t>
            </w:r>
          </w:p>
        </w:tc>
      </w:tr>
      <w:tr>
        <w:tblPrEx>
          <w:tblCellMar>
            <w:top w:w="0" w:type="dxa"/>
            <w:left w:w="108" w:type="dxa"/>
            <w:bottom w:w="0" w:type="dxa"/>
            <w:right w:w="108" w:type="dxa"/>
          </w:tblCellMar>
        </w:tblPrEx>
        <w:trPr>
          <w:trHeight w:val="22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3.5.5</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近年发生的诉讼及仲裁情况的时间要求</w:t>
            </w:r>
          </w:p>
        </w:tc>
        <w:tc>
          <w:tcPr>
            <w:tcW w:w="3242" w:type="pct"/>
            <w:tcBorders>
              <w:top w:val="single" w:color="auto" w:sz="4" w:space="0"/>
              <w:left w:val="single" w:color="auto" w:sz="4" w:space="0"/>
              <w:bottom w:val="single" w:color="auto" w:sz="4" w:space="0"/>
              <w:right w:val="single" w:color="auto" w:sz="4" w:space="0"/>
            </w:tcBorders>
            <w:vAlign w:val="center"/>
          </w:tcPr>
          <w:p>
            <w:pPr>
              <w:ind w:firstLine="105" w:firstLineChars="50"/>
              <w:jc w:val="left"/>
              <w:rPr>
                <w:rFonts w:ascii="宋体" w:hAnsi="宋体" w:eastAsia="宋体" w:cs="宋体"/>
                <w:szCs w:val="21"/>
                <w:highlight w:val="none"/>
              </w:rPr>
            </w:pPr>
            <w:r>
              <w:rPr>
                <w:rFonts w:hint="eastAsia" w:ascii="宋体" w:hAnsi="宋体" w:eastAsia="宋体" w:cs="宋体"/>
                <w:szCs w:val="21"/>
                <w:highlight w:val="none"/>
              </w:rPr>
              <w:t>本项目不适用</w:t>
            </w:r>
          </w:p>
        </w:tc>
      </w:tr>
      <w:tr>
        <w:tblPrEx>
          <w:tblCellMar>
            <w:top w:w="0" w:type="dxa"/>
            <w:left w:w="108" w:type="dxa"/>
            <w:bottom w:w="0" w:type="dxa"/>
            <w:right w:w="108" w:type="dxa"/>
          </w:tblCellMar>
        </w:tblPrEx>
        <w:trPr>
          <w:trHeight w:val="221"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3.6.1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是否允许递交备选投标方案</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■不允许</w:t>
            </w:r>
          </w:p>
          <w:p>
            <w:pPr>
              <w:jc w:val="left"/>
              <w:rPr>
                <w:rFonts w:ascii="宋体" w:hAnsi="宋体" w:eastAsia="宋体" w:cs="宋体"/>
                <w:szCs w:val="21"/>
                <w:highlight w:val="none"/>
              </w:rPr>
            </w:pPr>
            <w:r>
              <w:rPr>
                <w:rFonts w:hint="eastAsia" w:ascii="宋体" w:hAnsi="宋体" w:eastAsia="宋体" w:cs="宋体"/>
                <w:szCs w:val="21"/>
                <w:highlight w:val="none"/>
              </w:rPr>
              <w:t>□允许</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3.7.3A（2）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投标文件副本份数及其他要求</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3.7.3A（3）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投标文件是否需分册装订</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kern w:val="0"/>
                <w:szCs w:val="21"/>
                <w:highlight w:val="none"/>
              </w:rPr>
              <w:t>/。</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3.7.3（B）</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投标文件所附证书证件要求</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kern w:val="0"/>
                <w:szCs w:val="21"/>
                <w:highlight w:val="none"/>
              </w:rPr>
            </w:pPr>
            <w:r>
              <w:rPr>
                <w:rFonts w:hint="eastAsia" w:ascii="Calibri" w:hAnsi="宋体" w:eastAsia="宋体" w:cs="Times New Roman"/>
                <w:color w:val="000000"/>
                <w:szCs w:val="21"/>
                <w:highlight w:val="none"/>
                <w:u w:val="single"/>
              </w:rPr>
              <w:t>投标文件全部采用电子文档，投标文件所附证书证件需为原件清晰扫描件，并采用单位数字证书，按照招标文件要求在相应位置加盖电子印章。相关操作详见广州公共资源交易中心网站最新发布的《房屋建筑和市政基础设施工程全流程电子化项目专章》。</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3.7.3（B）</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投标文件签字或盖章要求</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投标文件中需个人签字或盖章的，应加盖个人电子印章或在线下完成后扫描上传。投标文件按招标文件要求加盖单位电子印章。相关操作详见《房屋建筑和市政基础设施工程全流程电子化项目专章》。</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4.1.1（B）</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投标文件加密要求</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1.网上递交的电子投标文件须进行加密。具体操作详见《房屋建筑和市政基础设施工程全流程电子化项目专章》。</w:t>
            </w:r>
          </w:p>
          <w:p>
            <w:pPr>
              <w:topLinePunct/>
              <w:jc w:val="left"/>
              <w:rPr>
                <w:rFonts w:ascii="宋体" w:hAnsi="宋体" w:eastAsia="宋体" w:cs="宋体"/>
                <w:kern w:val="0"/>
                <w:szCs w:val="21"/>
                <w:highlight w:val="none"/>
              </w:rPr>
            </w:pPr>
            <w:r>
              <w:rPr>
                <w:rFonts w:hint="eastAsia" w:ascii="宋体" w:hAnsi="宋体" w:eastAsia="宋体" w:cs="宋体"/>
                <w:szCs w:val="21"/>
                <w:highlight w:val="none"/>
              </w:rPr>
              <w:t>2.未按要求加密的投标文件，招标人将予以拒收。</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4.1.2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备用光盘</w:t>
            </w:r>
            <w:r>
              <w:rPr>
                <w:rFonts w:hint="eastAsia" w:ascii="宋体" w:hAnsi="宋体" w:eastAsia="宋体" w:cs="宋体"/>
                <w:b/>
                <w:szCs w:val="21"/>
                <w:highlight w:val="none"/>
                <w:u w:val="single"/>
              </w:rPr>
              <w:t>或U盘</w:t>
            </w:r>
            <w:r>
              <w:rPr>
                <w:rFonts w:hint="eastAsia" w:ascii="宋体" w:hAnsi="宋体" w:eastAsia="宋体" w:cs="宋体"/>
                <w:b/>
                <w:szCs w:val="21"/>
                <w:highlight w:val="none"/>
              </w:rPr>
              <w:t>封套上应载明的信息</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b/>
                <w:kern w:val="0"/>
                <w:szCs w:val="21"/>
                <w:highlight w:val="none"/>
                <w:u w:val="single"/>
              </w:rPr>
            </w:pPr>
            <w:r>
              <w:rPr>
                <w:rFonts w:hint="eastAsia" w:ascii="宋体" w:hAnsi="宋体" w:eastAsia="宋体" w:cs="宋体"/>
                <w:b/>
                <w:kern w:val="0"/>
                <w:szCs w:val="21"/>
                <w:highlight w:val="none"/>
                <w:u w:val="single"/>
              </w:rPr>
              <w:t>如有提交投标文件光盘或U盘备用，封套上应注明如下信息：</w:t>
            </w:r>
          </w:p>
          <w:p>
            <w:pPr>
              <w:topLinePunct/>
              <w:jc w:val="left"/>
              <w:rPr>
                <w:rFonts w:ascii="宋体" w:hAnsi="宋体" w:eastAsia="宋体" w:cs="宋体"/>
                <w:b/>
                <w:kern w:val="0"/>
                <w:szCs w:val="21"/>
                <w:highlight w:val="none"/>
                <w:u w:val="single"/>
              </w:rPr>
            </w:pPr>
            <w:r>
              <w:rPr>
                <w:rFonts w:hint="eastAsia" w:ascii="宋体" w:hAnsi="宋体" w:eastAsia="宋体" w:cs="宋体"/>
                <w:b/>
                <w:kern w:val="0"/>
                <w:szCs w:val="21"/>
                <w:highlight w:val="none"/>
                <w:u w:val="single"/>
              </w:rPr>
              <w:t>招标人名称：中国大酒店</w:t>
            </w:r>
          </w:p>
          <w:p>
            <w:pPr>
              <w:topLinePunct/>
              <w:jc w:val="left"/>
              <w:rPr>
                <w:rFonts w:ascii="宋体" w:hAnsi="宋体" w:eastAsia="宋体" w:cs="宋体"/>
                <w:b/>
                <w:kern w:val="0"/>
                <w:szCs w:val="21"/>
                <w:highlight w:val="none"/>
                <w:u w:val="single"/>
              </w:rPr>
            </w:pPr>
            <w:r>
              <w:rPr>
                <w:rFonts w:hint="eastAsia" w:ascii="宋体" w:hAnsi="宋体" w:eastAsia="宋体" w:cs="宋体"/>
                <w:b/>
                <w:kern w:val="0"/>
                <w:szCs w:val="21"/>
                <w:highlight w:val="none"/>
                <w:u w:val="single"/>
              </w:rPr>
              <w:t>招标人地址：广东省广州市越秀区流花路122号</w:t>
            </w:r>
          </w:p>
          <w:p>
            <w:pPr>
              <w:topLinePunct/>
              <w:jc w:val="left"/>
              <w:rPr>
                <w:rFonts w:ascii="宋体" w:hAnsi="宋体" w:eastAsia="宋体" w:cs="宋体"/>
                <w:b/>
                <w:kern w:val="0"/>
                <w:szCs w:val="21"/>
                <w:highlight w:val="none"/>
                <w:u w:val="single"/>
              </w:rPr>
            </w:pPr>
            <w:r>
              <w:rPr>
                <w:rFonts w:hint="eastAsia" w:ascii="宋体" w:hAnsi="宋体" w:eastAsia="宋体" w:cs="宋体"/>
                <w:b/>
                <w:szCs w:val="21"/>
                <w:highlight w:val="none"/>
                <w:u w:val="single"/>
              </w:rPr>
              <w:t>中国大酒店1、2、5、6号电梯采购及相关服务项目</w:t>
            </w:r>
            <w:r>
              <w:rPr>
                <w:rFonts w:hint="eastAsia" w:ascii="宋体" w:hAnsi="宋体" w:eastAsia="宋体" w:cs="宋体"/>
                <w:b/>
                <w:kern w:val="0"/>
                <w:szCs w:val="21"/>
                <w:highlight w:val="none"/>
                <w:u w:val="single"/>
              </w:rPr>
              <w:t>投标文件</w:t>
            </w:r>
          </w:p>
          <w:p>
            <w:pPr>
              <w:topLinePunct/>
              <w:jc w:val="left"/>
              <w:rPr>
                <w:rFonts w:ascii="宋体" w:hAnsi="宋体" w:eastAsia="宋体" w:cs="宋体"/>
                <w:b/>
                <w:kern w:val="0"/>
                <w:szCs w:val="21"/>
                <w:highlight w:val="none"/>
                <w:u w:val="single"/>
              </w:rPr>
            </w:pPr>
            <w:r>
              <w:rPr>
                <w:rFonts w:hint="eastAsia" w:ascii="宋体" w:hAnsi="宋体" w:eastAsia="宋体" w:cs="宋体"/>
                <w:b/>
                <w:kern w:val="0"/>
                <w:szCs w:val="21"/>
                <w:highlight w:val="none"/>
                <w:u w:val="single"/>
              </w:rPr>
              <w:t>招标项目编号：      。</w:t>
            </w:r>
          </w:p>
          <w:p>
            <w:pPr>
              <w:topLinePunct/>
              <w:jc w:val="left"/>
              <w:rPr>
                <w:rFonts w:ascii="宋体" w:hAnsi="宋体" w:eastAsia="宋体" w:cs="宋体"/>
                <w:kern w:val="0"/>
                <w:szCs w:val="21"/>
                <w:highlight w:val="none"/>
              </w:rPr>
            </w:pPr>
            <w:r>
              <w:rPr>
                <w:rFonts w:hint="eastAsia" w:ascii="宋体" w:hAnsi="宋体" w:eastAsia="宋体" w:cs="宋体"/>
                <w:b/>
                <w:kern w:val="0"/>
                <w:szCs w:val="21"/>
                <w:highlight w:val="none"/>
                <w:u w:val="single"/>
              </w:rPr>
              <w:t>在2024年    月    日    时前不得开启</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4.2.1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投标截止时间</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u w:val="single"/>
              </w:rPr>
            </w:pPr>
            <w:r>
              <w:rPr>
                <w:rFonts w:hint="eastAsia" w:ascii="宋体" w:hAnsi="宋体" w:eastAsia="宋体" w:cs="宋体"/>
                <w:szCs w:val="21"/>
                <w:highlight w:val="none"/>
                <w:u w:val="single"/>
              </w:rPr>
              <w:t>投标截止时间：2024年   月    日   时   分（北京时间）</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4.2.2（A）</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递交投标文件地点</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35"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4.2.3</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投标文件是否退还</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■否</w:t>
            </w:r>
          </w:p>
          <w:p>
            <w:pPr>
              <w:topLinePunct/>
              <w:jc w:val="left"/>
              <w:rPr>
                <w:rFonts w:ascii="宋体" w:hAnsi="宋体" w:eastAsia="宋体" w:cs="宋体"/>
                <w:kern w:val="0"/>
                <w:szCs w:val="21"/>
                <w:highlight w:val="none"/>
              </w:rPr>
            </w:pPr>
            <w:r>
              <w:rPr>
                <w:rFonts w:hint="eastAsia" w:ascii="宋体" w:hAnsi="宋体" w:eastAsia="宋体" w:cs="宋体"/>
                <w:kern w:val="0"/>
                <w:szCs w:val="21"/>
                <w:highlight w:val="none"/>
              </w:rPr>
              <w:t>□是，退还时间：</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5.1（A）</w:t>
            </w:r>
          </w:p>
        </w:tc>
        <w:tc>
          <w:tcPr>
            <w:tcW w:w="1117"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开标时间和地点</w:t>
            </w:r>
          </w:p>
        </w:tc>
        <w:tc>
          <w:tcPr>
            <w:tcW w:w="3242" w:type="pct"/>
            <w:tcBorders>
              <w:top w:val="single" w:color="auto" w:sz="4" w:space="0"/>
              <w:left w:val="single" w:color="auto" w:sz="4" w:space="0"/>
              <w:bottom w:val="nil"/>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133" w:hRule="atLeast"/>
        </w:trPr>
        <w:tc>
          <w:tcPr>
            <w:tcW w:w="639"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5.1（B）（新增）</w:t>
            </w:r>
          </w:p>
        </w:tc>
        <w:tc>
          <w:tcPr>
            <w:tcW w:w="1117"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开标时间和地点</w:t>
            </w:r>
          </w:p>
        </w:tc>
        <w:tc>
          <w:tcPr>
            <w:tcW w:w="3242" w:type="pct"/>
            <w:tcBorders>
              <w:top w:val="single" w:color="auto" w:sz="4" w:space="0"/>
              <w:left w:val="single" w:color="auto" w:sz="4" w:space="0"/>
              <w:bottom w:val="nil"/>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开标时间：同投标截止时间</w:t>
            </w:r>
          </w:p>
          <w:p>
            <w:pPr>
              <w:jc w:val="left"/>
              <w:rPr>
                <w:rFonts w:ascii="宋体" w:hAnsi="宋体" w:eastAsia="宋体" w:cs="宋体"/>
                <w:szCs w:val="21"/>
                <w:highlight w:val="none"/>
              </w:rPr>
            </w:pPr>
            <w:r>
              <w:rPr>
                <w:rFonts w:hint="eastAsia" w:ascii="宋体" w:hAnsi="宋体" w:eastAsia="宋体" w:cs="宋体"/>
                <w:szCs w:val="21"/>
                <w:highlight w:val="none"/>
              </w:rPr>
              <w:t>开标地点：广州公共资源交易中心</w:t>
            </w:r>
          </w:p>
          <w:p>
            <w:pPr>
              <w:jc w:val="left"/>
              <w:rPr>
                <w:rFonts w:ascii="宋体" w:hAnsi="宋体" w:eastAsia="宋体" w:cs="宋体"/>
                <w:szCs w:val="21"/>
                <w:highlight w:val="none"/>
                <w:u w:val="single"/>
              </w:rPr>
            </w:pPr>
            <w:r>
              <w:rPr>
                <w:rFonts w:hint="eastAsia" w:ascii="宋体" w:hAnsi="宋体" w:eastAsia="宋体" w:cs="宋体"/>
                <w:szCs w:val="21"/>
                <w:highlight w:val="none"/>
              </w:rPr>
              <w:t>本电子招投标项目在本章4.2.1项规定的投标截止时间（开标时间），在广州公共资源交易中心公开开标，并邀请所有投标人的法定代表人或其委托代理人准时参加。投标人也可选择参加在线开标，具体按照交易平台相关指南进行操作。详见：广州公共资源交易中心网站。</w:t>
            </w:r>
          </w:p>
        </w:tc>
      </w:tr>
      <w:tr>
        <w:tblPrEx>
          <w:tblCellMar>
            <w:top w:w="0" w:type="dxa"/>
            <w:left w:w="108" w:type="dxa"/>
            <w:bottom w:w="0" w:type="dxa"/>
            <w:right w:w="108" w:type="dxa"/>
          </w:tblCellMar>
        </w:tblPrEx>
        <w:trPr>
          <w:trHeight w:val="93" w:hRule="atLeast"/>
        </w:trPr>
        <w:tc>
          <w:tcPr>
            <w:tcW w:w="639"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5.2（4）（A）</w:t>
            </w:r>
          </w:p>
        </w:tc>
        <w:tc>
          <w:tcPr>
            <w:tcW w:w="1117"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开标程序</w:t>
            </w:r>
          </w:p>
        </w:tc>
        <w:tc>
          <w:tcPr>
            <w:tcW w:w="3242" w:type="pct"/>
            <w:tcBorders>
              <w:top w:val="single" w:color="auto" w:sz="4" w:space="0"/>
              <w:left w:val="single" w:color="auto" w:sz="4" w:space="0"/>
              <w:bottom w:val="nil"/>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93" w:hRule="atLeast"/>
        </w:trPr>
        <w:tc>
          <w:tcPr>
            <w:tcW w:w="639"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5.2（B）(新增)</w:t>
            </w:r>
          </w:p>
        </w:tc>
        <w:tc>
          <w:tcPr>
            <w:tcW w:w="1117" w:type="pct"/>
            <w:tcBorders>
              <w:top w:val="single" w:color="auto" w:sz="4" w:space="0"/>
              <w:left w:val="single" w:color="auto" w:sz="4" w:space="0"/>
              <w:bottom w:val="nil"/>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开标程序</w:t>
            </w:r>
          </w:p>
        </w:tc>
        <w:tc>
          <w:tcPr>
            <w:tcW w:w="3242" w:type="pct"/>
            <w:tcBorders>
              <w:top w:val="single" w:color="auto" w:sz="4" w:space="0"/>
              <w:left w:val="single" w:color="auto" w:sz="4" w:space="0"/>
              <w:bottom w:val="nil"/>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开标程序调整如下：</w:t>
            </w:r>
          </w:p>
          <w:p>
            <w:pPr>
              <w:jc w:val="left"/>
              <w:rPr>
                <w:rFonts w:ascii="宋体" w:hAnsi="宋体" w:eastAsia="宋体" w:cs="宋体"/>
                <w:szCs w:val="21"/>
                <w:highlight w:val="none"/>
              </w:rPr>
            </w:pPr>
            <w:r>
              <w:rPr>
                <w:rFonts w:hint="eastAsia" w:ascii="宋体" w:hAnsi="宋体" w:eastAsia="宋体" w:cs="宋体"/>
                <w:szCs w:val="21"/>
                <w:highlight w:val="none"/>
              </w:rPr>
              <w:t>5.2.1主持人按下列程序进行开标：</w:t>
            </w:r>
          </w:p>
          <w:p>
            <w:pPr>
              <w:jc w:val="left"/>
              <w:rPr>
                <w:rFonts w:ascii="宋体" w:hAnsi="宋体" w:eastAsia="宋体" w:cs="宋体"/>
                <w:szCs w:val="21"/>
                <w:highlight w:val="none"/>
              </w:rPr>
            </w:pPr>
            <w:r>
              <w:rPr>
                <w:rFonts w:hint="eastAsia" w:ascii="宋体" w:hAnsi="宋体" w:eastAsia="宋体" w:cs="宋体"/>
                <w:szCs w:val="21"/>
                <w:highlight w:val="none"/>
              </w:rPr>
              <w:t>（1）宣布开标纪律；</w:t>
            </w:r>
          </w:p>
          <w:p>
            <w:pPr>
              <w:jc w:val="left"/>
              <w:rPr>
                <w:rFonts w:ascii="宋体" w:hAnsi="宋体" w:eastAsia="宋体" w:cs="宋体"/>
                <w:szCs w:val="21"/>
                <w:highlight w:val="none"/>
              </w:rPr>
            </w:pPr>
            <w:r>
              <w:rPr>
                <w:rFonts w:hint="eastAsia" w:ascii="宋体" w:hAnsi="宋体" w:eastAsia="宋体" w:cs="宋体"/>
                <w:szCs w:val="21"/>
                <w:highlight w:val="none"/>
              </w:rPr>
              <w:t>（2）公布在投标截止时间前递交投标文件的投标人名称；</w:t>
            </w:r>
          </w:p>
          <w:p>
            <w:pPr>
              <w:jc w:val="left"/>
              <w:rPr>
                <w:rFonts w:ascii="宋体" w:hAnsi="宋体" w:eastAsia="宋体" w:cs="宋体"/>
                <w:szCs w:val="21"/>
                <w:highlight w:val="none"/>
              </w:rPr>
            </w:pPr>
            <w:r>
              <w:rPr>
                <w:rFonts w:hint="eastAsia" w:ascii="宋体" w:hAnsi="宋体" w:eastAsia="宋体" w:cs="宋体"/>
                <w:szCs w:val="21"/>
                <w:highlight w:val="none"/>
              </w:rPr>
              <w:t>（3）宣布开标人、唱标人、记录人、监标人等有关人员姓名；</w:t>
            </w:r>
          </w:p>
          <w:p>
            <w:pPr>
              <w:jc w:val="left"/>
              <w:rPr>
                <w:rFonts w:ascii="宋体" w:hAnsi="宋体" w:eastAsia="宋体" w:cs="宋体"/>
                <w:szCs w:val="21"/>
                <w:highlight w:val="none"/>
              </w:rPr>
            </w:pPr>
            <w:r>
              <w:rPr>
                <w:rFonts w:hint="eastAsia" w:ascii="宋体" w:hAnsi="宋体" w:eastAsia="宋体" w:cs="宋体"/>
                <w:szCs w:val="21"/>
                <w:highlight w:val="none"/>
              </w:rPr>
              <w:t>（4）（B）投标人通过电子招标投标交易平台对已递交的电子投标文件进行解密，招标人或招标代理公布招标项目名称、投标人名称、投标报价及其他内容，并记录在案；</w:t>
            </w:r>
          </w:p>
          <w:p>
            <w:pPr>
              <w:jc w:val="left"/>
              <w:rPr>
                <w:rFonts w:ascii="宋体" w:hAnsi="宋体" w:eastAsia="宋体" w:cs="宋体"/>
                <w:szCs w:val="21"/>
                <w:highlight w:val="none"/>
              </w:rPr>
            </w:pPr>
            <w:r>
              <w:rPr>
                <w:rFonts w:hint="eastAsia" w:ascii="宋体" w:hAnsi="宋体" w:eastAsia="宋体" w:cs="宋体"/>
                <w:szCs w:val="21"/>
                <w:highlight w:val="none"/>
              </w:rPr>
              <w:t>（5）（B）投标人代表、招标人代表、监标人、记录人等有关人员在开标记录上签字确认；若有关人员不签字的，不影响开标程序；</w:t>
            </w:r>
          </w:p>
          <w:p>
            <w:pPr>
              <w:jc w:val="left"/>
              <w:rPr>
                <w:rFonts w:ascii="宋体" w:hAnsi="宋体" w:eastAsia="宋体" w:cs="宋体"/>
                <w:szCs w:val="21"/>
                <w:highlight w:val="none"/>
              </w:rPr>
            </w:pPr>
            <w:r>
              <w:rPr>
                <w:rFonts w:hint="eastAsia" w:ascii="宋体" w:hAnsi="宋体" w:eastAsia="宋体" w:cs="宋体"/>
                <w:szCs w:val="21"/>
                <w:highlight w:val="none"/>
              </w:rPr>
              <w:t>（6）开标结束。</w:t>
            </w:r>
          </w:p>
          <w:p>
            <w:pPr>
              <w:jc w:val="left"/>
              <w:rPr>
                <w:rFonts w:ascii="宋体" w:hAnsi="宋体" w:eastAsia="宋体" w:cs="宋体"/>
                <w:szCs w:val="21"/>
                <w:highlight w:val="none"/>
              </w:rPr>
            </w:pPr>
            <w:r>
              <w:rPr>
                <w:rFonts w:hint="eastAsia" w:ascii="宋体" w:hAnsi="宋体" w:eastAsia="宋体" w:cs="宋体"/>
                <w:szCs w:val="21"/>
                <w:highlight w:val="none"/>
              </w:rPr>
              <w:t>5.2.2投标截止时间前未完成投标文件传输的或因投标人之外的原因造成投标文件未解密且未提交光盘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备用的，视为投标人撤回其投标文件。</w:t>
            </w:r>
            <w:r>
              <w:rPr>
                <w:rFonts w:hint="eastAsia" w:ascii="宋体" w:hAnsi="宋体" w:eastAsia="宋体" w:cs="宋体"/>
                <w:kern w:val="0"/>
                <w:szCs w:val="21"/>
                <w:highlight w:val="none"/>
              </w:rPr>
              <w:t>因投标人原因造成投标文件未解密的，或未在投标截止时间后半小时内解密的，视为撤销其投标文件。</w:t>
            </w:r>
          </w:p>
          <w:p>
            <w:pPr>
              <w:jc w:val="left"/>
              <w:rPr>
                <w:rFonts w:ascii="宋体" w:hAnsi="宋体" w:eastAsia="宋体" w:cs="宋体"/>
                <w:szCs w:val="21"/>
                <w:highlight w:val="none"/>
              </w:rPr>
            </w:pPr>
            <w:r>
              <w:rPr>
                <w:rFonts w:hint="eastAsia" w:ascii="宋体" w:hAnsi="宋体" w:eastAsia="宋体" w:cs="宋体"/>
                <w:szCs w:val="21"/>
                <w:highlight w:val="none"/>
              </w:rPr>
              <w:t>5.2.3开标时，两个（含两个）以上的投标人加密打包投标文件的电脑机器特征码一致的，不参与下一程序，并由评标委员会否决其投标。</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6.1.1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评标委员会的组建</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u w:val="single"/>
              </w:rPr>
              <w:t>评标委员会由招标人依法组建</w:t>
            </w: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6.3.2</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评标委员会推荐中标候选人的人数</w:t>
            </w:r>
          </w:p>
        </w:tc>
        <w:tc>
          <w:tcPr>
            <w:tcW w:w="324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推荐中标候选人3人</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7.1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中标候选人公示媒介及期限</w:t>
            </w:r>
          </w:p>
        </w:tc>
        <w:tc>
          <w:tcPr>
            <w:tcW w:w="324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公示媒介：广州公共资源交易中心、广东省招标投标监管网、中国招标投标公共服务平台</w:t>
            </w:r>
          </w:p>
          <w:p>
            <w:pPr>
              <w:rPr>
                <w:rFonts w:ascii="宋体" w:hAnsi="宋体" w:eastAsia="宋体" w:cs="宋体"/>
                <w:szCs w:val="21"/>
                <w:highlight w:val="none"/>
              </w:rPr>
            </w:pPr>
            <w:r>
              <w:rPr>
                <w:rFonts w:hint="eastAsia" w:ascii="宋体" w:hAnsi="宋体" w:eastAsia="宋体" w:cs="宋体"/>
                <w:szCs w:val="21"/>
                <w:highlight w:val="none"/>
              </w:rPr>
              <w:t>公示期限：3日（最后一天为工作日）</w:t>
            </w:r>
            <w:r>
              <w:rPr>
                <w:rFonts w:hint="eastAsia" w:ascii="宋体" w:hAnsi="宋体" w:eastAsia="宋体" w:cs="宋体"/>
                <w:szCs w:val="21"/>
                <w:highlight w:val="none"/>
                <w:u w:val="singl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7.4</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是否授权评标委员会确定中标人</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□是</w:t>
            </w:r>
          </w:p>
          <w:p>
            <w:pPr>
              <w:jc w:val="left"/>
              <w:rPr>
                <w:rFonts w:ascii="宋体" w:hAnsi="宋体" w:eastAsia="宋体" w:cs="宋体"/>
                <w:szCs w:val="21"/>
                <w:highlight w:val="none"/>
              </w:rPr>
            </w:pPr>
            <w:r>
              <w:rPr>
                <w:rFonts w:hint="eastAsia" w:ascii="宋体" w:hAnsi="宋体" w:eastAsia="宋体" w:cs="宋体"/>
                <w:szCs w:val="21"/>
                <w:highlight w:val="none"/>
              </w:rPr>
              <w:t>■否</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7.6.1</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履约保证金</w:t>
            </w:r>
          </w:p>
        </w:tc>
        <w:tc>
          <w:tcPr>
            <w:tcW w:w="3242" w:type="pct"/>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kern w:val="0"/>
                <w:szCs w:val="21"/>
                <w:highlight w:val="none"/>
              </w:rPr>
            </w:pPr>
            <w:r>
              <w:rPr>
                <w:rFonts w:hint="eastAsia" w:ascii="宋体" w:hAnsi="宋体" w:eastAsia="宋体" w:cs="宋体"/>
                <w:kern w:val="0"/>
                <w:szCs w:val="21"/>
                <w:highlight w:val="none"/>
              </w:rPr>
              <w:t>是否要求中标人提交履约保证金：</w:t>
            </w:r>
          </w:p>
          <w:p>
            <w:pPr>
              <w:topLinePunct/>
              <w:rPr>
                <w:rFonts w:ascii="宋体" w:hAnsi="宋体" w:eastAsia="宋体" w:cs="宋体"/>
                <w:kern w:val="0"/>
                <w:szCs w:val="21"/>
                <w:highlight w:val="none"/>
                <w:u w:val="single"/>
              </w:rPr>
            </w:pPr>
            <w:r>
              <w:rPr>
                <w:rFonts w:hint="eastAsia" w:ascii="宋体" w:hAnsi="宋体" w:eastAsia="宋体" w:cs="宋体"/>
                <w:szCs w:val="21"/>
                <w:highlight w:val="none"/>
              </w:rPr>
              <w:t>■</w:t>
            </w:r>
            <w:r>
              <w:rPr>
                <w:rFonts w:hint="eastAsia" w:ascii="宋体" w:hAnsi="宋体" w:eastAsia="宋体" w:cs="宋体"/>
                <w:kern w:val="0"/>
                <w:szCs w:val="21"/>
                <w:highlight w:val="none"/>
              </w:rPr>
              <w:t>要求，履约保证金的形式：</w:t>
            </w:r>
            <w:r>
              <w:rPr>
                <w:rFonts w:hint="eastAsia" w:ascii="宋体" w:hAnsi="宋体" w:eastAsia="宋体" w:cs="宋体"/>
                <w:kern w:val="0"/>
                <w:szCs w:val="21"/>
                <w:highlight w:val="none"/>
                <w:u w:val="single"/>
              </w:rPr>
              <w:t>现金、支票或银行保函、保证保险、专业工程担保公司担保等方式。</w:t>
            </w:r>
          </w:p>
          <w:p>
            <w:pPr>
              <w:topLinePunct/>
              <w:rPr>
                <w:rFonts w:ascii="宋体" w:hAnsi="宋体" w:eastAsia="宋体" w:cs="宋体"/>
                <w:kern w:val="0"/>
                <w:szCs w:val="21"/>
                <w:highlight w:val="none"/>
              </w:rPr>
            </w:pPr>
            <w:r>
              <w:rPr>
                <w:rFonts w:hint="eastAsia" w:ascii="宋体" w:hAnsi="宋体" w:eastAsia="宋体" w:cs="宋体"/>
                <w:kern w:val="0"/>
                <w:szCs w:val="21"/>
                <w:highlight w:val="none"/>
              </w:rPr>
              <w:t>履约保证金的金额：</w:t>
            </w:r>
            <w:r>
              <w:rPr>
                <w:rFonts w:hint="eastAsia" w:ascii="宋体" w:hAnsi="宋体" w:eastAsia="宋体" w:cs="宋体"/>
                <w:kern w:val="0"/>
                <w:szCs w:val="21"/>
                <w:highlight w:val="none"/>
                <w:u w:val="single"/>
              </w:rPr>
              <w:t>中标价款的</w:t>
            </w:r>
            <w:r>
              <w:rPr>
                <w:rFonts w:ascii="宋体" w:hAnsi="宋体" w:eastAsia="宋体" w:cs="宋体"/>
                <w:kern w:val="0"/>
                <w:szCs w:val="21"/>
                <w:highlight w:val="none"/>
                <w:u w:val="single"/>
              </w:rPr>
              <w:t>10%</w:t>
            </w:r>
            <w:r>
              <w:rPr>
                <w:rFonts w:hint="eastAsia" w:ascii="宋体" w:hAnsi="宋体" w:eastAsia="宋体" w:cs="宋体"/>
                <w:kern w:val="0"/>
                <w:szCs w:val="21"/>
                <w:highlight w:val="none"/>
              </w:rPr>
              <w:t>。</w:t>
            </w:r>
          </w:p>
          <w:p>
            <w:pPr>
              <w:topLinePunct/>
              <w:jc w:val="left"/>
              <w:rPr>
                <w:rFonts w:ascii="宋体" w:hAnsi="宋体" w:eastAsia="宋体" w:cs="宋体"/>
                <w:kern w:val="0"/>
                <w:szCs w:val="21"/>
                <w:highlight w:val="none"/>
              </w:rPr>
            </w:pPr>
            <w:r>
              <w:rPr>
                <w:rFonts w:hint="eastAsia" w:ascii="宋体" w:hAnsi="宋体" w:eastAsia="宋体" w:cs="宋体"/>
                <w:szCs w:val="21"/>
                <w:highlight w:val="none"/>
              </w:rPr>
              <w:t>□不要求</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9</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是否采用电子招标投标</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□否</w:t>
            </w:r>
          </w:p>
          <w:p>
            <w:pPr>
              <w:jc w:val="left"/>
              <w:rPr>
                <w:rFonts w:ascii="宋体" w:hAnsi="宋体" w:eastAsia="宋体" w:cs="宋体"/>
                <w:szCs w:val="21"/>
                <w:highlight w:val="none"/>
              </w:rPr>
            </w:pPr>
            <w:r>
              <w:rPr>
                <w:rFonts w:hint="eastAsia" w:ascii="宋体" w:hAnsi="宋体" w:eastAsia="宋体" w:cs="宋体"/>
                <w:szCs w:val="21"/>
                <w:highlight w:val="none"/>
              </w:rPr>
              <w:t>■是，具体要求：</w:t>
            </w:r>
          </w:p>
          <w:p>
            <w:pPr>
              <w:jc w:val="left"/>
              <w:rPr>
                <w:rFonts w:ascii="宋体" w:hAnsi="宋体" w:eastAsia="宋体" w:cs="宋体"/>
                <w:szCs w:val="21"/>
                <w:highlight w:val="none"/>
              </w:rPr>
            </w:pPr>
            <w:r>
              <w:rPr>
                <w:rFonts w:hint="eastAsia" w:ascii="宋体" w:hAnsi="宋体" w:eastAsia="宋体" w:cs="宋体"/>
                <w:szCs w:val="21"/>
                <w:highlight w:val="none"/>
              </w:rPr>
              <w:t>1、具体操作详见《房建市政全流程电子化项目操作专章》。</w:t>
            </w:r>
          </w:p>
          <w:p>
            <w:pPr>
              <w:jc w:val="left"/>
              <w:rPr>
                <w:rFonts w:ascii="宋体" w:hAnsi="宋体" w:eastAsia="宋体" w:cs="宋体"/>
                <w:szCs w:val="21"/>
                <w:highlight w:val="none"/>
              </w:rPr>
            </w:pPr>
            <w:r>
              <w:rPr>
                <w:rFonts w:hint="eastAsia" w:ascii="宋体" w:hAnsi="宋体" w:eastAsia="宋体" w:cs="宋体"/>
                <w:szCs w:val="21"/>
                <w:highlight w:val="none"/>
              </w:rPr>
              <w:t>2、递交投标文件光盘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备用</w:t>
            </w:r>
          </w:p>
          <w:p>
            <w:pPr>
              <w:ind w:firstLine="210" w:firstLineChars="100"/>
              <w:jc w:val="left"/>
              <w:rPr>
                <w:rFonts w:ascii="宋体" w:hAnsi="宋体" w:eastAsia="宋体" w:cs="宋体"/>
                <w:b/>
                <w:szCs w:val="21"/>
                <w:highlight w:val="none"/>
              </w:rPr>
            </w:pPr>
            <w:r>
              <w:rPr>
                <w:rFonts w:hint="eastAsia" w:ascii="宋体" w:hAnsi="宋体" w:eastAsia="宋体" w:cs="宋体"/>
                <w:szCs w:val="21"/>
                <w:highlight w:val="none"/>
              </w:rPr>
              <w:t>（1）投标人可制作非加密的电子投标文件（PDF格式）刻入光盘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（1份），在规定的时间、地点提交备用光盘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w:t>
            </w:r>
            <w:r>
              <w:rPr>
                <w:rFonts w:hint="eastAsia" w:ascii="宋体" w:hAnsi="宋体" w:eastAsia="宋体" w:cs="宋体"/>
                <w:b/>
                <w:szCs w:val="21"/>
                <w:highlight w:val="none"/>
              </w:rPr>
              <w:t>(刻录好的投标文件光盘</w:t>
            </w:r>
            <w:r>
              <w:rPr>
                <w:rFonts w:hint="eastAsia" w:ascii="宋体" w:hAnsi="宋体" w:eastAsia="宋体" w:cs="宋体"/>
                <w:b/>
                <w:szCs w:val="21"/>
                <w:highlight w:val="none"/>
                <w:u w:val="single"/>
              </w:rPr>
              <w:t>或U盘</w:t>
            </w:r>
            <w:r>
              <w:rPr>
                <w:rFonts w:hint="eastAsia" w:ascii="宋体" w:hAnsi="宋体" w:eastAsia="宋体" w:cs="宋体"/>
                <w:b/>
                <w:szCs w:val="21"/>
                <w:highlight w:val="none"/>
              </w:rPr>
              <w:t>密封在密封袋中，并在封口处加盖投标人单位公章。密封袋上应写明项目名称和招标人名称。</w:t>
            </w:r>
          </w:p>
          <w:p>
            <w:pPr>
              <w:ind w:firstLine="210" w:firstLineChars="100"/>
              <w:jc w:val="left"/>
              <w:rPr>
                <w:rFonts w:ascii="宋体" w:hAnsi="宋体" w:eastAsia="宋体" w:cs="宋体"/>
                <w:szCs w:val="21"/>
                <w:highlight w:val="none"/>
              </w:rPr>
            </w:pPr>
            <w:r>
              <w:rPr>
                <w:rFonts w:hint="eastAsia" w:ascii="宋体" w:hAnsi="宋体" w:eastAsia="宋体" w:cs="宋体"/>
                <w:szCs w:val="21"/>
                <w:highlight w:val="none"/>
              </w:rPr>
              <w:t>（2）递交的投标文件光盘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不得加密。光盘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（备用投标文件）无法读取或导入的，则视为未提交备用投标文件光盘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。如果投标人没有按规定通过交易平台网上递交电子投标文件的，不再读取提交的光盘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。投标人可选择不提交光盘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备用。</w:t>
            </w:r>
          </w:p>
          <w:p>
            <w:pPr>
              <w:jc w:val="left"/>
              <w:rPr>
                <w:rFonts w:ascii="宋体" w:hAnsi="宋体" w:eastAsia="宋体" w:cs="宋体"/>
                <w:szCs w:val="21"/>
                <w:highlight w:val="none"/>
              </w:rPr>
            </w:pPr>
            <w:r>
              <w:rPr>
                <w:rFonts w:hint="eastAsia" w:ascii="宋体" w:hAnsi="宋体" w:eastAsia="宋体" w:cs="宋体"/>
                <w:szCs w:val="21"/>
                <w:highlight w:val="none"/>
              </w:rPr>
              <w:t>3、补救方案</w:t>
            </w:r>
          </w:p>
          <w:p>
            <w:pPr>
              <w:jc w:val="left"/>
              <w:rPr>
                <w:rFonts w:ascii="宋体" w:hAnsi="宋体" w:eastAsia="宋体" w:cs="宋体"/>
                <w:szCs w:val="21"/>
                <w:highlight w:val="none"/>
              </w:rPr>
            </w:pPr>
            <w:r>
              <w:rPr>
                <w:rFonts w:hint="eastAsia" w:ascii="宋体" w:hAnsi="宋体" w:eastAsia="宋体" w:cs="宋体"/>
                <w:szCs w:val="21"/>
                <w:highlight w:val="none"/>
              </w:rPr>
              <w:t>（1）投标文件解密失败的补救方案：</w:t>
            </w:r>
          </w:p>
          <w:p>
            <w:pPr>
              <w:ind w:firstLine="420" w:firstLineChars="200"/>
              <w:jc w:val="left"/>
              <w:rPr>
                <w:rFonts w:ascii="宋体" w:hAnsi="宋体" w:eastAsia="宋体" w:cs="宋体"/>
                <w:szCs w:val="21"/>
                <w:highlight w:val="none"/>
              </w:rPr>
            </w:pPr>
            <w:r>
              <w:rPr>
                <w:rFonts w:hint="eastAsia" w:ascii="宋体" w:hAnsi="宋体" w:eastAsia="宋体" w:cs="宋体"/>
                <w:szCs w:val="21"/>
                <w:highlight w:val="none"/>
              </w:rPr>
              <w:t>在规定时间内，因投标人之外原因(指网络瘫痪、服务器损坏、交易系统故障短期无法恢复等)导致的电子投标文件解密失败，在开标现场读取光盘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内容，继续开标程序。评标委员会对其投标文件的评审以光盘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内容为准。因投标人之外原因解密失败且未递交电子光盘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的，视为撤</w:t>
            </w:r>
            <w:r>
              <w:rPr>
                <w:rFonts w:hint="eastAsia" w:ascii="宋体" w:hAnsi="宋体" w:eastAsia="宋体" w:cs="宋体"/>
                <w:color w:val="000000"/>
                <w:szCs w:val="21"/>
                <w:highlight w:val="none"/>
              </w:rPr>
              <w:t>回</w:t>
            </w:r>
            <w:r>
              <w:rPr>
                <w:rFonts w:hint="eastAsia" w:ascii="宋体" w:hAnsi="宋体" w:eastAsia="宋体" w:cs="宋体"/>
                <w:szCs w:val="21"/>
                <w:highlight w:val="none"/>
              </w:rPr>
              <w:t>投标文件。</w:t>
            </w:r>
          </w:p>
          <w:p>
            <w:pPr>
              <w:jc w:val="left"/>
              <w:rPr>
                <w:rFonts w:ascii="宋体" w:hAnsi="宋体" w:eastAsia="宋体" w:cs="宋体"/>
                <w:szCs w:val="21"/>
                <w:highlight w:val="none"/>
              </w:rPr>
            </w:pPr>
            <w:r>
              <w:rPr>
                <w:rFonts w:hint="eastAsia" w:ascii="宋体" w:hAnsi="宋体" w:eastAsia="宋体" w:cs="宋体"/>
                <w:szCs w:val="21"/>
                <w:highlight w:val="none"/>
              </w:rPr>
              <w:t>（2）评标时突发情况的补救方案</w:t>
            </w:r>
          </w:p>
          <w:p>
            <w:pPr>
              <w:ind w:firstLine="420" w:firstLineChars="200"/>
              <w:jc w:val="left"/>
              <w:rPr>
                <w:rFonts w:ascii="宋体" w:hAnsi="宋体" w:eastAsia="宋体" w:cs="宋体"/>
                <w:szCs w:val="21"/>
                <w:highlight w:val="none"/>
              </w:rPr>
            </w:pPr>
            <w:r>
              <w:rPr>
                <w:rFonts w:hint="eastAsia" w:ascii="宋体" w:hAnsi="宋体" w:eastAsia="宋体" w:cs="宋体"/>
                <w:szCs w:val="21"/>
                <w:highlight w:val="none"/>
              </w:rPr>
              <w:t>若遇不可抗力发生（指：网络瘫痪、服务器损坏、交易系统故障短期无法恢复等因素），由评标委员会开启现场递交的全部投标文件光盘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，并按光盘</w:t>
            </w:r>
            <w:r>
              <w:rPr>
                <w:rFonts w:hint="eastAsia" w:ascii="宋体" w:hAnsi="宋体" w:eastAsia="宋体" w:cs="宋体"/>
                <w:szCs w:val="21"/>
                <w:highlight w:val="none"/>
                <w:u w:val="single"/>
              </w:rPr>
              <w:t>或U盘</w:t>
            </w:r>
            <w:r>
              <w:rPr>
                <w:rFonts w:hint="eastAsia" w:ascii="宋体" w:hAnsi="宋体" w:eastAsia="宋体" w:cs="宋体"/>
                <w:szCs w:val="21"/>
                <w:highlight w:val="none"/>
              </w:rPr>
              <w:t>内容进行评审。</w:t>
            </w:r>
          </w:p>
          <w:p>
            <w:pPr>
              <w:jc w:val="left"/>
              <w:rPr>
                <w:rFonts w:ascii="宋体" w:hAnsi="宋体" w:eastAsia="宋体" w:cs="宋体"/>
                <w:szCs w:val="21"/>
                <w:highlight w:val="none"/>
              </w:rPr>
            </w:pPr>
            <w:r>
              <w:rPr>
                <w:rFonts w:hint="eastAsia" w:ascii="宋体" w:hAnsi="宋体" w:eastAsia="宋体" w:cs="宋体"/>
                <w:szCs w:val="21"/>
                <w:highlight w:val="none"/>
              </w:rPr>
              <w:t>（3）除发生上述情况外，开标评标均以投标人通过交易平台网上递交的电子投标文件为准。</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10</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需要补充的其他内容</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中标人代缴广州公共资源交易中心交易服务费，由广州公共资源交易中心向中标人开具增值税发票。</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10.1</w:t>
            </w:r>
          </w:p>
        </w:tc>
        <w:tc>
          <w:tcPr>
            <w:tcW w:w="1117"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特别提示</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投标人在本项目招标人的工程项目中存在下列行为的，将被拒绝一年内参与我单位后续工程项目投标。（注：拒绝投标时限由招标人视严重程度确定，最低三个月起，自招标人发出通知之日起计）：</w:t>
            </w:r>
          </w:p>
          <w:p>
            <w:pPr>
              <w:jc w:val="left"/>
              <w:rPr>
                <w:rFonts w:ascii="宋体" w:hAnsi="宋体" w:eastAsia="宋体" w:cs="宋体"/>
                <w:szCs w:val="21"/>
                <w:highlight w:val="none"/>
              </w:rPr>
            </w:pPr>
            <w:r>
              <w:rPr>
                <w:rFonts w:hint="eastAsia" w:ascii="宋体" w:hAnsi="宋体" w:eastAsia="宋体" w:cs="宋体"/>
                <w:szCs w:val="21"/>
                <w:highlight w:val="none"/>
              </w:rPr>
              <w:t>（1）将中标项目转包或者违法分包的；</w:t>
            </w:r>
          </w:p>
          <w:p>
            <w:pPr>
              <w:jc w:val="left"/>
              <w:rPr>
                <w:rFonts w:ascii="宋体" w:hAnsi="宋体" w:eastAsia="宋体" w:cs="宋体"/>
                <w:szCs w:val="21"/>
                <w:highlight w:val="none"/>
              </w:rPr>
            </w:pPr>
            <w:r>
              <w:rPr>
                <w:rFonts w:hint="eastAsia" w:ascii="宋体" w:hAnsi="宋体" w:eastAsia="宋体" w:cs="宋体"/>
                <w:szCs w:val="21"/>
                <w:highlight w:val="none"/>
              </w:rPr>
              <w:t>（2）在中标项目中不执行质量、安全生产相关规定的，造成质量或安全事故的；</w:t>
            </w:r>
          </w:p>
          <w:p>
            <w:pPr>
              <w:jc w:val="left"/>
              <w:rPr>
                <w:rFonts w:ascii="宋体" w:hAnsi="宋体" w:eastAsia="宋体" w:cs="宋体"/>
                <w:szCs w:val="21"/>
                <w:highlight w:val="none"/>
              </w:rPr>
            </w:pPr>
            <w:r>
              <w:rPr>
                <w:rFonts w:hint="eastAsia" w:ascii="宋体" w:hAnsi="宋体" w:eastAsia="宋体" w:cs="宋体"/>
                <w:szCs w:val="21"/>
                <w:highlight w:val="none"/>
              </w:rPr>
              <w:t>（3）存在围标或串标情形的；</w:t>
            </w:r>
          </w:p>
          <w:p>
            <w:pPr>
              <w:jc w:val="left"/>
              <w:rPr>
                <w:rFonts w:ascii="宋体" w:hAnsi="宋体" w:eastAsia="宋体" w:cs="宋体"/>
                <w:szCs w:val="21"/>
                <w:highlight w:val="none"/>
              </w:rPr>
            </w:pPr>
            <w:r>
              <w:rPr>
                <w:rFonts w:hint="eastAsia" w:ascii="宋体" w:hAnsi="宋体" w:eastAsia="宋体" w:cs="宋体"/>
                <w:szCs w:val="21"/>
                <w:highlight w:val="none"/>
              </w:rPr>
              <w:t>（4）存在弄虚作假骗取中标</w:t>
            </w:r>
            <w:r>
              <w:rPr>
                <w:rFonts w:hint="eastAsia" w:ascii="宋体" w:hAnsi="宋体" w:eastAsia="宋体" w:cs="宋体"/>
                <w:szCs w:val="21"/>
                <w:highlight w:val="none"/>
                <w:u w:val="single"/>
              </w:rPr>
              <w:t>、行贿</w:t>
            </w:r>
            <w:r>
              <w:rPr>
                <w:rFonts w:hint="eastAsia" w:ascii="宋体" w:hAnsi="宋体" w:eastAsia="宋体" w:cs="宋体"/>
                <w:szCs w:val="21"/>
                <w:highlight w:val="none"/>
              </w:rPr>
              <w:t>情形的；</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10.2</w:t>
            </w:r>
          </w:p>
        </w:tc>
        <w:tc>
          <w:tcPr>
            <w:tcW w:w="1117"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招标失败的情形</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本项目采用资格后审方式，满足资格审查合格条件或通过初步评审的投标申请人不足3名时为招标失败。招标人分析招标失败原因，修正招标方案，重新组织招标。</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10.3</w:t>
            </w:r>
          </w:p>
        </w:tc>
        <w:tc>
          <w:tcPr>
            <w:tcW w:w="1117"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投标文件修改</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修改的内容为投标文件的组成部分。修改的投标文件应按照本章第3条、第4条的规定进行编制、密封、标记和递交。</w:t>
            </w:r>
          </w:p>
        </w:tc>
      </w:tr>
      <w:tr>
        <w:tblPrEx>
          <w:tblCellMar>
            <w:top w:w="0" w:type="dxa"/>
            <w:left w:w="108" w:type="dxa"/>
            <w:bottom w:w="0" w:type="dxa"/>
            <w:right w:w="108" w:type="dxa"/>
          </w:tblCellMar>
        </w:tblPrEx>
        <w:trPr>
          <w:trHeight w:val="214" w:hRule="atLeast"/>
        </w:trPr>
        <w:tc>
          <w:tcPr>
            <w:tcW w:w="639"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10.4</w:t>
            </w:r>
          </w:p>
        </w:tc>
        <w:tc>
          <w:tcPr>
            <w:tcW w:w="11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重要说明</w:t>
            </w:r>
          </w:p>
        </w:tc>
        <w:tc>
          <w:tcPr>
            <w:tcW w:w="3242"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highlight w:val="none"/>
              </w:rPr>
            </w:pPr>
            <w:r>
              <w:rPr>
                <w:rFonts w:hint="eastAsia" w:ascii="宋体" w:hAnsi="宋体" w:eastAsia="宋体" w:cs="宋体"/>
                <w:szCs w:val="21"/>
                <w:highlight w:val="none"/>
              </w:rPr>
              <w:t>1.招标公告、招标文件、答疑纪要等招标资料全部发布在广州公共资源交易中心网站，由投标人自行下载查阅。</w:t>
            </w:r>
          </w:p>
          <w:p>
            <w:pPr>
              <w:jc w:val="left"/>
              <w:rPr>
                <w:rFonts w:ascii="宋体" w:hAnsi="宋体" w:eastAsia="宋体" w:cs="宋体"/>
                <w:szCs w:val="21"/>
                <w:highlight w:val="none"/>
              </w:rPr>
            </w:pPr>
            <w:r>
              <w:rPr>
                <w:rFonts w:hint="eastAsia" w:ascii="宋体" w:hAnsi="宋体" w:eastAsia="宋体" w:cs="宋体"/>
                <w:szCs w:val="21"/>
                <w:highlight w:val="none"/>
              </w:rPr>
              <w:t>2.投标截止时间、开标时间和地点：发布在广州公共资源交易中心网站（具体详见网站“日程安排”栏目）。</w:t>
            </w:r>
          </w:p>
          <w:p>
            <w:pPr>
              <w:jc w:val="left"/>
              <w:rPr>
                <w:rFonts w:ascii="宋体" w:hAnsi="宋体" w:eastAsia="宋体" w:cs="宋体"/>
                <w:szCs w:val="21"/>
                <w:highlight w:val="none"/>
              </w:rPr>
            </w:pPr>
            <w:r>
              <w:rPr>
                <w:rFonts w:hint="eastAsia" w:ascii="宋体" w:hAnsi="宋体" w:eastAsia="宋体" w:cs="宋体"/>
                <w:szCs w:val="21"/>
                <w:highlight w:val="none"/>
              </w:rPr>
              <w:t>3. 中标单位在获取中标通知书后的3个工作日内，须向招标人提供与递交电子投标文件内容一致的纸质文件1套。</w:t>
            </w:r>
          </w:p>
        </w:tc>
      </w:tr>
    </w:tbl>
    <w:p>
      <w:pPr>
        <w:keepNext/>
        <w:keepLines/>
        <w:spacing w:line="360" w:lineRule="auto"/>
        <w:jc w:val="left"/>
        <w:rPr>
          <w:rFonts w:ascii="宋体" w:hAnsi="宋体" w:eastAsia="宋体" w:cs="宋体"/>
          <w:szCs w:val="21"/>
          <w:highlight w:val="none"/>
        </w:rPr>
      </w:pPr>
      <w:r>
        <w:rPr>
          <w:rFonts w:hint="eastAsia" w:ascii="宋体" w:hAnsi="宋体" w:eastAsia="宋体" w:cs="宋体"/>
          <w:szCs w:val="21"/>
          <w:highlight w:val="none"/>
        </w:rPr>
        <w:br w:type="page"/>
      </w:r>
      <w:bookmarkStart w:id="37" w:name="_Toc532367872"/>
      <w:bookmarkStart w:id="38" w:name="_Toc14735135"/>
      <w:bookmarkStart w:id="39" w:name="_Toc7454651"/>
      <w:bookmarkStart w:id="40" w:name="_Toc526001312"/>
      <w:bookmarkStart w:id="41" w:name="_Toc7454652"/>
    </w:p>
    <w:p>
      <w:pPr>
        <w:keepNext/>
        <w:keepLines/>
        <w:spacing w:line="360" w:lineRule="auto"/>
        <w:jc w:val="center"/>
        <w:outlineLvl w:val="1"/>
        <w:rPr>
          <w:rFonts w:ascii="宋体" w:hAnsi="宋体" w:eastAsia="宋体" w:cs="宋体"/>
          <w:b/>
          <w:bCs/>
          <w:kern w:val="44"/>
          <w:sz w:val="32"/>
          <w:szCs w:val="32"/>
          <w:highlight w:val="none"/>
        </w:rPr>
      </w:pPr>
      <w:r>
        <w:rPr>
          <w:rFonts w:hint="eastAsia" w:ascii="宋体" w:hAnsi="宋体" w:eastAsia="宋体" w:cs="宋体"/>
          <w:b/>
          <w:bCs/>
          <w:kern w:val="44"/>
          <w:sz w:val="32"/>
          <w:szCs w:val="32"/>
          <w:highlight w:val="none"/>
        </w:rPr>
        <w:t>二、 投标人须知</w:t>
      </w:r>
      <w:bookmarkEnd w:id="37"/>
      <w:bookmarkEnd w:id="38"/>
    </w:p>
    <w:p>
      <w:pPr>
        <w:keepNext/>
        <w:keepLines/>
        <w:spacing w:before="240" w:after="240" w:line="360" w:lineRule="auto"/>
        <w:jc w:val="left"/>
        <w:outlineLvl w:val="2"/>
        <w:rPr>
          <w:rFonts w:ascii="宋体" w:hAnsi="宋体" w:eastAsia="宋体" w:cs="宋体"/>
          <w:b/>
          <w:bCs/>
          <w:sz w:val="30"/>
          <w:szCs w:val="30"/>
          <w:highlight w:val="none"/>
        </w:rPr>
      </w:pPr>
      <w:bookmarkStart w:id="42" w:name="_Toc29394"/>
      <w:bookmarkStart w:id="43" w:name="_Toc7950"/>
      <w:bookmarkStart w:id="44" w:name="_Toc31905"/>
      <w:bookmarkStart w:id="45" w:name="_Toc8300"/>
      <w:bookmarkStart w:id="46" w:name="_Toc6964"/>
      <w:bookmarkStart w:id="47" w:name="_Toc21041"/>
      <w:bookmarkStart w:id="48" w:name="_Toc532367873"/>
      <w:bookmarkStart w:id="49" w:name="_Toc13865"/>
      <w:bookmarkStart w:id="50" w:name="_Toc32719"/>
      <w:bookmarkStart w:id="51" w:name="_Toc377719900"/>
      <w:r>
        <w:rPr>
          <w:rFonts w:hint="eastAsia" w:ascii="宋体" w:hAnsi="宋体" w:eastAsia="宋体" w:cs="宋体"/>
          <w:b/>
          <w:bCs/>
          <w:sz w:val="30"/>
          <w:szCs w:val="30"/>
          <w:highlight w:val="none"/>
        </w:rPr>
        <w:t>1. 总则</w:t>
      </w:r>
      <w:bookmarkEnd w:id="42"/>
      <w:bookmarkEnd w:id="43"/>
      <w:bookmarkEnd w:id="44"/>
      <w:bookmarkEnd w:id="45"/>
      <w:bookmarkEnd w:id="46"/>
      <w:bookmarkEnd w:id="47"/>
      <w:bookmarkEnd w:id="48"/>
      <w:bookmarkEnd w:id="49"/>
      <w:bookmarkEnd w:id="50"/>
      <w:bookmarkEnd w:id="51"/>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1.1  招标项目概况</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1.1.1根据《中华人民共和国招标投标法》、《中华人民共和国招标投标法实施条例》等有关法律、法规和规章的规定，本招标项目已具备招标条件，现对设备采购进行招标。</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1.1.2招标人：见投标人须知前附表。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1.1.3招标代理机构：见投标人须知前附表。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1.1.4招标项目名称：见投标人须知前附表。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1.1.5工程项目名称：即招标项目所属的工程建设项目，见投标人须知前附表。</w:t>
      </w:r>
    </w:p>
    <w:p>
      <w:pPr>
        <w:kinsoku w:val="0"/>
        <w:overflowPunct w:val="0"/>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1.2 招标项目的资金来源和落实情况</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1.2.1资金来源及比例：见投标人须知前附表。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1.2.2资金落实情况：见投标人须知前附表。</w:t>
      </w:r>
    </w:p>
    <w:p>
      <w:pPr>
        <w:kinsoku w:val="0"/>
        <w:overflowPunct w:val="0"/>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1.3 招标内容、交货期、交货地点和技术性能指标</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1.3.1招标范围：见投标人须知前附表。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1.3.2交货期：见投标人须知前附表。</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1.3.3交货地点：见投标人须知前附表。</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1.3.4技术性能指标：见投标人须知前附表。</w:t>
      </w:r>
    </w:p>
    <w:p>
      <w:pPr>
        <w:kinsoku w:val="0"/>
        <w:overflowPunct w:val="0"/>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1.4 投标人资格要求</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1.4.1投标人应具备承担本招标项目资质条件、能力和信誉：</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（1）资质要求：见投标人须知前附表；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（2）财务要求：见投标人须知前附表；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（3）业绩要求：见投标人须知前附表；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（4）信誉要求：见投标人须知前附表；</w:t>
      </w:r>
    </w:p>
    <w:p>
      <w:pPr>
        <w:kinsoku w:val="0"/>
        <w:overflowPunct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（5）其他要求：见投标人须知前附表；</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投标人具有以下其中条件：①所投货物的制造商必须取得有效的《中华人民共和国特种设备制造许可证》（电梯）；并取得有效的《中华人民共和国特种设备安装改造维修许可证》（电梯）。②投标人所投货物的制造商必须取得有效的《中华人民共和国特种设备生产许可证》，许可项目包含电梯制造（含安装、修理、改造）。</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需要提交的相关证明材料见本章第3.5款的规定。</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1.4.2投标人须知前附表规定接受联合体投标的，联合体除应符合本章第1.4.1项和投标人须知前附表的要求外，还应遵守以下规定：</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（1）联合体各方应按招标文件提供的格式签订联合体协议书，明确联合体牵头人和各方权利义务，并承诺就中标项目向招标人承担连带责任；</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（2）由同一专业的单位组成的联合体，按照资质等级较低的单位确定资质等级；</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（3）联合体各方不得再以自己名义单独或参加其他联合体在本招标项目中投标，否则各相关投标均无效。</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1.4.3投标人不得存在下列情形之一：</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（1）与招标人存在利害关系且可能影响招标公正性；</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（2）与本招标项目其他投标人代理同一个制造商同一品牌同一型号的设备投标；</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（3）为本招标项目提供过设计、编制技术规范和其他文件的咨询服务；</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（4）为本工程项目的相关监理人，或者与本工程项目的相关监理人存在隶属关系或者其他利害关系；</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（5）为本招标项目的代建人；</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（6）为本招标项目的招标代理机构；</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（7）与本招标项目的监理人或代建人或招标代理机构同为一个法定代表人；</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（8）与本招标项目的监理人或代建人或招标代理机构存在控股或参股关系；</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（9）被依法暂停或者取消投标资格；</w:t>
      </w:r>
      <w:r>
        <w:rPr>
          <w:rFonts w:hint="eastAsia" w:ascii="宋体" w:hAnsi="宋体" w:eastAsia="宋体" w:cs="宋体"/>
          <w:sz w:val="24"/>
          <w:szCs w:val="24"/>
          <w:highlight w:val="none"/>
          <w:u w:val="single"/>
        </w:rPr>
        <w:t>（本项事实应当以根据《中华人民共和国行政处罚法》依法作出并已经生效的行政处罚决定为认定依据。行政处罚决定中已经明确的暂停或取消投标资格的区域范围不包含本标段建设地点的，不受该项规定限制）</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（10）被责令停产停业、暂扣或者吊销许可证、暂扣或者吊销执照</w:t>
      </w:r>
      <w:r>
        <w:rPr>
          <w:rFonts w:hint="eastAsia" w:ascii="宋体" w:hAnsi="宋体" w:eastAsia="宋体" w:cs="宋体"/>
          <w:sz w:val="24"/>
          <w:szCs w:val="24"/>
          <w:highlight w:val="none"/>
          <w:u w:val="single"/>
        </w:rPr>
        <w:t>（本项事实应当以根据《中华人民共和国行政处罚法》依法作出并已经生效的行政处罚决定为认定依据。）</w:t>
      </w:r>
      <w:r>
        <w:rPr>
          <w:rFonts w:hint="eastAsia" w:ascii="宋体" w:hAnsi="宋体" w:eastAsia="宋体" w:cs="宋体"/>
          <w:sz w:val="24"/>
          <w:szCs w:val="24"/>
          <w:highlight w:val="none"/>
        </w:rPr>
        <w:t>；</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（11）进入清算程序，或被宣告破产，或其他丧失履约能力的情形；</w:t>
      </w:r>
    </w:p>
    <w:p>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（12）</w:t>
      </w:r>
      <w:r>
        <w:rPr>
          <w:rFonts w:hint="eastAsia" w:ascii="宋体" w:hAnsi="宋体" w:eastAsia="宋体" w:cs="宋体"/>
          <w:sz w:val="24"/>
          <w:szCs w:val="24"/>
          <w:highlight w:val="none"/>
          <w:u w:val="single"/>
        </w:rPr>
        <w:t>在最近三年内发生重大产品质量问题；（“重大产品质量问题”应当以相关行业主管部门的行政处罚决定或者司法机关出具的有关法律文书为准。“最近三年”是指从投标截止时间之日起逆推三年，以相关行业主管部门、司法机关出具的生效文件的落款时间起计算）</w:t>
      </w:r>
    </w:p>
    <w:p>
      <w:pPr>
        <w:spacing w:line="360" w:lineRule="auto"/>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（13）法律法规或投标人须知前附表规定的其他情形。</w:t>
      </w:r>
    </w:p>
    <w:p>
      <w:pPr>
        <w:kinsoku w:val="0"/>
        <w:overflowPunct w:val="0"/>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1.5 费用承担</w:t>
      </w:r>
    </w:p>
    <w:p>
      <w:pPr>
        <w:spacing w:line="360" w:lineRule="auto"/>
        <w:ind w:firstLine="476" w:firstLineChars="200"/>
        <w:jc w:val="left"/>
        <w:rPr>
          <w:rFonts w:ascii="宋体" w:hAnsi="宋体" w:eastAsia="宋体" w:cs="宋体"/>
          <w:spacing w:val="-1"/>
          <w:sz w:val="24"/>
          <w:szCs w:val="24"/>
          <w:highlight w:val="none"/>
        </w:rPr>
      </w:pPr>
      <w:r>
        <w:rPr>
          <w:rFonts w:hint="eastAsia" w:ascii="宋体" w:hAnsi="宋体" w:eastAsia="宋体" w:cs="宋体"/>
          <w:spacing w:val="-1"/>
          <w:sz w:val="24"/>
          <w:szCs w:val="24"/>
          <w:highlight w:val="none"/>
        </w:rPr>
        <w:t>投标人准备和参加投标活动发生的费用自理。</w:t>
      </w:r>
    </w:p>
    <w:p>
      <w:pPr>
        <w:kinsoku w:val="0"/>
        <w:overflowPunct w:val="0"/>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1.6 保密</w:t>
      </w:r>
    </w:p>
    <w:p>
      <w:pPr>
        <w:kinsoku w:val="0"/>
        <w:overflowPunct w:val="0"/>
        <w:spacing w:after="120"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参与招标投标活动的各方应对招标文件和投标文件中的商业和技术等秘密保密，否则应承担相应的法律责任。</w:t>
      </w:r>
    </w:p>
    <w:p>
      <w:pPr>
        <w:kinsoku w:val="0"/>
        <w:overflowPunct w:val="0"/>
        <w:spacing w:before="120" w:after="120" w:line="360" w:lineRule="auto"/>
        <w:outlineLvl w:val="2"/>
        <w:rPr>
          <w:rFonts w:ascii="宋体" w:hAnsi="宋体" w:eastAsia="宋体" w:cs="宋体"/>
          <w:b/>
          <w:bCs/>
          <w:sz w:val="24"/>
          <w:szCs w:val="24"/>
          <w:highlight w:val="none"/>
        </w:rPr>
      </w:pPr>
      <w:bookmarkStart w:id="52" w:name="bookmark27"/>
      <w:bookmarkEnd w:id="52"/>
      <w:r>
        <w:rPr>
          <w:rFonts w:hint="eastAsia" w:ascii="宋体" w:hAnsi="宋体" w:eastAsia="宋体" w:cs="宋体"/>
          <w:b/>
          <w:bCs/>
          <w:sz w:val="24"/>
          <w:szCs w:val="24"/>
          <w:highlight w:val="none"/>
        </w:rPr>
        <w:t>1.7 语言文字</w:t>
      </w:r>
    </w:p>
    <w:p>
      <w:pPr>
        <w:kinsoku w:val="0"/>
        <w:overflowPunct w:val="0"/>
        <w:spacing w:after="120"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招标投标文件使用的语言文字为中文。专用术语使用外文的，应附有中文注释。</w:t>
      </w:r>
    </w:p>
    <w:p>
      <w:pPr>
        <w:kinsoku w:val="0"/>
        <w:overflowPunct w:val="0"/>
        <w:spacing w:before="120" w:after="120" w:line="360" w:lineRule="auto"/>
        <w:outlineLvl w:val="2"/>
        <w:rPr>
          <w:rFonts w:ascii="宋体" w:hAnsi="宋体" w:eastAsia="宋体" w:cs="宋体"/>
          <w:b/>
          <w:bCs/>
          <w:sz w:val="24"/>
          <w:szCs w:val="24"/>
          <w:highlight w:val="none"/>
        </w:rPr>
      </w:pPr>
      <w:bookmarkStart w:id="53" w:name="bookmark28"/>
      <w:bookmarkEnd w:id="53"/>
      <w:r>
        <w:rPr>
          <w:rFonts w:hint="eastAsia" w:ascii="宋体" w:hAnsi="宋体" w:eastAsia="宋体" w:cs="宋体"/>
          <w:b/>
          <w:bCs/>
          <w:sz w:val="24"/>
          <w:szCs w:val="24"/>
          <w:highlight w:val="none"/>
        </w:rPr>
        <w:t>1.8 计量单位</w:t>
      </w:r>
    </w:p>
    <w:p>
      <w:pPr>
        <w:kinsoku w:val="0"/>
        <w:overflowPunct w:val="0"/>
        <w:spacing w:after="120" w:line="360" w:lineRule="auto"/>
        <w:ind w:firstLine="476" w:firstLineChars="200"/>
        <w:rPr>
          <w:rFonts w:ascii="宋体" w:hAnsi="宋体" w:eastAsia="宋体" w:cs="宋体"/>
          <w:kern w:val="0"/>
          <w:sz w:val="24"/>
          <w:szCs w:val="24"/>
          <w:highlight w:val="none"/>
        </w:rPr>
      </w:pPr>
      <w:r>
        <w:rPr>
          <w:rFonts w:hint="eastAsia" w:ascii="宋体" w:hAnsi="宋体" w:eastAsia="宋体" w:cs="宋体"/>
          <w:spacing w:val="-1"/>
          <w:kern w:val="0"/>
          <w:sz w:val="24"/>
          <w:szCs w:val="24"/>
          <w:highlight w:val="none"/>
        </w:rPr>
        <w:t>所有计量均采用中华人民共和国法定计量单位。</w:t>
      </w:r>
    </w:p>
    <w:p>
      <w:pPr>
        <w:kinsoku w:val="0"/>
        <w:overflowPunct w:val="0"/>
        <w:spacing w:before="120" w:after="120" w:line="360" w:lineRule="auto"/>
        <w:outlineLvl w:val="2"/>
        <w:rPr>
          <w:rFonts w:ascii="宋体" w:hAnsi="宋体" w:eastAsia="宋体" w:cs="宋体"/>
          <w:b/>
          <w:bCs/>
          <w:sz w:val="24"/>
          <w:szCs w:val="24"/>
          <w:highlight w:val="none"/>
        </w:rPr>
      </w:pPr>
      <w:bookmarkStart w:id="54" w:name="bookmark29"/>
      <w:bookmarkEnd w:id="54"/>
      <w:r>
        <w:rPr>
          <w:rFonts w:hint="eastAsia" w:ascii="宋体" w:hAnsi="宋体" w:eastAsia="宋体" w:cs="宋体"/>
          <w:b/>
          <w:bCs/>
          <w:sz w:val="24"/>
          <w:szCs w:val="24"/>
          <w:highlight w:val="none"/>
        </w:rPr>
        <w:t>1.9 投标预备会</w:t>
      </w:r>
    </w:p>
    <w:p>
      <w:pPr>
        <w:kinsoku w:val="0"/>
        <w:overflowPunct w:val="0"/>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1.9.1投标人须知前附表规定召开投标预备会的，招标人按投标人须知前附表规定的时间和地点召开投标预备会，澄清投标人提出的问题。</w:t>
      </w:r>
    </w:p>
    <w:p>
      <w:pPr>
        <w:kinsoku w:val="0"/>
        <w:overflowPunct w:val="0"/>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1.9.2投标人应按投标人须知前附表规定的时间和形式将提出的问题送达招标人，以便招标人在会议期间澄清。</w:t>
      </w:r>
    </w:p>
    <w:p>
      <w:pPr>
        <w:kinsoku w:val="0"/>
        <w:overflowPunct w:val="0"/>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1.9.3投标预备会后，招标人将对投标人所提问题的澄清，以投标人须知前附表规定的形式通知所有购买招标文件的投标人。该澄清内容为招标文件的组成部分。</w:t>
      </w:r>
    </w:p>
    <w:p>
      <w:pPr>
        <w:kinsoku w:val="0"/>
        <w:overflowPunct w:val="0"/>
        <w:spacing w:before="120" w:after="120" w:line="360" w:lineRule="auto"/>
        <w:outlineLvl w:val="2"/>
        <w:rPr>
          <w:rFonts w:ascii="宋体" w:hAnsi="宋体" w:eastAsia="宋体" w:cs="宋体"/>
          <w:b/>
          <w:bCs/>
          <w:sz w:val="24"/>
          <w:szCs w:val="24"/>
          <w:highlight w:val="none"/>
        </w:rPr>
      </w:pPr>
      <w:bookmarkStart w:id="55" w:name="bookmark30"/>
      <w:bookmarkEnd w:id="55"/>
      <w:r>
        <w:rPr>
          <w:rFonts w:hint="eastAsia" w:ascii="宋体" w:hAnsi="宋体" w:eastAsia="宋体" w:cs="宋体"/>
          <w:b/>
          <w:bCs/>
          <w:sz w:val="24"/>
          <w:szCs w:val="24"/>
          <w:highlight w:val="none"/>
        </w:rPr>
        <w:t>1.10 分包</w:t>
      </w:r>
    </w:p>
    <w:p>
      <w:pPr>
        <w:kinsoku w:val="0"/>
        <w:overflowPunct w:val="0"/>
        <w:spacing w:after="120" w:line="360" w:lineRule="auto"/>
        <w:ind w:firstLine="480" w:firstLineChars="200"/>
        <w:rPr>
          <w:rFonts w:ascii="宋体" w:hAnsi="宋体" w:eastAsia="宋体" w:cs="宋体"/>
          <w:kern w:val="0"/>
          <w:sz w:val="24"/>
          <w:szCs w:val="24"/>
          <w:highlight w:val="none"/>
        </w:rPr>
      </w:pPr>
      <w:bookmarkStart w:id="56" w:name="bookmark31"/>
      <w:bookmarkEnd w:id="56"/>
      <w:r>
        <w:rPr>
          <w:rFonts w:hint="eastAsia" w:ascii="宋体" w:hAnsi="宋体" w:eastAsia="宋体" w:cs="宋体"/>
          <w:kern w:val="0"/>
          <w:sz w:val="24"/>
          <w:szCs w:val="24"/>
          <w:highlight w:val="none"/>
        </w:rPr>
        <w:t>1.10.1投标人拟在中标后将中标项目的非主体设备进行分包的，应符合投标人须知前附表规定的分包内容、分包金额和资质要求等限制性条件，除投标人须知前附表规定的非主体设备外，其他工作不得分包。</w:t>
      </w:r>
    </w:p>
    <w:p>
      <w:pPr>
        <w:kinsoku w:val="0"/>
        <w:overflowPunct w:val="0"/>
        <w:spacing w:after="120"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1.10.2中标人不得向他人转让中标项目，接受分包的人不得再次分包。中标人应当就分包项目向招标人负责，接受分包的人就分包项目承担连带责任。</w:t>
      </w:r>
    </w:p>
    <w:p>
      <w:pPr>
        <w:kinsoku w:val="0"/>
        <w:overflowPunct w:val="0"/>
        <w:spacing w:before="120" w:after="120" w:line="360" w:lineRule="auto"/>
        <w:outlineLvl w:val="2"/>
        <w:rPr>
          <w:rFonts w:ascii="宋体" w:hAnsi="宋体" w:eastAsia="宋体" w:cs="宋体"/>
          <w:b/>
          <w:bCs/>
          <w:sz w:val="24"/>
          <w:szCs w:val="24"/>
          <w:highlight w:val="none"/>
        </w:rPr>
      </w:pPr>
      <w:bookmarkStart w:id="57" w:name="bookmark32"/>
      <w:bookmarkEnd w:id="57"/>
      <w:r>
        <w:rPr>
          <w:rFonts w:hint="eastAsia" w:ascii="宋体" w:hAnsi="宋体" w:eastAsia="宋体" w:cs="宋体"/>
          <w:b/>
          <w:bCs/>
          <w:sz w:val="24"/>
          <w:szCs w:val="24"/>
          <w:highlight w:val="none"/>
        </w:rPr>
        <w:t>1.11 响应和偏差</w:t>
      </w:r>
    </w:p>
    <w:p>
      <w:pPr>
        <w:kinsoku w:val="0"/>
        <w:overflowPunct w:val="0"/>
        <w:spacing w:line="360" w:lineRule="auto"/>
        <w:ind w:firstLine="480" w:firstLineChars="200"/>
        <w:rPr>
          <w:rFonts w:ascii="宋体" w:hAnsi="宋体" w:eastAsia="宋体" w:cs="宋体"/>
          <w:kern w:val="0"/>
          <w:sz w:val="24"/>
          <w:szCs w:val="24"/>
          <w:highlight w:val="none"/>
        </w:rPr>
      </w:pPr>
      <w:bookmarkStart w:id="58" w:name="_Toc3119"/>
      <w:bookmarkStart w:id="59" w:name="_Toc4330"/>
      <w:bookmarkStart w:id="60" w:name="_Toc22910"/>
      <w:bookmarkStart w:id="61" w:name="_Toc8885"/>
      <w:bookmarkStart w:id="62" w:name="_Toc532367874"/>
      <w:bookmarkStart w:id="63" w:name="_Toc8160"/>
      <w:bookmarkStart w:id="64" w:name="_Toc377719901"/>
      <w:bookmarkStart w:id="65" w:name="_Toc31365"/>
      <w:r>
        <w:rPr>
          <w:rFonts w:hint="eastAsia" w:ascii="宋体" w:hAnsi="宋体" w:eastAsia="宋体" w:cs="宋体"/>
          <w:kern w:val="0"/>
          <w:sz w:val="24"/>
          <w:szCs w:val="24"/>
          <w:highlight w:val="none"/>
        </w:rPr>
        <w:t>1.11.1投标文件应当对招标文件的实质性要求和条件作出满足性或更有利于招标人的响应，否则，投标人的投标将被否决。实质性要求和条件见投标人须知前附表。</w:t>
      </w:r>
    </w:p>
    <w:p>
      <w:pPr>
        <w:kinsoku w:val="0"/>
        <w:overflowPunct w:val="0"/>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1.11.2投标人应根据招标文件的要求提供投标设备技术性能指标的详细描述、技术支持资料及技术服务和质保期服务计划等内容以对招标文件作出响应。</w:t>
      </w:r>
    </w:p>
    <w:p>
      <w:pPr>
        <w:kinsoku w:val="0"/>
        <w:overflowPunct w:val="0"/>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1.11.3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pPr>
        <w:kinsoku w:val="0"/>
        <w:overflowPunct w:val="0"/>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1.11.4投标人须知前附表规定了可以偏差的范围和最高偏差项数的，偏差应当符合投标人须知前附表规定的偏差范围和最高项数，超出偏差范围和最高偏差项数的投标将被否决。</w:t>
      </w:r>
    </w:p>
    <w:p>
      <w:pPr>
        <w:kinsoku w:val="0"/>
        <w:overflowPunct w:val="0"/>
        <w:spacing w:line="360" w:lineRule="auto"/>
        <w:ind w:firstLine="480" w:firstLineChars="200"/>
        <w:rPr>
          <w:rFonts w:ascii="宋体" w:hAnsi="宋体" w:eastAsia="宋体" w:cs="宋体"/>
          <w:b/>
          <w:bCs/>
          <w:kern w:val="0"/>
          <w:sz w:val="24"/>
          <w:szCs w:val="24"/>
          <w:highlight w:val="none"/>
        </w:rPr>
      </w:pPr>
      <w:r>
        <w:rPr>
          <w:rFonts w:hint="eastAsia" w:ascii="宋体" w:hAnsi="宋体" w:eastAsia="宋体" w:cs="宋体"/>
          <w:kern w:val="0"/>
          <w:sz w:val="24"/>
          <w:szCs w:val="24"/>
          <w:highlight w:val="none"/>
        </w:rPr>
        <w:t>1.11.5投标文件对招标文件的全部偏差，均应在投标文件的商务和技术偏差表中列明，除列明的内容外，视为投标人响应招标文件的全部要求。</w:t>
      </w:r>
    </w:p>
    <w:p>
      <w:pPr>
        <w:keepNext/>
        <w:keepLines/>
        <w:spacing w:before="240" w:after="240" w:line="360" w:lineRule="auto"/>
        <w:outlineLvl w:val="2"/>
        <w:rPr>
          <w:rFonts w:ascii="宋体" w:hAnsi="宋体" w:eastAsia="宋体" w:cs="宋体"/>
          <w:b/>
          <w:bCs/>
          <w:sz w:val="30"/>
          <w:szCs w:val="30"/>
          <w:highlight w:val="none"/>
        </w:rPr>
      </w:pPr>
      <w:bookmarkStart w:id="66" w:name="_Toc31503"/>
      <w:bookmarkStart w:id="67" w:name="_Toc24924"/>
      <w:r>
        <w:rPr>
          <w:rFonts w:hint="eastAsia" w:ascii="宋体" w:hAnsi="宋体" w:eastAsia="宋体" w:cs="宋体"/>
          <w:b/>
          <w:bCs/>
          <w:sz w:val="30"/>
          <w:szCs w:val="30"/>
          <w:highlight w:val="none"/>
        </w:rPr>
        <w:t>2. 招标文件</w:t>
      </w:r>
      <w:bookmarkEnd w:id="58"/>
      <w:bookmarkEnd w:id="59"/>
      <w:bookmarkEnd w:id="60"/>
      <w:bookmarkEnd w:id="61"/>
      <w:bookmarkEnd w:id="62"/>
      <w:bookmarkEnd w:id="63"/>
      <w:bookmarkEnd w:id="64"/>
      <w:bookmarkEnd w:id="65"/>
      <w:bookmarkEnd w:id="66"/>
      <w:bookmarkEnd w:id="67"/>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2.1  招标文件的组成</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本招标文件包括：</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（1）招标公告（或投标邀请书）；</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（2）投标人须知；</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（3）评标办法；</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（4）合同条款及格式；</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（5）供货要求；</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（6）投标文件格式；</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（7）投标人须知前附表规定的其他资料。</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根据本章第1.9款、第2.2款和第2.3款对招标文件所作的澄清、修改，构成招标文件的组成部分。</w:t>
      </w:r>
    </w:p>
    <w:p>
      <w:pPr>
        <w:keepNext/>
        <w:keepLines/>
        <w:spacing w:before="120" w:after="120" w:line="360" w:lineRule="auto"/>
        <w:outlineLvl w:val="2"/>
        <w:rPr>
          <w:rFonts w:ascii="宋体" w:hAnsi="宋体" w:eastAsia="宋体" w:cs="宋体"/>
          <w:b/>
          <w:bCs/>
          <w:sz w:val="24"/>
          <w:szCs w:val="24"/>
          <w:highlight w:val="none"/>
        </w:rPr>
      </w:pPr>
      <w:bookmarkStart w:id="68" w:name="_Toc377719902"/>
      <w:r>
        <w:rPr>
          <w:rFonts w:hint="eastAsia" w:ascii="宋体" w:hAnsi="宋体" w:eastAsia="宋体" w:cs="宋体"/>
          <w:b/>
          <w:bCs/>
          <w:sz w:val="24"/>
          <w:szCs w:val="24"/>
          <w:highlight w:val="none"/>
        </w:rPr>
        <w:t>2.2.招标文件的澄清</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2.2.1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2.2.2招标文件的澄清以投标人须知前附表规定的形式发给所有</w:t>
      </w:r>
      <w:r>
        <w:rPr>
          <w:rFonts w:hint="eastAsia" w:ascii="宋体" w:hAnsi="宋体" w:eastAsia="宋体" w:cs="宋体"/>
          <w:sz w:val="24"/>
          <w:szCs w:val="24"/>
          <w:highlight w:val="none"/>
          <w:u w:val="single"/>
        </w:rPr>
        <w:t>潜在投标人</w:t>
      </w:r>
      <w:r>
        <w:rPr>
          <w:rFonts w:hint="eastAsia" w:ascii="宋体" w:hAnsi="宋体" w:eastAsia="宋体" w:cs="宋体"/>
          <w:sz w:val="24"/>
          <w:szCs w:val="24"/>
          <w:highlight w:val="none"/>
        </w:rPr>
        <w:t>，但不指明澄清问题的来源。澄清发出的时间距本章第4.2.1项规定的投标截止时间不足15日的，并且澄清内容可能影响投标文件编制的，将相应延长投标截止时间。</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2.2.3投标人在收到澄清后，应按投标人须知前附表规定的时间和形式通知招标人，确认已收到该澄清。</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2.2.4除非招标人认为确有必要答复，否则，招标人有权拒绝回复投标人在本章第2.2.1项规定的时间后的任何澄清要求。</w:t>
      </w:r>
    </w:p>
    <w:p>
      <w:pPr>
        <w:kinsoku w:val="0"/>
        <w:overflowPunct w:val="0"/>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2.3 招标文件的修改</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2.3.1招标人以投标人须知前附表规定的形式修改招标文件，并通知所有已购买招标文件的投标人。修改招标文件的时间距本章第4.2.1项规定的投标截止时间不足15日的，并且修改内容可能影响投标文件编制的，将相应延长投标截止时间。</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2.3.2投标人收到修改内容后，应按投标人须知前附表规定的时间和形式通知招标人，确认已收到该修改。</w:t>
      </w:r>
    </w:p>
    <w:p>
      <w:pPr>
        <w:kinsoku w:val="0"/>
        <w:overflowPunct w:val="0"/>
        <w:spacing w:before="120" w:after="120" w:line="360" w:lineRule="auto"/>
        <w:outlineLvl w:val="2"/>
        <w:rPr>
          <w:rFonts w:ascii="宋体" w:hAnsi="宋体" w:eastAsia="宋体" w:cs="宋体"/>
          <w:b/>
          <w:bCs/>
          <w:sz w:val="24"/>
          <w:szCs w:val="24"/>
          <w:highlight w:val="none"/>
        </w:rPr>
      </w:pPr>
      <w:bookmarkStart w:id="69" w:name="bookmark37"/>
      <w:bookmarkEnd w:id="69"/>
      <w:r>
        <w:rPr>
          <w:rFonts w:hint="eastAsia" w:ascii="宋体" w:hAnsi="宋体" w:eastAsia="宋体" w:cs="宋体"/>
          <w:b/>
          <w:bCs/>
          <w:sz w:val="24"/>
          <w:szCs w:val="24"/>
          <w:highlight w:val="none"/>
        </w:rPr>
        <w:t>2.4 招标文件的异议</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投标人或者其他利害关系人对招标文件有异议的，应当在投标截止时间10日前以书面形式提出。招标人将在收到异议之日起3日内作出答复；作出答复前，将暂停招标投标活动。</w:t>
      </w:r>
    </w:p>
    <w:p>
      <w:pPr>
        <w:keepNext/>
        <w:keepLines/>
        <w:spacing w:before="240" w:after="240" w:line="360" w:lineRule="auto"/>
        <w:jc w:val="left"/>
        <w:outlineLvl w:val="2"/>
        <w:rPr>
          <w:rFonts w:ascii="宋体" w:hAnsi="宋体" w:eastAsia="宋体" w:cs="宋体"/>
          <w:b/>
          <w:bCs/>
          <w:sz w:val="30"/>
          <w:szCs w:val="30"/>
          <w:highlight w:val="none"/>
        </w:rPr>
      </w:pPr>
      <w:bookmarkStart w:id="70" w:name="_Toc25907"/>
      <w:bookmarkStart w:id="71" w:name="_Toc6920"/>
      <w:bookmarkStart w:id="72" w:name="_Toc3526"/>
      <w:bookmarkStart w:id="73" w:name="_Toc15723"/>
      <w:bookmarkStart w:id="74" w:name="_Toc23329"/>
      <w:bookmarkStart w:id="75" w:name="_Toc14848"/>
      <w:bookmarkStart w:id="76" w:name="_Toc30380"/>
      <w:bookmarkStart w:id="77" w:name="_Toc532367875"/>
      <w:bookmarkStart w:id="78" w:name="_Toc1157"/>
      <w:r>
        <w:rPr>
          <w:rFonts w:hint="eastAsia" w:ascii="宋体" w:hAnsi="宋体" w:eastAsia="宋体" w:cs="宋体"/>
          <w:b/>
          <w:bCs/>
          <w:sz w:val="30"/>
          <w:szCs w:val="30"/>
          <w:highlight w:val="none"/>
        </w:rPr>
        <w:t>3. 投标文件</w:t>
      </w:r>
      <w:bookmarkEnd w:id="68"/>
      <w:bookmarkEnd w:id="70"/>
      <w:bookmarkEnd w:id="71"/>
      <w:bookmarkEnd w:id="72"/>
      <w:bookmarkEnd w:id="73"/>
      <w:bookmarkEnd w:id="74"/>
      <w:bookmarkEnd w:id="75"/>
      <w:bookmarkEnd w:id="76"/>
      <w:bookmarkEnd w:id="77"/>
      <w:bookmarkEnd w:id="78"/>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3.1 组成投标文件的文件</w:t>
      </w:r>
    </w:p>
    <w:p>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rPr>
        <w:t>3.1.1投标文件应包括下列内容：</w:t>
      </w:r>
      <w:r>
        <w:rPr>
          <w:rFonts w:hint="eastAsia" w:ascii="宋体" w:hAnsi="宋体" w:eastAsia="宋体" w:cs="宋体"/>
          <w:sz w:val="24"/>
          <w:szCs w:val="24"/>
          <w:highlight w:val="none"/>
          <w:u w:val="single"/>
        </w:rPr>
        <w:t>（详见第六章）</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（1）投标函；</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（2）法定代表人（单位负责人）身份证明或授权委托书；</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（3）联合体协议书；</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（4）投标保证金；</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（5）商务和技术偏差表；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（6）分项报价表；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（7）资格审查资料；</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（8）投标设备技术性能指标的详细描述；</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（9）技术支持资料；</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（10）技术服务和质保期服务计划；</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（11）投标人须知前附表规定的其他资料。</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投标人在评标过程中作出的符合法律法规和招标文件规定的澄清确认，构成投标文件的组成部分。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3.1.2投标人须知前附表规定不接受联合体投标的，或投标人没有组成联合体的，投标文件不包括本章第3.1.1（3）目所指的联合体协议书。</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3.1.3投标人须知前附表未要求提交投标保证金的，投标文件不包括本章第3.1.1（4）目所指的投标保证金。</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3.2  投标价格</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3.2.1投标报价应包括国家规定的增值税税金，除投标人须知前附表另有规定外，增值税税金按一般计税方法计算。投标人应按第六章“投标文件格式”的要求在投标函中进行报价并填写分项报价表。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3.2.2投标人应充分了解该项目的总体情况以及影响投标报价的其他要素。</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3.2.3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函中的投标报价总额，应同时修改投标文件“分项报价表”中的相应报价。此修改须符合本章第4.3款的有关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3.2.4招标人设有最高投标限价的，投标人的投标报价不得超过最高投标限价，最高投标限价在投标人须知前附表中载明。</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3.2.5投标报价的其他要求见投标人须知前附表。</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3.3  投标有效期</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3.3.1除投标人须知前附表另有规定外，投标有效期为90天。</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3.3.2在投标有效期内，投标人撤销投标文件的，应承担招标文件和法律规定的责任。</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r>
        <w:rPr>
          <w:rFonts w:hint="eastAsia" w:ascii="宋体" w:hAnsi="宋体" w:eastAsia="宋体" w:cs="宋体"/>
          <w:b/>
          <w:bCs/>
          <w:sz w:val="24"/>
          <w:szCs w:val="24"/>
          <w:highlight w:val="none"/>
        </w:rPr>
        <w:t xml:space="preserve">3.4 投标保证金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3.4.1 投标人在递交投标文件的同时，应按投标人须知前附表规定的金额、形式和第六章“投标文件格式”规定的投标保证金格式递交投标保证金，并作为其投标文件的组成部分。境内投标人以现金或者支票形式提交的投标保证金，应当从其基本账户转出。</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3.4.2 投标人不按本章第 3.4.1 项要求提交投标保证金的，评标委员会将否决其投标。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3.4.3</w:t>
      </w:r>
      <w:r>
        <w:rPr>
          <w:rFonts w:hint="eastAsia" w:ascii="宋体" w:hAnsi="宋体" w:eastAsia="宋体" w:cs="宋体"/>
          <w:sz w:val="24"/>
          <w:szCs w:val="24"/>
          <w:highlight w:val="none"/>
          <w:u w:val="single"/>
        </w:rPr>
        <w:t>投标保证金应依据法律法规的相关规定退还。</w:t>
      </w:r>
      <w:r>
        <w:rPr>
          <w:rFonts w:hint="eastAsia" w:ascii="宋体" w:hAnsi="宋体" w:eastAsia="宋体" w:cs="宋体"/>
          <w:sz w:val="24"/>
          <w:szCs w:val="24"/>
          <w:highlight w:val="none"/>
        </w:rPr>
        <w:t xml:space="preserve">。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3.4.4 有下列情形之一的，投标保证金将不予退还：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（1）投标人在投标有效期内撤销投标文件；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（2）中标人在收到中标通知书后，无正当理由不与招标人订立合同，在签订合同时向招标人提出附加条件，或者不按照招标文件要求提交履约保证金；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（3）发生投标人须知前附表规定的其他可以不予退还投标保证金的情形。</w:t>
      </w:r>
    </w:p>
    <w:p>
      <w:pPr>
        <w:kinsoku w:val="0"/>
        <w:overflowPunct w:val="0"/>
        <w:spacing w:line="360" w:lineRule="auto"/>
        <w:jc w:val="left"/>
        <w:rPr>
          <w:rFonts w:ascii="宋体" w:hAnsi="宋体" w:eastAsia="宋体" w:cs="宋体"/>
          <w:b/>
          <w:bCs/>
          <w:sz w:val="24"/>
          <w:szCs w:val="24"/>
          <w:highlight w:val="none"/>
        </w:rPr>
      </w:pPr>
      <w:bookmarkStart w:id="79" w:name="_Toc511383850"/>
      <w:r>
        <w:rPr>
          <w:rFonts w:hint="eastAsia" w:ascii="宋体" w:hAnsi="宋体" w:eastAsia="宋体" w:cs="宋体"/>
          <w:b/>
          <w:bCs/>
          <w:sz w:val="24"/>
          <w:szCs w:val="24"/>
          <w:highlight w:val="none"/>
        </w:rPr>
        <w:t>3.5 资格审查资料</w:t>
      </w:r>
      <w:bookmarkEnd w:id="79"/>
      <w:r>
        <w:rPr>
          <w:rFonts w:hint="eastAsia" w:ascii="宋体" w:hAnsi="宋体" w:eastAsia="宋体" w:cs="宋体"/>
          <w:b/>
          <w:bCs/>
          <w:sz w:val="24"/>
          <w:szCs w:val="24"/>
          <w:highlight w:val="none"/>
        </w:rPr>
        <w:t>（适用于已进行资格预审的）</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投标人在递交投标文件前，发生可能影响其投标资格的新情况的，应更新或补充其在申请资格预审时提供的资料，以证实其各项资格条件仍能继续满足资格预审文件的要求，且没有实质性降低。</w:t>
      </w:r>
    </w:p>
    <w:p>
      <w:pPr>
        <w:kinsoku w:val="0"/>
        <w:overflowPunct w:val="0"/>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3.5 资格审查资料（适用于未进行资格预审的）</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除投标人须知前附表另有规定外，投标人应按下列规定提供资格审查资料，以证明其满足本章第1.4款规定的资质、财务、业绩、信誉等要求。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3.5.1“投标人基本情况表”应附投标人及其制造商（适用于代理经销商投标的情形）资格或者资质证书副本和投标材料检验或认证等材料的复印件以及：</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（1）投标人为企业的，应提交营业执照和组织机构代码证的复印件（按照“三证合一”或“五证合一”登记制度进行登记的，可仅提供营业执照复印件）；</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（2）投标人为依法允许经营的事业单位的，应提交事业单位法人证书和组织机构代码证的复印件。</w:t>
      </w:r>
    </w:p>
    <w:p>
      <w:pPr>
        <w:kinsoku w:val="0"/>
        <w:overflowPunct w:val="0"/>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3.6 备选投标方案</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3.6.1除投标人须知前附表规定允许外，投标人不得递交备选投标方案，否则其投标将被否决。</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3.6.2允许投标人递交备选投标方案的，只有中标人所递交的备选投标方案方可予以考虑。评标委员会认为中标人的备选投标方案优于其按照招标文件要求编制的投标方案的，招标人可以接受该备选投标方案。</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3.6.3投标人提供两个或两个以上投标报价，或者在投标文件中提供一个报价，但同时提供两个或两个以上服务方案的，视为提供备选方案。</w:t>
      </w:r>
    </w:p>
    <w:p>
      <w:pPr>
        <w:kinsoku w:val="0"/>
        <w:overflowPunct w:val="0"/>
        <w:spacing w:line="360" w:lineRule="auto"/>
        <w:jc w:val="left"/>
        <w:rPr>
          <w:rFonts w:ascii="宋体" w:hAnsi="宋体" w:eastAsia="宋体" w:cs="宋体"/>
          <w:b/>
          <w:bCs/>
          <w:sz w:val="24"/>
          <w:szCs w:val="24"/>
          <w:highlight w:val="none"/>
        </w:rPr>
      </w:pPr>
      <w:bookmarkStart w:id="80" w:name="bookmark46"/>
      <w:bookmarkEnd w:id="80"/>
      <w:r>
        <w:rPr>
          <w:rFonts w:hint="eastAsia" w:ascii="宋体" w:hAnsi="宋体" w:eastAsia="宋体" w:cs="宋体"/>
          <w:b/>
          <w:bCs/>
          <w:sz w:val="24"/>
          <w:szCs w:val="24"/>
          <w:highlight w:val="none"/>
        </w:rPr>
        <w:t>3.7 投标文件的编制</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3.7.1投标文件应按第六章“投标文件格式”进行编写，如有必要，可以增加附页，作为投标文件的组成部分。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3.7.2投标文件应当对招标文件有关供货期、投标有效期、供货要求、招标范围等实质性内容作出响应。投标文件在满足招标文件实质性要求的基础上，可以提出比招标文件要求更有利于招标人的承诺。</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3.7.3（A）（1）投标文件应用不褪色的材料书写或打印，投标函及对投标文件的澄清、说明和补正应由投标人的法定代表人（单位负责人）或其授权的代理人签字或盖单位章。由投标人的法定代表人（单位负责人）签字的，应附法定代表人（单位负责人）身份证明，由代理人签字的，应附授权委托书，身份证明或授权委托书应符合第六章“投标文件格式”的要求。投标文件应尽量避免涂改、行间插字或删除。如果出现上述情况，改动之处应由投标人的法定代表人（单位负责人）或其授权的代理人签字或盖单位章。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highlight w:val="none"/>
        </w:rPr>
        <w:t>（</w:t>
      </w:r>
      <w:r>
        <w:rPr>
          <w:rFonts w:hint="eastAsia" w:ascii="宋体" w:hAnsi="宋体" w:eastAsia="宋体" w:cs="宋体"/>
          <w:sz w:val="24"/>
          <w:szCs w:val="24"/>
          <w:highlight w:val="none"/>
        </w:rPr>
        <w:t>2</w:t>
      </w:r>
      <w:r>
        <w:rPr>
          <w:rFonts w:hint="eastAsia" w:ascii="宋体" w:hAnsi="宋体" w:eastAsia="宋体" w:cs="宋体"/>
          <w:sz w:val="24"/>
          <w:highlight w:val="none"/>
        </w:rPr>
        <w:t>）</w:t>
      </w:r>
      <w:r>
        <w:rPr>
          <w:rFonts w:hint="eastAsia" w:ascii="宋体" w:hAnsi="宋体" w:eastAsia="宋体" w:cs="宋体"/>
          <w:sz w:val="24"/>
          <w:szCs w:val="24"/>
          <w:highlight w:val="none"/>
        </w:rPr>
        <w:t xml:space="preserve">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highlight w:val="none"/>
        </w:rPr>
        <w:t>（</w:t>
      </w:r>
      <w:r>
        <w:rPr>
          <w:rFonts w:hint="eastAsia" w:ascii="宋体" w:hAnsi="宋体" w:eastAsia="宋体" w:cs="宋体"/>
          <w:sz w:val="24"/>
          <w:szCs w:val="24"/>
          <w:highlight w:val="none"/>
        </w:rPr>
        <w:t>3</w:t>
      </w:r>
      <w:r>
        <w:rPr>
          <w:rFonts w:hint="eastAsia" w:ascii="宋体" w:hAnsi="宋体" w:eastAsia="宋体" w:cs="宋体"/>
          <w:sz w:val="24"/>
          <w:highlight w:val="none"/>
        </w:rPr>
        <w:t>）</w:t>
      </w:r>
      <w:r>
        <w:rPr>
          <w:rFonts w:hint="eastAsia" w:ascii="宋体" w:hAnsi="宋体" w:eastAsia="宋体" w:cs="宋体"/>
          <w:sz w:val="24"/>
          <w:szCs w:val="24"/>
          <w:highlight w:val="none"/>
        </w:rPr>
        <w:t>投标文件的正本与副本应分别装订，并编制目录，投标文件需分册装订的，具体分册装订要求见投标人须知前附表规定。</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3.7.3（B）投标文件全部采用电子文档，除投标人须知前附表另有规定外，投标文件所附证书证件均为原件扫描件，并采用单位和个人数字证书，按招标文件要求在相应位置加盖电子印章。由投标人的法定代表人（单位负责人）签字或加盖电子印章的，应附法定代表人（单位负责人）身份证明，由代理人签字或加盖电子印章的，应附由法定代表人（单位负责人）签署的授权委托书。签字或盖章的具体要求见投标人须知前附表。</w:t>
      </w:r>
    </w:p>
    <w:p>
      <w:pPr>
        <w:keepNext/>
        <w:keepLines/>
        <w:spacing w:before="240" w:after="240" w:line="360" w:lineRule="auto"/>
        <w:jc w:val="left"/>
        <w:outlineLvl w:val="2"/>
        <w:rPr>
          <w:rFonts w:ascii="宋体" w:hAnsi="宋体" w:eastAsia="宋体" w:cs="宋体"/>
          <w:b/>
          <w:bCs/>
          <w:sz w:val="30"/>
          <w:szCs w:val="30"/>
          <w:highlight w:val="none"/>
        </w:rPr>
      </w:pPr>
      <w:bookmarkStart w:id="81" w:name="_Toc23284"/>
      <w:bookmarkStart w:id="82" w:name="_Toc25065"/>
      <w:bookmarkStart w:id="83" w:name="_Toc31557"/>
      <w:bookmarkStart w:id="84" w:name="_Toc9342"/>
      <w:bookmarkStart w:id="85" w:name="_Toc3554"/>
      <w:bookmarkStart w:id="86" w:name="_Toc377719903"/>
      <w:bookmarkStart w:id="87" w:name="_Toc29593"/>
      <w:bookmarkStart w:id="88" w:name="_Toc23220"/>
      <w:bookmarkStart w:id="89" w:name="_Toc532367876"/>
      <w:bookmarkStart w:id="90" w:name="_Toc24378"/>
      <w:r>
        <w:rPr>
          <w:rFonts w:hint="eastAsia" w:ascii="宋体" w:hAnsi="宋体" w:eastAsia="宋体" w:cs="宋体"/>
          <w:b/>
          <w:bCs/>
          <w:sz w:val="30"/>
          <w:szCs w:val="30"/>
          <w:highlight w:val="none"/>
        </w:rPr>
        <w:t>4. 投标</w:t>
      </w:r>
      <w:bookmarkEnd w:id="81"/>
      <w:bookmarkEnd w:id="82"/>
      <w:bookmarkEnd w:id="83"/>
      <w:bookmarkEnd w:id="84"/>
      <w:bookmarkEnd w:id="85"/>
      <w:bookmarkEnd w:id="86"/>
      <w:bookmarkEnd w:id="87"/>
      <w:bookmarkEnd w:id="88"/>
      <w:bookmarkEnd w:id="89"/>
      <w:bookmarkEnd w:id="90"/>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4.1 投标文件的密封和标记</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4.1.1 （A）投标文件应密封包装，并在封套的封口处加盖投标人单位章或由投标人的法定代表人（单位负责人）或其授权的代理人签字。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4.1.1（B）投标人应当按照招标文件和电子招标投标交易平台的要求加密投标文件，具体要求见投标人须知前附表。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4.1.2投标文件封套上应写明的内容见投标人须知前附表。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4.1.3未按本章第4.1.1项要求密封的投标文件，招标人将予以拒收。</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4.2 投标文件的递交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4.2.1投标人应在投标人须知前附表规定的投标截止时间前递交投标文件。</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4.2.2投标人通过下载招标文件的电子招标投标交易平台递交电子投标文件。</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4.2.3除投标人须知前附表另有规定外，投标人所递交的投标文件不予退还。</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4.2.4 （A）招标人收到投标文件后，向投标人出具签收凭证。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4.2.4（B）投标人完成电子投标文件上传后，电子招标投标交易平台即时向投标人发出递交回执通知。递交时间以递交回执通知载明的传输完成时间为准。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4.2.5 （A）逾期送达的投标文件，招标人将予以拒收。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4.2.5（B）逾期送达的投标文件，电子招标投标交易平台将予以拒收。</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4.3  投标文件的修改与撤回</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4.3.1在本章第4.2.1项规定的投标截止时间前，投标人可以修改或撤回已递交的投标文件，但应以书面形式通知招标人。</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4.3.2 （A）投标人修改或撤回已递交投标文件的书面通知应按照本章第 3.7.3（A）项的要求签字或盖章。招标人收到书面通知后，向投标人出具签收凭证。</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4.3.2（B）投标人修改或撤回已递交投标文件的通知，应按照本章第3.7.3（B）项的要求加盖电子印章。电子招标投标交易平台收到通知后，即时向投标人发出确认回执通知。</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4.3.3投标人撤回投标文件的，招标人自收到投标人书面撤回通知之日起5日内退还已收取的投标保证金。</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4.3.4修改的内容为投标文件的组成部分。修改的投标文件应按照本章第3条、第4条的规定进行编制、密封、标记和递交，并标明“修改”字样。</w:t>
      </w:r>
    </w:p>
    <w:p>
      <w:pPr>
        <w:keepNext/>
        <w:keepLines/>
        <w:spacing w:before="240" w:after="240" w:line="360" w:lineRule="auto"/>
        <w:outlineLvl w:val="2"/>
        <w:rPr>
          <w:rFonts w:ascii="宋体" w:hAnsi="宋体" w:eastAsia="宋体" w:cs="宋体"/>
          <w:b/>
          <w:bCs/>
          <w:sz w:val="30"/>
          <w:szCs w:val="30"/>
          <w:highlight w:val="none"/>
        </w:rPr>
      </w:pPr>
      <w:bookmarkStart w:id="91" w:name="_Toc377719904"/>
      <w:bookmarkStart w:id="92" w:name="_Toc17418"/>
      <w:bookmarkStart w:id="93" w:name="_Toc19088"/>
      <w:bookmarkStart w:id="94" w:name="_Toc1684"/>
      <w:bookmarkStart w:id="95" w:name="_Toc5302"/>
      <w:bookmarkStart w:id="96" w:name="_Toc10549"/>
      <w:bookmarkStart w:id="97" w:name="_Toc532367877"/>
      <w:bookmarkStart w:id="98" w:name="_Toc31567"/>
      <w:bookmarkStart w:id="99" w:name="_Toc111"/>
      <w:bookmarkStart w:id="100" w:name="_Toc11066"/>
      <w:r>
        <w:rPr>
          <w:rFonts w:hint="eastAsia" w:ascii="宋体" w:hAnsi="宋体" w:eastAsia="宋体" w:cs="宋体"/>
          <w:b/>
          <w:bCs/>
          <w:sz w:val="30"/>
          <w:szCs w:val="30"/>
          <w:highlight w:val="none"/>
        </w:rPr>
        <w:t>5. 开标</w:t>
      </w:r>
      <w:bookmarkEnd w:id="91"/>
      <w:bookmarkEnd w:id="92"/>
      <w:bookmarkEnd w:id="93"/>
      <w:bookmarkEnd w:id="94"/>
      <w:bookmarkEnd w:id="95"/>
      <w:bookmarkEnd w:id="96"/>
      <w:bookmarkEnd w:id="97"/>
      <w:bookmarkEnd w:id="98"/>
      <w:bookmarkEnd w:id="99"/>
      <w:bookmarkEnd w:id="100"/>
    </w:p>
    <w:p>
      <w:pPr>
        <w:keepNext/>
        <w:keepLines/>
        <w:spacing w:before="240" w:after="240" w:line="360" w:lineRule="auto"/>
        <w:outlineLvl w:val="2"/>
        <w:rPr>
          <w:rFonts w:ascii="宋体" w:hAnsi="宋体" w:eastAsia="宋体" w:cs="宋体"/>
          <w:sz w:val="24"/>
          <w:szCs w:val="24"/>
          <w:highlight w:val="none"/>
        </w:rPr>
      </w:pPr>
      <w:r>
        <w:rPr>
          <w:rFonts w:ascii="宋体" w:hAnsi="宋体" w:eastAsia="宋体" w:cs="宋体"/>
          <w:sz w:val="24"/>
          <w:szCs w:val="24"/>
          <w:highlight w:val="none"/>
        </w:rPr>
        <w:t xml:space="preserve">5.1 开标时间和地点（A） </w:t>
      </w:r>
    </w:p>
    <w:p>
      <w:pPr>
        <w:keepNext/>
        <w:keepLines/>
        <w:spacing w:before="240" w:after="240" w:line="360" w:lineRule="auto"/>
        <w:ind w:firstLine="480" w:firstLineChars="200"/>
        <w:outlineLvl w:val="2"/>
        <w:rPr>
          <w:rFonts w:ascii="宋体" w:hAnsi="宋体" w:eastAsia="宋体" w:cs="宋体"/>
          <w:b/>
          <w:bCs/>
          <w:sz w:val="30"/>
          <w:szCs w:val="30"/>
          <w:highlight w:val="none"/>
        </w:rPr>
      </w:pPr>
      <w:r>
        <w:rPr>
          <w:rFonts w:ascii="宋体" w:hAnsi="宋体" w:eastAsia="宋体" w:cs="宋体"/>
          <w:sz w:val="24"/>
          <w:szCs w:val="24"/>
          <w:highlight w:val="none"/>
        </w:rPr>
        <w:t>招标人在本章第 4.2.1 项规定的投标截止时间（开标时间）和投标人须知前附表规定的地点公开开标，并邀请所有投标人的法定代表人（单位负责人）或其委托代理人准时参加。</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5.1 开标时间和地点（B）</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招标人在本章第4.2.1项规定的投标截止时间（开标时间）,通过电子招标投标交易平台公开开标，所有投标人的法定代表人或其委托代理人应当准时参加。</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5.2 开标程序</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主持人按下列程序进行开标：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（1）宣布开标纪律；</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（2）公布在投标截止时间前递交投标文件的投标人名称；</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（3）宣布开标人、唱标人、记录人、监标人等有关人员姓名；</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（4）（A）检查投标文件的密封情况，按照投标人须知前附表规定的开标顺序当众开标，公布招标项目名称、投标人名称、投标保证金的递交情况、投标报价、交货期、交货地点及其他内容，并记录在案；</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（4）（B）投标人通过电子招标投标交易平台对已递交的电子投标文件进行解密，公布招标项目名称、投标人名称、投标报价、交货期、交货地点及其他内容，并记录在案；</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（5）（A）投标人代表、招标人代表、监标人、记录人等有关人员在开标记录上签字确认；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（5）（B）投标人代表、招标人代表、监标人、记录人等有关人员使用本人的电子印章在开标记录上签字确认；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（6）开标结束。</w:t>
      </w:r>
    </w:p>
    <w:p>
      <w:pPr>
        <w:keepNext/>
        <w:keepLines/>
        <w:spacing w:before="120" w:after="120" w:line="360" w:lineRule="auto"/>
        <w:outlineLvl w:val="2"/>
        <w:rPr>
          <w:rFonts w:ascii="宋体" w:hAnsi="宋体" w:eastAsia="宋体" w:cs="宋体"/>
          <w:b/>
          <w:bCs/>
          <w:sz w:val="24"/>
          <w:szCs w:val="24"/>
          <w:highlight w:val="none"/>
        </w:rPr>
      </w:pPr>
      <w:r>
        <w:rPr>
          <w:rFonts w:hint="eastAsia" w:ascii="宋体" w:hAnsi="宋体" w:eastAsia="宋体" w:cs="宋体"/>
          <w:b/>
          <w:bCs/>
          <w:sz w:val="24"/>
          <w:szCs w:val="24"/>
          <w:highlight w:val="none"/>
        </w:rPr>
        <w:t>5.3 开标异议</w:t>
      </w:r>
    </w:p>
    <w:p>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u w:val="singl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pPr>
        <w:keepNext/>
        <w:keepLines/>
        <w:spacing w:before="240" w:after="240" w:line="360" w:lineRule="auto"/>
        <w:jc w:val="left"/>
        <w:outlineLvl w:val="2"/>
        <w:rPr>
          <w:rFonts w:ascii="宋体" w:hAnsi="宋体" w:eastAsia="宋体" w:cs="宋体"/>
          <w:b/>
          <w:bCs/>
          <w:sz w:val="30"/>
          <w:szCs w:val="30"/>
          <w:highlight w:val="none"/>
        </w:rPr>
      </w:pPr>
      <w:bookmarkStart w:id="101" w:name="_Toc24608"/>
      <w:bookmarkStart w:id="102" w:name="_Toc11500"/>
      <w:bookmarkStart w:id="103" w:name="_Toc532367878"/>
      <w:r>
        <w:rPr>
          <w:rFonts w:hint="eastAsia" w:ascii="宋体" w:hAnsi="宋体" w:eastAsia="宋体" w:cs="宋体"/>
          <w:b/>
          <w:bCs/>
          <w:sz w:val="30"/>
          <w:szCs w:val="30"/>
          <w:highlight w:val="none"/>
        </w:rPr>
        <w:t>6. 评标</w:t>
      </w:r>
      <w:bookmarkEnd w:id="101"/>
      <w:bookmarkEnd w:id="102"/>
      <w:bookmarkEnd w:id="103"/>
    </w:p>
    <w:p>
      <w:pPr>
        <w:spacing w:line="360" w:lineRule="auto"/>
        <w:ind w:firstLine="487" w:firstLineChars="202"/>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6.1 评标委员会</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6.1.1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6.1.2 评标委员会成员有下列情形之一的，应当回避：</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（1）投标人或投标人主要负责人的近亲属；</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（2）项目主管部门或者行政监督部门的人员；</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（3）与投标人有经济利益关系，可能影响对投标公正评审的；</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（4）曾因在招标、评标以及其他与招标投标有关活动中从事违法行为而受过行政处罚或刑事处罚的；</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（5）与投标人有其他利害关系。</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pPr>
        <w:spacing w:line="360" w:lineRule="auto"/>
        <w:ind w:firstLine="487" w:firstLineChars="202"/>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6.2 评标原则</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评标活动遵循公平、公正、科学和择优的原则。</w:t>
      </w:r>
    </w:p>
    <w:p>
      <w:pPr>
        <w:spacing w:line="360" w:lineRule="auto"/>
        <w:ind w:firstLine="487" w:firstLineChars="202"/>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6.3 评标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6.3.1 评标委员会按照第三章“评标办法”规定的方法、评审因素、标准和程序对投标文件进行评审。第三章“评标办法”没有规定的方法、评审因素和标准，不作为评标依据。</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6.3.2 评标完成后，评标委员会应当向招标人提交书面评标报告和中标候选人名单。评标委员会推荐中标候选人的人数见投标人须知前附表。</w:t>
      </w:r>
    </w:p>
    <w:p>
      <w:pPr>
        <w:keepNext/>
        <w:keepLines/>
        <w:spacing w:before="240" w:after="240" w:line="360" w:lineRule="auto"/>
        <w:outlineLvl w:val="2"/>
        <w:rPr>
          <w:rFonts w:ascii="宋体" w:hAnsi="宋体" w:eastAsia="宋体" w:cs="宋体"/>
          <w:b/>
          <w:bCs/>
          <w:sz w:val="30"/>
          <w:szCs w:val="30"/>
          <w:highlight w:val="none"/>
        </w:rPr>
      </w:pPr>
      <w:bookmarkStart w:id="104" w:name="_Toc27928"/>
      <w:bookmarkStart w:id="105" w:name="_Toc15742"/>
      <w:bookmarkStart w:id="106" w:name="_Toc377719905"/>
      <w:bookmarkStart w:id="107" w:name="_Toc24971"/>
      <w:bookmarkStart w:id="108" w:name="_Toc31080"/>
      <w:bookmarkStart w:id="109" w:name="_Toc23147"/>
      <w:bookmarkStart w:id="110" w:name="_Toc17606"/>
      <w:bookmarkStart w:id="111" w:name="_Toc22463"/>
      <w:bookmarkStart w:id="112" w:name="_Toc532367879"/>
      <w:bookmarkStart w:id="113" w:name="_Toc21343"/>
      <w:r>
        <w:rPr>
          <w:rFonts w:hint="eastAsia" w:ascii="宋体" w:hAnsi="宋体" w:eastAsia="宋体" w:cs="宋体"/>
          <w:b/>
          <w:bCs/>
          <w:sz w:val="30"/>
          <w:szCs w:val="30"/>
          <w:highlight w:val="none"/>
        </w:rPr>
        <w:t>7. 合同</w:t>
      </w:r>
      <w:bookmarkEnd w:id="104"/>
      <w:bookmarkEnd w:id="105"/>
      <w:bookmarkEnd w:id="106"/>
      <w:bookmarkEnd w:id="107"/>
      <w:bookmarkEnd w:id="108"/>
      <w:bookmarkEnd w:id="109"/>
      <w:bookmarkEnd w:id="110"/>
      <w:r>
        <w:rPr>
          <w:rFonts w:hint="eastAsia" w:ascii="宋体" w:hAnsi="宋体" w:eastAsia="宋体" w:cs="宋体"/>
          <w:b/>
          <w:bCs/>
          <w:sz w:val="30"/>
          <w:szCs w:val="30"/>
          <w:highlight w:val="none"/>
        </w:rPr>
        <w:t>授予</w:t>
      </w:r>
      <w:bookmarkEnd w:id="111"/>
      <w:bookmarkEnd w:id="112"/>
      <w:bookmarkEnd w:id="113"/>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7.1 中标候选人公示</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招标人在收到评标报告之日起3日内，按照投标人须知前附表规定的公示媒介和期限公示中标候选人，公示期不得少于3天。</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7.2 评标结果异议</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投标人或者其他利害关系人对评标结果有异议的，应当在中标候选人公示期间提出。招标人将在收到异议之日起3日内作出答复；作出答复前，将暂停招标投标活动。</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7.3 中标候选人履约能力审查</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7.4 定标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按照投标人须知前附表的规定，招标人或招标人授权的评标委员会依法确定中标人。</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7.5 中标通知</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在本章第 3.3 款规定的投标有效期内，招标人以书面形式向中标人发出中标通知书，同时将中标结果通知未中标的投标人。</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7.6 履约保证金</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7.6.1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7.6.2 中标人不能按本章第7.6.1项要求提交履约保证金的，视为放弃中标，其投标保证金不予退还，给招标人造成的损失超过投标保证金数额的，中标人还应当对超过部分予以赔偿。</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7.7 签订合同</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7.7.1 招标人和中标人应当在中标通知书发出之日起30日内，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7.7.2 发出中标通知书后，招标人无正当理由拒签合同，或者在签订合同时向中标人提出附加条件的，招标人向中标人退还投标保证金；给中标人造成损失的，还应当赔偿损失。</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7.7.3 联合体中标的，联合体各方应当共同与招标人签订合同，就中标项目向招标人承担连带责任。</w:t>
      </w:r>
    </w:p>
    <w:p>
      <w:pPr>
        <w:keepNext/>
        <w:keepLines/>
        <w:spacing w:before="240" w:after="240" w:line="360" w:lineRule="auto"/>
        <w:jc w:val="left"/>
        <w:outlineLvl w:val="2"/>
        <w:rPr>
          <w:rFonts w:ascii="宋体" w:hAnsi="宋体" w:eastAsia="宋体" w:cs="宋体"/>
          <w:b/>
          <w:bCs/>
          <w:sz w:val="30"/>
          <w:szCs w:val="30"/>
          <w:highlight w:val="none"/>
        </w:rPr>
      </w:pPr>
      <w:bookmarkStart w:id="114" w:name="_Toc25746"/>
      <w:bookmarkStart w:id="115" w:name="_Toc532367880"/>
      <w:bookmarkStart w:id="116" w:name="_Toc15378"/>
      <w:r>
        <w:rPr>
          <w:rFonts w:hint="eastAsia" w:ascii="宋体" w:hAnsi="宋体" w:eastAsia="宋体" w:cs="宋体"/>
          <w:b/>
          <w:bCs/>
          <w:sz w:val="30"/>
          <w:szCs w:val="30"/>
          <w:highlight w:val="none"/>
        </w:rPr>
        <w:t>8.纪律和监督</w:t>
      </w:r>
      <w:bookmarkEnd w:id="114"/>
      <w:bookmarkEnd w:id="115"/>
      <w:bookmarkEnd w:id="116"/>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8.1 对招标人的纪律要求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招标人不得泄露招标投标活动中应当保密的情况和资料，不得与投标人串通损害国家利益、社会公共利益或者他人合法权益。</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8.2 对投标人的纪律要求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8.3 对评标委员会成员的纪律要求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8.4 对与评标活动有关的工作人员的纪律要求</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spacing w:line="360" w:lineRule="auto"/>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8.5 投诉</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8.5.1 投标人或者其他利害关系人认为招标投标活动不符合法律、行政法规规定的，可以自知道或者应当知道之日起 10 日内向有关行政监督部门投诉。投诉应当有明确的请求和必要的证明材料。</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8.5.2 投标人或者其他利害关系人对招标文件、开标和评标结果提出投诉的，应当按照投标人须知第 2.4 款、第 5.3 款和第 7.2 款的规定先向招标人提出异议。异议答复期间不计算在第 8.5.1项规定的期限内。</w:t>
      </w:r>
    </w:p>
    <w:p>
      <w:pPr>
        <w:keepNext/>
        <w:keepLines/>
        <w:jc w:val="left"/>
        <w:outlineLvl w:val="2"/>
        <w:rPr>
          <w:rFonts w:ascii="宋体" w:hAnsi="宋体" w:eastAsia="宋体" w:cs="宋体"/>
          <w:b/>
          <w:bCs/>
          <w:sz w:val="30"/>
          <w:szCs w:val="30"/>
          <w:highlight w:val="none"/>
        </w:rPr>
      </w:pPr>
      <w:r>
        <w:rPr>
          <w:rFonts w:hint="eastAsia" w:ascii="宋体" w:hAnsi="宋体" w:eastAsia="宋体" w:cs="宋体"/>
          <w:b/>
          <w:bCs/>
          <w:sz w:val="30"/>
          <w:szCs w:val="30"/>
          <w:highlight w:val="none"/>
        </w:rPr>
        <w:t>9. 是否采用电子招标投标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本招标项目采用电子招标投标方式，见投标人须知前附表。</w:t>
      </w:r>
    </w:p>
    <w:p>
      <w:pPr>
        <w:keepNext/>
        <w:keepLines/>
        <w:jc w:val="left"/>
        <w:outlineLvl w:val="2"/>
        <w:rPr>
          <w:rFonts w:ascii="宋体" w:hAnsi="宋体" w:eastAsia="宋体" w:cs="宋体"/>
          <w:b/>
          <w:bCs/>
          <w:sz w:val="30"/>
          <w:szCs w:val="30"/>
          <w:highlight w:val="none"/>
        </w:rPr>
      </w:pPr>
      <w:r>
        <w:rPr>
          <w:rFonts w:hint="eastAsia" w:ascii="宋体" w:hAnsi="宋体" w:eastAsia="宋体" w:cs="宋体"/>
          <w:b/>
          <w:bCs/>
          <w:sz w:val="30"/>
          <w:szCs w:val="30"/>
          <w:highlight w:val="none"/>
        </w:rPr>
        <w:t>10. 需要补充的其他内容</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需要补充的其他内容：见投标人须知前附表。</w:t>
      </w:r>
      <w:bookmarkEnd w:id="39"/>
      <w:bookmarkEnd w:id="40"/>
      <w:bookmarkEnd w:id="41"/>
    </w:p>
    <w:p>
      <w:pPr>
        <w:keepNext/>
        <w:keepLines/>
        <w:widowControl/>
        <w:spacing w:line="360" w:lineRule="auto"/>
        <w:jc w:val="left"/>
        <w:outlineLvl w:val="2"/>
        <w:rPr>
          <w:rFonts w:ascii="宋体" w:hAnsi="宋体" w:eastAsia="宋体" w:cs="宋体"/>
          <w:kern w:val="0"/>
          <w:sz w:val="24"/>
          <w:szCs w:val="24"/>
          <w:highlight w:val="none"/>
        </w:rPr>
      </w:pPr>
      <w:r>
        <w:rPr>
          <w:rFonts w:hint="eastAsia" w:ascii="宋体" w:hAnsi="宋体" w:eastAsia="宋体" w:cs="宋体"/>
          <w:sz w:val="32"/>
          <w:szCs w:val="32"/>
          <w:highlight w:val="none"/>
        </w:rPr>
        <w:br w:type="page"/>
      </w:r>
      <w:r>
        <w:rPr>
          <w:rFonts w:hint="eastAsia" w:ascii="宋体" w:hAnsi="宋体" w:eastAsia="宋体" w:cs="宋体"/>
          <w:kern w:val="0"/>
          <w:sz w:val="24"/>
          <w:szCs w:val="24"/>
          <w:highlight w:val="none"/>
        </w:rPr>
        <w:t>附件一：开标记录表</w:t>
      </w:r>
    </w:p>
    <w:p>
      <w:pPr>
        <w:keepNext/>
        <w:keepLines/>
        <w:widowControl/>
        <w:spacing w:line="360" w:lineRule="auto"/>
        <w:jc w:val="center"/>
        <w:outlineLvl w:val="4"/>
        <w:rPr>
          <w:rFonts w:ascii="宋体" w:hAnsi="宋体" w:eastAsia="宋体" w:cs="宋体"/>
          <w:kern w:val="0"/>
          <w:sz w:val="24"/>
          <w:szCs w:val="24"/>
          <w:highlight w:val="none"/>
        </w:rPr>
      </w:pPr>
      <w:r>
        <w:rPr>
          <w:rFonts w:hint="eastAsia" w:ascii="宋体" w:hAnsi="宋体" w:eastAsia="宋体" w:cs="宋体"/>
          <w:kern w:val="0"/>
          <w:sz w:val="24"/>
          <w:szCs w:val="24"/>
          <w:highlight w:val="none"/>
        </w:rPr>
        <w:t>开标记录表</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开标时间：　　年　　月　　日　　时　　分</w:t>
      </w:r>
    </w:p>
    <w:tbl>
      <w:tblPr>
        <w:tblStyle w:val="31"/>
        <w:tblW w:w="0" w:type="auto"/>
        <w:tblInd w:w="-116" w:type="dxa"/>
        <w:tblLayout w:type="fixed"/>
        <w:tblCellMar>
          <w:top w:w="0" w:type="dxa"/>
          <w:left w:w="108" w:type="dxa"/>
          <w:bottom w:w="0" w:type="dxa"/>
          <w:right w:w="108" w:type="dxa"/>
        </w:tblCellMar>
      </w:tblPr>
      <w:tblGrid>
        <w:gridCol w:w="701"/>
        <w:gridCol w:w="880"/>
        <w:gridCol w:w="1262"/>
        <w:gridCol w:w="948"/>
        <w:gridCol w:w="948"/>
        <w:gridCol w:w="1656"/>
        <w:gridCol w:w="791"/>
        <w:gridCol w:w="634"/>
        <w:gridCol w:w="1422"/>
      </w:tblGrid>
      <w:tr>
        <w:tblPrEx>
          <w:tblCellMar>
            <w:top w:w="0" w:type="dxa"/>
            <w:left w:w="108" w:type="dxa"/>
            <w:bottom w:w="0" w:type="dxa"/>
            <w:right w:w="108" w:type="dxa"/>
          </w:tblCellMar>
        </w:tblPrEx>
        <w:trPr>
          <w:trHeight w:val="1621" w:hRule="atLeast"/>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序号</w:t>
            </w: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w:t>
            </w: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投标文件递交</w:t>
            </w: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解密情况</w:t>
            </w: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投标保证金</w:t>
            </w:r>
          </w:p>
        </w:tc>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投标报价（元）</w:t>
            </w: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交货期</w:t>
            </w: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备注</w:t>
            </w: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投标人代表签名</w:t>
            </w:r>
          </w:p>
        </w:tc>
      </w:tr>
      <w:tr>
        <w:tblPrEx>
          <w:tblCellMar>
            <w:top w:w="0" w:type="dxa"/>
            <w:left w:w="108" w:type="dxa"/>
            <w:bottom w:w="0" w:type="dxa"/>
            <w:right w:w="108" w:type="dxa"/>
          </w:tblCellMar>
        </w:tblPrEx>
        <w:trPr>
          <w:trHeight w:val="547" w:hRule="atLeast"/>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r>
      <w:tr>
        <w:tblPrEx>
          <w:tblCellMar>
            <w:top w:w="0" w:type="dxa"/>
            <w:left w:w="108" w:type="dxa"/>
            <w:bottom w:w="0" w:type="dxa"/>
            <w:right w:w="108" w:type="dxa"/>
          </w:tblCellMar>
        </w:tblPrEx>
        <w:trPr>
          <w:trHeight w:val="549" w:hRule="atLeast"/>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r>
      <w:tr>
        <w:tblPrEx>
          <w:tblCellMar>
            <w:top w:w="0" w:type="dxa"/>
            <w:left w:w="108" w:type="dxa"/>
            <w:bottom w:w="0" w:type="dxa"/>
            <w:right w:w="108" w:type="dxa"/>
          </w:tblCellMar>
        </w:tblPrEx>
        <w:trPr>
          <w:trHeight w:val="549" w:hRule="atLeast"/>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r>
      <w:tr>
        <w:tblPrEx>
          <w:tblCellMar>
            <w:top w:w="0" w:type="dxa"/>
            <w:left w:w="108" w:type="dxa"/>
            <w:bottom w:w="0" w:type="dxa"/>
            <w:right w:w="108" w:type="dxa"/>
          </w:tblCellMar>
        </w:tblPrEx>
        <w:trPr>
          <w:trHeight w:val="547" w:hRule="atLeast"/>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bookmarkStart w:id="117" w:name="_Toc17638"/>
          </w:p>
        </w:tc>
      </w:tr>
      <w:tr>
        <w:tblPrEx>
          <w:tblCellMar>
            <w:top w:w="0" w:type="dxa"/>
            <w:left w:w="108" w:type="dxa"/>
            <w:bottom w:w="0" w:type="dxa"/>
            <w:right w:w="108" w:type="dxa"/>
          </w:tblCellMar>
        </w:tblPrEx>
        <w:trPr>
          <w:trHeight w:val="547" w:hRule="atLeast"/>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6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14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r>
      <w:tr>
        <w:tblPrEx>
          <w:tblCellMar>
            <w:top w:w="0" w:type="dxa"/>
            <w:left w:w="108" w:type="dxa"/>
            <w:bottom w:w="0" w:type="dxa"/>
            <w:right w:w="108" w:type="dxa"/>
          </w:tblCellMar>
        </w:tblPrEx>
        <w:trPr>
          <w:gridAfter w:val="7"/>
          <w:wAfter w:w="4145" w:type="pct"/>
          <w:trHeight w:val="547" w:hRule="atLeast"/>
        </w:trPr>
        <w:tc>
          <w:tcPr>
            <w:tcW w:w="158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最高投标限价：</w:t>
            </w:r>
          </w:p>
        </w:tc>
      </w:tr>
      <w:bookmarkEnd w:id="117"/>
    </w:tbl>
    <w:p>
      <w:pPr>
        <w:widowControl/>
        <w:spacing w:after="304" w:line="259" w:lineRule="auto"/>
        <w:jc w:val="left"/>
        <w:rPr>
          <w:rFonts w:ascii="宋体" w:hAnsi="宋体" w:eastAsia="宋体" w:cs="宋体"/>
          <w:sz w:val="22"/>
          <w:highlight w:val="none"/>
        </w:rPr>
      </w:pPr>
    </w:p>
    <w:p>
      <w:pPr>
        <w:widowControl/>
        <w:spacing w:after="328" w:line="265" w:lineRule="auto"/>
        <w:ind w:left="10" w:right="103" w:hanging="10"/>
        <w:jc w:val="left"/>
        <w:rPr>
          <w:rFonts w:ascii="宋体" w:hAnsi="宋体" w:eastAsia="宋体" w:cs="宋体"/>
          <w:sz w:val="22"/>
          <w:highlight w:val="none"/>
        </w:rPr>
      </w:pPr>
      <w:r>
        <w:rPr>
          <w:rFonts w:hint="eastAsia" w:ascii="宋体" w:hAnsi="宋体" w:eastAsia="宋体" w:cs="宋体"/>
          <w:highlight w:val="none"/>
        </w:rPr>
        <w:t>招标人代表：     记录人：     监标人：</w:t>
      </w:r>
    </w:p>
    <w:p>
      <w:pPr>
        <w:widowControl/>
        <w:spacing w:after="182" w:line="259" w:lineRule="auto"/>
        <w:ind w:left="10" w:right="198" w:hanging="10"/>
        <w:jc w:val="right"/>
        <w:rPr>
          <w:rFonts w:ascii="宋体" w:hAnsi="宋体" w:eastAsia="宋体" w:cs="宋体"/>
          <w:highlight w:val="none"/>
        </w:rPr>
      </w:pPr>
      <w:r>
        <w:rPr>
          <w:rFonts w:hint="eastAsia" w:ascii="宋体" w:hAnsi="宋体" w:eastAsia="宋体" w:cs="宋体"/>
          <w:highlight w:val="none"/>
        </w:rPr>
        <w:t xml:space="preserve">    年    月    日</w:t>
      </w:r>
    </w:p>
    <w:p>
      <w:pPr>
        <w:widowControl/>
        <w:spacing w:after="182" w:line="259" w:lineRule="auto"/>
        <w:ind w:left="10" w:right="198" w:hanging="10"/>
        <w:jc w:val="right"/>
        <w:rPr>
          <w:rFonts w:ascii="宋体" w:hAnsi="宋体" w:eastAsia="宋体" w:cs="宋体"/>
          <w:highlight w:val="none"/>
        </w:rPr>
      </w:pPr>
    </w:p>
    <w:p>
      <w:pPr>
        <w:widowControl/>
        <w:spacing w:after="182" w:line="259" w:lineRule="auto"/>
        <w:ind w:left="10" w:right="998" w:hanging="10"/>
        <w:rPr>
          <w:rFonts w:ascii="宋体" w:hAnsi="宋体" w:eastAsia="宋体" w:cs="宋体"/>
          <w:highlight w:val="none"/>
        </w:rPr>
      </w:pPr>
      <w:r>
        <w:rPr>
          <w:rFonts w:hint="eastAsia" w:ascii="宋体" w:hAnsi="宋体" w:eastAsia="宋体" w:cs="宋体"/>
          <w:sz w:val="20"/>
          <w:highlight w:val="none"/>
          <w:u w:val="single"/>
        </w:rPr>
        <w:t>本表仅供参考，具体以开标时的开标记录表为准。</w:t>
      </w:r>
    </w:p>
    <w:p>
      <w:pPr>
        <w:widowControl/>
        <w:spacing w:line="360" w:lineRule="auto"/>
        <w:jc w:val="left"/>
        <w:rPr>
          <w:rFonts w:ascii="宋体" w:hAnsi="宋体" w:eastAsia="宋体" w:cs="宋体"/>
          <w:kern w:val="0"/>
          <w:sz w:val="24"/>
          <w:szCs w:val="24"/>
          <w:highlight w:val="none"/>
        </w:rPr>
      </w:pPr>
      <w:r>
        <w:rPr>
          <w:rFonts w:hint="eastAsia" w:ascii="宋体" w:hAnsi="宋体" w:eastAsia="宋体" w:cs="宋体"/>
          <w:highlight w:val="none"/>
        </w:rPr>
        <w:br w:type="page"/>
      </w:r>
      <w:r>
        <w:rPr>
          <w:rFonts w:hint="eastAsia" w:ascii="宋体" w:hAnsi="宋体" w:eastAsia="宋体" w:cs="宋体"/>
          <w:kern w:val="0"/>
          <w:sz w:val="24"/>
          <w:szCs w:val="24"/>
          <w:highlight w:val="none"/>
        </w:rPr>
        <w:t>附件二：确认通知</w:t>
      </w:r>
    </w:p>
    <w:p>
      <w:pPr>
        <w:keepNext/>
        <w:keepLines/>
        <w:widowControl/>
        <w:spacing w:line="360" w:lineRule="auto"/>
        <w:jc w:val="center"/>
        <w:rPr>
          <w:rFonts w:ascii="宋体" w:hAnsi="宋体" w:eastAsia="宋体" w:cs="宋体"/>
          <w:kern w:val="0"/>
          <w:sz w:val="24"/>
          <w:szCs w:val="24"/>
          <w:highlight w:val="none"/>
        </w:rPr>
      </w:pPr>
    </w:p>
    <w:p>
      <w:pPr>
        <w:keepNext/>
        <w:keepLines/>
        <w:widowControl/>
        <w:spacing w:line="360" w:lineRule="auto"/>
        <w:jc w:val="center"/>
        <w:outlineLvl w:val="4"/>
        <w:rPr>
          <w:rFonts w:ascii="宋体" w:hAnsi="宋体" w:eastAsia="宋体" w:cs="宋体"/>
          <w:sz w:val="24"/>
          <w:szCs w:val="24"/>
          <w:highlight w:val="none"/>
        </w:rPr>
      </w:pPr>
      <w:r>
        <w:rPr>
          <w:rFonts w:hint="eastAsia" w:ascii="宋体" w:hAnsi="宋体" w:eastAsia="宋体" w:cs="宋体"/>
          <w:kern w:val="0"/>
          <w:sz w:val="24"/>
          <w:szCs w:val="24"/>
          <w:highlight w:val="none"/>
        </w:rPr>
        <w:t>（按格式）</w:t>
      </w:r>
    </w:p>
    <w:p>
      <w:pPr>
        <w:keepNext/>
        <w:keepLines/>
        <w:widowControl/>
        <w:spacing w:line="360" w:lineRule="auto"/>
        <w:jc w:val="left"/>
        <w:outlineLvl w:val="2"/>
        <w:rPr>
          <w:rFonts w:ascii="宋体" w:hAnsi="宋体" w:eastAsia="宋体" w:cs="宋体"/>
          <w:kern w:val="0"/>
          <w:sz w:val="24"/>
          <w:szCs w:val="24"/>
          <w:highlight w:val="none"/>
        </w:rPr>
      </w:pPr>
      <w:bookmarkStart w:id="118" w:name="_Toc508788667"/>
      <w:bookmarkStart w:id="119" w:name="_Toc508382150"/>
      <w:r>
        <w:rPr>
          <w:rFonts w:hint="eastAsia" w:ascii="宋体" w:hAnsi="宋体" w:eastAsia="宋体" w:cs="宋体"/>
          <w:kern w:val="0"/>
          <w:sz w:val="24"/>
          <w:szCs w:val="24"/>
          <w:highlight w:val="none"/>
        </w:rPr>
        <w:br w:type="page"/>
      </w:r>
      <w:bookmarkEnd w:id="118"/>
      <w:bookmarkEnd w:id="119"/>
      <w:r>
        <w:rPr>
          <w:rFonts w:hint="eastAsia" w:ascii="宋体" w:hAnsi="宋体" w:eastAsia="宋体" w:cs="宋体"/>
          <w:kern w:val="0"/>
          <w:sz w:val="24"/>
          <w:szCs w:val="24"/>
          <w:highlight w:val="none"/>
        </w:rPr>
        <w:t>附件三：问题澄清通知</w:t>
      </w:r>
    </w:p>
    <w:p>
      <w:pPr>
        <w:keepNext/>
        <w:keepLines/>
        <w:widowControl/>
        <w:spacing w:line="360" w:lineRule="auto"/>
        <w:jc w:val="center"/>
        <w:outlineLvl w:val="2"/>
        <w:rPr>
          <w:rFonts w:ascii="宋体" w:hAnsi="宋体" w:eastAsia="宋体" w:cs="宋体"/>
          <w:kern w:val="0"/>
          <w:sz w:val="24"/>
          <w:szCs w:val="24"/>
          <w:highlight w:val="none"/>
        </w:rPr>
      </w:pPr>
      <w:r>
        <w:rPr>
          <w:rFonts w:hint="eastAsia" w:ascii="宋体" w:hAnsi="宋体" w:eastAsia="宋体" w:cs="宋体"/>
          <w:kern w:val="0"/>
          <w:sz w:val="24"/>
          <w:szCs w:val="24"/>
          <w:highlight w:val="none"/>
        </w:rPr>
        <w:t>（按格式）</w:t>
      </w:r>
    </w:p>
    <w:p>
      <w:pPr>
        <w:widowControl/>
        <w:spacing w:line="360" w:lineRule="auto"/>
        <w:jc w:val="left"/>
        <w:rPr>
          <w:rFonts w:ascii="宋体" w:hAnsi="宋体" w:eastAsia="宋体" w:cs="宋体"/>
          <w:kern w:val="0"/>
          <w:sz w:val="24"/>
          <w:szCs w:val="24"/>
          <w:highlight w:val="none"/>
        </w:rPr>
      </w:pPr>
      <w:r>
        <w:rPr>
          <w:rFonts w:hint="eastAsia" w:ascii="宋体" w:hAnsi="宋体" w:eastAsia="宋体" w:cs="宋体"/>
          <w:sz w:val="24"/>
          <w:szCs w:val="24"/>
          <w:highlight w:val="none"/>
        </w:rPr>
        <w:br w:type="page"/>
      </w:r>
      <w:r>
        <w:rPr>
          <w:rFonts w:hint="eastAsia" w:ascii="宋体" w:hAnsi="宋体" w:eastAsia="宋体" w:cs="宋体"/>
          <w:kern w:val="0"/>
          <w:sz w:val="24"/>
          <w:szCs w:val="24"/>
          <w:highlight w:val="none"/>
        </w:rPr>
        <w:t xml:space="preserve">附件四：问题的澄清 </w:t>
      </w:r>
    </w:p>
    <w:p>
      <w:pPr>
        <w:widowControl/>
        <w:spacing w:line="360" w:lineRule="auto"/>
        <w:jc w:val="left"/>
        <w:rPr>
          <w:rFonts w:ascii="宋体" w:hAnsi="宋体" w:eastAsia="宋体" w:cs="宋体"/>
          <w:kern w:val="0"/>
          <w:sz w:val="24"/>
          <w:szCs w:val="24"/>
          <w:highlight w:val="none"/>
        </w:rPr>
      </w:pPr>
    </w:p>
    <w:p>
      <w:pPr>
        <w:widowControl/>
        <w:spacing w:line="360" w:lineRule="auto"/>
        <w:jc w:val="center"/>
        <w:rPr>
          <w:rFonts w:ascii="宋体" w:hAnsi="宋体" w:eastAsia="宋体" w:cs="宋体"/>
          <w:sz w:val="24"/>
          <w:szCs w:val="24"/>
          <w:highlight w:val="none"/>
        </w:rPr>
      </w:pPr>
      <w:r>
        <w:rPr>
          <w:rFonts w:hint="eastAsia" w:ascii="宋体" w:hAnsi="宋体" w:eastAsia="宋体" w:cs="宋体"/>
          <w:kern w:val="0"/>
          <w:sz w:val="24"/>
          <w:szCs w:val="24"/>
          <w:highlight w:val="none"/>
        </w:rPr>
        <w:t>（按格式）</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br w:type="page"/>
      </w:r>
      <w:r>
        <w:rPr>
          <w:rFonts w:hint="eastAsia" w:ascii="宋体" w:hAnsi="宋体" w:eastAsia="宋体" w:cs="宋体"/>
          <w:sz w:val="24"/>
          <w:szCs w:val="24"/>
          <w:highlight w:val="none"/>
        </w:rPr>
        <w:t xml:space="preserve">附件五：中标通知书 </w:t>
      </w:r>
    </w:p>
    <w:p>
      <w:pPr>
        <w:widowControl/>
        <w:spacing w:line="360" w:lineRule="auto"/>
        <w:jc w:val="left"/>
        <w:rPr>
          <w:rFonts w:ascii="宋体" w:hAnsi="宋体" w:eastAsia="宋体" w:cs="宋体"/>
          <w:sz w:val="24"/>
          <w:szCs w:val="24"/>
          <w:highlight w:val="none"/>
        </w:rPr>
      </w:pPr>
    </w:p>
    <w:p>
      <w:pPr>
        <w:spacing w:line="360" w:lineRule="auto"/>
        <w:jc w:val="center"/>
        <w:rPr>
          <w:rFonts w:ascii="宋体" w:hAnsi="宋体" w:eastAsia="宋体" w:cs="宋体"/>
          <w:szCs w:val="21"/>
          <w:highlight w:val="none"/>
        </w:rPr>
      </w:pPr>
      <w:r>
        <w:rPr>
          <w:rFonts w:hint="eastAsia" w:ascii="宋体" w:hAnsi="宋体" w:eastAsia="宋体" w:cs="宋体"/>
          <w:sz w:val="24"/>
          <w:szCs w:val="24"/>
          <w:highlight w:val="none"/>
        </w:rPr>
        <w:t>（按格式）</w:t>
      </w:r>
      <w:r>
        <w:rPr>
          <w:rFonts w:hint="eastAsia" w:ascii="宋体" w:hAnsi="宋体" w:eastAsia="宋体" w:cs="宋体"/>
          <w:sz w:val="24"/>
          <w:szCs w:val="24"/>
          <w:highlight w:val="none"/>
        </w:rPr>
        <w:br w:type="page"/>
      </w:r>
    </w:p>
    <w:p>
      <w:pPr>
        <w:spacing w:line="502" w:lineRule="exact"/>
        <w:ind w:left="1580"/>
        <w:outlineLvl w:val="0"/>
        <w:rPr>
          <w:rFonts w:ascii="宋体" w:hAnsi="宋体" w:eastAsia="宋体" w:cs="宋体"/>
          <w:b/>
          <w:sz w:val="44"/>
          <w:highlight w:val="none"/>
        </w:rPr>
      </w:pPr>
      <w:bookmarkStart w:id="120" w:name="_Toc6657"/>
      <w:r>
        <w:rPr>
          <w:rFonts w:hint="eastAsia" w:ascii="宋体" w:hAnsi="宋体" w:eastAsia="宋体" w:cs="宋体"/>
          <w:b/>
          <w:sz w:val="44"/>
          <w:highlight w:val="none"/>
        </w:rPr>
        <w:t>第三章评标办法（综合评分法）</w:t>
      </w:r>
      <w:bookmarkEnd w:id="120"/>
    </w:p>
    <w:p>
      <w:pPr>
        <w:spacing w:line="360" w:lineRule="auto"/>
        <w:rPr>
          <w:rFonts w:ascii="宋体" w:hAnsi="宋体" w:eastAsia="宋体" w:cs="宋体"/>
          <w:szCs w:val="21"/>
          <w:highlight w:val="none"/>
        </w:rPr>
      </w:pPr>
    </w:p>
    <w:p>
      <w:pPr>
        <w:spacing w:line="366" w:lineRule="exact"/>
        <w:ind w:left="360"/>
        <w:jc w:val="center"/>
        <w:rPr>
          <w:rFonts w:ascii="宋体" w:hAnsi="宋体" w:eastAsia="宋体" w:cs="宋体"/>
          <w:b/>
          <w:sz w:val="32"/>
          <w:highlight w:val="none"/>
        </w:rPr>
      </w:pPr>
      <w:r>
        <w:rPr>
          <w:rFonts w:hint="eastAsia" w:ascii="宋体" w:hAnsi="宋体" w:eastAsia="宋体" w:cs="宋体"/>
          <w:b/>
          <w:sz w:val="32"/>
          <w:highlight w:val="none"/>
        </w:rPr>
        <w:t>评标办法前附表</w:t>
      </w:r>
    </w:p>
    <w:tbl>
      <w:tblPr>
        <w:tblStyle w:val="31"/>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86"/>
        <w:gridCol w:w="1123"/>
        <w:gridCol w:w="1795"/>
        <w:gridCol w:w="53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99" w:type="pct"/>
            <w:gridSpan w:val="2"/>
            <w:tcBorders>
              <w:top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条款号</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评审因素</w:t>
            </w:r>
          </w:p>
        </w:tc>
        <w:tc>
          <w:tcPr>
            <w:tcW w:w="2917" w:type="pct"/>
            <w:tcBorders>
              <w:top w:val="single" w:color="auto" w:sz="4" w:space="0"/>
              <w:left w:val="single" w:color="auto" w:sz="4" w:space="0"/>
              <w:bottom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485" w:type="pct"/>
            <w:tcBorders>
              <w:top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1</w:t>
            </w:r>
          </w:p>
        </w:tc>
        <w:tc>
          <w:tcPr>
            <w:tcW w:w="61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评标方法</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中标候选人排序方法</w:t>
            </w:r>
          </w:p>
        </w:tc>
        <w:tc>
          <w:tcPr>
            <w:tcW w:w="2917" w:type="pct"/>
            <w:tcBorders>
              <w:top w:val="single" w:color="auto" w:sz="4" w:space="0"/>
              <w:left w:val="single" w:color="auto" w:sz="4" w:space="0"/>
              <w:bottom w:val="single" w:color="auto" w:sz="4" w:space="0"/>
            </w:tcBorders>
          </w:tcPr>
          <w:p>
            <w:pPr>
              <w:jc w:val="left"/>
              <w:rPr>
                <w:rFonts w:ascii="宋体" w:hAnsi="宋体" w:eastAsia="宋体" w:cs="宋体"/>
                <w:szCs w:val="21"/>
                <w:highlight w:val="none"/>
              </w:rPr>
            </w:pPr>
            <w:r>
              <w:rPr>
                <w:rFonts w:hint="eastAsia" w:ascii="宋体" w:hAnsi="宋体" w:eastAsia="宋体" w:cs="宋体"/>
                <w:kern w:val="0"/>
                <w:szCs w:val="21"/>
                <w:highlight w:val="none"/>
              </w:rPr>
              <w:t>本次评标采用综合评分法。评标委员会对满足招标文件实质性要求的投标文件，按照本章第 2.2 款规定的评分标准进行打分，并按得分由高到低顺序推荐中标候选人，但投标报价低于其成本的除外。</w:t>
            </w:r>
            <w:r>
              <w:rPr>
                <w:rFonts w:hint="eastAsia" w:ascii="宋体" w:hAnsi="宋体" w:eastAsia="宋体" w:cs="宋体"/>
                <w:kern w:val="0"/>
                <w:szCs w:val="21"/>
                <w:highlight w:val="none"/>
                <w:u w:val="single"/>
              </w:rPr>
              <w:t>综合评分相等时，以投标报价低的优先；投标报价也相等的，以技术得分高的优先；如果技术得分也相等，以商务得分高的优先；如仍存在相同情况，则对具有相同情况的投标人，按中标候选人数量规定，由评标委员会采用记名投票的方式，确定中标候选人的排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485" w:type="pct"/>
            <w:vMerge w:val="restart"/>
            <w:tcBorders>
              <w:top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2.1.1</w:t>
            </w:r>
          </w:p>
        </w:tc>
        <w:tc>
          <w:tcPr>
            <w:tcW w:w="613" w:type="pct"/>
            <w:vMerge w:val="restart"/>
            <w:tcBorders>
              <w:top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形式评审标准</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投标人名称</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与营业执照一致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485" w:type="pct"/>
            <w:vMerge w:val="continue"/>
            <w:tcBorders>
              <w:top w:val="nil"/>
              <w:bottom w:val="single" w:color="auto" w:sz="4" w:space="0"/>
              <w:right w:val="single" w:color="auto" w:sz="4" w:space="0"/>
            </w:tcBorders>
            <w:vAlign w:val="center"/>
          </w:tcPr>
          <w:p>
            <w:pPr>
              <w:rPr>
                <w:rFonts w:ascii="宋体" w:hAnsi="宋体" w:eastAsia="宋体" w:cs="宋体"/>
                <w:szCs w:val="21"/>
                <w:highlight w:val="none"/>
              </w:rPr>
            </w:pPr>
          </w:p>
        </w:tc>
        <w:tc>
          <w:tcPr>
            <w:tcW w:w="613" w:type="pct"/>
            <w:vMerge w:val="continue"/>
            <w:tcBorders>
              <w:right w:val="single" w:color="auto" w:sz="4" w:space="0"/>
            </w:tcBorders>
            <w:vAlign w:val="center"/>
          </w:tcPr>
          <w:p>
            <w:pP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投标函签字盖章</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有法定代表人（单位负责人）或其委托代理人签字</w:t>
            </w:r>
            <w:r>
              <w:rPr>
                <w:rFonts w:hint="eastAsia" w:ascii="宋体" w:hAnsi="宋体" w:eastAsia="宋体" w:cs="宋体"/>
                <w:szCs w:val="21"/>
                <w:highlight w:val="none"/>
                <w:u w:val="single"/>
              </w:rPr>
              <w:t>（或盖章或签章）并</w:t>
            </w:r>
            <w:r>
              <w:rPr>
                <w:rFonts w:hint="eastAsia" w:ascii="宋体" w:hAnsi="宋体" w:eastAsia="宋体" w:cs="宋体"/>
                <w:szCs w:val="21"/>
                <w:highlight w:val="none"/>
              </w:rPr>
              <w:t>加盖单位章。由法定代表人（单位负责人）签字</w:t>
            </w:r>
            <w:r>
              <w:rPr>
                <w:rFonts w:hint="eastAsia" w:ascii="宋体" w:hAnsi="宋体" w:eastAsia="宋体" w:cs="宋体"/>
                <w:szCs w:val="21"/>
                <w:highlight w:val="none"/>
                <w:u w:val="single"/>
              </w:rPr>
              <w:t>（或盖章或签章）</w:t>
            </w:r>
            <w:r>
              <w:rPr>
                <w:rFonts w:hint="eastAsia" w:ascii="宋体" w:hAnsi="宋体" w:eastAsia="宋体" w:cs="宋体"/>
                <w:szCs w:val="21"/>
                <w:highlight w:val="none"/>
              </w:rPr>
              <w:t>的，应附法定代表人（单位负责人）身份证明，由代理人签字</w:t>
            </w:r>
            <w:r>
              <w:rPr>
                <w:rFonts w:hint="eastAsia" w:ascii="宋体" w:hAnsi="宋体" w:eastAsia="宋体" w:cs="宋体"/>
                <w:szCs w:val="21"/>
                <w:highlight w:val="none"/>
                <w:u w:val="single"/>
              </w:rPr>
              <w:t>（或盖章或签章）</w:t>
            </w:r>
            <w:r>
              <w:rPr>
                <w:rFonts w:hint="eastAsia" w:ascii="宋体" w:hAnsi="宋体" w:eastAsia="宋体" w:cs="宋体"/>
                <w:szCs w:val="21"/>
                <w:highlight w:val="none"/>
              </w:rPr>
              <w:t>的，应附授权委托书，身份证明或授权委托书应符合第六章“投标文件格式”的规定。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485" w:type="pct"/>
            <w:vMerge w:val="continue"/>
            <w:tcBorders>
              <w:top w:val="nil"/>
              <w:bottom w:val="single" w:color="auto" w:sz="4" w:space="0"/>
              <w:right w:val="single" w:color="auto" w:sz="4" w:space="0"/>
            </w:tcBorders>
            <w:vAlign w:val="center"/>
          </w:tcPr>
          <w:p>
            <w:pPr>
              <w:rPr>
                <w:rFonts w:ascii="宋体" w:hAnsi="宋体" w:eastAsia="宋体" w:cs="宋体"/>
                <w:szCs w:val="21"/>
                <w:highlight w:val="none"/>
              </w:rPr>
            </w:pPr>
          </w:p>
        </w:tc>
        <w:tc>
          <w:tcPr>
            <w:tcW w:w="613" w:type="pct"/>
            <w:vMerge w:val="continue"/>
            <w:tcBorders>
              <w:right w:val="single" w:color="auto" w:sz="4" w:space="0"/>
            </w:tcBorders>
            <w:vAlign w:val="center"/>
          </w:tcPr>
          <w:p>
            <w:pP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投标文件格式</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u w:val="single"/>
              </w:rPr>
              <w:t>《投标函》</w:t>
            </w:r>
            <w:r>
              <w:rPr>
                <w:rFonts w:hint="eastAsia" w:ascii="宋体" w:hAnsi="宋体" w:eastAsia="宋体" w:cs="宋体"/>
                <w:szCs w:val="21"/>
                <w:highlight w:val="none"/>
              </w:rPr>
              <w:t>符合第六章“投标文件格式”的规定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485" w:type="pct"/>
            <w:vMerge w:val="continue"/>
            <w:tcBorders>
              <w:top w:val="nil"/>
              <w:bottom w:val="single" w:color="auto" w:sz="4" w:space="0"/>
              <w:right w:val="single" w:color="auto" w:sz="4" w:space="0"/>
            </w:tcBorders>
            <w:vAlign w:val="center"/>
          </w:tcPr>
          <w:p>
            <w:pPr>
              <w:rPr>
                <w:rFonts w:ascii="宋体" w:hAnsi="宋体" w:eastAsia="宋体" w:cs="宋体"/>
                <w:szCs w:val="21"/>
                <w:highlight w:val="none"/>
              </w:rPr>
            </w:pPr>
          </w:p>
        </w:tc>
        <w:tc>
          <w:tcPr>
            <w:tcW w:w="613" w:type="pct"/>
            <w:vMerge w:val="continue"/>
            <w:tcBorders>
              <w:right w:val="single" w:color="auto" w:sz="4" w:space="0"/>
            </w:tcBorders>
            <w:vAlign w:val="center"/>
          </w:tcPr>
          <w:p>
            <w:pP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联合体投标人</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485" w:type="pct"/>
            <w:vMerge w:val="continue"/>
            <w:tcBorders>
              <w:top w:val="nil"/>
              <w:bottom w:val="single" w:color="auto" w:sz="4" w:space="0"/>
              <w:right w:val="single" w:color="auto" w:sz="4" w:space="0"/>
            </w:tcBorders>
            <w:vAlign w:val="center"/>
          </w:tcPr>
          <w:p>
            <w:pPr>
              <w:rPr>
                <w:rFonts w:ascii="宋体" w:hAnsi="宋体" w:eastAsia="宋体" w:cs="宋体"/>
                <w:szCs w:val="21"/>
                <w:highlight w:val="none"/>
              </w:rPr>
            </w:pPr>
          </w:p>
        </w:tc>
        <w:tc>
          <w:tcPr>
            <w:tcW w:w="613" w:type="pct"/>
            <w:vMerge w:val="continue"/>
            <w:tcBorders>
              <w:right w:val="single" w:color="auto" w:sz="4" w:space="0"/>
            </w:tcBorders>
            <w:vAlign w:val="center"/>
          </w:tcPr>
          <w:p>
            <w:pP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备选投标方案</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不得提交备选投标方案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485" w:type="pct"/>
            <w:vMerge w:val="continue"/>
            <w:tcBorders>
              <w:top w:val="nil"/>
              <w:bottom w:val="single" w:color="auto" w:sz="4" w:space="0"/>
              <w:right w:val="single" w:color="auto" w:sz="4" w:space="0"/>
            </w:tcBorders>
            <w:vAlign w:val="center"/>
          </w:tcPr>
          <w:p>
            <w:pPr>
              <w:rPr>
                <w:rFonts w:ascii="宋体" w:hAnsi="宋体" w:eastAsia="宋体" w:cs="宋体"/>
                <w:szCs w:val="21"/>
                <w:highlight w:val="none"/>
              </w:rPr>
            </w:pPr>
          </w:p>
        </w:tc>
        <w:tc>
          <w:tcPr>
            <w:tcW w:w="613" w:type="pct"/>
            <w:vMerge w:val="continue"/>
            <w:tcBorders>
              <w:right w:val="single" w:color="auto" w:sz="4" w:space="0"/>
            </w:tcBorders>
            <w:vAlign w:val="center"/>
          </w:tcPr>
          <w:p>
            <w:pP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投标人机器码</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投标人与</w:t>
            </w:r>
            <w:r>
              <w:rPr>
                <w:rFonts w:hint="eastAsia" w:ascii="宋体" w:hAnsi="宋体" w:eastAsia="宋体" w:cs="宋体"/>
                <w:szCs w:val="21"/>
                <w:highlight w:val="none"/>
                <w:u w:val="single"/>
              </w:rPr>
              <w:t>本项目</w:t>
            </w:r>
            <w:r>
              <w:rPr>
                <w:rFonts w:hint="eastAsia" w:ascii="宋体" w:hAnsi="宋体" w:eastAsia="宋体" w:cs="宋体"/>
                <w:szCs w:val="21"/>
                <w:highlight w:val="none"/>
              </w:rPr>
              <w:t>其他投标人加密打包投标文件电脑机器特征码一致的(以广州公共资源交易中心评标系统的检索信息为准),其投标将被否决。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restart"/>
            <w:tcBorders>
              <w:top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2.1.2</w:t>
            </w:r>
          </w:p>
        </w:tc>
        <w:tc>
          <w:tcPr>
            <w:tcW w:w="613"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资格评审标准</w:t>
            </w:r>
          </w:p>
        </w:tc>
        <w:tc>
          <w:tcPr>
            <w:tcW w:w="982"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营业执照</w:t>
            </w:r>
            <w:r>
              <w:rPr>
                <w:rFonts w:hint="eastAsia" w:ascii="宋体" w:hAnsi="宋体" w:eastAsia="宋体" w:cs="宋体"/>
                <w:color w:val="000000"/>
                <w:szCs w:val="21"/>
                <w:highlight w:val="none"/>
              </w:rPr>
              <w:t>和组织机构代码证</w:t>
            </w:r>
          </w:p>
        </w:tc>
        <w:tc>
          <w:tcPr>
            <w:tcW w:w="2917" w:type="pct"/>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符合第二章“投标人须知”第3.5.1项规定，</w:t>
            </w:r>
            <w:r>
              <w:rPr>
                <w:rFonts w:hint="eastAsia" w:ascii="宋体" w:hAnsi="宋体" w:eastAsia="宋体" w:cs="宋体"/>
                <w:szCs w:val="21"/>
                <w:highlight w:val="none"/>
                <w:u w:val="single"/>
              </w:rPr>
              <w:t>具备有效的营业执照和组织机构代码证（按照“三证合一”或“五证合一”登记制度进行登记的投标人，可仅提供营业执照）。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right w:val="single" w:color="auto" w:sz="4" w:space="0"/>
            </w:tcBorders>
            <w:vAlign w:val="center"/>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资质要求</w:t>
            </w:r>
          </w:p>
        </w:tc>
        <w:tc>
          <w:tcPr>
            <w:tcW w:w="2917" w:type="pct"/>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right w:val="single" w:color="auto" w:sz="4" w:space="0"/>
            </w:tcBorders>
            <w:vAlign w:val="center"/>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财务要求</w:t>
            </w:r>
          </w:p>
        </w:tc>
        <w:tc>
          <w:tcPr>
            <w:tcW w:w="2917" w:type="pct"/>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right w:val="single" w:color="auto" w:sz="4" w:space="0"/>
            </w:tcBorders>
            <w:vAlign w:val="center"/>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业绩要求</w:t>
            </w:r>
          </w:p>
        </w:tc>
        <w:tc>
          <w:tcPr>
            <w:tcW w:w="2917" w:type="pct"/>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right w:val="single" w:color="auto" w:sz="4" w:space="0"/>
            </w:tcBorders>
            <w:vAlign w:val="center"/>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信誉要求</w:t>
            </w:r>
          </w:p>
        </w:tc>
        <w:tc>
          <w:tcPr>
            <w:tcW w:w="2917" w:type="pct"/>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right w:val="single" w:color="auto" w:sz="4" w:space="0"/>
            </w:tcBorders>
            <w:vAlign w:val="center"/>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其他要求</w:t>
            </w:r>
          </w:p>
        </w:tc>
        <w:tc>
          <w:tcPr>
            <w:tcW w:w="2917" w:type="pct"/>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right w:val="single" w:color="auto" w:sz="4" w:space="0"/>
            </w:tcBorders>
            <w:vAlign w:val="center"/>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联合体投标人</w:t>
            </w:r>
          </w:p>
        </w:tc>
        <w:tc>
          <w:tcPr>
            <w:tcW w:w="2917" w:type="pct"/>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u w:val="single"/>
              </w:rPr>
              <w:t>本次招标不接受联合体投标。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right w:val="single" w:color="auto" w:sz="4" w:space="0"/>
            </w:tcBorders>
            <w:vAlign w:val="center"/>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未被列入拖欠农民工工资失信联合惩戒对象名单</w:t>
            </w:r>
          </w:p>
        </w:tc>
        <w:tc>
          <w:tcPr>
            <w:tcW w:w="2917" w:type="pct"/>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u w:val="single"/>
              </w:rPr>
            </w:pPr>
            <w:r>
              <w:rPr>
                <w:rFonts w:hint="eastAsia" w:ascii="宋体" w:hAnsi="宋体" w:eastAsia="宋体" w:cs="宋体"/>
                <w:szCs w:val="21"/>
                <w:highlight w:val="none"/>
                <w:u w:val="single"/>
              </w:rPr>
              <w:t>投标人无需提供资料，按交易系统比对的结果进行评审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bottom w:val="single" w:color="auto" w:sz="4" w:space="0"/>
              <w:right w:val="single" w:color="auto" w:sz="4" w:space="0"/>
            </w:tcBorders>
            <w:vAlign w:val="center"/>
          </w:tcPr>
          <w:p>
            <w:pPr>
              <w:jc w:val="center"/>
              <w:rPr>
                <w:rFonts w:ascii="宋体" w:hAnsi="宋体" w:eastAsia="宋体" w:cs="宋体"/>
                <w:szCs w:val="21"/>
                <w:highlight w:val="none"/>
              </w:rPr>
            </w:pPr>
          </w:p>
        </w:tc>
        <w:tc>
          <w:tcPr>
            <w:tcW w:w="613" w:type="pct"/>
            <w:vMerge w:val="continue"/>
            <w:tcBorders>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eastAsia="宋体" w:cs="宋体"/>
                <w:szCs w:val="21"/>
                <w:highlight w:val="none"/>
              </w:rPr>
            </w:pPr>
            <w:r>
              <w:rPr>
                <w:rFonts w:hint="eastAsia" w:ascii="宋体" w:hAnsi="宋体" w:eastAsia="宋体" w:cs="宋体"/>
                <w:szCs w:val="21"/>
                <w:highlight w:val="none"/>
              </w:rPr>
              <w:t>不存在禁止投标的情形</w:t>
            </w:r>
          </w:p>
        </w:tc>
        <w:tc>
          <w:tcPr>
            <w:tcW w:w="2917" w:type="pct"/>
            <w:tcBorders>
              <w:top w:val="single" w:color="auto" w:sz="4" w:space="0"/>
              <w:left w:val="single" w:color="auto" w:sz="4" w:space="0"/>
              <w:bottom w:val="single" w:color="auto" w:sz="4" w:space="0"/>
            </w:tcBorders>
            <w:vAlign w:val="center"/>
          </w:tcPr>
          <w:p>
            <w:pPr>
              <w:snapToGrid w:val="0"/>
              <w:rPr>
                <w:rFonts w:ascii="宋体" w:hAnsi="宋体" w:eastAsia="宋体" w:cs="宋体"/>
                <w:szCs w:val="21"/>
                <w:highlight w:val="none"/>
              </w:rPr>
            </w:pPr>
            <w:r>
              <w:rPr>
                <w:rFonts w:hint="eastAsia" w:ascii="宋体" w:hAnsi="宋体" w:eastAsia="宋体" w:cs="宋体"/>
                <w:szCs w:val="21"/>
                <w:highlight w:val="none"/>
              </w:rPr>
              <w:t>不存在第二章“投标人须知”第1.4.3项规定的任何一种情形</w:t>
            </w:r>
            <w:r>
              <w:rPr>
                <w:rFonts w:hint="eastAsia" w:ascii="宋体" w:hAnsi="宋体" w:eastAsia="宋体" w:cs="宋体"/>
                <w:szCs w:val="21"/>
                <w:highlight w:val="none"/>
                <w:u w:val="single"/>
              </w:rPr>
              <w:t>（以投标函中的声明为评审依据）。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restart"/>
            <w:tcBorders>
              <w:top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2.1.3</w:t>
            </w:r>
          </w:p>
        </w:tc>
        <w:tc>
          <w:tcPr>
            <w:tcW w:w="613"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响应性评审标准</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投标报价</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符合第二章“投标人须知”第3.2款规定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right w:val="single" w:color="auto" w:sz="4" w:space="0"/>
            </w:tcBorders>
            <w:vAlign w:val="center"/>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投标内容</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符合第二章“投标人须知”第1.3.1项规定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right w:val="single" w:color="auto" w:sz="4" w:space="0"/>
            </w:tcBorders>
            <w:vAlign w:val="center"/>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交货期</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符合第二章“投标人须知”第1.3.2项规定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right w:val="single" w:color="auto" w:sz="4" w:space="0"/>
            </w:tcBorders>
            <w:vAlign w:val="center"/>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交货地点</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符合第二章“投标人须知”第1.3.3项规定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right w:val="single" w:color="auto" w:sz="4" w:space="0"/>
            </w:tcBorders>
            <w:vAlign w:val="center"/>
          </w:tcPr>
          <w:p>
            <w:pP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szCs w:val="21"/>
                <w:highlight w:val="none"/>
              </w:rPr>
            </w:pPr>
            <w:r>
              <w:rPr>
                <w:rFonts w:hint="eastAsia" w:ascii="宋体" w:hAnsi="宋体" w:eastAsia="宋体" w:cs="宋体"/>
                <w:szCs w:val="21"/>
                <w:highlight w:val="none"/>
              </w:rPr>
              <w:t>投标有效期</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符合第二章“投标人须知”第3.3.1项规定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right w:val="single" w:color="auto" w:sz="4" w:space="0"/>
            </w:tcBorders>
            <w:vAlign w:val="center"/>
          </w:tcPr>
          <w:p>
            <w:pP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szCs w:val="21"/>
                <w:highlight w:val="none"/>
              </w:rPr>
            </w:pPr>
            <w:r>
              <w:rPr>
                <w:rFonts w:hint="eastAsia" w:ascii="宋体" w:hAnsi="宋体" w:eastAsia="宋体" w:cs="宋体"/>
                <w:szCs w:val="21"/>
                <w:highlight w:val="none"/>
              </w:rPr>
              <w:t>投标保证金</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符合第二章“投标人须知”第3.4.1项规定。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485" w:type="pct"/>
            <w:vMerge w:val="continue"/>
            <w:tcBorders>
              <w:bottom w:val="single" w:color="auto" w:sz="4" w:space="0"/>
              <w:right w:val="single" w:color="auto" w:sz="4" w:space="0"/>
            </w:tcBorders>
            <w:vAlign w:val="center"/>
          </w:tcPr>
          <w:p>
            <w:pPr>
              <w:rPr>
                <w:rFonts w:ascii="宋体" w:hAnsi="宋体" w:eastAsia="宋体" w:cs="宋体"/>
                <w:szCs w:val="21"/>
                <w:highlight w:val="none"/>
              </w:rPr>
            </w:pPr>
          </w:p>
        </w:tc>
        <w:tc>
          <w:tcPr>
            <w:tcW w:w="613" w:type="pct"/>
            <w:vMerge w:val="continue"/>
            <w:tcBorders>
              <w:left w:val="single" w:color="auto" w:sz="4" w:space="0"/>
              <w:bottom w:val="single" w:color="auto" w:sz="4" w:space="0"/>
              <w:right w:val="single" w:color="auto" w:sz="4" w:space="0"/>
            </w:tcBorders>
            <w:vAlign w:val="center"/>
          </w:tcPr>
          <w:p>
            <w:pP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szCs w:val="21"/>
                <w:highlight w:val="none"/>
              </w:rPr>
            </w:pPr>
            <w:r>
              <w:rPr>
                <w:rFonts w:hint="eastAsia" w:ascii="宋体" w:hAnsi="宋体" w:eastAsia="宋体" w:cs="宋体"/>
                <w:szCs w:val="21"/>
                <w:highlight w:val="none"/>
              </w:rPr>
              <w:t>技术性能指标</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招标文件第六章《商务和技术偏差表》中所列的偏差满足招标人需求。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99" w:type="pct"/>
            <w:gridSpan w:val="2"/>
            <w:tcBorders>
              <w:top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条款号</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条款内容</w:t>
            </w:r>
          </w:p>
        </w:tc>
        <w:tc>
          <w:tcPr>
            <w:tcW w:w="2917" w:type="pct"/>
            <w:tcBorders>
              <w:top w:val="single" w:color="auto" w:sz="4" w:space="0"/>
              <w:left w:val="single" w:color="auto" w:sz="4" w:space="0"/>
              <w:bottom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99" w:type="pct"/>
            <w:gridSpan w:val="2"/>
            <w:tcBorders>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2.2.1</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分值构成</w:t>
            </w:r>
          </w:p>
          <w:p>
            <w:pPr>
              <w:jc w:val="center"/>
              <w:rPr>
                <w:rFonts w:ascii="宋体" w:hAnsi="宋体" w:eastAsia="宋体" w:cs="宋体"/>
                <w:szCs w:val="21"/>
                <w:highlight w:val="none"/>
              </w:rPr>
            </w:pPr>
            <w:r>
              <w:rPr>
                <w:rFonts w:hint="eastAsia" w:ascii="宋体" w:hAnsi="宋体" w:eastAsia="宋体" w:cs="宋体"/>
                <w:szCs w:val="21"/>
                <w:highlight w:val="none"/>
              </w:rPr>
              <w:t>(总分100分)</w:t>
            </w:r>
          </w:p>
        </w:tc>
        <w:tc>
          <w:tcPr>
            <w:tcW w:w="2917" w:type="pct"/>
            <w:tcBorders>
              <w:top w:val="single" w:color="auto" w:sz="4" w:space="0"/>
              <w:left w:val="single" w:color="auto" w:sz="4" w:space="0"/>
              <w:bottom w:val="single" w:color="auto" w:sz="4" w:space="0"/>
            </w:tcBorders>
            <w:vAlign w:val="center"/>
          </w:tcPr>
          <w:p>
            <w:pPr>
              <w:spacing w:line="400" w:lineRule="exact"/>
              <w:rPr>
                <w:rFonts w:ascii="宋体" w:hAnsi="宋体" w:eastAsia="宋体" w:cs="宋体"/>
                <w:szCs w:val="21"/>
                <w:highlight w:val="none"/>
              </w:rPr>
            </w:pPr>
            <w:r>
              <w:rPr>
                <w:rFonts w:hint="eastAsia" w:ascii="宋体" w:hAnsi="宋体" w:eastAsia="宋体" w:cs="宋体"/>
                <w:szCs w:val="21"/>
                <w:highlight w:val="none"/>
              </w:rPr>
              <w:t>A商务部分：</w:t>
            </w:r>
            <w:r>
              <w:rPr>
                <w:rFonts w:hint="eastAsia" w:ascii="宋体" w:hAnsi="宋体" w:eastAsia="宋体" w:cs="宋体"/>
                <w:szCs w:val="21"/>
                <w:highlight w:val="none"/>
                <w:u w:val="single"/>
                <w:lang w:val="en-US" w:eastAsia="zh-CN"/>
              </w:rPr>
              <w:t>10</w:t>
            </w:r>
            <w:r>
              <w:rPr>
                <w:rFonts w:hint="eastAsia" w:ascii="宋体" w:hAnsi="宋体" w:eastAsia="宋体" w:cs="宋体"/>
                <w:szCs w:val="21"/>
                <w:highlight w:val="none"/>
              </w:rPr>
              <w:t>分</w:t>
            </w:r>
          </w:p>
          <w:p>
            <w:pPr>
              <w:spacing w:line="400" w:lineRule="exact"/>
              <w:rPr>
                <w:rFonts w:ascii="宋体" w:hAnsi="宋体" w:eastAsia="宋体" w:cs="宋体"/>
                <w:szCs w:val="21"/>
                <w:highlight w:val="none"/>
              </w:rPr>
            </w:pPr>
            <w:r>
              <w:rPr>
                <w:rFonts w:hint="eastAsia" w:ascii="宋体" w:hAnsi="宋体" w:eastAsia="宋体" w:cs="宋体"/>
                <w:szCs w:val="21"/>
                <w:highlight w:val="none"/>
              </w:rPr>
              <w:t>B技术部分：</w:t>
            </w:r>
            <w:r>
              <w:rPr>
                <w:rFonts w:hint="eastAsia" w:ascii="宋体" w:hAnsi="宋体" w:eastAsia="宋体" w:cs="宋体"/>
                <w:szCs w:val="21"/>
                <w:highlight w:val="none"/>
                <w:u w:val="single"/>
                <w:lang w:val="en-US" w:eastAsia="zh-CN"/>
              </w:rPr>
              <w:t>40</w:t>
            </w:r>
            <w:bookmarkStart w:id="204" w:name="_GoBack"/>
            <w:bookmarkEnd w:id="204"/>
            <w:r>
              <w:rPr>
                <w:rFonts w:hint="eastAsia" w:ascii="宋体" w:hAnsi="宋体" w:eastAsia="宋体" w:cs="宋体"/>
                <w:szCs w:val="21"/>
                <w:highlight w:val="none"/>
              </w:rPr>
              <w:t>分</w:t>
            </w:r>
          </w:p>
          <w:p>
            <w:pPr>
              <w:spacing w:line="400" w:lineRule="exact"/>
              <w:rPr>
                <w:rFonts w:ascii="宋体" w:hAnsi="宋体" w:eastAsia="宋体" w:cs="宋体"/>
                <w:szCs w:val="21"/>
                <w:highlight w:val="none"/>
              </w:rPr>
            </w:pPr>
            <w:r>
              <w:rPr>
                <w:rFonts w:hint="eastAsia" w:ascii="宋体" w:hAnsi="宋体" w:eastAsia="宋体" w:cs="宋体"/>
                <w:szCs w:val="21"/>
                <w:highlight w:val="none"/>
              </w:rPr>
              <w:t>C投标报价：</w:t>
            </w:r>
            <w:r>
              <w:rPr>
                <w:rFonts w:hint="eastAsia" w:ascii="宋体" w:hAnsi="宋体" w:eastAsia="宋体" w:cs="宋体"/>
                <w:szCs w:val="21"/>
                <w:highlight w:val="none"/>
                <w:u w:val="single"/>
              </w:rPr>
              <w:t>50</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99" w:type="pct"/>
            <w:gridSpan w:val="2"/>
            <w:tcBorders>
              <w:top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2.2.2</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评标基准价计算方法</w:t>
            </w:r>
          </w:p>
        </w:tc>
        <w:tc>
          <w:tcPr>
            <w:tcW w:w="2917" w:type="pct"/>
            <w:tcBorders>
              <w:top w:val="single" w:color="auto" w:sz="4" w:space="0"/>
              <w:left w:val="single" w:color="auto" w:sz="4" w:space="0"/>
              <w:bottom w:val="single" w:color="auto" w:sz="4" w:space="0"/>
            </w:tcBorders>
            <w:vAlign w:val="center"/>
          </w:tcPr>
          <w:p>
            <w:pPr>
              <w:spacing w:line="400" w:lineRule="exact"/>
              <w:rPr>
                <w:rFonts w:hint="eastAsia" w:ascii="宋体" w:hAnsi="宋体" w:eastAsia="宋体" w:cs="宋体"/>
                <w:szCs w:val="21"/>
                <w:highlight w:val="none"/>
              </w:rPr>
            </w:pPr>
            <w:r>
              <w:rPr>
                <w:rFonts w:hint="eastAsia" w:ascii="宋体" w:hAnsi="宋体" w:eastAsia="宋体" w:cs="宋体"/>
                <w:szCs w:val="21"/>
                <w:highlight w:val="none"/>
              </w:rPr>
              <w:t>1.当投标价格在参与评标基准价计算范围[最高投标限价×90%，最高投标限价]内且通过形式评审、资格评审、响应性评审的有效投标人大于等于5名时，所有入围的有效投标价中去掉一个最高价和一个最低价，取余下有效投标价格的算术平均值作为评标基准价。</w:t>
            </w:r>
          </w:p>
          <w:p>
            <w:pPr>
              <w:spacing w:line="400" w:lineRule="exact"/>
              <w:rPr>
                <w:rFonts w:hint="eastAsia" w:ascii="宋体" w:hAnsi="宋体" w:eastAsia="宋体" w:cs="宋体"/>
                <w:szCs w:val="21"/>
                <w:highlight w:val="none"/>
              </w:rPr>
            </w:pPr>
            <w:r>
              <w:rPr>
                <w:rFonts w:hint="eastAsia" w:ascii="宋体" w:hAnsi="宋体" w:eastAsia="宋体" w:cs="宋体"/>
                <w:szCs w:val="21"/>
                <w:highlight w:val="none"/>
              </w:rPr>
              <w:t>2.当投标价格在参与评标基准价计算范围[最高投标限价×90%，最高投标限价]内且通过形式评审、资格评审、响应性评审的有效投标人小于5名时，取所有入围的有效投标价的算术平均值作为评标基准价。</w:t>
            </w:r>
          </w:p>
          <w:p>
            <w:pPr>
              <w:spacing w:line="400" w:lineRule="exact"/>
              <w:rPr>
                <w:rFonts w:ascii="宋体" w:hAnsi="宋体" w:eastAsia="宋体" w:cs="宋体"/>
                <w:szCs w:val="21"/>
                <w:highlight w:val="none"/>
              </w:rPr>
            </w:pPr>
            <w:r>
              <w:rPr>
                <w:rFonts w:hint="eastAsia" w:ascii="宋体" w:hAnsi="宋体" w:eastAsia="宋体" w:cs="宋体"/>
                <w:szCs w:val="21"/>
                <w:highlight w:val="none"/>
              </w:rPr>
              <w:t>3.若没有投标价格在参与评标基准价计算范围[最高投标限价×90%，最高投标限价]内且通过形式评审、资格评审、响应性评审的有效投标人时，以最高投标限价×90%为评标基准价。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99" w:type="pct"/>
            <w:gridSpan w:val="2"/>
            <w:tcBorders>
              <w:top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2.2.3</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投标报价的偏差率计算公式</w:t>
            </w:r>
          </w:p>
        </w:tc>
        <w:tc>
          <w:tcPr>
            <w:tcW w:w="2917" w:type="pct"/>
            <w:tcBorders>
              <w:top w:val="single" w:color="auto" w:sz="4" w:space="0"/>
              <w:left w:val="single" w:color="auto" w:sz="4" w:space="0"/>
              <w:bottom w:val="single" w:color="auto" w:sz="4" w:space="0"/>
            </w:tcBorders>
            <w:vAlign w:val="center"/>
          </w:tcPr>
          <w:p>
            <w:pPr>
              <w:spacing w:line="400" w:lineRule="exact"/>
              <w:rPr>
                <w:rFonts w:ascii="宋体" w:hAnsi="宋体" w:eastAsia="宋体" w:cs="宋体"/>
                <w:szCs w:val="21"/>
                <w:highlight w:val="none"/>
              </w:rPr>
            </w:pPr>
            <w:r>
              <w:rPr>
                <w:rFonts w:hint="eastAsia" w:ascii="宋体" w:hAnsi="宋体" w:eastAsia="宋体" w:cs="宋体"/>
                <w:szCs w:val="21"/>
                <w:highlight w:val="none"/>
              </w:rPr>
              <w:t xml:space="preserve">偏差率= ∣评审价格 — 评标基准价∣ / 评标基准价*100% </w:t>
            </w:r>
          </w:p>
          <w:p>
            <w:pPr>
              <w:spacing w:line="400" w:lineRule="exact"/>
              <w:rPr>
                <w:rFonts w:ascii="宋体" w:hAnsi="宋体" w:eastAsia="宋体" w:cs="宋体"/>
                <w:b/>
                <w:szCs w:val="21"/>
                <w:highlight w:val="none"/>
              </w:rPr>
            </w:pPr>
            <w:r>
              <w:rPr>
                <w:rFonts w:hint="eastAsia" w:ascii="宋体" w:hAnsi="宋体" w:eastAsia="宋体" w:cs="宋体"/>
                <w:b/>
                <w:szCs w:val="21"/>
                <w:highlight w:val="none"/>
              </w:rPr>
              <w:t>（偏差率四舍五入保留2位小数）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99" w:type="pct"/>
            <w:gridSpan w:val="2"/>
            <w:tcBorders>
              <w:top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条款号</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评分因素</w:t>
            </w:r>
          </w:p>
        </w:tc>
        <w:tc>
          <w:tcPr>
            <w:tcW w:w="2917" w:type="pct"/>
            <w:tcBorders>
              <w:top w:val="single" w:color="auto" w:sz="4" w:space="0"/>
              <w:left w:val="single" w:color="auto" w:sz="4" w:space="0"/>
              <w:bottom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
                <w:szCs w:val="21"/>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485" w:type="pct"/>
            <w:vMerge w:val="restart"/>
            <w:tcBorders>
              <w:top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2.2.4（1）</w:t>
            </w:r>
          </w:p>
        </w:tc>
        <w:tc>
          <w:tcPr>
            <w:tcW w:w="613"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商务评分标准</w:t>
            </w:r>
          </w:p>
          <w:p>
            <w:pPr>
              <w:jc w:val="center"/>
              <w:rPr>
                <w:rFonts w:ascii="宋体" w:hAnsi="宋体" w:eastAsia="宋体" w:cs="宋体"/>
                <w:szCs w:val="21"/>
                <w:highlight w:val="none"/>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tc>
        <w:tc>
          <w:tcPr>
            <w:tcW w:w="982" w:type="pct"/>
            <w:tcBorders>
              <w:top w:val="single" w:color="auto" w:sz="4" w:space="0"/>
              <w:left w:val="single" w:color="auto" w:sz="4" w:space="0"/>
              <w:bottom w:val="single" w:color="auto" w:sz="4" w:space="0"/>
              <w:right w:val="single" w:color="auto" w:sz="4" w:space="0"/>
            </w:tcBorders>
            <w:vAlign w:val="center"/>
          </w:tcPr>
          <w:p>
            <w:pPr>
              <w:ind w:left="-63" w:leftChars="-30" w:right="-88" w:rightChars="-42"/>
              <w:jc w:val="center"/>
              <w:rPr>
                <w:rFonts w:ascii="宋体" w:hAnsi="宋体" w:eastAsia="宋体" w:cs="宋体"/>
                <w:szCs w:val="21"/>
                <w:highlight w:val="none"/>
              </w:rPr>
            </w:pPr>
            <w:r>
              <w:rPr>
                <w:rFonts w:hint="eastAsia" w:ascii="宋体" w:hAnsi="宋体" w:eastAsia="宋体" w:cs="宋体"/>
                <w:szCs w:val="21"/>
                <w:highlight w:val="none"/>
              </w:rPr>
              <w:t>同类项目经验</w:t>
            </w:r>
          </w:p>
          <w:p>
            <w:pPr>
              <w:ind w:left="-63" w:leftChars="-30" w:right="-88" w:rightChars="-42"/>
              <w:jc w:val="center"/>
              <w:rPr>
                <w:rFonts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tc>
        <w:tc>
          <w:tcPr>
            <w:tcW w:w="2917" w:type="pct"/>
            <w:tcBorders>
              <w:top w:val="single" w:color="auto" w:sz="4" w:space="0"/>
              <w:left w:val="single" w:color="auto" w:sz="4" w:space="0"/>
              <w:bottom w:val="single" w:color="auto" w:sz="4" w:space="0"/>
            </w:tcBorders>
            <w:vAlign w:val="center"/>
          </w:tcPr>
          <w:p>
            <w:pPr>
              <w:ind w:left="-63" w:leftChars="-30" w:right="-88" w:rightChars="-42"/>
              <w:rPr>
                <w:rFonts w:ascii="宋体" w:hAnsi="宋体" w:eastAsia="宋体" w:cs="宋体"/>
                <w:szCs w:val="21"/>
                <w:highlight w:val="none"/>
              </w:rPr>
            </w:pPr>
            <w:r>
              <w:rPr>
                <w:rFonts w:hint="eastAsia" w:ascii="宋体" w:hAnsi="宋体" w:eastAsia="宋体" w:cs="宋体"/>
                <w:szCs w:val="21"/>
                <w:highlight w:val="none"/>
              </w:rPr>
              <w:t>投标人近3年的同类项目业绩，每提供一项得0.5分，本项最高得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6" w:hRule="atLeast"/>
        </w:trPr>
        <w:tc>
          <w:tcPr>
            <w:tcW w:w="485" w:type="pct"/>
            <w:vMerge w:val="continue"/>
            <w:tcBorders>
              <w:right w:val="single" w:color="auto" w:sz="4" w:space="0"/>
            </w:tcBorders>
          </w:tcPr>
          <w:p>
            <w:pPr>
              <w:rPr>
                <w:rFonts w:ascii="宋体" w:hAnsi="宋体" w:eastAsia="宋体" w:cs="宋体"/>
                <w:szCs w:val="21"/>
                <w:highlight w:val="none"/>
              </w:rPr>
            </w:pPr>
          </w:p>
        </w:tc>
        <w:tc>
          <w:tcPr>
            <w:tcW w:w="613" w:type="pct"/>
            <w:vMerge w:val="continue"/>
            <w:tcBorders>
              <w:left w:val="single" w:color="auto" w:sz="4" w:space="0"/>
              <w:right w:val="single" w:color="auto" w:sz="4" w:space="0"/>
            </w:tcBorders>
          </w:tcPr>
          <w:p>
            <w:pP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管理体系认证证书（3分）</w:t>
            </w:r>
          </w:p>
        </w:tc>
        <w:tc>
          <w:tcPr>
            <w:tcW w:w="2917" w:type="pct"/>
            <w:tcBorders>
              <w:top w:val="single" w:color="auto" w:sz="4" w:space="0"/>
              <w:left w:val="single" w:color="auto" w:sz="4" w:space="0"/>
              <w:bottom w:val="single" w:color="auto" w:sz="4" w:space="0"/>
            </w:tcBorders>
            <w:vAlign w:val="center"/>
          </w:tcPr>
          <w:p>
            <w:pPr>
              <w:ind w:left="-78" w:leftChars="-37" w:right="-73" w:rightChars="-35"/>
              <w:rPr>
                <w:rFonts w:ascii="宋体" w:hAnsi="宋体" w:eastAsia="宋体" w:cs="宋体"/>
                <w:szCs w:val="21"/>
                <w:highlight w:val="none"/>
              </w:rPr>
            </w:pPr>
            <w:r>
              <w:rPr>
                <w:rFonts w:hint="eastAsia" w:ascii="宋体" w:hAnsi="宋体" w:eastAsia="宋体" w:cs="宋体"/>
                <w:szCs w:val="21"/>
                <w:highlight w:val="none"/>
              </w:rPr>
              <w:t>制造商获得质量管理体系认证、环境管理体系认证和职业健康安全管理体系认证的情况，具有其中任一项得1分，最高得3分，没有或不提供得0分。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3" w:hRule="atLeast"/>
        </w:trPr>
        <w:tc>
          <w:tcPr>
            <w:tcW w:w="485" w:type="pct"/>
            <w:vMerge w:val="continue"/>
            <w:tcBorders>
              <w:bottom w:val="single" w:color="auto" w:sz="4" w:space="0"/>
              <w:right w:val="single" w:color="auto" w:sz="4" w:space="0"/>
            </w:tcBorders>
          </w:tcPr>
          <w:p>
            <w:pPr>
              <w:rPr>
                <w:rFonts w:ascii="宋体" w:hAnsi="宋体" w:eastAsia="宋体" w:cs="宋体"/>
                <w:szCs w:val="21"/>
                <w:highlight w:val="none"/>
              </w:rPr>
            </w:pPr>
          </w:p>
        </w:tc>
        <w:tc>
          <w:tcPr>
            <w:tcW w:w="613" w:type="pct"/>
            <w:vMerge w:val="continue"/>
            <w:tcBorders>
              <w:left w:val="single" w:color="auto" w:sz="4" w:space="0"/>
              <w:bottom w:val="single" w:color="auto" w:sz="4" w:space="0"/>
              <w:right w:val="single" w:color="auto" w:sz="4" w:space="0"/>
            </w:tcBorders>
          </w:tcPr>
          <w:p>
            <w:pPr>
              <w:rPr>
                <w:rFonts w:ascii="宋体" w:hAnsi="宋体" w:eastAsia="宋体" w:cs="宋体"/>
                <w:szCs w:val="21"/>
                <w:highlight w:val="none"/>
              </w:rPr>
            </w:pPr>
          </w:p>
        </w:tc>
        <w:tc>
          <w:tcPr>
            <w:tcW w:w="17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shd w:val="clear" w:color="auto" w:fill="FFFFFF"/>
              </w:rPr>
            </w:pPr>
            <w:r>
              <w:rPr>
                <w:rFonts w:hint="eastAsia" w:ascii="宋体" w:hAnsi="宋体" w:eastAsia="宋体" w:cs="宋体"/>
                <w:szCs w:val="21"/>
                <w:highlight w:val="none"/>
              </w:rPr>
              <w:t>制造商证书情况（5分）</w:t>
            </w:r>
          </w:p>
        </w:tc>
        <w:tc>
          <w:tcPr>
            <w:tcW w:w="5333" w:type="dxa"/>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制造商获得《采用国际标准产品标志证书》的得5分。</w:t>
            </w:r>
          </w:p>
          <w:p>
            <w:pPr>
              <w:ind w:left="-78" w:leftChars="-37" w:right="-73" w:rightChars="-35"/>
              <w:rPr>
                <w:rFonts w:ascii="宋体" w:hAnsi="宋体" w:eastAsia="宋体" w:cs="宋体"/>
                <w:szCs w:val="21"/>
                <w:highlight w:val="none"/>
                <w:shd w:val="clear" w:color="auto" w:fill="FFFFFF"/>
              </w:rPr>
            </w:pPr>
            <w:r>
              <w:rPr>
                <w:rFonts w:hint="eastAsia" w:ascii="宋体" w:hAnsi="宋体" w:eastAsia="宋体" w:cs="宋体"/>
                <w:szCs w:val="21"/>
                <w:highlight w:val="none"/>
              </w:rPr>
              <w:t>注：需提供标志证书复印件（扫描件）并加盖投标人公章，否则不得分。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13" w:hRule="atLeast"/>
        </w:trPr>
        <w:tc>
          <w:tcPr>
            <w:tcW w:w="485" w:type="pct"/>
            <w:vMerge w:val="restart"/>
            <w:tcBorders>
              <w:top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2.2.4（2）</w:t>
            </w:r>
          </w:p>
        </w:tc>
        <w:tc>
          <w:tcPr>
            <w:tcW w:w="613" w:type="pct"/>
            <w:vMerge w:val="restar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技术评分标准</w:t>
            </w:r>
          </w:p>
          <w:p>
            <w:pPr>
              <w:jc w:val="center"/>
              <w:rPr>
                <w:rFonts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39</w:t>
            </w:r>
            <w:r>
              <w:rPr>
                <w:rFonts w:hint="eastAsia" w:ascii="宋体" w:hAnsi="宋体" w:eastAsia="宋体" w:cs="宋体"/>
                <w:szCs w:val="21"/>
                <w:highlight w:val="none"/>
              </w:rPr>
              <w:t>分）</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Cs/>
                <w:szCs w:val="21"/>
                <w:highlight w:val="none"/>
              </w:rPr>
              <w:t>原厂原品牌（3分）</w:t>
            </w:r>
          </w:p>
        </w:tc>
        <w:tc>
          <w:tcPr>
            <w:tcW w:w="2917" w:type="pct"/>
            <w:tcBorders>
              <w:top w:val="single" w:color="auto" w:sz="4" w:space="0"/>
              <w:lef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投标产品六大核心部件（曳引机、控制柜、门机、限速器、安全钳、缓冲器）符合原厂原品牌，需提供相关说明书等证明材料。</w:t>
            </w:r>
          </w:p>
          <w:p>
            <w:pPr>
              <w:rPr>
                <w:rFonts w:ascii="宋体" w:hAnsi="宋体" w:eastAsia="宋体" w:cs="宋体"/>
                <w:szCs w:val="21"/>
                <w:highlight w:val="none"/>
              </w:rPr>
            </w:pPr>
            <w:r>
              <w:rPr>
                <w:rFonts w:hint="eastAsia" w:ascii="宋体" w:hAnsi="宋体" w:eastAsia="宋体" w:cs="宋体"/>
                <w:szCs w:val="21"/>
                <w:highlight w:val="none"/>
              </w:rPr>
              <w:t>1.投标产品六大核心部件（曳引机、控制柜、门机、限速器、安全钳、缓冲器）有4项或以上符合原厂原品牌，得3分；</w:t>
            </w:r>
          </w:p>
          <w:p>
            <w:pPr>
              <w:rPr>
                <w:rFonts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w:t>
            </w:r>
            <w:r>
              <w:rPr>
                <w:rFonts w:hint="eastAsia" w:ascii="宋体" w:hAnsi="宋体" w:eastAsia="宋体" w:cs="宋体"/>
                <w:szCs w:val="21"/>
                <w:highlight w:val="none"/>
              </w:rPr>
              <w:t>投标产品六大核心部件（曳引机、控制柜、门机、限速器、安全钳、缓冲器）有3项符合原厂原品牌，得2分；</w:t>
            </w:r>
          </w:p>
          <w:p>
            <w:pPr>
              <w:rPr>
                <w:rFonts w:ascii="宋体" w:hAnsi="宋体" w:eastAsia="宋体" w:cs="宋体"/>
                <w:szCs w:val="21"/>
                <w:highlight w:val="none"/>
              </w:rPr>
            </w:pPr>
            <w:r>
              <w:rPr>
                <w:rFonts w:hint="eastAsia" w:ascii="宋体" w:hAnsi="宋体" w:eastAsia="宋体" w:cs="宋体"/>
                <w:szCs w:val="21"/>
                <w:highlight w:val="none"/>
              </w:rPr>
              <w:t>3.投标产品六大核心部件（曳引机、控制柜、门机、限速器、安全钳、缓冲器）有2项符合原厂原品牌，得1分；</w:t>
            </w:r>
          </w:p>
          <w:p>
            <w:pPr>
              <w:rPr>
                <w:rFonts w:ascii="宋体" w:hAnsi="宋体" w:eastAsia="宋体" w:cs="宋体"/>
                <w:kern w:val="0"/>
                <w:szCs w:val="21"/>
                <w:highlight w:val="none"/>
              </w:rPr>
            </w:pPr>
            <w:r>
              <w:rPr>
                <w:rFonts w:hint="eastAsia" w:ascii="宋体" w:hAnsi="宋体" w:eastAsia="宋体" w:cs="宋体"/>
                <w:szCs w:val="21"/>
                <w:highlight w:val="none"/>
              </w:rPr>
              <w:t>4. 其他情况不得分。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30" w:hRule="atLeast"/>
        </w:trPr>
        <w:tc>
          <w:tcPr>
            <w:tcW w:w="485" w:type="pct"/>
            <w:vMerge w:val="continue"/>
            <w:tcBorders>
              <w:right w:val="single" w:color="auto" w:sz="4" w:space="0"/>
            </w:tcBorders>
            <w:vAlign w:val="center"/>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highlight w:val="none"/>
              </w:rPr>
            </w:pPr>
            <w:r>
              <w:rPr>
                <w:rFonts w:hint="eastAsia" w:ascii="宋体" w:hAnsi="宋体" w:eastAsia="宋体" w:cs="宋体"/>
                <w:bCs/>
                <w:szCs w:val="21"/>
                <w:highlight w:val="none"/>
              </w:rPr>
              <w:t>曳引机防护等级（2分）</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1.投标产品主机防尘等级达到4级（IP4X）或以上，且防水等级达到3级（IPX3）或以上，得2分；</w:t>
            </w:r>
          </w:p>
          <w:p>
            <w:pPr>
              <w:rPr>
                <w:rFonts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w:t>
            </w:r>
            <w:r>
              <w:rPr>
                <w:rFonts w:hint="eastAsia" w:ascii="宋体" w:hAnsi="宋体" w:eastAsia="宋体" w:cs="宋体"/>
                <w:szCs w:val="21"/>
                <w:highlight w:val="none"/>
              </w:rPr>
              <w:t>投标产品主机防尘等级达到3级（IP3X）或以上，且防水等级达到2级（IPX2）或以上，得1分；</w:t>
            </w:r>
          </w:p>
          <w:p>
            <w:pPr>
              <w:rPr>
                <w:rFonts w:ascii="宋体" w:hAnsi="宋体" w:eastAsia="宋体" w:cs="宋体"/>
                <w:szCs w:val="21"/>
                <w:highlight w:val="none"/>
              </w:rPr>
            </w:pPr>
            <w:r>
              <w:rPr>
                <w:rFonts w:hint="eastAsia" w:ascii="宋体" w:hAnsi="宋体" w:eastAsia="宋体" w:cs="宋体"/>
                <w:szCs w:val="21"/>
                <w:highlight w:val="none"/>
              </w:rPr>
              <w:t>3.投标产品主机防尘等级达到2级（IP2X），且防水等级达到1级（IPX1）或以上，得0.5分。</w:t>
            </w:r>
          </w:p>
          <w:p>
            <w:pPr>
              <w:rPr>
                <w:rFonts w:ascii="宋体" w:hAnsi="宋体" w:eastAsia="宋体" w:cs="宋体"/>
                <w:szCs w:val="21"/>
                <w:highlight w:val="none"/>
              </w:rPr>
            </w:pPr>
            <w:r>
              <w:rPr>
                <w:rFonts w:hint="eastAsia" w:ascii="宋体" w:hAnsi="宋体" w:eastAsia="宋体" w:cs="宋体"/>
                <w:szCs w:val="21"/>
                <w:highlight w:val="none"/>
              </w:rPr>
              <w:t>4.其他情况不得分。</w:t>
            </w:r>
          </w:p>
          <w:p>
            <w:pPr>
              <w:rPr>
                <w:rFonts w:ascii="宋体" w:hAnsi="宋体" w:eastAsia="宋体" w:cs="宋体"/>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33" w:hRule="atLeast"/>
        </w:trPr>
        <w:tc>
          <w:tcPr>
            <w:tcW w:w="485" w:type="pct"/>
            <w:vMerge w:val="continue"/>
            <w:tcBorders>
              <w:right w:val="single" w:color="auto" w:sz="4" w:space="0"/>
            </w:tcBorders>
            <w:vAlign w:val="center"/>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highlight w:val="none"/>
              </w:rPr>
            </w:pPr>
            <w:r>
              <w:rPr>
                <w:rFonts w:hint="eastAsia" w:ascii="宋体" w:hAnsi="宋体" w:eastAsia="宋体" w:cs="宋体"/>
                <w:bCs/>
                <w:szCs w:val="21"/>
                <w:highlight w:val="none"/>
              </w:rPr>
              <w:t>曳引机绝缘等级（2分）</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1.主机绝缘等级高于或等于F级，得2分；</w:t>
            </w:r>
          </w:p>
          <w:p>
            <w:pPr>
              <w:rPr>
                <w:rFonts w:ascii="宋体" w:hAnsi="宋体" w:eastAsia="宋体" w:cs="宋体"/>
                <w:szCs w:val="21"/>
                <w:highlight w:val="none"/>
              </w:rPr>
            </w:pPr>
            <w:r>
              <w:rPr>
                <w:rFonts w:hint="eastAsia" w:ascii="宋体" w:hAnsi="宋体" w:eastAsia="宋体" w:cs="宋体"/>
                <w:szCs w:val="21"/>
                <w:highlight w:val="none"/>
              </w:rPr>
              <w:t>2.主机绝缘等级高于或等于B级，小于F级，得1分；</w:t>
            </w:r>
          </w:p>
          <w:p>
            <w:pPr>
              <w:rPr>
                <w:rFonts w:ascii="宋体" w:hAnsi="宋体" w:eastAsia="宋体" w:cs="宋体"/>
                <w:szCs w:val="21"/>
                <w:highlight w:val="none"/>
              </w:rPr>
            </w:pPr>
            <w:r>
              <w:rPr>
                <w:rFonts w:hint="eastAsia" w:ascii="宋体" w:hAnsi="宋体" w:eastAsia="宋体" w:cs="宋体"/>
                <w:szCs w:val="21"/>
                <w:highlight w:val="none"/>
              </w:rPr>
              <w:t>3.主机绝缘等级小于B级，得0.5分。</w:t>
            </w:r>
          </w:p>
          <w:p>
            <w:pPr>
              <w:rPr>
                <w:rFonts w:ascii="宋体" w:hAnsi="宋体" w:eastAsia="宋体" w:cs="宋体"/>
                <w:szCs w:val="21"/>
                <w:highlight w:val="none"/>
              </w:rPr>
            </w:pPr>
            <w:r>
              <w:rPr>
                <w:rFonts w:hint="eastAsia" w:ascii="宋体" w:hAnsi="宋体" w:eastAsia="宋体" w:cs="宋体"/>
                <w:szCs w:val="21"/>
                <w:highlight w:val="none"/>
              </w:rPr>
              <w:t>4.其他情况不得分。</w:t>
            </w:r>
          </w:p>
          <w:p>
            <w:pPr>
              <w:rPr>
                <w:rFonts w:ascii="宋体" w:hAnsi="宋体" w:eastAsia="宋体" w:cs="宋体"/>
                <w:kern w:val="0"/>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79" w:hRule="atLeast"/>
        </w:trPr>
        <w:tc>
          <w:tcPr>
            <w:tcW w:w="485" w:type="pct"/>
            <w:vMerge w:val="continue"/>
            <w:tcBorders>
              <w:right w:val="single" w:color="auto" w:sz="4" w:space="0"/>
            </w:tcBorders>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制动器设计寿命（2分）</w:t>
            </w:r>
          </w:p>
        </w:tc>
        <w:tc>
          <w:tcPr>
            <w:tcW w:w="2917" w:type="pct"/>
            <w:tcBorders>
              <w:top w:val="single" w:color="auto" w:sz="4" w:space="0"/>
              <w:lef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1.制动器的动作寿命达到2000万次，得2分；</w:t>
            </w:r>
          </w:p>
          <w:p>
            <w:pPr>
              <w:rPr>
                <w:rFonts w:ascii="宋体" w:hAnsi="宋体" w:eastAsia="宋体" w:cs="宋体"/>
                <w:szCs w:val="21"/>
                <w:highlight w:val="none"/>
              </w:rPr>
            </w:pPr>
            <w:r>
              <w:rPr>
                <w:rFonts w:hint="eastAsia" w:ascii="宋体" w:hAnsi="宋体" w:eastAsia="宋体" w:cs="宋体"/>
                <w:szCs w:val="21"/>
                <w:highlight w:val="none"/>
              </w:rPr>
              <w:t>2.制动器的动作寿命达到1500万次，得1分；</w:t>
            </w:r>
          </w:p>
          <w:p>
            <w:pPr>
              <w:rPr>
                <w:rFonts w:ascii="宋体" w:hAnsi="宋体" w:eastAsia="宋体" w:cs="宋体"/>
                <w:szCs w:val="21"/>
                <w:highlight w:val="none"/>
              </w:rPr>
            </w:pPr>
            <w:r>
              <w:rPr>
                <w:rFonts w:hint="eastAsia" w:ascii="宋体" w:hAnsi="宋体" w:eastAsia="宋体" w:cs="宋体"/>
                <w:szCs w:val="21"/>
                <w:highlight w:val="none"/>
              </w:rPr>
              <w:t>3.制动器的动作寿命达到1000万次，得0.5分。</w:t>
            </w:r>
          </w:p>
          <w:p>
            <w:pPr>
              <w:rPr>
                <w:rFonts w:ascii="宋体" w:hAnsi="宋体" w:eastAsia="宋体" w:cs="宋体"/>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91" w:hRule="atLeast"/>
        </w:trPr>
        <w:tc>
          <w:tcPr>
            <w:tcW w:w="485" w:type="pct"/>
            <w:vMerge w:val="continue"/>
            <w:tcBorders>
              <w:top w:val="single" w:color="auto" w:sz="4" w:space="0"/>
              <w:right w:val="single" w:color="auto" w:sz="4" w:space="0"/>
            </w:tcBorders>
          </w:tcPr>
          <w:p>
            <w:pPr>
              <w:jc w:val="center"/>
              <w:rPr>
                <w:rFonts w:ascii="宋体" w:hAnsi="宋体" w:eastAsia="宋体" w:cs="宋体"/>
                <w:szCs w:val="21"/>
                <w:highlight w:val="none"/>
              </w:rPr>
            </w:pPr>
          </w:p>
        </w:tc>
        <w:tc>
          <w:tcPr>
            <w:tcW w:w="613" w:type="pct"/>
            <w:vMerge w:val="continue"/>
            <w:tcBorders>
              <w:top w:val="single" w:color="auto" w:sz="4" w:space="0"/>
              <w:left w:val="single" w:color="auto" w:sz="4" w:space="0"/>
              <w:right w:val="single" w:color="auto" w:sz="4" w:space="0"/>
            </w:tcBorders>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Cs/>
                <w:szCs w:val="21"/>
                <w:highlight w:val="none"/>
              </w:rPr>
              <w:t>控制系统性能（2分）</w:t>
            </w:r>
          </w:p>
        </w:tc>
        <w:tc>
          <w:tcPr>
            <w:tcW w:w="2917" w:type="pct"/>
            <w:tcBorders>
              <w:top w:val="single" w:color="auto" w:sz="4" w:space="0"/>
              <w:left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控制系统性能达到指标的：</w:t>
            </w:r>
          </w:p>
          <w:p>
            <w:pPr>
              <w:rPr>
                <w:rFonts w:ascii="宋体" w:hAnsi="宋体" w:eastAsia="宋体" w:cs="宋体"/>
                <w:szCs w:val="21"/>
                <w:highlight w:val="none"/>
              </w:rPr>
            </w:pPr>
            <w:r>
              <w:rPr>
                <w:rFonts w:hint="eastAsia" w:ascii="宋体" w:hAnsi="宋体" w:eastAsia="宋体" w:cs="宋体"/>
                <w:szCs w:val="21"/>
                <w:highlight w:val="none"/>
              </w:rPr>
              <w:t>1）控制系统采用双32位微机处理器；</w:t>
            </w:r>
          </w:p>
          <w:p>
            <w:pPr>
              <w:rPr>
                <w:rFonts w:ascii="宋体" w:hAnsi="宋体" w:eastAsia="宋体" w:cs="宋体"/>
                <w:szCs w:val="21"/>
                <w:highlight w:val="none"/>
              </w:rPr>
            </w:pPr>
            <w:r>
              <w:rPr>
                <w:rFonts w:hint="eastAsia" w:ascii="宋体" w:hAnsi="宋体" w:eastAsia="宋体" w:cs="宋体"/>
                <w:szCs w:val="21"/>
                <w:highlight w:val="none"/>
              </w:rPr>
              <w:t>2）通信方式采用带光纤的双通路通信；</w:t>
            </w:r>
          </w:p>
          <w:p>
            <w:pPr>
              <w:rPr>
                <w:rFonts w:ascii="宋体" w:hAnsi="宋体" w:eastAsia="宋体" w:cs="宋体"/>
                <w:szCs w:val="21"/>
                <w:highlight w:val="none"/>
              </w:rPr>
            </w:pPr>
            <w:r>
              <w:rPr>
                <w:rFonts w:hint="eastAsia" w:ascii="宋体" w:hAnsi="宋体" w:eastAsia="宋体" w:cs="宋体"/>
                <w:szCs w:val="21"/>
                <w:highlight w:val="none"/>
              </w:rPr>
              <w:t>3）可配置能量反馈/回收/再生功能。</w:t>
            </w:r>
          </w:p>
          <w:p>
            <w:pPr>
              <w:rPr>
                <w:rFonts w:ascii="宋体" w:hAnsi="宋体" w:eastAsia="宋体" w:cs="宋体"/>
                <w:szCs w:val="21"/>
                <w:highlight w:val="none"/>
              </w:rPr>
            </w:pPr>
            <w:r>
              <w:rPr>
                <w:rFonts w:hint="eastAsia" w:ascii="宋体" w:hAnsi="宋体" w:eastAsia="宋体" w:cs="宋体"/>
                <w:szCs w:val="21"/>
                <w:highlight w:val="none"/>
              </w:rPr>
              <w:t>1.达到以上3项的，得2分；</w:t>
            </w:r>
          </w:p>
          <w:p>
            <w:pPr>
              <w:rPr>
                <w:rFonts w:ascii="宋体" w:hAnsi="宋体" w:eastAsia="宋体" w:cs="宋体"/>
                <w:szCs w:val="21"/>
                <w:highlight w:val="none"/>
              </w:rPr>
            </w:pPr>
            <w:r>
              <w:rPr>
                <w:rFonts w:hint="eastAsia" w:ascii="宋体" w:hAnsi="宋体" w:eastAsia="宋体" w:cs="宋体"/>
                <w:szCs w:val="21"/>
                <w:highlight w:val="none"/>
              </w:rPr>
              <w:t>2.达到以上任意2项的，得1分；</w:t>
            </w:r>
          </w:p>
          <w:p>
            <w:pPr>
              <w:rPr>
                <w:rFonts w:ascii="宋体" w:hAnsi="宋体" w:eastAsia="宋体" w:cs="宋体"/>
                <w:szCs w:val="21"/>
                <w:highlight w:val="none"/>
              </w:rPr>
            </w:pPr>
            <w:r>
              <w:rPr>
                <w:rFonts w:hint="eastAsia" w:ascii="宋体" w:hAnsi="宋体" w:eastAsia="宋体" w:cs="宋体"/>
                <w:szCs w:val="21"/>
                <w:highlight w:val="none"/>
              </w:rPr>
              <w:t>3.达到以上任意1项的，得0.5分。</w:t>
            </w:r>
          </w:p>
          <w:p>
            <w:pPr>
              <w:rPr>
                <w:rFonts w:ascii="宋体" w:hAnsi="宋体" w:eastAsia="宋体" w:cs="宋体"/>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74" w:hRule="atLeast"/>
        </w:trPr>
        <w:tc>
          <w:tcPr>
            <w:tcW w:w="485" w:type="pct"/>
            <w:vMerge w:val="continue"/>
            <w:tcBorders>
              <w:right w:val="single" w:color="auto" w:sz="4" w:space="0"/>
            </w:tcBorders>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Cs/>
                <w:szCs w:val="21"/>
                <w:highlight w:val="none"/>
              </w:rPr>
              <w:t>控制柜（2分）</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1.控制柜结构合理，技术先进，材质优良。其中客梯满足指标：宽电压设计（380V±15%）</w:t>
            </w:r>
            <w:r>
              <w:rPr>
                <w:rFonts w:hint="eastAsia" w:ascii="宋体" w:hAnsi="宋体" w:eastAsia="宋体" w:cs="宋体"/>
                <w:szCs w:val="21"/>
                <w:highlight w:val="none"/>
                <w:lang w:val="en-US" w:eastAsia="zh-CN"/>
              </w:rPr>
              <w:t>及</w:t>
            </w:r>
            <w:r>
              <w:rPr>
                <w:rFonts w:hint="eastAsia" w:ascii="宋体" w:hAnsi="宋体" w:eastAsia="宋体" w:cs="宋体"/>
                <w:szCs w:val="21"/>
                <w:highlight w:val="none"/>
              </w:rPr>
              <w:t>抗雷击电压≥10KV得2分；</w:t>
            </w:r>
          </w:p>
          <w:p>
            <w:pPr>
              <w:rPr>
                <w:rFonts w:ascii="宋体" w:hAnsi="宋体" w:eastAsia="宋体" w:cs="宋体"/>
                <w:szCs w:val="21"/>
                <w:highlight w:val="none"/>
              </w:rPr>
            </w:pPr>
            <w:r>
              <w:rPr>
                <w:rFonts w:hint="eastAsia" w:ascii="宋体" w:hAnsi="宋体" w:eastAsia="宋体" w:cs="宋体"/>
                <w:szCs w:val="21"/>
                <w:highlight w:val="none"/>
              </w:rPr>
              <w:t>2.控制柜结构较合理，技术较先进，材质较优良。客梯满足指标：宽电压设计（380V±10%）</w:t>
            </w:r>
            <w:r>
              <w:rPr>
                <w:rFonts w:hint="eastAsia" w:ascii="宋体" w:hAnsi="宋体" w:eastAsia="宋体" w:cs="宋体"/>
                <w:szCs w:val="21"/>
                <w:highlight w:val="none"/>
                <w:lang w:val="en-US" w:eastAsia="zh-CN"/>
              </w:rPr>
              <w:t>及</w:t>
            </w:r>
            <w:r>
              <w:rPr>
                <w:rFonts w:hint="eastAsia" w:ascii="宋体" w:hAnsi="宋体" w:eastAsia="宋体" w:cs="宋体"/>
                <w:szCs w:val="21"/>
                <w:highlight w:val="none"/>
              </w:rPr>
              <w:t>抗雷击电压≥6KV，得1分；</w:t>
            </w:r>
          </w:p>
          <w:p>
            <w:pPr>
              <w:rPr>
                <w:rFonts w:ascii="宋体" w:hAnsi="宋体" w:eastAsia="宋体" w:cs="宋体"/>
                <w:szCs w:val="21"/>
                <w:highlight w:val="none"/>
              </w:rPr>
            </w:pPr>
            <w:r>
              <w:rPr>
                <w:rFonts w:hint="eastAsia" w:ascii="宋体" w:hAnsi="宋体" w:eastAsia="宋体" w:cs="宋体"/>
                <w:szCs w:val="21"/>
                <w:highlight w:val="none"/>
              </w:rPr>
              <w:t>3.控制柜结构不够合理，技术不够先进，材质不够优良。客梯满足指标：宽电压设计（380V±7%）</w:t>
            </w:r>
            <w:r>
              <w:rPr>
                <w:rFonts w:hint="eastAsia" w:ascii="宋体" w:hAnsi="宋体" w:eastAsia="宋体" w:cs="宋体"/>
                <w:szCs w:val="21"/>
                <w:highlight w:val="none"/>
                <w:lang w:val="en-US" w:eastAsia="zh-CN"/>
              </w:rPr>
              <w:t>及</w:t>
            </w:r>
            <w:r>
              <w:rPr>
                <w:rFonts w:hint="eastAsia" w:ascii="宋体" w:hAnsi="宋体" w:eastAsia="宋体" w:cs="宋体"/>
                <w:szCs w:val="21"/>
                <w:highlight w:val="none"/>
              </w:rPr>
              <w:t>未考虑抗雷击电压，得0.5分。</w:t>
            </w:r>
          </w:p>
          <w:p>
            <w:pPr>
              <w:rPr>
                <w:rFonts w:ascii="宋体" w:hAnsi="宋体" w:eastAsia="宋体" w:cs="宋体"/>
                <w:szCs w:val="21"/>
                <w:highlight w:val="none"/>
              </w:rPr>
            </w:pPr>
            <w:r>
              <w:rPr>
                <w:rFonts w:hint="eastAsia" w:ascii="宋体" w:hAnsi="宋体" w:eastAsia="宋体" w:cs="宋体"/>
                <w:szCs w:val="21"/>
                <w:highlight w:val="none"/>
              </w:rPr>
              <w:t>4. 其他情况不得分。</w:t>
            </w:r>
          </w:p>
          <w:p>
            <w:pPr>
              <w:rPr>
                <w:rFonts w:ascii="宋体" w:hAnsi="宋体" w:eastAsia="宋体" w:cs="宋体"/>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08" w:hRule="atLeast"/>
        </w:trPr>
        <w:tc>
          <w:tcPr>
            <w:tcW w:w="485" w:type="pct"/>
            <w:vMerge w:val="continue"/>
            <w:tcBorders>
              <w:right w:val="single" w:color="auto" w:sz="4" w:space="0"/>
            </w:tcBorders>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门机系统（2分）</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1.技术先进，材质优良。核心控制CPU采用32位微机或以上，门机系统或门锁寿命达到1500万次或以上，得2分；</w:t>
            </w:r>
          </w:p>
          <w:p>
            <w:pPr>
              <w:rPr>
                <w:rFonts w:ascii="宋体" w:hAnsi="宋体" w:eastAsia="宋体" w:cs="宋体"/>
                <w:szCs w:val="21"/>
                <w:highlight w:val="none"/>
              </w:rPr>
            </w:pPr>
            <w:r>
              <w:rPr>
                <w:rFonts w:hint="eastAsia" w:ascii="宋体" w:hAnsi="宋体" w:eastAsia="宋体" w:cs="宋体"/>
                <w:szCs w:val="21"/>
                <w:highlight w:val="none"/>
              </w:rPr>
              <w:t>2.技术较先进，材质较优良。核心控制CPU采用16位微机或以上，门机系统或门锁寿命达到1000万次或以上，得1分；</w:t>
            </w:r>
          </w:p>
          <w:p>
            <w:pPr>
              <w:rPr>
                <w:rFonts w:ascii="宋体" w:hAnsi="宋体" w:eastAsia="宋体" w:cs="宋体"/>
                <w:szCs w:val="21"/>
                <w:highlight w:val="none"/>
              </w:rPr>
            </w:pPr>
            <w:r>
              <w:rPr>
                <w:rFonts w:hint="eastAsia" w:ascii="宋体" w:hAnsi="宋体" w:eastAsia="宋体" w:cs="宋体"/>
                <w:szCs w:val="21"/>
                <w:highlight w:val="none"/>
              </w:rPr>
              <w:t>3.技术不够先进，材质不够优良。核心控制CPU采用8位微机或以上，门机系统或门锁寿命达到300万次或以上得0.5分。</w:t>
            </w:r>
          </w:p>
          <w:p>
            <w:pPr>
              <w:rPr>
                <w:rFonts w:ascii="宋体" w:hAnsi="宋体" w:eastAsia="宋体" w:cs="宋体"/>
                <w:szCs w:val="21"/>
                <w:highlight w:val="none"/>
              </w:rPr>
            </w:pPr>
            <w:r>
              <w:rPr>
                <w:rFonts w:hint="eastAsia" w:ascii="宋体" w:hAnsi="宋体" w:eastAsia="宋体" w:cs="宋体"/>
                <w:szCs w:val="21"/>
                <w:highlight w:val="none"/>
              </w:rPr>
              <w:t>4. 其他情况不得分。</w:t>
            </w:r>
          </w:p>
          <w:p>
            <w:pPr>
              <w:rPr>
                <w:rFonts w:ascii="宋体" w:hAnsi="宋体" w:eastAsia="宋体" w:cs="宋体"/>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trPr>
        <w:tc>
          <w:tcPr>
            <w:tcW w:w="485" w:type="pct"/>
            <w:vMerge w:val="continue"/>
            <w:tcBorders>
              <w:right w:val="single" w:color="auto" w:sz="4" w:space="0"/>
            </w:tcBorders>
          </w:tcPr>
          <w:p>
            <w:pPr>
              <w:jc w:val="center"/>
              <w:rPr>
                <w:rFonts w:ascii="宋体" w:hAnsi="宋体" w:eastAsia="宋体" w:cs="宋体"/>
                <w:szCs w:val="21"/>
                <w:highlight w:val="none"/>
              </w:rPr>
            </w:pPr>
          </w:p>
        </w:tc>
        <w:tc>
          <w:tcPr>
            <w:tcW w:w="613" w:type="pct"/>
            <w:vMerge w:val="continue"/>
            <w:tcBorders>
              <w:left w:val="single" w:color="auto" w:sz="4" w:space="0"/>
              <w:right w:val="single" w:color="auto" w:sz="4" w:space="0"/>
            </w:tcBorders>
            <w:vAlign w:val="center"/>
          </w:tcPr>
          <w:p>
            <w:pPr>
              <w:jc w:val="center"/>
              <w:rPr>
                <w:rFonts w:ascii="宋体" w:hAnsi="宋体" w:eastAsia="宋体" w:cs="宋体"/>
                <w:szCs w:val="21"/>
                <w:highlight w:val="none"/>
              </w:rPr>
            </w:pP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highlight w:val="none"/>
              </w:rPr>
            </w:pPr>
            <w:r>
              <w:rPr>
                <w:rFonts w:hint="eastAsia" w:ascii="宋体" w:hAnsi="宋体" w:eastAsia="宋体" w:cs="宋体"/>
                <w:bCs/>
                <w:szCs w:val="21"/>
                <w:highlight w:val="none"/>
              </w:rPr>
              <w:t>安全部件（2分）</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根据安全部件（包括但不限于缓冲器，限速器，安全钳，轿厢上行超速保护装置，门锁，安全电路等）进行评审：</w:t>
            </w:r>
          </w:p>
          <w:p>
            <w:pPr>
              <w:rPr>
                <w:rFonts w:ascii="宋体" w:hAnsi="宋体" w:eastAsia="宋体" w:cs="宋体"/>
                <w:szCs w:val="21"/>
                <w:highlight w:val="none"/>
              </w:rPr>
            </w:pPr>
            <w:r>
              <w:rPr>
                <w:rFonts w:hint="eastAsia" w:ascii="宋体" w:hAnsi="宋体" w:eastAsia="宋体" w:cs="宋体"/>
                <w:szCs w:val="21"/>
                <w:highlight w:val="none"/>
              </w:rPr>
              <w:t>1.电梯主要安全装置结构合理，技术先进，材质优良，安全可靠，得2分；</w:t>
            </w:r>
          </w:p>
          <w:p>
            <w:pPr>
              <w:rPr>
                <w:rFonts w:ascii="宋体" w:hAnsi="宋体" w:eastAsia="宋体" w:cs="宋体"/>
                <w:szCs w:val="21"/>
                <w:highlight w:val="none"/>
              </w:rPr>
            </w:pPr>
            <w:r>
              <w:rPr>
                <w:rFonts w:hint="eastAsia" w:ascii="宋体" w:hAnsi="宋体" w:eastAsia="宋体" w:cs="宋体"/>
                <w:szCs w:val="21"/>
                <w:highlight w:val="none"/>
              </w:rPr>
              <w:t>2.电梯主要安全装置结构较合理，技术较先进，材质较优良，较安全可靠，得1分；</w:t>
            </w:r>
          </w:p>
          <w:p>
            <w:pPr>
              <w:rPr>
                <w:rFonts w:ascii="宋体" w:hAnsi="宋体" w:eastAsia="宋体" w:cs="宋体"/>
                <w:szCs w:val="21"/>
                <w:highlight w:val="none"/>
              </w:rPr>
            </w:pPr>
            <w:r>
              <w:rPr>
                <w:rFonts w:hint="eastAsia" w:ascii="宋体" w:hAnsi="宋体" w:eastAsia="宋体" w:cs="宋体"/>
                <w:szCs w:val="21"/>
                <w:highlight w:val="none"/>
              </w:rPr>
              <w:t>3.电梯主要安全装置结构不够合理，技术不够先进，材质不够优良，不够安全可靠，得0.5分。</w:t>
            </w:r>
          </w:p>
          <w:p>
            <w:pPr>
              <w:rPr>
                <w:rFonts w:ascii="宋体" w:hAnsi="宋体" w:eastAsia="宋体" w:cs="宋体"/>
                <w:szCs w:val="21"/>
                <w:highlight w:val="none"/>
              </w:rPr>
            </w:pPr>
            <w:r>
              <w:rPr>
                <w:rFonts w:hint="eastAsia" w:ascii="宋体" w:hAnsi="宋体" w:eastAsia="宋体" w:cs="宋体"/>
                <w:szCs w:val="21"/>
                <w:highlight w:val="none"/>
              </w:rPr>
              <w:t>4. 其他情况不得分。</w:t>
            </w:r>
          </w:p>
          <w:p>
            <w:pPr>
              <w:rPr>
                <w:rFonts w:ascii="宋体" w:hAnsi="宋体" w:eastAsia="宋体" w:cs="宋体"/>
                <w:b/>
                <w:bCs/>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75" w:hRule="atLeast"/>
        </w:trPr>
        <w:tc>
          <w:tcPr>
            <w:tcW w:w="485" w:type="pct"/>
            <w:tcBorders>
              <w:right w:val="single" w:color="auto" w:sz="4" w:space="0"/>
            </w:tcBorders>
          </w:tcPr>
          <w:p>
            <w:pPr>
              <w:jc w:val="center"/>
              <w:rPr>
                <w:rFonts w:ascii="宋体" w:hAnsi="宋体" w:eastAsia="宋体" w:cs="宋体"/>
                <w:szCs w:val="21"/>
                <w:highlight w:val="none"/>
              </w:rPr>
            </w:pPr>
          </w:p>
        </w:tc>
        <w:tc>
          <w:tcPr>
            <w:tcW w:w="613" w:type="pct"/>
            <w:tcBorders>
              <w:left w:val="single" w:color="auto" w:sz="4" w:space="0"/>
              <w:right w:val="single" w:color="auto" w:sz="4" w:space="0"/>
            </w:tcBorders>
          </w:tcPr>
          <w:p>
            <w:pPr>
              <w:jc w:val="center"/>
              <w:rPr>
                <w:rFonts w:ascii="宋体" w:hAnsi="宋体" w:eastAsia="宋体" w:cs="宋体"/>
                <w:szCs w:val="21"/>
                <w:highlight w:val="none"/>
              </w:rPr>
            </w:pPr>
          </w:p>
        </w:tc>
        <w:tc>
          <w:tcPr>
            <w:tcW w:w="982" w:type="pc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产品能效等级（2分）</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1.投标电梯获得整机能效等级认证A级（符合ISO 25745 或GB/T 30559标准）的得2分。</w:t>
            </w:r>
          </w:p>
          <w:p>
            <w:pPr>
              <w:rPr>
                <w:rFonts w:ascii="宋体" w:hAnsi="宋体" w:eastAsia="宋体" w:cs="宋体"/>
                <w:szCs w:val="21"/>
                <w:highlight w:val="none"/>
              </w:rPr>
            </w:pPr>
            <w:r>
              <w:rPr>
                <w:rFonts w:hint="eastAsia" w:ascii="宋体" w:hAnsi="宋体" w:eastAsia="宋体" w:cs="宋体"/>
                <w:szCs w:val="21"/>
                <w:highlight w:val="none"/>
              </w:rPr>
              <w:t>2.投标电梯获得整机能效等级认证</w:t>
            </w:r>
            <w:r>
              <w:rPr>
                <w:rFonts w:hint="eastAsia" w:ascii="宋体" w:hAnsi="宋体" w:eastAsia="宋体" w:cs="宋体"/>
                <w:szCs w:val="21"/>
                <w:highlight w:val="none"/>
                <w:lang w:val="en-US" w:eastAsia="zh-CN"/>
              </w:rPr>
              <w:t>B</w:t>
            </w:r>
            <w:r>
              <w:rPr>
                <w:rFonts w:hint="eastAsia" w:ascii="宋体" w:hAnsi="宋体" w:eastAsia="宋体" w:cs="宋体"/>
                <w:szCs w:val="21"/>
                <w:highlight w:val="none"/>
              </w:rPr>
              <w:t>级（符合ISO 25745 或GB/T 30559标准）的，得1分。</w:t>
            </w:r>
          </w:p>
          <w:p>
            <w:pPr>
              <w:rPr>
                <w:rFonts w:ascii="宋体" w:hAnsi="宋体" w:eastAsia="宋体" w:cs="宋体"/>
                <w:szCs w:val="21"/>
                <w:highlight w:val="none"/>
              </w:rPr>
            </w:pPr>
            <w:r>
              <w:rPr>
                <w:rFonts w:hint="eastAsia" w:ascii="宋体" w:hAnsi="宋体" w:eastAsia="宋体" w:cs="宋体"/>
                <w:szCs w:val="21"/>
                <w:highlight w:val="none"/>
              </w:rPr>
              <w:t>3. 投标电梯获得整机能效等级认证</w:t>
            </w:r>
            <w:r>
              <w:rPr>
                <w:rFonts w:hint="eastAsia" w:ascii="宋体" w:hAnsi="宋体" w:eastAsia="宋体" w:cs="宋体"/>
                <w:szCs w:val="21"/>
                <w:highlight w:val="none"/>
                <w:lang w:val="en-US" w:eastAsia="zh-CN"/>
              </w:rPr>
              <w:t>C</w:t>
            </w:r>
            <w:r>
              <w:rPr>
                <w:rFonts w:hint="eastAsia" w:ascii="宋体" w:hAnsi="宋体" w:eastAsia="宋体" w:cs="宋体"/>
                <w:szCs w:val="21"/>
                <w:highlight w:val="none"/>
              </w:rPr>
              <w:t>级以下的，得0.5分</w:t>
            </w:r>
          </w:p>
          <w:p>
            <w:pPr>
              <w:rPr>
                <w:rFonts w:ascii="宋体" w:hAnsi="宋体" w:eastAsia="宋体" w:cs="宋体"/>
                <w:b/>
                <w:color w:val="000000"/>
                <w:szCs w:val="21"/>
                <w:highlight w:val="none"/>
              </w:rPr>
            </w:pPr>
            <w:r>
              <w:rPr>
                <w:rFonts w:hint="eastAsia" w:ascii="宋体" w:hAnsi="宋体" w:eastAsia="宋体" w:cs="宋体"/>
                <w:szCs w:val="21"/>
                <w:highlight w:val="none"/>
              </w:rPr>
              <w:t>注：须提供具备CMA和CNAS标识的第三方检测机构出具的检测报告扫描件。未提供或其他不得分。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75" w:hRule="atLeast"/>
        </w:trPr>
        <w:tc>
          <w:tcPr>
            <w:tcW w:w="485" w:type="pct"/>
            <w:tcBorders>
              <w:right w:val="single" w:color="auto" w:sz="4" w:space="0"/>
            </w:tcBorders>
          </w:tcPr>
          <w:p>
            <w:pPr>
              <w:jc w:val="center"/>
              <w:rPr>
                <w:rFonts w:ascii="宋体" w:hAnsi="宋体" w:eastAsia="宋体" w:cs="宋体"/>
                <w:szCs w:val="21"/>
                <w:highlight w:val="none"/>
              </w:rPr>
            </w:pPr>
          </w:p>
        </w:tc>
        <w:tc>
          <w:tcPr>
            <w:tcW w:w="613" w:type="pct"/>
            <w:tcBorders>
              <w:left w:val="single" w:color="auto" w:sz="4" w:space="0"/>
              <w:right w:val="single" w:color="auto" w:sz="4" w:space="0"/>
            </w:tcBorders>
          </w:tcPr>
          <w:p>
            <w:pPr>
              <w:jc w:val="center"/>
              <w:rPr>
                <w:rFonts w:ascii="宋体" w:hAnsi="宋体" w:eastAsia="宋体" w:cs="宋体"/>
                <w:szCs w:val="21"/>
                <w:highlight w:val="none"/>
              </w:rPr>
            </w:pPr>
          </w:p>
        </w:tc>
        <w:tc>
          <w:tcPr>
            <w:tcW w:w="982" w:type="pc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项目组织实施方案（3分）</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根据项目组织实施方案进行综合评分：</w:t>
            </w:r>
          </w:p>
          <w:p>
            <w:pPr>
              <w:rPr>
                <w:rFonts w:ascii="宋体" w:hAnsi="宋体" w:eastAsia="宋体" w:cs="宋体"/>
                <w:szCs w:val="21"/>
                <w:highlight w:val="none"/>
              </w:rPr>
            </w:pPr>
            <w:r>
              <w:rPr>
                <w:rFonts w:hint="eastAsia" w:ascii="宋体" w:hAnsi="宋体" w:eastAsia="宋体" w:cs="宋体"/>
                <w:szCs w:val="21"/>
                <w:highlight w:val="none"/>
              </w:rPr>
              <w:t>优：方案具体详细、可行性强、对不可预见因素分析透彻，得3分；</w:t>
            </w:r>
          </w:p>
          <w:p>
            <w:pPr>
              <w:rPr>
                <w:rFonts w:ascii="宋体" w:hAnsi="宋体" w:eastAsia="宋体" w:cs="宋体"/>
                <w:szCs w:val="21"/>
                <w:highlight w:val="none"/>
              </w:rPr>
            </w:pPr>
            <w:r>
              <w:rPr>
                <w:rFonts w:hint="eastAsia" w:ascii="宋体" w:hAnsi="宋体" w:eastAsia="宋体" w:cs="宋体"/>
                <w:szCs w:val="21"/>
                <w:highlight w:val="none"/>
              </w:rPr>
              <w:t>良：方案较具体详细、可行性较强、对不可预见因素分析到位，得2分；</w:t>
            </w:r>
          </w:p>
          <w:p>
            <w:pPr>
              <w:rPr>
                <w:rFonts w:ascii="宋体" w:hAnsi="宋体" w:eastAsia="宋体" w:cs="宋体"/>
                <w:szCs w:val="21"/>
                <w:highlight w:val="none"/>
              </w:rPr>
            </w:pPr>
            <w:r>
              <w:rPr>
                <w:rFonts w:hint="eastAsia" w:ascii="宋体" w:hAnsi="宋体" w:eastAsia="宋体" w:cs="宋体"/>
                <w:szCs w:val="21"/>
                <w:highlight w:val="none"/>
              </w:rPr>
              <w:t>中：方案一般具体详细、可行性一般、对不可预见因素分析基本到位，得1分；</w:t>
            </w:r>
          </w:p>
          <w:p>
            <w:pPr>
              <w:rPr>
                <w:rFonts w:ascii="宋体" w:hAnsi="宋体" w:eastAsia="宋体" w:cs="宋体"/>
                <w:szCs w:val="21"/>
                <w:highlight w:val="none"/>
              </w:rPr>
            </w:pPr>
            <w:r>
              <w:rPr>
                <w:rFonts w:hint="eastAsia" w:ascii="宋体" w:hAnsi="宋体" w:eastAsia="宋体" w:cs="宋体"/>
                <w:szCs w:val="21"/>
                <w:highlight w:val="none"/>
              </w:rPr>
              <w:t>差：方案不够具体详细、可行性差、对不可预见因素分析不够全面，得0.5分；</w:t>
            </w:r>
          </w:p>
          <w:p>
            <w:pPr>
              <w:rPr>
                <w:rFonts w:ascii="宋体" w:hAnsi="宋体" w:eastAsia="宋体" w:cs="宋体"/>
                <w:b/>
                <w:color w:val="000000"/>
                <w:szCs w:val="21"/>
                <w:highlight w:val="none"/>
              </w:rPr>
            </w:pPr>
            <w:r>
              <w:rPr>
                <w:rFonts w:hint="eastAsia" w:ascii="宋体" w:hAnsi="宋体" w:eastAsia="宋体" w:cs="宋体"/>
                <w:szCs w:val="21"/>
                <w:highlight w:val="none"/>
              </w:rPr>
              <w:t>不提供不得分。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75" w:hRule="atLeast"/>
        </w:trPr>
        <w:tc>
          <w:tcPr>
            <w:tcW w:w="485" w:type="pct"/>
            <w:tcBorders>
              <w:right w:val="single" w:color="auto" w:sz="4" w:space="0"/>
            </w:tcBorders>
          </w:tcPr>
          <w:p>
            <w:pPr>
              <w:jc w:val="center"/>
              <w:rPr>
                <w:rFonts w:ascii="宋体" w:hAnsi="宋体" w:eastAsia="宋体" w:cs="宋体"/>
                <w:szCs w:val="21"/>
                <w:highlight w:val="none"/>
              </w:rPr>
            </w:pPr>
          </w:p>
        </w:tc>
        <w:tc>
          <w:tcPr>
            <w:tcW w:w="613" w:type="pct"/>
            <w:tcBorders>
              <w:left w:val="single" w:color="auto" w:sz="4" w:space="0"/>
              <w:right w:val="single" w:color="auto" w:sz="4" w:space="0"/>
            </w:tcBorders>
          </w:tcPr>
          <w:p>
            <w:pPr>
              <w:jc w:val="center"/>
              <w:rPr>
                <w:rFonts w:ascii="宋体" w:hAnsi="宋体" w:eastAsia="宋体" w:cs="宋体"/>
                <w:szCs w:val="21"/>
                <w:highlight w:val="none"/>
              </w:rPr>
            </w:pPr>
          </w:p>
        </w:tc>
        <w:tc>
          <w:tcPr>
            <w:tcW w:w="982" w:type="pc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进度计划方案（</w:t>
            </w:r>
            <w:r>
              <w:rPr>
                <w:rFonts w:hint="eastAsia" w:ascii="宋体" w:hAnsi="宋体" w:eastAsia="宋体" w:cs="宋体"/>
                <w:bCs/>
                <w:szCs w:val="21"/>
                <w:highlight w:val="none"/>
                <w:lang w:val="en-US" w:eastAsia="zh-CN"/>
              </w:rPr>
              <w:t>5</w:t>
            </w:r>
            <w:r>
              <w:rPr>
                <w:rFonts w:hint="eastAsia" w:ascii="宋体" w:hAnsi="宋体" w:eastAsia="宋体" w:cs="宋体"/>
                <w:bCs/>
                <w:szCs w:val="21"/>
                <w:highlight w:val="none"/>
              </w:rPr>
              <w:t>分）</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根据项目进度计划方案进行综合评分：</w:t>
            </w:r>
          </w:p>
          <w:p>
            <w:pPr>
              <w:rPr>
                <w:rFonts w:ascii="宋体" w:hAnsi="宋体" w:eastAsia="宋体" w:cs="宋体"/>
                <w:szCs w:val="21"/>
                <w:highlight w:val="none"/>
              </w:rPr>
            </w:pPr>
            <w:r>
              <w:rPr>
                <w:rFonts w:hint="eastAsia" w:ascii="宋体" w:hAnsi="宋体" w:eastAsia="宋体" w:cs="宋体"/>
                <w:szCs w:val="21"/>
                <w:highlight w:val="none"/>
              </w:rPr>
              <w:t>优：进度计划方案非常科学合理、切实可行，得</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良：进度计划方案较科学合理、较切实可行，得3分；</w:t>
            </w:r>
          </w:p>
          <w:p>
            <w:pPr>
              <w:rPr>
                <w:rFonts w:ascii="宋体" w:hAnsi="宋体" w:eastAsia="宋体" w:cs="宋体"/>
                <w:szCs w:val="21"/>
                <w:highlight w:val="none"/>
              </w:rPr>
            </w:pPr>
            <w:r>
              <w:rPr>
                <w:rFonts w:hint="eastAsia" w:ascii="宋体" w:hAnsi="宋体" w:eastAsia="宋体" w:cs="宋体"/>
                <w:szCs w:val="21"/>
                <w:highlight w:val="none"/>
              </w:rPr>
              <w:t>中：进度计划方案一般科学合理、一般切实可行，得2分；</w:t>
            </w:r>
          </w:p>
          <w:p>
            <w:pPr>
              <w:rPr>
                <w:rFonts w:ascii="宋体" w:hAnsi="宋体" w:eastAsia="宋体" w:cs="宋体"/>
                <w:szCs w:val="21"/>
                <w:highlight w:val="none"/>
              </w:rPr>
            </w:pPr>
            <w:r>
              <w:rPr>
                <w:rFonts w:hint="eastAsia" w:ascii="宋体" w:hAnsi="宋体" w:eastAsia="宋体" w:cs="宋体"/>
                <w:szCs w:val="21"/>
                <w:highlight w:val="none"/>
              </w:rPr>
              <w:t>差：进度计划方案不够科学合理、不够切实可行，得1分；</w:t>
            </w:r>
          </w:p>
          <w:p>
            <w:pPr>
              <w:rPr>
                <w:rFonts w:ascii="宋体" w:hAnsi="宋体" w:eastAsia="宋体" w:cs="宋体"/>
                <w:b/>
                <w:color w:val="000000"/>
                <w:szCs w:val="21"/>
                <w:highlight w:val="none"/>
              </w:rPr>
            </w:pPr>
            <w:r>
              <w:rPr>
                <w:rFonts w:hint="eastAsia" w:ascii="宋体" w:hAnsi="宋体" w:eastAsia="宋体" w:cs="宋体"/>
                <w:szCs w:val="21"/>
                <w:highlight w:val="none"/>
              </w:rPr>
              <w:t>不提供不得分。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1" w:hRule="atLeast"/>
        </w:trPr>
        <w:tc>
          <w:tcPr>
            <w:tcW w:w="485" w:type="pct"/>
            <w:tcBorders>
              <w:right w:val="single" w:color="auto" w:sz="4" w:space="0"/>
            </w:tcBorders>
          </w:tcPr>
          <w:p>
            <w:pPr>
              <w:jc w:val="center"/>
              <w:rPr>
                <w:rFonts w:ascii="宋体" w:hAnsi="宋体" w:eastAsia="宋体" w:cs="宋体"/>
                <w:szCs w:val="21"/>
                <w:highlight w:val="none"/>
              </w:rPr>
            </w:pPr>
          </w:p>
        </w:tc>
        <w:tc>
          <w:tcPr>
            <w:tcW w:w="613" w:type="pct"/>
            <w:tcBorders>
              <w:left w:val="single" w:color="auto" w:sz="4" w:space="0"/>
              <w:right w:val="single" w:color="auto" w:sz="4" w:space="0"/>
            </w:tcBorders>
          </w:tcPr>
          <w:p>
            <w:pPr>
              <w:jc w:val="center"/>
              <w:rPr>
                <w:rFonts w:ascii="宋体" w:hAnsi="宋体" w:eastAsia="宋体" w:cs="宋体"/>
                <w:szCs w:val="21"/>
                <w:highlight w:val="none"/>
              </w:rPr>
            </w:pPr>
          </w:p>
        </w:tc>
        <w:tc>
          <w:tcPr>
            <w:tcW w:w="982" w:type="pc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应急响应方案（</w:t>
            </w:r>
            <w:r>
              <w:rPr>
                <w:rFonts w:hint="default" w:ascii="宋体" w:hAnsi="宋体" w:eastAsia="宋体" w:cs="宋体"/>
                <w:bCs/>
                <w:szCs w:val="21"/>
                <w:highlight w:val="none"/>
                <w:lang w:val="en-US"/>
              </w:rPr>
              <w:t>4</w:t>
            </w:r>
            <w:r>
              <w:rPr>
                <w:rFonts w:hint="eastAsia" w:ascii="宋体" w:hAnsi="宋体" w:eastAsia="宋体" w:cs="宋体"/>
                <w:bCs/>
                <w:szCs w:val="21"/>
                <w:highlight w:val="none"/>
              </w:rPr>
              <w:t>分）</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根据项目应急响应方案进行综合评分：</w:t>
            </w:r>
          </w:p>
          <w:p>
            <w:pPr>
              <w:rPr>
                <w:rFonts w:ascii="宋体" w:hAnsi="宋体" w:eastAsia="宋体" w:cs="宋体"/>
                <w:szCs w:val="21"/>
                <w:highlight w:val="none"/>
              </w:rPr>
            </w:pPr>
            <w:r>
              <w:rPr>
                <w:rFonts w:hint="eastAsia" w:ascii="宋体" w:hAnsi="宋体" w:eastAsia="宋体" w:cs="宋体"/>
                <w:szCs w:val="21"/>
                <w:highlight w:val="none"/>
              </w:rPr>
              <w:t>优：方案具体详细、可行性强、对突发应急事件的预判性高，得4分；</w:t>
            </w:r>
          </w:p>
          <w:p>
            <w:pPr>
              <w:rPr>
                <w:rFonts w:ascii="宋体" w:hAnsi="宋体" w:eastAsia="宋体" w:cs="宋体"/>
                <w:szCs w:val="21"/>
                <w:highlight w:val="none"/>
              </w:rPr>
            </w:pPr>
            <w:r>
              <w:rPr>
                <w:rFonts w:hint="eastAsia" w:ascii="宋体" w:hAnsi="宋体" w:eastAsia="宋体" w:cs="宋体"/>
                <w:szCs w:val="21"/>
                <w:highlight w:val="none"/>
              </w:rPr>
              <w:t>良：方案较具体详细、可行性较强、对突发应急事件的预判性较高，得3分；</w:t>
            </w:r>
          </w:p>
          <w:p>
            <w:pPr>
              <w:rPr>
                <w:rFonts w:ascii="宋体" w:hAnsi="宋体" w:eastAsia="宋体" w:cs="宋体"/>
                <w:szCs w:val="21"/>
                <w:highlight w:val="none"/>
              </w:rPr>
            </w:pPr>
            <w:r>
              <w:rPr>
                <w:rFonts w:hint="eastAsia" w:ascii="宋体" w:hAnsi="宋体" w:eastAsia="宋体" w:cs="宋体"/>
                <w:szCs w:val="21"/>
                <w:highlight w:val="none"/>
              </w:rPr>
              <w:t>中：方案一般具体详细、可行性一般、对突发应急事件的预判性一般，得2分；</w:t>
            </w:r>
          </w:p>
          <w:p>
            <w:pPr>
              <w:rPr>
                <w:rFonts w:ascii="宋体" w:hAnsi="宋体" w:eastAsia="宋体" w:cs="宋体"/>
                <w:szCs w:val="21"/>
                <w:highlight w:val="none"/>
              </w:rPr>
            </w:pPr>
            <w:r>
              <w:rPr>
                <w:rFonts w:hint="eastAsia" w:ascii="宋体" w:hAnsi="宋体" w:eastAsia="宋体" w:cs="宋体"/>
                <w:szCs w:val="21"/>
                <w:highlight w:val="none"/>
              </w:rPr>
              <w:t>差：方案不够具体详细、可行性差、对突发应急事件的预判性低，得1分；</w:t>
            </w:r>
          </w:p>
          <w:p>
            <w:pPr>
              <w:rPr>
                <w:rFonts w:ascii="宋体" w:hAnsi="宋体" w:eastAsia="宋体" w:cs="宋体"/>
                <w:b/>
                <w:color w:val="000000"/>
                <w:szCs w:val="21"/>
                <w:highlight w:val="none"/>
              </w:rPr>
            </w:pPr>
            <w:r>
              <w:rPr>
                <w:rFonts w:hint="eastAsia" w:ascii="宋体" w:hAnsi="宋体" w:eastAsia="宋体" w:cs="宋体"/>
                <w:szCs w:val="21"/>
                <w:highlight w:val="none"/>
              </w:rPr>
              <w:t>不提供不得分。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75" w:hRule="atLeast"/>
        </w:trPr>
        <w:tc>
          <w:tcPr>
            <w:tcW w:w="485" w:type="pct"/>
            <w:tcBorders>
              <w:right w:val="single" w:color="auto" w:sz="4" w:space="0"/>
            </w:tcBorders>
          </w:tcPr>
          <w:p>
            <w:pPr>
              <w:jc w:val="center"/>
              <w:rPr>
                <w:rFonts w:ascii="宋体" w:hAnsi="宋体" w:eastAsia="宋体" w:cs="宋体"/>
                <w:szCs w:val="21"/>
                <w:highlight w:val="none"/>
              </w:rPr>
            </w:pPr>
          </w:p>
        </w:tc>
        <w:tc>
          <w:tcPr>
            <w:tcW w:w="613" w:type="pct"/>
            <w:tcBorders>
              <w:left w:val="single" w:color="auto" w:sz="4" w:space="0"/>
              <w:right w:val="single" w:color="auto" w:sz="4" w:space="0"/>
            </w:tcBorders>
          </w:tcPr>
          <w:p>
            <w:pPr>
              <w:jc w:val="center"/>
              <w:rPr>
                <w:rFonts w:ascii="宋体" w:hAnsi="宋体" w:eastAsia="宋体" w:cs="宋体"/>
                <w:szCs w:val="21"/>
                <w:highlight w:val="none"/>
              </w:rPr>
            </w:pPr>
          </w:p>
        </w:tc>
        <w:tc>
          <w:tcPr>
            <w:tcW w:w="982" w:type="pc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质量控制保障措施和方法（</w:t>
            </w:r>
            <w:r>
              <w:rPr>
                <w:rFonts w:hint="eastAsia" w:ascii="宋体" w:hAnsi="宋体" w:eastAsia="宋体" w:cs="宋体"/>
                <w:bCs/>
                <w:szCs w:val="21"/>
                <w:highlight w:val="none"/>
                <w:lang w:val="en-US" w:eastAsia="zh-CN"/>
              </w:rPr>
              <w:t>5</w:t>
            </w:r>
            <w:r>
              <w:rPr>
                <w:rFonts w:hint="eastAsia" w:ascii="宋体" w:hAnsi="宋体" w:eastAsia="宋体" w:cs="宋体"/>
                <w:bCs/>
                <w:szCs w:val="21"/>
                <w:highlight w:val="none"/>
              </w:rPr>
              <w:t>分）</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根据项目质量控制保障措施和方法进行综合评分：</w:t>
            </w:r>
          </w:p>
          <w:p>
            <w:pPr>
              <w:rPr>
                <w:rFonts w:ascii="宋体" w:hAnsi="宋体" w:eastAsia="宋体" w:cs="宋体"/>
                <w:szCs w:val="21"/>
                <w:highlight w:val="none"/>
              </w:rPr>
            </w:pPr>
            <w:r>
              <w:rPr>
                <w:rFonts w:hint="eastAsia" w:ascii="宋体" w:hAnsi="宋体" w:eastAsia="宋体" w:cs="宋体"/>
                <w:szCs w:val="21"/>
                <w:highlight w:val="none"/>
              </w:rPr>
              <w:t>优：方案具体详细、可行性和针对性强，得</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良：方案较具体详细、可行性和针对性较强，得3分；</w:t>
            </w:r>
          </w:p>
          <w:p>
            <w:pPr>
              <w:rPr>
                <w:rFonts w:ascii="宋体" w:hAnsi="宋体" w:eastAsia="宋体" w:cs="宋体"/>
                <w:szCs w:val="21"/>
                <w:highlight w:val="none"/>
              </w:rPr>
            </w:pPr>
            <w:r>
              <w:rPr>
                <w:rFonts w:hint="eastAsia" w:ascii="宋体" w:hAnsi="宋体" w:eastAsia="宋体" w:cs="宋体"/>
                <w:szCs w:val="21"/>
                <w:highlight w:val="none"/>
              </w:rPr>
              <w:t>中：方案一般具体详细、可行性和针对性一般，得2分；</w:t>
            </w:r>
          </w:p>
          <w:p>
            <w:pPr>
              <w:rPr>
                <w:rFonts w:ascii="宋体" w:hAnsi="宋体" w:eastAsia="宋体" w:cs="宋体"/>
                <w:szCs w:val="21"/>
                <w:highlight w:val="none"/>
              </w:rPr>
            </w:pPr>
            <w:r>
              <w:rPr>
                <w:rFonts w:hint="eastAsia" w:ascii="宋体" w:hAnsi="宋体" w:eastAsia="宋体" w:cs="宋体"/>
                <w:szCs w:val="21"/>
                <w:highlight w:val="none"/>
              </w:rPr>
              <w:t>差：方案不够具体详细、可行性和针对性差，得1分；</w:t>
            </w:r>
          </w:p>
          <w:p>
            <w:pPr>
              <w:rPr>
                <w:rFonts w:ascii="宋体" w:hAnsi="宋体" w:eastAsia="宋体" w:cs="宋体"/>
                <w:b/>
                <w:color w:val="000000"/>
                <w:szCs w:val="21"/>
                <w:highlight w:val="none"/>
              </w:rPr>
            </w:pPr>
            <w:r>
              <w:rPr>
                <w:rFonts w:hint="eastAsia" w:ascii="宋体" w:hAnsi="宋体" w:eastAsia="宋体" w:cs="宋体"/>
                <w:szCs w:val="21"/>
                <w:highlight w:val="none"/>
              </w:rPr>
              <w:t>不提供不得分。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75" w:hRule="atLeast"/>
        </w:trPr>
        <w:tc>
          <w:tcPr>
            <w:tcW w:w="485" w:type="pct"/>
            <w:tcBorders>
              <w:right w:val="single" w:color="auto" w:sz="4" w:space="0"/>
            </w:tcBorders>
          </w:tcPr>
          <w:p>
            <w:pPr>
              <w:jc w:val="center"/>
              <w:rPr>
                <w:rFonts w:ascii="宋体" w:hAnsi="宋体" w:eastAsia="宋体" w:cs="宋体"/>
                <w:szCs w:val="21"/>
                <w:highlight w:val="none"/>
              </w:rPr>
            </w:pPr>
          </w:p>
        </w:tc>
        <w:tc>
          <w:tcPr>
            <w:tcW w:w="613" w:type="pct"/>
            <w:tcBorders>
              <w:left w:val="single" w:color="auto" w:sz="4" w:space="0"/>
              <w:right w:val="single" w:color="auto" w:sz="4" w:space="0"/>
            </w:tcBorders>
          </w:tcPr>
          <w:p>
            <w:pPr>
              <w:jc w:val="center"/>
              <w:rPr>
                <w:rFonts w:ascii="宋体" w:hAnsi="宋体" w:eastAsia="宋体" w:cs="宋体"/>
                <w:szCs w:val="21"/>
                <w:highlight w:val="none"/>
              </w:rPr>
            </w:pPr>
          </w:p>
        </w:tc>
        <w:tc>
          <w:tcPr>
            <w:tcW w:w="982" w:type="pct"/>
            <w:tcBorders>
              <w:top w:val="single" w:color="auto" w:sz="4" w:space="0"/>
              <w:left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bCs/>
                <w:szCs w:val="21"/>
                <w:highlight w:val="none"/>
              </w:rPr>
              <w:t>售后服务方案（</w:t>
            </w:r>
            <w:r>
              <w:rPr>
                <w:rFonts w:hint="default" w:ascii="宋体" w:hAnsi="宋体" w:eastAsia="宋体" w:cs="宋体"/>
                <w:bCs/>
                <w:szCs w:val="21"/>
                <w:highlight w:val="none"/>
                <w:lang w:val="en-US"/>
              </w:rPr>
              <w:t>3</w:t>
            </w:r>
            <w:r>
              <w:rPr>
                <w:rFonts w:hint="eastAsia" w:ascii="宋体" w:hAnsi="宋体" w:eastAsia="宋体" w:cs="宋体"/>
                <w:bCs/>
                <w:szCs w:val="21"/>
                <w:highlight w:val="none"/>
              </w:rPr>
              <w:t>分）</w:t>
            </w:r>
          </w:p>
        </w:tc>
        <w:tc>
          <w:tcPr>
            <w:tcW w:w="2917" w:type="pct"/>
            <w:tcBorders>
              <w:top w:val="single" w:color="auto" w:sz="4" w:space="0"/>
              <w:left w:val="single" w:color="auto" w:sz="4" w:space="0"/>
              <w:bottom w:val="single" w:color="auto" w:sz="4" w:space="0"/>
            </w:tcBorders>
            <w:vAlign w:val="center"/>
          </w:tcPr>
          <w:p>
            <w:pPr>
              <w:rPr>
                <w:rFonts w:ascii="宋体" w:hAnsi="宋体" w:eastAsia="宋体" w:cs="宋体"/>
                <w:szCs w:val="21"/>
                <w:highlight w:val="none"/>
              </w:rPr>
            </w:pPr>
            <w:r>
              <w:rPr>
                <w:rFonts w:hint="eastAsia" w:ascii="宋体" w:hAnsi="宋体" w:eastAsia="宋体" w:cs="宋体"/>
                <w:szCs w:val="21"/>
                <w:highlight w:val="none"/>
              </w:rPr>
              <w:t>根据项目售后服务方案进行综合评分：</w:t>
            </w:r>
          </w:p>
          <w:p>
            <w:pPr>
              <w:rPr>
                <w:rFonts w:ascii="宋体" w:hAnsi="宋体" w:eastAsia="宋体" w:cs="宋体"/>
                <w:szCs w:val="21"/>
                <w:highlight w:val="none"/>
              </w:rPr>
            </w:pPr>
            <w:r>
              <w:rPr>
                <w:rFonts w:hint="eastAsia" w:ascii="宋体" w:hAnsi="宋体" w:eastAsia="宋体" w:cs="宋体"/>
                <w:szCs w:val="21"/>
                <w:highlight w:val="none"/>
              </w:rPr>
              <w:t>优：方案具体详细、可行性强，得3分；</w:t>
            </w:r>
          </w:p>
          <w:p>
            <w:pPr>
              <w:rPr>
                <w:rFonts w:ascii="宋体" w:hAnsi="宋体" w:eastAsia="宋体" w:cs="宋体"/>
                <w:szCs w:val="21"/>
                <w:highlight w:val="none"/>
              </w:rPr>
            </w:pPr>
            <w:r>
              <w:rPr>
                <w:rFonts w:hint="eastAsia" w:ascii="宋体" w:hAnsi="宋体" w:eastAsia="宋体" w:cs="宋体"/>
                <w:szCs w:val="21"/>
                <w:highlight w:val="none"/>
              </w:rPr>
              <w:t>良：方案较具体详细、可行性较强，得2分；</w:t>
            </w:r>
          </w:p>
          <w:p>
            <w:pPr>
              <w:rPr>
                <w:rFonts w:ascii="宋体" w:hAnsi="宋体" w:eastAsia="宋体" w:cs="宋体"/>
                <w:szCs w:val="21"/>
                <w:highlight w:val="none"/>
              </w:rPr>
            </w:pPr>
            <w:r>
              <w:rPr>
                <w:rFonts w:hint="eastAsia" w:ascii="宋体" w:hAnsi="宋体" w:eastAsia="宋体" w:cs="宋体"/>
                <w:szCs w:val="21"/>
                <w:highlight w:val="none"/>
              </w:rPr>
              <w:t>中：方案一般具体详细、可行性一般，得1分；</w:t>
            </w:r>
          </w:p>
          <w:p>
            <w:pPr>
              <w:rPr>
                <w:rFonts w:ascii="宋体" w:hAnsi="宋体" w:eastAsia="宋体" w:cs="宋体"/>
                <w:szCs w:val="21"/>
                <w:highlight w:val="none"/>
              </w:rPr>
            </w:pPr>
            <w:r>
              <w:rPr>
                <w:rFonts w:hint="eastAsia" w:ascii="宋体" w:hAnsi="宋体" w:eastAsia="宋体" w:cs="宋体"/>
                <w:szCs w:val="21"/>
                <w:highlight w:val="none"/>
              </w:rPr>
              <w:t>差：方案不够具体详细、可行性差，得0.5分；</w:t>
            </w:r>
          </w:p>
          <w:p>
            <w:pPr>
              <w:rPr>
                <w:rFonts w:ascii="宋体" w:hAnsi="宋体" w:eastAsia="宋体" w:cs="宋体"/>
                <w:b/>
                <w:color w:val="000000"/>
                <w:szCs w:val="21"/>
                <w:highlight w:val="none"/>
              </w:rPr>
            </w:pPr>
            <w:r>
              <w:rPr>
                <w:rFonts w:hint="eastAsia" w:ascii="宋体" w:hAnsi="宋体" w:eastAsia="宋体" w:cs="宋体"/>
                <w:szCs w:val="21"/>
                <w:highlight w:val="none"/>
              </w:rPr>
              <w:t>不提供不得分。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485" w:type="pct"/>
            <w:tcBorders>
              <w:top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2.2.4（3）</w:t>
            </w:r>
          </w:p>
        </w:tc>
        <w:tc>
          <w:tcPr>
            <w:tcW w:w="61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投标报价评分标准</w:t>
            </w:r>
          </w:p>
        </w:tc>
        <w:tc>
          <w:tcPr>
            <w:tcW w:w="98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投标报价得分</w:t>
            </w:r>
          </w:p>
          <w:p>
            <w:pPr>
              <w:jc w:val="center"/>
              <w:rPr>
                <w:rFonts w:ascii="宋体" w:hAnsi="宋体" w:eastAsia="宋体" w:cs="宋体"/>
                <w:szCs w:val="21"/>
                <w:highlight w:val="none"/>
              </w:rPr>
            </w:pPr>
            <w:r>
              <w:rPr>
                <w:rFonts w:hint="eastAsia" w:ascii="宋体" w:hAnsi="宋体" w:eastAsia="宋体" w:cs="宋体"/>
                <w:szCs w:val="21"/>
                <w:highlight w:val="none"/>
              </w:rPr>
              <w:t>（50分）</w:t>
            </w:r>
          </w:p>
        </w:tc>
        <w:tc>
          <w:tcPr>
            <w:tcW w:w="2917" w:type="pct"/>
            <w:tcBorders>
              <w:top w:val="single" w:color="auto" w:sz="4" w:space="0"/>
              <w:left w:val="single" w:color="auto" w:sz="4" w:space="0"/>
              <w:bottom w:val="single" w:color="auto" w:sz="4" w:space="0"/>
            </w:tcBorders>
            <w:vAlign w:val="center"/>
          </w:tcPr>
          <w:p>
            <w:pPr>
              <w:spacing w:line="400" w:lineRule="exact"/>
              <w:rPr>
                <w:rFonts w:ascii="宋体" w:hAnsi="宋体" w:eastAsia="宋体" w:cs="宋体"/>
                <w:color w:val="000000"/>
                <w:szCs w:val="21"/>
                <w:highlight w:val="none"/>
              </w:rPr>
            </w:pPr>
            <w:r>
              <w:rPr>
                <w:rFonts w:hint="eastAsia" w:ascii="宋体" w:hAnsi="宋体" w:eastAsia="宋体" w:cs="宋体"/>
                <w:color w:val="000000"/>
                <w:szCs w:val="21"/>
                <w:highlight w:val="none"/>
              </w:rPr>
              <w:t>投标报价得分以评标基准价作为计算各有效评审价格得分的基础，当有效评审价格等于评标基准价时得50分，有效评审价格每高于评标基准价1%扣1分，每低于评标基准价1%，扣0.</w:t>
            </w:r>
            <w:r>
              <w:rPr>
                <w:rFonts w:ascii="宋体" w:hAnsi="宋体" w:eastAsia="宋体" w:cs="宋体"/>
                <w:color w:val="000000"/>
                <w:szCs w:val="21"/>
                <w:highlight w:val="none"/>
              </w:rPr>
              <w:t>5</w:t>
            </w:r>
            <w:r>
              <w:rPr>
                <w:rFonts w:hint="eastAsia" w:ascii="宋体" w:hAnsi="宋体" w:eastAsia="宋体" w:cs="宋体"/>
                <w:color w:val="000000"/>
                <w:szCs w:val="21"/>
                <w:highlight w:val="none"/>
              </w:rPr>
              <w:t>分，扣至0分为止，得分精确到小数点后两位。</w:t>
            </w:r>
          </w:p>
        </w:tc>
      </w:tr>
    </w:tbl>
    <w:p>
      <w:pPr>
        <w:snapToGrid w:val="0"/>
        <w:spacing w:line="360" w:lineRule="auto"/>
        <w:outlineLvl w:val="2"/>
        <w:rPr>
          <w:rFonts w:ascii="宋体" w:hAnsi="宋体" w:eastAsia="宋体" w:cs="宋体"/>
          <w:highlight w:val="none"/>
        </w:rPr>
      </w:pPr>
      <w:r>
        <w:rPr>
          <w:rFonts w:hint="eastAsia" w:ascii="宋体" w:hAnsi="宋体" w:eastAsia="宋体" w:cs="宋体"/>
          <w:highlight w:val="none"/>
        </w:rPr>
        <w:t>说明：</w:t>
      </w:r>
    </w:p>
    <w:p>
      <w:pPr>
        <w:spacing w:line="240" w:lineRule="atLeast"/>
        <w:rPr>
          <w:rFonts w:ascii="宋体" w:hAnsi="宋体" w:eastAsia="宋体" w:cs="宋体"/>
          <w:color w:val="000000"/>
          <w:szCs w:val="21"/>
          <w:highlight w:val="none"/>
        </w:rPr>
      </w:pPr>
      <w:r>
        <w:rPr>
          <w:rFonts w:hint="eastAsia" w:ascii="宋体" w:hAnsi="宋体" w:eastAsia="宋体" w:cs="宋体"/>
          <w:color w:val="000000"/>
          <w:szCs w:val="21"/>
          <w:highlight w:val="none"/>
        </w:rPr>
        <w:t>1、类似供货业绩：需同时提供采购合同和交货证明（或技术监督部门确认的检验合格报告或经建设单位确认的验收报告或验收证明）扫描件并加盖投标单位电子印章。业绩完成时间以交货证明或技术监督部门确认的检验合格报告或经建设单位确认的验收报告或验收证明为准。</w:t>
      </w:r>
    </w:p>
    <w:p>
      <w:pPr>
        <w:rPr>
          <w:rFonts w:ascii="宋体" w:hAnsi="宋体" w:eastAsia="宋体" w:cs="宋体"/>
          <w:color w:val="000000"/>
          <w:szCs w:val="21"/>
          <w:highlight w:val="none"/>
        </w:rPr>
      </w:pPr>
      <w:r>
        <w:rPr>
          <w:rFonts w:hint="eastAsia" w:ascii="Calibri" w:hAnsi="Calibri" w:eastAsia="宋体" w:cs="Times New Roman"/>
          <w:highlight w:val="none"/>
        </w:rPr>
        <w:t>2、管理体系认证证书：投标人须同时提供证书原件</w:t>
      </w:r>
      <w:r>
        <w:rPr>
          <w:rFonts w:hint="eastAsia" w:ascii="宋体" w:hAnsi="宋体" w:eastAsia="宋体" w:cs="宋体"/>
          <w:color w:val="000000"/>
          <w:szCs w:val="21"/>
          <w:highlight w:val="none"/>
        </w:rPr>
        <w:t>扫描件以及全国认证认可信息公共服务平台（http://cx.cnca.cn/）的网页截图并加盖投标单位电子印章。</w:t>
      </w:r>
    </w:p>
    <w:p>
      <w:pPr>
        <w:rPr>
          <w:rFonts w:ascii="Times New Roman" w:hAnsi="Times New Roman" w:eastAsia="宋体" w:cs="Times New Roman"/>
          <w:highlight w:val="none"/>
        </w:rPr>
      </w:pPr>
      <w:r>
        <w:rPr>
          <w:rFonts w:hint="eastAsia" w:ascii="Times New Roman" w:hAnsi="Times New Roman" w:eastAsia="宋体" w:cs="Times New Roman"/>
          <w:highlight w:val="none"/>
        </w:rPr>
        <w:t>3、投标人的商务部分、技术部分得分为所有评委评分去掉一个最高分和一个最低分后的算术平均分（分数出现小数点时，保留小数点后二位，第三位小数四舍五入）。</w:t>
      </w:r>
    </w:p>
    <w:p>
      <w:pPr>
        <w:rPr>
          <w:rFonts w:ascii="Times New Roman" w:hAnsi="Times New Roman" w:eastAsia="宋体" w:cs="Times New Roman"/>
          <w:highlight w:val="none"/>
        </w:rPr>
      </w:pPr>
      <w:r>
        <w:rPr>
          <w:rFonts w:hint="eastAsia" w:ascii="Times New Roman" w:hAnsi="Times New Roman" w:eastAsia="宋体" w:cs="Times New Roman"/>
          <w:highlight w:val="none"/>
        </w:rPr>
        <w:t>4、上述资料不提供或提供不齐全或提供不符合要求的不得分。中标单位需准备投标文件涉及的所有原件待查。</w:t>
      </w:r>
    </w:p>
    <w:p>
      <w:pPr>
        <w:tabs>
          <w:tab w:val="left" w:pos="567"/>
        </w:tabs>
        <w:spacing w:after="120"/>
        <w:ind w:left="420" w:leftChars="200" w:firstLine="420" w:firstLineChars="200"/>
        <w:rPr>
          <w:rFonts w:ascii="Calibri" w:hAnsi="Calibri" w:eastAsia="宋体" w:cs="Times New Roman"/>
          <w:szCs w:val="24"/>
          <w:highlight w:val="none"/>
        </w:rPr>
      </w:pPr>
    </w:p>
    <w:p>
      <w:pPr>
        <w:tabs>
          <w:tab w:val="left" w:pos="567"/>
        </w:tabs>
        <w:spacing w:after="120"/>
        <w:ind w:left="420" w:leftChars="200" w:firstLine="420" w:firstLineChars="200"/>
        <w:rPr>
          <w:rFonts w:ascii="Calibri" w:hAnsi="Calibri" w:eastAsia="宋体" w:cs="Times New Roman"/>
          <w:szCs w:val="24"/>
          <w:highlight w:val="none"/>
        </w:rPr>
      </w:pPr>
    </w:p>
    <w:p>
      <w:pPr>
        <w:snapToGrid w:val="0"/>
        <w:spacing w:line="360" w:lineRule="auto"/>
        <w:outlineLvl w:val="2"/>
        <w:rPr>
          <w:rFonts w:ascii="宋体" w:hAnsi="宋体" w:eastAsia="宋体" w:cs="宋体"/>
          <w:b/>
          <w:bCs/>
          <w:sz w:val="30"/>
          <w:szCs w:val="30"/>
          <w:highlight w:val="none"/>
        </w:rPr>
      </w:pPr>
      <w:r>
        <w:rPr>
          <w:rFonts w:hint="eastAsia" w:ascii="宋体" w:hAnsi="宋体" w:eastAsia="宋体" w:cs="宋体"/>
          <w:highlight w:val="none"/>
        </w:rPr>
        <w:br w:type="page"/>
      </w:r>
      <w:r>
        <w:rPr>
          <w:rFonts w:hint="eastAsia" w:ascii="宋体" w:hAnsi="宋体" w:eastAsia="宋体" w:cs="宋体"/>
          <w:b/>
          <w:bCs/>
          <w:sz w:val="30"/>
          <w:szCs w:val="30"/>
          <w:highlight w:val="none"/>
        </w:rPr>
        <w:t xml:space="preserve">评标方法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本次评标采用综合评分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以技术得分高的优先；如果技术得分也相等，按照评标办法前附表的规定确定中标候选人顺序。</w:t>
      </w:r>
    </w:p>
    <w:p>
      <w:pPr>
        <w:snapToGrid w:val="0"/>
        <w:spacing w:line="360" w:lineRule="auto"/>
        <w:outlineLvl w:val="2"/>
        <w:rPr>
          <w:rFonts w:ascii="宋体" w:hAnsi="宋体" w:eastAsia="宋体" w:cs="宋体"/>
          <w:b/>
          <w:bCs/>
          <w:sz w:val="30"/>
          <w:szCs w:val="30"/>
          <w:highlight w:val="none"/>
        </w:rPr>
      </w:pPr>
      <w:r>
        <w:rPr>
          <w:rFonts w:hint="eastAsia" w:ascii="宋体" w:hAnsi="宋体" w:eastAsia="宋体" w:cs="宋体"/>
          <w:b/>
          <w:bCs/>
          <w:sz w:val="30"/>
          <w:szCs w:val="30"/>
          <w:highlight w:val="none"/>
        </w:rPr>
        <w:t>2. 评审标准</w:t>
      </w:r>
    </w:p>
    <w:p>
      <w:pPr>
        <w:tabs>
          <w:tab w:val="left" w:pos="720"/>
        </w:tabs>
        <w:spacing w:line="360" w:lineRule="auto"/>
        <w:rPr>
          <w:rFonts w:ascii="宋体" w:hAnsi="宋体" w:eastAsia="宋体" w:cs="宋体"/>
          <w:b/>
          <w:bCs/>
          <w:sz w:val="24"/>
          <w:szCs w:val="24"/>
          <w:highlight w:val="none"/>
        </w:rPr>
      </w:pPr>
      <w:r>
        <w:rPr>
          <w:rFonts w:hint="eastAsia" w:ascii="宋体" w:hAnsi="宋体" w:eastAsia="宋体" w:cs="宋体"/>
          <w:b/>
          <w:bCs/>
          <w:sz w:val="24"/>
          <w:szCs w:val="24"/>
          <w:highlight w:val="none"/>
        </w:rPr>
        <w:t>2.1 初步评审标准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2.1.1形式评审标准：见评标办法前附表。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2.1.2资格评审标准：见评标办法前附表。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2.1.3响应性评审标准：见评标办法前附表。</w:t>
      </w:r>
    </w:p>
    <w:p>
      <w:pPr>
        <w:tabs>
          <w:tab w:val="left" w:pos="720"/>
        </w:tabs>
        <w:spacing w:line="360" w:lineRule="auto"/>
        <w:rPr>
          <w:rFonts w:ascii="宋体" w:hAnsi="宋体" w:eastAsia="宋体" w:cs="宋体"/>
          <w:b/>
          <w:bCs/>
          <w:sz w:val="24"/>
          <w:szCs w:val="24"/>
          <w:highlight w:val="none"/>
        </w:rPr>
      </w:pPr>
      <w:r>
        <w:rPr>
          <w:rFonts w:hint="eastAsia" w:ascii="宋体" w:hAnsi="宋体" w:eastAsia="宋体" w:cs="宋体"/>
          <w:b/>
          <w:bCs/>
          <w:sz w:val="24"/>
          <w:szCs w:val="24"/>
          <w:highlight w:val="none"/>
        </w:rPr>
        <w:t>2.2 分值构成与评分标准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2.2.1分值构成</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（1）商务部分：见评标办法前附表；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（2）技术部分：见评标办法前附表；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（3）投标报价：见评标办法前附表；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（4）其他评分因素：见评标办法前附表。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2.2.2评标基准价计算</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评标基准价计算方法：见评标办法前附表。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2.2.3投标报价的偏差率计算</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投标报价的偏差率计算公式：见评标办法前附表。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2.2.4评分标准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（1）商务评分标准：见评标办法前附表；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（2）技术评分标准：见评标办法前附表；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（3）投标报价评分标准：见评标办法前附表；</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（4）其他因素评分标准：见评标办法前附表。</w:t>
      </w:r>
    </w:p>
    <w:p>
      <w:pPr>
        <w:snapToGrid w:val="0"/>
        <w:spacing w:line="360" w:lineRule="auto"/>
        <w:outlineLvl w:val="2"/>
        <w:rPr>
          <w:rFonts w:ascii="宋体" w:hAnsi="宋体" w:eastAsia="宋体" w:cs="宋体"/>
          <w:b/>
          <w:bCs/>
          <w:sz w:val="30"/>
          <w:szCs w:val="30"/>
          <w:highlight w:val="none"/>
        </w:rPr>
      </w:pPr>
    </w:p>
    <w:p>
      <w:pPr>
        <w:snapToGrid w:val="0"/>
        <w:spacing w:line="360" w:lineRule="auto"/>
        <w:outlineLvl w:val="2"/>
        <w:rPr>
          <w:rFonts w:ascii="宋体" w:hAnsi="宋体" w:eastAsia="宋体" w:cs="宋体"/>
          <w:b/>
          <w:bCs/>
          <w:sz w:val="30"/>
          <w:szCs w:val="30"/>
          <w:highlight w:val="none"/>
        </w:rPr>
      </w:pPr>
      <w:r>
        <w:rPr>
          <w:rFonts w:hint="eastAsia" w:ascii="宋体" w:hAnsi="宋体" w:eastAsia="宋体" w:cs="宋体"/>
          <w:b/>
          <w:bCs/>
          <w:sz w:val="30"/>
          <w:szCs w:val="30"/>
          <w:highlight w:val="none"/>
        </w:rPr>
        <w:t>3. 评标程序</w:t>
      </w:r>
    </w:p>
    <w:p>
      <w:pPr>
        <w:snapToGrid w:val="0"/>
        <w:spacing w:line="360" w:lineRule="auto"/>
        <w:rPr>
          <w:rFonts w:ascii="宋体" w:hAnsi="宋体" w:eastAsia="宋体" w:cs="宋体"/>
          <w:b/>
          <w:bCs/>
          <w:sz w:val="24"/>
          <w:szCs w:val="24"/>
          <w:highlight w:val="none"/>
        </w:rPr>
      </w:pPr>
      <w:r>
        <w:rPr>
          <w:rFonts w:hint="eastAsia" w:ascii="宋体" w:hAnsi="宋体" w:eastAsia="宋体" w:cs="宋体"/>
          <w:b/>
          <w:bCs/>
          <w:sz w:val="24"/>
          <w:szCs w:val="24"/>
          <w:highlight w:val="none"/>
        </w:rPr>
        <w:t>3.1 初步评审</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3.1.1评标委员会可以要求投标人提交第二章“投标人须知”规定的有关证明和证件的原件，以便核验。评标委员会依据本章第2.1款规定的标准对投标文件进行初步评审。有一项不符合评审标准的，评标委员会应当否决其投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3.1.2投标人有以下情形之一的，评标委员会应当否决其投标：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（1）投标文件没有对招标文件的实质性要求和条件作出响应，或者对招标文件的偏差超出招标文件规定的偏差范围或最高项数；</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（2）有串通投标、弄虚作假、行贿等违法行为。</w:t>
      </w:r>
    </w:p>
    <w:p>
      <w:pPr>
        <w:spacing w:line="360" w:lineRule="auto"/>
        <w:ind w:firstLine="480"/>
        <w:rPr>
          <w:rFonts w:ascii="宋体" w:hAnsi="宋体" w:eastAsia="宋体" w:cs="宋体"/>
          <w:sz w:val="24"/>
          <w:szCs w:val="24"/>
          <w:highlight w:val="none"/>
        </w:rPr>
      </w:pPr>
      <w:r>
        <w:rPr>
          <w:rFonts w:hint="eastAsia" w:ascii="宋体" w:hAnsi="宋体" w:eastAsia="宋体" w:cs="宋体"/>
          <w:sz w:val="24"/>
          <w:szCs w:val="24"/>
          <w:highlight w:val="none"/>
          <w:u w:val="single"/>
        </w:rPr>
        <w:t>注：不得将文件顺序、明显的文字错误等列为否决投标的情形。评委发现投标文件中含义不明确、对同类问题表述不一致、有明显文字和计算错误的，应当要求投标人作必要的澄清、说明后再判定投标人是否通过初步评审，不得直接认定其不通过初步评审。</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3.1.3投标报价有算术错误及其他错误的，评标委员会按以下原则要求投标人对投标报价进行修正，并要求投标人书面澄清确认。投标人拒不澄清确认的，评标委员会应当否决其投标：</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（1）投标文件中的大写金额与小写金额不一致的，以大写金额为准；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（2）总价金额与单价金额不一致的，以单价金额为准，但单价金额小数点有明显错误的除外；</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（3）投标报价为各分项报价金额之和，投标报价与分项报价的合价不一致的，应以各分项合价累计数为准，修正投标报价；</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（4）如果分项报价中存在缺漏项，则视为缺漏项价格已包含在其他分项报价之中。</w:t>
      </w:r>
    </w:p>
    <w:p>
      <w:pPr>
        <w:ind w:firstLine="420" w:firstLineChars="200"/>
        <w:rPr>
          <w:rFonts w:ascii="宋体" w:hAnsi="宋体" w:eastAsia="宋体" w:cs="宋体"/>
          <w:szCs w:val="24"/>
          <w:highlight w:val="none"/>
        </w:rPr>
      </w:pPr>
    </w:p>
    <w:p>
      <w:pPr>
        <w:snapToGrid w:val="0"/>
        <w:spacing w:line="360" w:lineRule="auto"/>
        <w:rPr>
          <w:rFonts w:ascii="宋体" w:hAnsi="宋体" w:eastAsia="宋体" w:cs="宋体"/>
          <w:b/>
          <w:bCs/>
          <w:sz w:val="24"/>
          <w:szCs w:val="24"/>
          <w:highlight w:val="none"/>
        </w:rPr>
      </w:pPr>
      <w:r>
        <w:rPr>
          <w:rFonts w:hint="eastAsia" w:ascii="宋体" w:hAnsi="宋体" w:eastAsia="宋体" w:cs="宋体"/>
          <w:b/>
          <w:bCs/>
          <w:sz w:val="24"/>
          <w:szCs w:val="24"/>
          <w:highlight w:val="none"/>
        </w:rPr>
        <w:t>3.2 详细评审</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3.2.1评标委员会按本章第2.2款规定的量化因素和分值进行打分，并计算出综合评分得分。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（1）按本章第2.2.4（1）目规定的评审因素和分值对商务部分计算出得分A；</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（2）按本章第2.2.4（2）目规定的评审因素和分值对技术部分计算出得分B；</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（3）按本章第2.2.4（3）目规定的评审因素和分值对投标报价计算出得分C。</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（4）按本章第 2.2.4（4）目规定的评审因素和分值对其他部分计算出得分 D。</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3.2.2评分分值计算保留小数点后两位，小数点后第三位“四舍五入”。</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3.2.3投标人得分=A+B+C。</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3.2.4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pPr>
        <w:snapToGrid w:val="0"/>
        <w:spacing w:line="360" w:lineRule="auto"/>
        <w:rPr>
          <w:rFonts w:ascii="宋体" w:hAnsi="宋体" w:eastAsia="宋体" w:cs="宋体"/>
          <w:b/>
          <w:bCs/>
          <w:sz w:val="24"/>
          <w:szCs w:val="24"/>
          <w:highlight w:val="none"/>
        </w:rPr>
      </w:pPr>
      <w:r>
        <w:rPr>
          <w:rFonts w:hint="eastAsia" w:ascii="宋体" w:hAnsi="宋体" w:eastAsia="宋体" w:cs="宋体"/>
          <w:b/>
          <w:bCs/>
          <w:sz w:val="24"/>
          <w:szCs w:val="24"/>
          <w:highlight w:val="none"/>
        </w:rPr>
        <w:t>3.3 投标文件的澄清</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3.3.2 澄清、说明或补正不得超出投标文件的范围且不得改变投标文件的实质性内容，并构成投标文件的组成部分。</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3.3.3评标委员会对投标人提交的澄清、说明或补正有疑问的，可以要求投标人进一步澄清、说明或补正，直至满足评标委员会的要求。</w:t>
      </w:r>
    </w:p>
    <w:p>
      <w:pPr>
        <w:snapToGrid w:val="0"/>
        <w:spacing w:line="360" w:lineRule="auto"/>
        <w:rPr>
          <w:rFonts w:ascii="宋体" w:hAnsi="宋体" w:eastAsia="宋体" w:cs="宋体"/>
          <w:sz w:val="24"/>
          <w:szCs w:val="24"/>
          <w:highlight w:val="none"/>
        </w:rPr>
      </w:pPr>
      <w:r>
        <w:rPr>
          <w:rFonts w:hint="eastAsia" w:ascii="宋体" w:hAnsi="宋体" w:eastAsia="宋体" w:cs="宋体"/>
          <w:b/>
          <w:bCs/>
          <w:sz w:val="24"/>
          <w:szCs w:val="24"/>
          <w:highlight w:val="none"/>
        </w:rPr>
        <w:t>3.4 评标结果</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3.4.1除第二章“投标人须知”前附表授权直接确定中标人外，评标委员会按照得分由高到低的顺序推荐中标候选人，并标明排序。</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3.4.2评标委员会完成评标后，应当向招标人提交书面评标报告和中标候选人名单。</w:t>
      </w:r>
    </w:p>
    <w:p>
      <w:pPr>
        <w:spacing w:line="502" w:lineRule="exact"/>
        <w:ind w:right="220"/>
        <w:jc w:val="center"/>
        <w:outlineLvl w:val="0"/>
        <w:rPr>
          <w:rFonts w:ascii="宋体" w:hAnsi="宋体" w:eastAsia="宋体" w:cs="宋体"/>
          <w:b/>
          <w:sz w:val="44"/>
          <w:highlight w:val="none"/>
        </w:rPr>
      </w:pPr>
      <w:r>
        <w:rPr>
          <w:rFonts w:hint="eastAsia" w:ascii="宋体" w:hAnsi="宋体" w:eastAsia="宋体" w:cs="宋体"/>
          <w:sz w:val="32"/>
          <w:szCs w:val="32"/>
          <w:highlight w:val="none"/>
        </w:rPr>
        <w:br w:type="page"/>
      </w:r>
      <w:bookmarkStart w:id="121" w:name="_Toc26595"/>
      <w:r>
        <w:rPr>
          <w:rFonts w:hint="eastAsia" w:ascii="宋体" w:hAnsi="宋体" w:eastAsia="宋体" w:cs="宋体"/>
          <w:b/>
          <w:sz w:val="44"/>
          <w:highlight w:val="none"/>
        </w:rPr>
        <w:t>第四章合同条款及格式</w:t>
      </w:r>
      <w:bookmarkEnd w:id="121"/>
    </w:p>
    <w:p>
      <w:pPr>
        <w:widowControl/>
        <w:spacing w:after="160" w:line="259" w:lineRule="auto"/>
        <w:jc w:val="center"/>
        <w:rPr>
          <w:rFonts w:ascii="宋体" w:hAnsi="宋体" w:eastAsia="宋体" w:cs="宋体"/>
          <w:sz w:val="32"/>
          <w:szCs w:val="32"/>
          <w:highlight w:val="none"/>
        </w:rPr>
      </w:pPr>
      <w:bookmarkStart w:id="122" w:name="_Toc16292"/>
      <w:bookmarkStart w:id="123" w:name="_Toc7454660"/>
    </w:p>
    <w:p>
      <w:pPr>
        <w:jc w:val="center"/>
        <w:rPr>
          <w:rFonts w:ascii="宋体" w:hAnsi="宋体" w:cs="宋体"/>
          <w:b/>
          <w:bCs/>
          <w:sz w:val="48"/>
          <w:szCs w:val="48"/>
          <w:highlight w:val="none"/>
          <w:u w:val="single"/>
        </w:rPr>
      </w:pPr>
      <w:r>
        <w:rPr>
          <w:rFonts w:hint="eastAsia"/>
          <w:b/>
          <w:sz w:val="48"/>
          <w:szCs w:val="48"/>
          <w:highlight w:val="none"/>
        </w:rPr>
        <w:t>中国大酒店1、2、5、6号电梯采购及相关服务项目合同</w:t>
      </w:r>
    </w:p>
    <w:p>
      <w:pPr>
        <w:jc w:val="center"/>
        <w:rPr>
          <w:rFonts w:ascii="宋体" w:hAnsi="宋体" w:eastAsia="宋体" w:cs="宋体"/>
          <w:b/>
          <w:bCs/>
          <w:sz w:val="28"/>
          <w:szCs w:val="28"/>
          <w:highlight w:val="none"/>
        </w:rPr>
      </w:pP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 xml:space="preserve">甲方：中国大酒店                     乙方： </w:t>
      </w:r>
    </w:p>
    <w:p>
      <w:pPr>
        <w:spacing w:line="360" w:lineRule="auto"/>
        <w:ind w:left="6300" w:hanging="6300" w:hangingChars="2250"/>
        <w:rPr>
          <w:rFonts w:ascii="宋体" w:hAnsi="宋体" w:eastAsia="宋体" w:cs="宋体"/>
          <w:sz w:val="28"/>
          <w:szCs w:val="28"/>
          <w:highlight w:val="none"/>
        </w:rPr>
      </w:pPr>
      <w:r>
        <w:rPr>
          <w:rFonts w:hint="eastAsia" w:ascii="宋体" w:hAnsi="宋体" w:eastAsia="宋体" w:cs="宋体"/>
          <w:sz w:val="28"/>
          <w:szCs w:val="28"/>
          <w:highlight w:val="none"/>
        </w:rPr>
        <w:t xml:space="preserve">地址：广州市流花路122号             地址： </w:t>
      </w:r>
    </w:p>
    <w:p>
      <w:pPr>
        <w:spacing w:line="360" w:lineRule="auto"/>
        <w:ind w:left="6300" w:hanging="6300" w:hangingChars="2250"/>
        <w:rPr>
          <w:rFonts w:ascii="宋体" w:hAnsi="宋体" w:eastAsia="宋体" w:cs="宋体"/>
          <w:sz w:val="28"/>
          <w:szCs w:val="28"/>
          <w:highlight w:val="none"/>
        </w:rPr>
      </w:pPr>
      <w:r>
        <w:rPr>
          <w:rFonts w:hint="eastAsia" w:ascii="宋体" w:hAnsi="宋体" w:eastAsia="宋体" w:cs="宋体"/>
          <w:sz w:val="28"/>
          <w:szCs w:val="28"/>
          <w:highlight w:val="none"/>
        </w:rPr>
        <w:t>电话：020-86666888                   电话：</w:t>
      </w:r>
    </w:p>
    <w:p>
      <w:pPr>
        <w:spacing w:line="360" w:lineRule="auto"/>
        <w:ind w:firstLine="525"/>
        <w:jc w:val="left"/>
        <w:rPr>
          <w:rFonts w:ascii="宋体" w:hAnsi="宋体" w:eastAsia="宋体" w:cs="宋体"/>
          <w:sz w:val="28"/>
          <w:szCs w:val="28"/>
          <w:highlight w:val="none"/>
        </w:rPr>
      </w:pPr>
      <w:r>
        <w:rPr>
          <w:rFonts w:hint="eastAsia" w:ascii="宋体" w:hAnsi="宋体" w:eastAsia="宋体" w:cs="宋体"/>
          <w:sz w:val="28"/>
          <w:szCs w:val="28"/>
          <w:highlight w:val="none"/>
        </w:rPr>
        <w:t>根据《中华人民共和国民法典》及有关规定，结合本项目具体情况，经协商一致，就乙方为甲方</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事宜，签订本合同。</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1.采购设备</w:t>
      </w:r>
    </w:p>
    <w:p>
      <w:pPr>
        <w:spacing w:line="360" w:lineRule="auto"/>
        <w:ind w:firstLine="560" w:firstLineChars="200"/>
        <w:jc w:val="left"/>
        <w:rPr>
          <w:rFonts w:ascii="宋体" w:hAnsi="宋体" w:eastAsia="宋体" w:cs="宋体"/>
          <w:sz w:val="28"/>
          <w:szCs w:val="28"/>
          <w:highlight w:val="none"/>
        </w:rPr>
      </w:pPr>
      <w:r>
        <w:rPr>
          <w:rFonts w:hint="eastAsia" w:ascii="宋体" w:hAnsi="宋体" w:eastAsia="宋体" w:cs="宋体"/>
          <w:sz w:val="28"/>
          <w:szCs w:val="28"/>
          <w:highlight w:val="none"/>
        </w:rPr>
        <w:t>详见附件一项目报价清单。</w:t>
      </w:r>
    </w:p>
    <w:p>
      <w:pPr>
        <w:spacing w:line="360" w:lineRule="auto"/>
        <w:jc w:val="left"/>
        <w:rPr>
          <w:rFonts w:ascii="宋体" w:hAnsi="宋体" w:eastAsia="宋体" w:cs="宋体"/>
          <w:sz w:val="28"/>
          <w:szCs w:val="28"/>
          <w:highlight w:val="none"/>
        </w:rPr>
      </w:pPr>
      <w:r>
        <w:rPr>
          <w:rFonts w:hint="eastAsia" w:ascii="宋体" w:hAnsi="宋体" w:eastAsia="宋体" w:cs="宋体"/>
          <w:sz w:val="28"/>
          <w:szCs w:val="28"/>
          <w:highlight w:val="none"/>
        </w:rPr>
        <w:t>2.合同价格：</w:t>
      </w:r>
    </w:p>
    <w:p>
      <w:pPr>
        <w:spacing w:line="500" w:lineRule="exact"/>
        <w:rPr>
          <w:rFonts w:ascii="宋体" w:hAnsi="宋体" w:eastAsia="宋体" w:cs="宋体"/>
          <w:sz w:val="28"/>
          <w:szCs w:val="28"/>
          <w:highlight w:val="none"/>
        </w:rPr>
      </w:pPr>
      <w:r>
        <w:rPr>
          <w:rFonts w:hint="eastAsia" w:ascii="宋体" w:hAnsi="宋体" w:eastAsia="宋体" w:cs="宋体"/>
          <w:sz w:val="28"/>
          <w:szCs w:val="28"/>
          <w:highlight w:val="none"/>
        </w:rPr>
        <w:t>不含税价：大写：人民币</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w:t>
      </w:r>
    </w:p>
    <w:p>
      <w:pPr>
        <w:spacing w:line="500" w:lineRule="exact"/>
        <w:rPr>
          <w:rFonts w:ascii="宋体" w:hAnsi="宋体" w:eastAsia="宋体" w:cs="宋体"/>
          <w:sz w:val="28"/>
          <w:szCs w:val="28"/>
          <w:highlight w:val="none"/>
        </w:rPr>
      </w:pPr>
      <w:r>
        <w:rPr>
          <w:rFonts w:hint="eastAsia" w:ascii="宋体" w:hAnsi="宋体" w:eastAsia="宋体" w:cs="宋体"/>
          <w:sz w:val="28"/>
          <w:szCs w:val="28"/>
          <w:highlight w:val="none"/>
        </w:rPr>
        <w:t xml:space="preserve">          小写：¥</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元。</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mc:AlternateContent>
          <mc:Choice Requires="wps">
            <w:drawing>
              <wp:anchor distT="0" distB="0" distL="114300" distR="114300" simplePos="0" relativeHeight="251661312" behindDoc="0" locked="0" layoutInCell="1" allowOverlap="1">
                <wp:simplePos x="0" y="0"/>
                <wp:positionH relativeFrom="column">
                  <wp:posOffset>3045460</wp:posOffset>
                </wp:positionH>
                <wp:positionV relativeFrom="paragraph">
                  <wp:posOffset>127635</wp:posOffset>
                </wp:positionV>
                <wp:extent cx="360045" cy="159385"/>
                <wp:effectExtent l="4445" t="4445" r="16510" b="7620"/>
                <wp:wrapNone/>
                <wp:docPr id="4" name="矩形 4"/>
                <wp:cNvGraphicFramePr/>
                <a:graphic xmlns:a="http://schemas.openxmlformats.org/drawingml/2006/main">
                  <a:graphicData uri="http://schemas.microsoft.com/office/word/2010/wordprocessingShape">
                    <wps:wsp>
                      <wps:cNvSpPr/>
                      <wps:spPr>
                        <a:xfrm>
                          <a:off x="0" y="0"/>
                          <a:ext cx="360045" cy="1593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39.8pt;margin-top:10.05pt;height:12.55pt;width:28.35pt;z-index:251661312;mso-width-relative:page;mso-height-relative:page;" fillcolor="#FFFFFF" filled="t" stroked="t" coordsize="21600,21600" o:gfxdata="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KIoIdcAAAAJAQAADwAAAAAAAAABACAAAAAiAAAAZHJzL2Rvd25yZXYueG1s&#10;UEsBAhQAFAAAAAgAh07iQFRSgln5AQAAHQQAAA4AAAAAAAAAAQAgAAAAJgEAAGRycy9lMm9Eb2Mu&#10;eG1sUEsFBgAAAAAGAAYAWQEAAJEFAAAAAA==&#10;">
                <v:fill on="t" focussize="0,0"/>
                <v:stroke color="#000000" joinstyle="miter"/>
                <v:imagedata o:title=""/>
                <o:lock v:ext="edit" aspectratio="f"/>
              </v:rect>
            </w:pict>
          </mc:Fallback>
        </mc:AlternateContent>
      </w:r>
      <w:r>
        <w:rPr>
          <w:rFonts w:hint="eastAsia" w:ascii="宋体" w:hAnsi="宋体" w:eastAsia="宋体" w:cs="宋体"/>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1073150</wp:posOffset>
                </wp:positionH>
                <wp:positionV relativeFrom="paragraph">
                  <wp:posOffset>127635</wp:posOffset>
                </wp:positionV>
                <wp:extent cx="360045" cy="159385"/>
                <wp:effectExtent l="4445" t="4445" r="16510" b="7620"/>
                <wp:wrapNone/>
                <wp:docPr id="3" name="矩形 3"/>
                <wp:cNvGraphicFramePr/>
                <a:graphic xmlns:a="http://schemas.openxmlformats.org/drawingml/2006/main">
                  <a:graphicData uri="http://schemas.microsoft.com/office/word/2010/wordprocessingShape">
                    <wps:wsp>
                      <wps:cNvSpPr/>
                      <wps:spPr>
                        <a:xfrm>
                          <a:off x="0" y="0"/>
                          <a:ext cx="360045" cy="1593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4.5pt;margin-top:10.05pt;height:12.55pt;width:28.35pt;z-index:251660288;mso-width-relative:page;mso-height-relative:page;" fillcolor="#FFFFFF" filled="t" stroked="t" coordsize="21600,21600" o:gfxdata="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ZRHANcAAAAJAQAADwAAAAAAAAABACAAAAAiAAAAZHJzL2Rvd25yZXYueG1s&#10;UEsBAhQAFAAAAAgAh07iQJBeXF35AQAAHQQAAA4AAAAAAAAAAQAgAAAAJgEAAGRycy9lMm9Eb2Mu&#10;eG1sUEsFBgAAAAAGAAYAWQEAAJEFAAAAAA==&#10;">
                <v:fill on="t" focussize="0,0"/>
                <v:stroke color="#000000" joinstyle="miter"/>
                <v:imagedata o:title=""/>
                <o:lock v:ext="edit" aspectratio="f"/>
              </v:rect>
            </w:pict>
          </mc:Fallback>
        </mc:AlternateContent>
      </w:r>
      <w:r>
        <w:rPr>
          <w:rFonts w:hint="eastAsia" w:ascii="宋体" w:hAnsi="宋体" w:eastAsia="宋体" w:cs="宋体"/>
          <w:sz w:val="28"/>
          <w:szCs w:val="28"/>
          <w:highlight w:val="none"/>
        </w:rPr>
        <w:t>一般纳税人：        小规模纳税人：</w:t>
      </w:r>
    </w:p>
    <w:p>
      <w:pPr>
        <w:spacing w:line="500" w:lineRule="exact"/>
        <w:rPr>
          <w:rFonts w:ascii="宋体" w:hAnsi="宋体" w:eastAsia="宋体" w:cs="宋体"/>
          <w:sz w:val="28"/>
          <w:szCs w:val="28"/>
          <w:highlight w:val="none"/>
        </w:rPr>
      </w:pPr>
      <w:r>
        <w:rPr>
          <w:rFonts w:hint="eastAsia" w:ascii="宋体" w:hAnsi="宋体" w:eastAsia="宋体" w:cs="宋体"/>
          <w:sz w:val="28"/>
          <w:szCs w:val="28"/>
          <w:highlight w:val="none"/>
        </w:rPr>
        <w:t>增值税专票税率：</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%，税额：</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元</w:t>
      </w:r>
    </w:p>
    <w:p>
      <w:pPr>
        <w:spacing w:line="500" w:lineRule="exact"/>
        <w:rPr>
          <w:rFonts w:ascii="宋体" w:hAnsi="宋体" w:eastAsia="宋体" w:cs="宋体"/>
          <w:sz w:val="28"/>
          <w:szCs w:val="28"/>
          <w:highlight w:val="none"/>
        </w:rPr>
      </w:pPr>
      <w:r>
        <w:rPr>
          <w:rFonts w:hint="eastAsia" w:ascii="宋体" w:hAnsi="宋体" w:eastAsia="宋体" w:cs="宋体"/>
          <w:sz w:val="28"/>
          <w:szCs w:val="28"/>
          <w:highlight w:val="none"/>
        </w:rPr>
        <w:t>含税价：大写：人民币</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元整，</w:t>
      </w:r>
    </w:p>
    <w:p>
      <w:pPr>
        <w:spacing w:line="500" w:lineRule="exact"/>
        <w:rPr>
          <w:rFonts w:ascii="宋体" w:hAnsi="宋体" w:eastAsia="宋体" w:cs="宋体"/>
          <w:sz w:val="28"/>
          <w:szCs w:val="28"/>
          <w:highlight w:val="none"/>
        </w:rPr>
      </w:pPr>
      <w:r>
        <w:rPr>
          <w:rFonts w:hint="eastAsia" w:ascii="宋体" w:hAnsi="宋体" w:eastAsia="宋体" w:cs="宋体"/>
          <w:sz w:val="28"/>
          <w:szCs w:val="28"/>
          <w:highlight w:val="none"/>
        </w:rPr>
        <w:t xml:space="preserve">        小写：¥</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元。</w:t>
      </w:r>
    </w:p>
    <w:p>
      <w:pPr>
        <w:spacing w:line="500" w:lineRule="exact"/>
        <w:ind w:firstLine="510"/>
        <w:rPr>
          <w:rFonts w:ascii="宋体" w:hAnsi="宋体" w:eastAsia="宋体" w:cs="宋体"/>
          <w:sz w:val="28"/>
          <w:szCs w:val="28"/>
          <w:highlight w:val="none"/>
        </w:rPr>
      </w:pPr>
      <w:r>
        <w:rPr>
          <w:rFonts w:hint="eastAsia" w:ascii="宋体" w:hAnsi="宋体" w:eastAsia="宋体" w:cs="宋体"/>
          <w:sz w:val="28"/>
          <w:szCs w:val="28"/>
          <w:highlight w:val="none"/>
        </w:rPr>
        <w:t>注：不含税价格不因国家税率变化或商品劳务提供方变更增值税纳税人类型导致增值税率发生变化而变化。在合同履行期间，如遇国家税率调整或乙方变更增值税纳税人类型导致增值税率发生变化，则相应调整以不含税价格计算的增值税款，该增值税款对应的税率以满足法定开具发票时间的税率为准。</w:t>
      </w:r>
    </w:p>
    <w:p>
      <w:pPr>
        <w:spacing w:line="500" w:lineRule="exact"/>
        <w:ind w:firstLine="510"/>
        <w:rPr>
          <w:rFonts w:ascii="宋体" w:hAnsi="宋体" w:eastAsia="宋体" w:cs="宋体"/>
          <w:sz w:val="28"/>
          <w:szCs w:val="28"/>
          <w:highlight w:val="none"/>
        </w:rPr>
      </w:pPr>
      <w:r>
        <w:rPr>
          <w:rFonts w:hint="eastAsia" w:ascii="宋体" w:hAnsi="宋体" w:eastAsia="宋体" w:cs="宋体"/>
          <w:sz w:val="28"/>
          <w:szCs w:val="28"/>
          <w:highlight w:val="none"/>
        </w:rPr>
        <w:t>本合同商品提供增值税【专用】发票，商品税率为【   】%，税目按照实际采购服务项目提供。乙方开具增值税专用发票必须符合“三流一致”，即：资金流（银行的收款凭证）、票流（发票的开票人和收票人）和物流/劳务流，相互统一，并保证其开具的增值税发票是长期合法、有效和完整。否则甲方拒收，一切责任由乙方负责。</w:t>
      </w:r>
    </w:p>
    <w:p>
      <w:pPr>
        <w:spacing w:line="500" w:lineRule="exact"/>
        <w:ind w:firstLine="510"/>
        <w:rPr>
          <w:rFonts w:ascii="宋体" w:hAnsi="宋体" w:eastAsia="宋体" w:cs="宋体"/>
          <w:sz w:val="28"/>
          <w:szCs w:val="28"/>
          <w:highlight w:val="none"/>
        </w:rPr>
      </w:pPr>
      <w:r>
        <w:rPr>
          <w:rFonts w:hint="eastAsia" w:ascii="宋体" w:hAnsi="宋体" w:eastAsia="宋体" w:cs="宋体"/>
          <w:sz w:val="28"/>
          <w:szCs w:val="28"/>
          <w:highlight w:val="none"/>
        </w:rPr>
        <w:t>此价格包工包料，包括按《中国大酒店</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采购项目报价清单》要求的一切有关设备及材料的成本、运输费、保险费、调试费、税费及其它所有费用。</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3</w:t>
      </w:r>
      <w:r>
        <w:rPr>
          <w:rFonts w:ascii="宋体" w:hAnsi="宋体" w:eastAsia="宋体" w:cs="宋体"/>
          <w:sz w:val="28"/>
          <w:szCs w:val="28"/>
          <w:highlight w:val="none"/>
        </w:rPr>
        <w:t>.</w:t>
      </w:r>
      <w:r>
        <w:rPr>
          <w:rFonts w:hint="eastAsia" w:ascii="宋体" w:hAnsi="宋体" w:eastAsia="宋体" w:cs="宋体"/>
          <w:sz w:val="28"/>
          <w:szCs w:val="28"/>
          <w:highlight w:val="none"/>
        </w:rPr>
        <w:t>承包方式：</w:t>
      </w:r>
      <w:r>
        <w:rPr>
          <w:rFonts w:ascii="宋体" w:hAnsi="宋体" w:eastAsia="宋体" w:cs="宋体"/>
          <w:sz w:val="28"/>
          <w:szCs w:val="28"/>
          <w:highlight w:val="none"/>
        </w:rPr>
        <w:t xml:space="preserve"> </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 xml:space="preserve">    本</w:t>
      </w:r>
      <w:r>
        <w:rPr>
          <w:rFonts w:hint="eastAsia" w:ascii="宋体" w:hAnsi="宋体" w:eastAsia="宋体" w:cs="宋体"/>
          <w:sz w:val="28"/>
          <w:szCs w:val="28"/>
          <w:highlight w:val="none"/>
        </w:rPr>
        <w:t>项目</w:t>
      </w:r>
      <w:r>
        <w:rPr>
          <w:rFonts w:ascii="宋体" w:hAnsi="宋体" w:eastAsia="宋体" w:cs="宋体"/>
          <w:sz w:val="28"/>
          <w:szCs w:val="28"/>
          <w:highlight w:val="none"/>
        </w:rPr>
        <w:t>由乙方包工、包料、包工期、包质量、包安全、包文明施工、包环境卫生、包完工验收通过，以合同内</w:t>
      </w:r>
      <w:r>
        <w:rPr>
          <w:rFonts w:hint="eastAsia" w:ascii="宋体" w:hAnsi="宋体" w:eastAsia="宋体" w:cs="宋体"/>
          <w:sz w:val="28"/>
          <w:szCs w:val="28"/>
          <w:highlight w:val="none"/>
        </w:rPr>
        <w:t>采购</w:t>
      </w:r>
      <w:r>
        <w:rPr>
          <w:rFonts w:ascii="宋体" w:hAnsi="宋体" w:eastAsia="宋体" w:cs="宋体"/>
          <w:sz w:val="28"/>
          <w:szCs w:val="28"/>
          <w:highlight w:val="none"/>
        </w:rPr>
        <w:t>清单总价包干方式结算。</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4</w:t>
      </w:r>
      <w:r>
        <w:rPr>
          <w:rFonts w:hint="eastAsia" w:ascii="宋体" w:hAnsi="宋体" w:eastAsia="宋体" w:cs="宋体"/>
          <w:sz w:val="28"/>
          <w:szCs w:val="28"/>
          <w:highlight w:val="none"/>
        </w:rPr>
        <w:t>.付款条件及方式：</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1</w:t>
      </w:r>
      <w:r>
        <w:rPr>
          <w:rFonts w:hint="eastAsia" w:ascii="宋体" w:hAnsi="宋体" w:eastAsia="宋体" w:cs="宋体"/>
          <w:sz w:val="28"/>
          <w:szCs w:val="28"/>
          <w:highlight w:val="none"/>
        </w:rPr>
        <w:t>）.在合同签订后，甲方收到乙方的合同总价</w:t>
      </w:r>
      <w:r>
        <w:rPr>
          <w:rFonts w:ascii="宋体" w:hAnsi="宋体" w:eastAsia="宋体" w:cs="宋体"/>
          <w:sz w:val="28"/>
          <w:szCs w:val="28"/>
          <w:highlight w:val="none"/>
        </w:rPr>
        <w:t>10%的履约保函或保证金后15个工作日内，乙方提供增值税专用发票后甲方向乙方支付合同含税总价的30%作预付款。</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2</w:t>
      </w:r>
      <w:r>
        <w:rPr>
          <w:rFonts w:hint="eastAsia" w:ascii="宋体" w:hAnsi="宋体" w:eastAsia="宋体" w:cs="宋体"/>
          <w:sz w:val="28"/>
          <w:szCs w:val="28"/>
          <w:highlight w:val="none"/>
        </w:rPr>
        <w:t>）.</w:t>
      </w:r>
      <w:r>
        <w:rPr>
          <w:rFonts w:ascii="宋体" w:hAnsi="宋体" w:eastAsia="宋体" w:cs="宋体"/>
          <w:sz w:val="28"/>
          <w:szCs w:val="28"/>
          <w:highlight w:val="none"/>
        </w:rPr>
        <w:t>电梯到货验收合格后，乙方提交申请付款报告及合法增值税专用发票后30天内，甲方向乙方支付至合同含税金额的80%。</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3</w:t>
      </w:r>
      <w:r>
        <w:rPr>
          <w:rFonts w:hint="eastAsia" w:ascii="宋体" w:hAnsi="宋体" w:eastAsia="宋体" w:cs="宋体"/>
          <w:sz w:val="28"/>
          <w:szCs w:val="28"/>
          <w:highlight w:val="none"/>
        </w:rPr>
        <w:t>）.电梯安装完成并通过政府验收合格后，乙方提交申请付款报告及合法增值税专用发票</w:t>
      </w:r>
      <w:r>
        <w:rPr>
          <w:rFonts w:ascii="宋体" w:hAnsi="宋体" w:eastAsia="宋体" w:cs="宋体"/>
          <w:sz w:val="28"/>
          <w:szCs w:val="28"/>
          <w:highlight w:val="none"/>
        </w:rPr>
        <w:t>（</w:t>
      </w:r>
      <w:r>
        <w:rPr>
          <w:rFonts w:hint="eastAsia" w:ascii="宋体" w:hAnsi="宋体" w:eastAsia="宋体" w:cs="宋体"/>
          <w:sz w:val="28"/>
          <w:szCs w:val="28"/>
          <w:highlight w:val="none"/>
        </w:rPr>
        <w:t>累计发票金额为合同金额</w:t>
      </w:r>
      <w:r>
        <w:rPr>
          <w:rFonts w:ascii="宋体" w:hAnsi="宋体" w:eastAsia="宋体" w:cs="宋体"/>
          <w:sz w:val="28"/>
          <w:szCs w:val="28"/>
          <w:highlight w:val="none"/>
        </w:rPr>
        <w:t>）后30天内，甲方向乙方支付至合同含税金额的95%。</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4</w:t>
      </w:r>
      <w:r>
        <w:rPr>
          <w:rFonts w:hint="eastAsia" w:ascii="宋体" w:hAnsi="宋体" w:eastAsia="宋体" w:cs="宋体"/>
          <w:sz w:val="28"/>
          <w:szCs w:val="28"/>
          <w:highlight w:val="none"/>
        </w:rPr>
        <w:t>）.电梯通过政府验收后，甲方退还乙方履约保函，或无息退还乙方履约保证金。</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5）.</w:t>
      </w:r>
      <w:r>
        <w:rPr>
          <w:rFonts w:ascii="宋体" w:hAnsi="宋体" w:eastAsia="宋体" w:cs="宋体"/>
          <w:sz w:val="28"/>
          <w:szCs w:val="28"/>
          <w:highlight w:val="none"/>
        </w:rPr>
        <w:t>甲方预留合同含税金额的5%作为质保金，质保期满，无质量问题，在乙方提交申请付款报告</w:t>
      </w:r>
      <w:r>
        <w:rPr>
          <w:rFonts w:hint="eastAsia" w:ascii="宋体" w:hAnsi="宋体" w:eastAsia="宋体" w:cs="宋体"/>
          <w:sz w:val="28"/>
          <w:szCs w:val="28"/>
          <w:highlight w:val="none"/>
        </w:rPr>
        <w:t>及增值税专用发票</w:t>
      </w:r>
      <w:r>
        <w:rPr>
          <w:rFonts w:ascii="宋体" w:hAnsi="宋体" w:eastAsia="宋体" w:cs="宋体"/>
          <w:sz w:val="28"/>
          <w:szCs w:val="28"/>
          <w:highlight w:val="none"/>
        </w:rPr>
        <w:t>后，15天内无息支付合同含税金额5%的质保金。</w:t>
      </w:r>
    </w:p>
    <w:p>
      <w:pPr>
        <w:spacing w:line="360" w:lineRule="auto"/>
        <w:ind w:left="450"/>
        <w:jc w:val="left"/>
        <w:rPr>
          <w:rFonts w:ascii="宋体" w:hAnsi="宋体" w:eastAsia="宋体" w:cs="宋体"/>
          <w:sz w:val="28"/>
          <w:szCs w:val="28"/>
          <w:highlight w:val="none"/>
        </w:rPr>
      </w:pPr>
      <w:r>
        <w:rPr>
          <w:rFonts w:hint="eastAsia" w:ascii="宋体" w:hAnsi="宋体" w:eastAsia="宋体" w:cs="宋体"/>
          <w:sz w:val="28"/>
          <w:szCs w:val="28"/>
          <w:highlight w:val="none"/>
        </w:rPr>
        <w:t xml:space="preserve">乙方收款帐号： </w:t>
      </w:r>
    </w:p>
    <w:p>
      <w:pPr>
        <w:spacing w:line="360" w:lineRule="auto"/>
        <w:ind w:firstLine="450"/>
        <w:rPr>
          <w:rFonts w:ascii="宋体" w:hAnsi="宋体" w:eastAsia="宋体" w:cs="宋体"/>
          <w:b/>
          <w:bCs/>
          <w:sz w:val="28"/>
          <w:szCs w:val="28"/>
          <w:highlight w:val="none"/>
        </w:rPr>
      </w:pPr>
      <w:r>
        <w:rPr>
          <w:rFonts w:hint="eastAsia" w:ascii="宋体" w:hAnsi="宋体" w:eastAsia="宋体" w:cs="宋体"/>
          <w:b/>
          <w:bCs/>
          <w:sz w:val="28"/>
          <w:szCs w:val="28"/>
          <w:highlight w:val="none"/>
        </w:rPr>
        <w:t xml:space="preserve">开户银行: </w:t>
      </w:r>
    </w:p>
    <w:p>
      <w:pPr>
        <w:spacing w:line="360" w:lineRule="auto"/>
        <w:ind w:firstLine="450"/>
        <w:jc w:val="left"/>
        <w:rPr>
          <w:rFonts w:ascii="宋体" w:hAnsi="宋体" w:eastAsia="宋体" w:cs="宋体"/>
          <w:b/>
          <w:bCs/>
          <w:sz w:val="28"/>
          <w:szCs w:val="28"/>
          <w:highlight w:val="none"/>
        </w:rPr>
      </w:pPr>
      <w:r>
        <w:rPr>
          <w:rFonts w:hint="eastAsia" w:ascii="宋体" w:hAnsi="宋体" w:eastAsia="宋体" w:cs="宋体"/>
          <w:b/>
          <w:bCs/>
          <w:sz w:val="28"/>
          <w:szCs w:val="28"/>
          <w:highlight w:val="none"/>
        </w:rPr>
        <w:t>银行账号:</w:t>
      </w:r>
    </w:p>
    <w:p>
      <w:pPr>
        <w:spacing w:line="360" w:lineRule="auto"/>
        <w:ind w:firstLine="560" w:firstLineChars="200"/>
        <w:jc w:val="left"/>
        <w:rPr>
          <w:rFonts w:ascii="宋体" w:hAnsi="宋体" w:eastAsia="宋体" w:cs="宋体"/>
          <w:sz w:val="28"/>
          <w:szCs w:val="28"/>
          <w:highlight w:val="none"/>
        </w:rPr>
      </w:pPr>
      <w:r>
        <w:rPr>
          <w:rFonts w:hint="eastAsia" w:ascii="宋体" w:hAnsi="宋体" w:eastAsia="宋体" w:cs="宋体"/>
          <w:sz w:val="28"/>
          <w:szCs w:val="28"/>
          <w:highlight w:val="none"/>
        </w:rPr>
        <w:t>乙方必须开具增值税专用发票，并保证其开具的发票送达甲方时距开票日期不超过15天，甲方通过汇款支付。</w:t>
      </w:r>
    </w:p>
    <w:p>
      <w:pPr>
        <w:spacing w:line="360" w:lineRule="auto"/>
        <w:ind w:firstLine="450"/>
        <w:jc w:val="left"/>
        <w:rPr>
          <w:rFonts w:ascii="宋体" w:hAnsi="宋体" w:eastAsia="宋体" w:cs="宋体"/>
          <w:sz w:val="28"/>
          <w:szCs w:val="28"/>
          <w:highlight w:val="none"/>
        </w:rPr>
      </w:pPr>
      <w:r>
        <w:rPr>
          <w:rFonts w:hint="eastAsia" w:ascii="宋体" w:hAnsi="宋体" w:eastAsia="宋体" w:cs="宋体"/>
          <w:sz w:val="28"/>
          <w:szCs w:val="28"/>
          <w:highlight w:val="none"/>
        </w:rPr>
        <w:t>本项目设备保修及售后服务期为贰年，从该项目竣工验收合格之日起计算。</w:t>
      </w:r>
    </w:p>
    <w:p>
      <w:pPr>
        <w:spacing w:line="360" w:lineRule="auto"/>
        <w:jc w:val="left"/>
        <w:rPr>
          <w:rFonts w:ascii="宋体" w:hAnsi="宋体" w:eastAsia="宋体" w:cs="宋体"/>
          <w:sz w:val="28"/>
          <w:szCs w:val="28"/>
          <w:highlight w:val="none"/>
        </w:rPr>
      </w:pPr>
      <w:r>
        <w:rPr>
          <w:rFonts w:ascii="宋体" w:hAnsi="宋体" w:eastAsia="宋体" w:cs="宋体"/>
          <w:sz w:val="28"/>
          <w:szCs w:val="28"/>
          <w:highlight w:val="none"/>
        </w:rPr>
        <w:t>5</w:t>
      </w:r>
      <w:r>
        <w:rPr>
          <w:rFonts w:hint="eastAsia" w:ascii="宋体" w:hAnsi="宋体" w:eastAsia="宋体" w:cs="宋体"/>
          <w:sz w:val="28"/>
          <w:szCs w:val="28"/>
          <w:highlight w:val="none"/>
        </w:rPr>
        <w:t>.</w:t>
      </w:r>
      <w:r>
        <w:rPr>
          <w:rFonts w:ascii="宋体" w:hAnsi="宋体" w:eastAsia="宋体" w:cs="宋体"/>
          <w:sz w:val="28"/>
          <w:szCs w:val="28"/>
          <w:highlight w:val="none"/>
        </w:rPr>
        <w:t>设备要求</w:t>
      </w:r>
    </w:p>
    <w:p>
      <w:pPr>
        <w:spacing w:line="360" w:lineRule="auto"/>
        <w:ind w:firstLine="560" w:firstLineChars="200"/>
        <w:jc w:val="left"/>
        <w:rPr>
          <w:rFonts w:ascii="宋体" w:hAnsi="宋体" w:eastAsia="宋体" w:cs="宋体"/>
          <w:sz w:val="28"/>
          <w:szCs w:val="28"/>
          <w:highlight w:val="none"/>
        </w:rPr>
      </w:pPr>
      <w:r>
        <w:rPr>
          <w:rFonts w:hint="eastAsia" w:ascii="宋体" w:hAnsi="宋体" w:eastAsia="宋体" w:cs="宋体"/>
          <w:sz w:val="28"/>
          <w:szCs w:val="28"/>
          <w:highlight w:val="none"/>
        </w:rPr>
        <w:t>1).</w:t>
      </w:r>
      <w:r>
        <w:rPr>
          <w:rFonts w:ascii="宋体" w:hAnsi="宋体" w:eastAsia="宋体" w:cs="宋体"/>
          <w:sz w:val="28"/>
          <w:szCs w:val="28"/>
          <w:highlight w:val="none"/>
        </w:rPr>
        <w:t>货物为原制造商制造的全新产品，整机无污染，无侵权行为、表面无划损、无任何缺陷隐患，在中国境内可依常规安全合法使用。</w:t>
      </w:r>
    </w:p>
    <w:p>
      <w:pPr>
        <w:spacing w:line="360" w:lineRule="auto"/>
        <w:ind w:firstLine="560" w:firstLineChars="200"/>
        <w:jc w:val="left"/>
        <w:rPr>
          <w:rFonts w:ascii="宋体" w:hAnsi="宋体" w:eastAsia="宋体" w:cs="宋体"/>
          <w:sz w:val="28"/>
          <w:szCs w:val="28"/>
          <w:highlight w:val="none"/>
        </w:rPr>
      </w:pPr>
      <w:r>
        <w:rPr>
          <w:rFonts w:hint="eastAsia" w:ascii="宋体" w:hAnsi="宋体" w:eastAsia="宋体" w:cs="宋体"/>
          <w:sz w:val="28"/>
          <w:szCs w:val="28"/>
          <w:highlight w:val="none"/>
        </w:rPr>
        <w:t>2).</w:t>
      </w:r>
      <w:r>
        <w:rPr>
          <w:rFonts w:ascii="宋体" w:hAnsi="宋体" w:eastAsia="宋体" w:cs="宋体"/>
          <w:sz w:val="28"/>
          <w:szCs w:val="28"/>
          <w:highlight w:val="none"/>
        </w:rPr>
        <w:t>交付验收标准依次序对照适用标准为：①符合中华人民共和国国家安全质量标准、环保标准或行业标准；②符合招标文件和响应承诺中甲方认可的合理最佳配置、参数及各项要求；③货物来源国官方标准。</w:t>
      </w:r>
    </w:p>
    <w:p>
      <w:pPr>
        <w:spacing w:line="360" w:lineRule="auto"/>
        <w:ind w:firstLine="560" w:firstLineChars="200"/>
        <w:jc w:val="left"/>
        <w:rPr>
          <w:rFonts w:ascii="宋体" w:hAnsi="宋体" w:eastAsia="宋体" w:cs="宋体"/>
          <w:sz w:val="28"/>
          <w:szCs w:val="28"/>
          <w:highlight w:val="none"/>
        </w:rPr>
      </w:pPr>
      <w:r>
        <w:rPr>
          <w:rFonts w:hint="eastAsia" w:ascii="宋体" w:hAnsi="宋体" w:eastAsia="宋体" w:cs="宋体"/>
          <w:sz w:val="28"/>
          <w:szCs w:val="28"/>
          <w:highlight w:val="none"/>
        </w:rPr>
        <w:t>3).</w:t>
      </w:r>
      <w:r>
        <w:rPr>
          <w:rFonts w:ascii="宋体" w:hAnsi="宋体" w:eastAsia="宋体" w:cs="宋体"/>
          <w:sz w:val="28"/>
          <w:szCs w:val="28"/>
          <w:highlight w:val="none"/>
        </w:rPr>
        <w:t>进口产品必须具备原产地证明和商检局的检验证明及合法进货渠道证明（如有适用）。</w:t>
      </w:r>
    </w:p>
    <w:p>
      <w:pPr>
        <w:spacing w:line="360" w:lineRule="auto"/>
        <w:ind w:firstLine="560" w:firstLineChars="200"/>
        <w:jc w:val="left"/>
        <w:rPr>
          <w:rFonts w:ascii="宋体" w:hAnsi="宋体" w:eastAsia="宋体" w:cs="宋体"/>
          <w:sz w:val="28"/>
          <w:szCs w:val="28"/>
          <w:highlight w:val="none"/>
        </w:rPr>
      </w:pPr>
      <w:r>
        <w:rPr>
          <w:rFonts w:ascii="宋体" w:hAnsi="宋体" w:eastAsia="宋体" w:cs="宋体"/>
          <w:sz w:val="28"/>
          <w:szCs w:val="28"/>
          <w:highlight w:val="none"/>
        </w:rPr>
        <w:t>4).货物为原厂商未启封全新包装，具出厂合格证，序列号、包装箱号与出厂批号一致，并可追索查阅。</w:t>
      </w:r>
    </w:p>
    <w:p>
      <w:pPr>
        <w:spacing w:line="360" w:lineRule="auto"/>
        <w:ind w:firstLine="560" w:firstLineChars="200"/>
        <w:jc w:val="left"/>
        <w:rPr>
          <w:rFonts w:ascii="宋体" w:hAnsi="宋体" w:eastAsia="宋体" w:cs="宋体"/>
          <w:sz w:val="28"/>
          <w:szCs w:val="28"/>
          <w:highlight w:val="none"/>
        </w:rPr>
      </w:pPr>
      <w:r>
        <w:rPr>
          <w:rFonts w:ascii="宋体" w:hAnsi="宋体" w:eastAsia="宋体" w:cs="宋体"/>
          <w:sz w:val="28"/>
          <w:szCs w:val="28"/>
          <w:highlight w:val="none"/>
        </w:rPr>
        <w:t>5).乙方应将关键主机设备的用户手册、保修手册、有关单证资料及配备件、随机工具等交付给甲方，使用操作及安全须知等重要资料应附有中文说明。</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6.</w:t>
      </w:r>
      <w:r>
        <w:rPr>
          <w:rFonts w:hint="eastAsia" w:ascii="宋体" w:hAnsi="宋体" w:eastAsia="宋体" w:cs="宋体"/>
          <w:sz w:val="28"/>
          <w:szCs w:val="28"/>
          <w:highlight w:val="none"/>
        </w:rPr>
        <w:t>订货时间、</w:t>
      </w:r>
      <w:r>
        <w:rPr>
          <w:rFonts w:ascii="宋体" w:hAnsi="宋体" w:eastAsia="宋体" w:cs="宋体"/>
          <w:sz w:val="28"/>
          <w:szCs w:val="28"/>
          <w:highlight w:val="none"/>
        </w:rPr>
        <w:t>完成期、交货方式及交货地点</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1）.订货时间：</w:t>
      </w:r>
      <w:r>
        <w:rPr>
          <w:rFonts w:hint="eastAsia" w:ascii="宋体" w:hAnsi="宋体" w:eastAsia="宋体" w:cs="宋体"/>
          <w:sz w:val="28"/>
          <w:szCs w:val="28"/>
          <w:highlight w:val="none"/>
          <w:u w:val="single"/>
        </w:rPr>
        <w:t xml:space="preserve"> </w:t>
      </w:r>
      <w:r>
        <w:rPr>
          <w:rFonts w:ascii="宋体" w:hAnsi="宋体" w:eastAsia="宋体" w:cs="宋体"/>
          <w:sz w:val="28"/>
          <w:szCs w:val="28"/>
          <w:highlight w:val="none"/>
          <w:u w:val="single"/>
        </w:rPr>
        <w:t xml:space="preserve">   </w:t>
      </w:r>
      <w:r>
        <w:rPr>
          <w:rFonts w:hint="eastAsia" w:ascii="宋体" w:hAnsi="宋体" w:eastAsia="宋体" w:cs="宋体"/>
          <w:sz w:val="28"/>
          <w:szCs w:val="28"/>
          <w:highlight w:val="none"/>
        </w:rPr>
        <w:t>日历天</w:t>
      </w:r>
      <w:r>
        <w:rPr>
          <w:rFonts w:ascii="宋体" w:hAnsi="宋体" w:eastAsia="宋体" w:cs="宋体"/>
          <w:sz w:val="28"/>
          <w:szCs w:val="28"/>
          <w:highlight w:val="none"/>
        </w:rPr>
        <w:t xml:space="preserve"> </w:t>
      </w:r>
      <w:r>
        <w:rPr>
          <w:rFonts w:hint="eastAsia" w:ascii="宋体" w:hAnsi="宋体" w:eastAsia="宋体" w:cs="宋体"/>
          <w:sz w:val="28"/>
          <w:szCs w:val="28"/>
          <w:highlight w:val="none"/>
        </w:rPr>
        <w:t>。</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2</w:t>
      </w:r>
      <w:r>
        <w:rPr>
          <w:rFonts w:hint="eastAsia" w:ascii="宋体" w:hAnsi="宋体" w:eastAsia="宋体" w:cs="宋体"/>
          <w:sz w:val="28"/>
          <w:szCs w:val="28"/>
          <w:highlight w:val="none"/>
        </w:rPr>
        <w:t>）.</w:t>
      </w:r>
      <w:r>
        <w:rPr>
          <w:rFonts w:ascii="宋体" w:hAnsi="宋体" w:eastAsia="宋体" w:cs="宋体"/>
          <w:sz w:val="28"/>
          <w:szCs w:val="28"/>
          <w:highlight w:val="none"/>
        </w:rPr>
        <w:t>完成期：电梯进场之日起</w:t>
      </w:r>
      <w:r>
        <w:rPr>
          <w:rFonts w:ascii="宋体" w:hAnsi="宋体" w:eastAsia="宋体" w:cs="宋体"/>
          <w:sz w:val="28"/>
          <w:szCs w:val="28"/>
          <w:highlight w:val="none"/>
          <w:u w:val="single"/>
        </w:rPr>
        <w:t xml:space="preserve">    </w:t>
      </w:r>
      <w:r>
        <w:rPr>
          <w:rFonts w:ascii="宋体" w:hAnsi="宋体" w:eastAsia="宋体" w:cs="宋体"/>
          <w:sz w:val="28"/>
          <w:szCs w:val="28"/>
          <w:highlight w:val="none"/>
        </w:rPr>
        <w:t>日历天内完成安装及井道收边工作并通过特种设备检验机构监督检验合格并取得电梯使用证、交付使用。</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3</w:t>
      </w:r>
      <w:r>
        <w:rPr>
          <w:rFonts w:hint="eastAsia" w:ascii="宋体" w:hAnsi="宋体" w:eastAsia="宋体" w:cs="宋体"/>
          <w:sz w:val="28"/>
          <w:szCs w:val="28"/>
          <w:highlight w:val="none"/>
        </w:rPr>
        <w:t>）.</w:t>
      </w:r>
      <w:r>
        <w:rPr>
          <w:rFonts w:ascii="宋体" w:hAnsi="宋体" w:eastAsia="宋体" w:cs="宋体"/>
          <w:sz w:val="28"/>
          <w:szCs w:val="28"/>
          <w:highlight w:val="none"/>
        </w:rPr>
        <w:t>交货方式：货到地盘、代办运输。</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4</w:t>
      </w:r>
      <w:r>
        <w:rPr>
          <w:rFonts w:hint="eastAsia" w:ascii="宋体" w:hAnsi="宋体" w:eastAsia="宋体" w:cs="宋体"/>
          <w:sz w:val="28"/>
          <w:szCs w:val="28"/>
          <w:highlight w:val="none"/>
        </w:rPr>
        <w:t>）.</w:t>
      </w:r>
      <w:r>
        <w:rPr>
          <w:rFonts w:ascii="宋体" w:hAnsi="宋体" w:eastAsia="宋体" w:cs="宋体"/>
          <w:sz w:val="28"/>
          <w:szCs w:val="28"/>
          <w:highlight w:val="none"/>
        </w:rPr>
        <w:t>交货地点：广东省广州市</w:t>
      </w:r>
      <w:r>
        <w:rPr>
          <w:rFonts w:hint="eastAsia" w:ascii="宋体" w:hAnsi="宋体" w:eastAsia="宋体" w:cs="宋体"/>
          <w:sz w:val="28"/>
          <w:szCs w:val="28"/>
          <w:highlight w:val="none"/>
        </w:rPr>
        <w:t>越秀区流花路1</w:t>
      </w:r>
      <w:r>
        <w:rPr>
          <w:rFonts w:ascii="宋体" w:hAnsi="宋体" w:eastAsia="宋体" w:cs="宋体"/>
          <w:sz w:val="28"/>
          <w:szCs w:val="28"/>
          <w:highlight w:val="none"/>
        </w:rPr>
        <w:t>22</w:t>
      </w:r>
      <w:r>
        <w:rPr>
          <w:rFonts w:hint="eastAsia" w:ascii="宋体" w:hAnsi="宋体" w:eastAsia="宋体" w:cs="宋体"/>
          <w:sz w:val="28"/>
          <w:szCs w:val="28"/>
          <w:highlight w:val="none"/>
        </w:rPr>
        <w:t>号</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7.质保期及售后服务要求</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1</w:t>
      </w:r>
      <w:r>
        <w:rPr>
          <w:rFonts w:hint="eastAsia" w:ascii="宋体" w:hAnsi="宋体" w:eastAsia="宋体" w:cs="宋体"/>
          <w:sz w:val="28"/>
          <w:szCs w:val="28"/>
          <w:highlight w:val="none"/>
        </w:rPr>
        <w:t>）.</w:t>
      </w:r>
      <w:r>
        <w:rPr>
          <w:rFonts w:ascii="宋体" w:hAnsi="宋体" w:eastAsia="宋体" w:cs="宋体"/>
          <w:sz w:val="28"/>
          <w:szCs w:val="28"/>
          <w:highlight w:val="none"/>
        </w:rPr>
        <w:t>本合同的质量保证期（简称“质保期”）为两年，质保期自货物最终验收合格之日起算，质保期内乙方对所供货物实行包修、包换、包退、包维护保养，期满后可同时提供终身 (免费/有偿) 维修保养服务。</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2</w:t>
      </w:r>
      <w:r>
        <w:rPr>
          <w:rFonts w:hint="eastAsia" w:ascii="宋体" w:hAnsi="宋体" w:eastAsia="宋体" w:cs="宋体"/>
          <w:sz w:val="28"/>
          <w:szCs w:val="28"/>
          <w:highlight w:val="none"/>
        </w:rPr>
        <w:t>）.</w:t>
      </w:r>
      <w:r>
        <w:rPr>
          <w:rFonts w:ascii="宋体" w:hAnsi="宋体" w:eastAsia="宋体" w:cs="宋体"/>
          <w:sz w:val="28"/>
          <w:szCs w:val="28"/>
          <w:highlight w:val="none"/>
        </w:rPr>
        <w:t>质保期内，如设备或零部件因非人为因素出现故障而造成短期停用时，则质保期和免费维修期相应顺延。如停用时间累计超过60天则质保期重新计算。</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3</w:t>
      </w:r>
      <w:r>
        <w:rPr>
          <w:rFonts w:hint="eastAsia" w:ascii="宋体" w:hAnsi="宋体" w:eastAsia="宋体" w:cs="宋体"/>
          <w:sz w:val="28"/>
          <w:szCs w:val="28"/>
          <w:highlight w:val="none"/>
        </w:rPr>
        <w:t>）.</w:t>
      </w:r>
      <w:r>
        <w:rPr>
          <w:rFonts w:ascii="宋体" w:hAnsi="宋体" w:eastAsia="宋体" w:cs="宋体"/>
          <w:sz w:val="28"/>
          <w:szCs w:val="28"/>
          <w:highlight w:val="none"/>
        </w:rPr>
        <w:t>对甲方的服务通知，乙方在接报后1小时内响应，4小时内到达现场，48小时内处理完毕。若在48小时内仍未能有效解决，乙方须免费提供同档次的设备予甲方临时使用。</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8.安装与调试</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乙方必须依照招标文件的要求和投标文件的承诺，将设备、系统安装并调试至正常运行的最佳状态。</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9.验收</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1</w:t>
      </w:r>
      <w:r>
        <w:rPr>
          <w:rFonts w:hint="eastAsia" w:ascii="宋体" w:hAnsi="宋体" w:eastAsia="宋体" w:cs="宋体"/>
          <w:sz w:val="28"/>
          <w:szCs w:val="28"/>
          <w:highlight w:val="none"/>
        </w:rPr>
        <w:t>）.</w:t>
      </w:r>
      <w:r>
        <w:rPr>
          <w:rFonts w:ascii="宋体" w:hAnsi="宋体" w:eastAsia="宋体" w:cs="宋体"/>
          <w:sz w:val="28"/>
          <w:szCs w:val="28"/>
          <w:highlight w:val="none"/>
        </w:rPr>
        <w:t xml:space="preserve">货物若有国家标准按照国家标准验收，若无国家标准按行业标准验收，为原制造商制造的全新产品，整机无污染，无侵权行为、表面无划损、无任何缺陷隐患，在中国境内可依常规安全合法使用。 </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2</w:t>
      </w:r>
      <w:r>
        <w:rPr>
          <w:rFonts w:hint="eastAsia" w:ascii="宋体" w:hAnsi="宋体" w:eastAsia="宋体" w:cs="宋体"/>
          <w:sz w:val="28"/>
          <w:szCs w:val="28"/>
          <w:highlight w:val="none"/>
        </w:rPr>
        <w:t>）.</w:t>
      </w:r>
      <w:r>
        <w:rPr>
          <w:rFonts w:ascii="宋体" w:hAnsi="宋体" w:eastAsia="宋体" w:cs="宋体"/>
          <w:sz w:val="28"/>
          <w:szCs w:val="28"/>
          <w:highlight w:val="none"/>
        </w:rPr>
        <w:t>进口产品必须具备原产地证明和商检局的检验证明及合法进货渠道证明。甲方有权要求乙方提供进口货物的报关单（如有适用）。</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3</w:t>
      </w:r>
      <w:r>
        <w:rPr>
          <w:rFonts w:hint="eastAsia" w:ascii="宋体" w:hAnsi="宋体" w:eastAsia="宋体" w:cs="宋体"/>
          <w:sz w:val="28"/>
          <w:szCs w:val="28"/>
          <w:highlight w:val="none"/>
        </w:rPr>
        <w:t>）.</w:t>
      </w:r>
      <w:r>
        <w:rPr>
          <w:rFonts w:ascii="宋体" w:hAnsi="宋体" w:eastAsia="宋体" w:cs="宋体"/>
          <w:sz w:val="28"/>
          <w:szCs w:val="28"/>
          <w:highlight w:val="none"/>
        </w:rPr>
        <w:t>货物为原厂商未启封全新包装，具出厂合格证，序列号、包装箱号与出厂批号一致，并可追索查阅。所有随设备的附件必须齐全。</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4</w:t>
      </w:r>
      <w:r>
        <w:rPr>
          <w:rFonts w:hint="eastAsia" w:ascii="宋体" w:hAnsi="宋体" w:eastAsia="宋体" w:cs="宋体"/>
          <w:sz w:val="28"/>
          <w:szCs w:val="28"/>
          <w:highlight w:val="none"/>
        </w:rPr>
        <w:t>）.</w:t>
      </w:r>
      <w:r>
        <w:rPr>
          <w:rFonts w:ascii="宋体" w:hAnsi="宋体" w:eastAsia="宋体" w:cs="宋体"/>
          <w:sz w:val="28"/>
          <w:szCs w:val="28"/>
          <w:highlight w:val="none"/>
        </w:rPr>
        <w:t>乙方应将关键主机设备的用户手册、保修手册、有关单证资料及配备件、随机工具等交付给甲方，使用操作及安全须知等重要资料应附有中文说明。</w:t>
      </w:r>
    </w:p>
    <w:p>
      <w:pPr>
        <w:spacing w:line="360" w:lineRule="auto"/>
        <w:ind w:firstLine="560" w:firstLineChars="200"/>
        <w:rPr>
          <w:rFonts w:ascii="宋体" w:hAnsi="宋体" w:eastAsia="宋体" w:cs="宋体"/>
          <w:sz w:val="28"/>
          <w:szCs w:val="28"/>
          <w:highlight w:val="none"/>
        </w:rPr>
      </w:pPr>
      <w:r>
        <w:rPr>
          <w:rFonts w:ascii="宋体" w:hAnsi="宋体" w:eastAsia="宋体" w:cs="宋体"/>
          <w:sz w:val="28"/>
          <w:szCs w:val="28"/>
          <w:highlight w:val="none"/>
        </w:rPr>
        <w:t>5</w:t>
      </w:r>
      <w:r>
        <w:rPr>
          <w:rFonts w:hint="eastAsia" w:ascii="宋体" w:hAnsi="宋体" w:eastAsia="宋体" w:cs="宋体"/>
          <w:sz w:val="28"/>
          <w:szCs w:val="28"/>
          <w:highlight w:val="none"/>
        </w:rPr>
        <w:t>）.</w:t>
      </w:r>
      <w:r>
        <w:rPr>
          <w:rFonts w:ascii="宋体" w:hAnsi="宋体" w:eastAsia="宋体" w:cs="宋体"/>
          <w:sz w:val="28"/>
          <w:szCs w:val="28"/>
          <w:highlight w:val="none"/>
        </w:rPr>
        <w:t>甲方组成验收小组按国家有关规定、规范进行验收，必要时邀请相关的专业人员或机构参与验收。因货物质量问题发生争议时，由本地质量技术监督部门鉴定。货物符合质量技术标准的，鉴定费由甲方承担；否则鉴定费由乙方承担。</w:t>
      </w:r>
    </w:p>
    <w:p>
      <w:pPr>
        <w:spacing w:line="360" w:lineRule="auto"/>
        <w:rPr>
          <w:rFonts w:ascii="宋体" w:hAnsi="宋体" w:eastAsia="宋体" w:cs="宋体"/>
          <w:sz w:val="28"/>
          <w:szCs w:val="28"/>
          <w:highlight w:val="none"/>
        </w:rPr>
      </w:pPr>
      <w:r>
        <w:rPr>
          <w:rFonts w:ascii="宋体" w:hAnsi="宋体" w:eastAsia="宋体" w:cs="宋体"/>
          <w:sz w:val="28"/>
          <w:szCs w:val="28"/>
          <w:highlight w:val="none"/>
        </w:rPr>
        <w:t>10</w:t>
      </w:r>
      <w:r>
        <w:rPr>
          <w:rFonts w:hint="eastAsia" w:ascii="宋体" w:hAnsi="宋体" w:eastAsia="宋体" w:cs="宋体"/>
          <w:sz w:val="28"/>
          <w:szCs w:val="28"/>
          <w:highlight w:val="none"/>
        </w:rPr>
        <w:t>.违约责任：</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1).任何一方违约，均按《民法典》的有关规定，承担违约责任；违约方向守约方赔偿损失。</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2).由于乙方的原因逾期完成项目或交付的成果不符合甲方要求的或其他导致项目延误的，逾期十天后，则本项目每延误一天，乙方按日向甲方支付合同含税总价1‰的违约金，最多不超过合同含税总价的1</w:t>
      </w:r>
      <w:r>
        <w:rPr>
          <w:rFonts w:ascii="宋体" w:hAnsi="宋体" w:eastAsia="宋体" w:cs="宋体"/>
          <w:sz w:val="28"/>
          <w:szCs w:val="28"/>
          <w:highlight w:val="none"/>
        </w:rPr>
        <w:t>0</w:t>
      </w:r>
      <w:r>
        <w:rPr>
          <w:rFonts w:hint="eastAsia" w:ascii="宋体" w:hAnsi="宋体" w:eastAsia="宋体" w:cs="宋体"/>
          <w:sz w:val="28"/>
          <w:szCs w:val="28"/>
          <w:highlight w:val="none"/>
        </w:rPr>
        <w:t>%。如逾期超过</w:t>
      </w:r>
      <w:r>
        <w:rPr>
          <w:rFonts w:ascii="宋体" w:hAnsi="宋体" w:eastAsia="宋体" w:cs="宋体"/>
          <w:sz w:val="28"/>
          <w:szCs w:val="28"/>
          <w:highlight w:val="none"/>
        </w:rPr>
        <w:t>30</w:t>
      </w:r>
      <w:r>
        <w:rPr>
          <w:rFonts w:hint="eastAsia" w:ascii="宋体" w:hAnsi="宋体" w:eastAsia="宋体" w:cs="宋体"/>
          <w:sz w:val="28"/>
          <w:szCs w:val="28"/>
          <w:highlight w:val="none"/>
        </w:rPr>
        <w:t>日的，甲方有权解除合同，乙方除向甲方支付违约金外，还应赔偿甲方因此遭受的损失。</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3).甲方不按期支付项目款，从逾期第7天起计，每天按全国银行间同业拆借中心公布的贷款市场报价利率向乙方支付违约金，货期顺延。</w:t>
      </w:r>
    </w:p>
    <w:p>
      <w:pPr>
        <w:spacing w:line="360" w:lineRule="auto"/>
        <w:ind w:left="210" w:leftChars="100" w:firstLine="280" w:firstLineChars="100"/>
        <w:rPr>
          <w:rFonts w:ascii="宋体" w:hAnsi="宋体" w:eastAsia="宋体" w:cs="宋体"/>
          <w:sz w:val="28"/>
          <w:szCs w:val="28"/>
          <w:highlight w:val="none"/>
        </w:rPr>
      </w:pPr>
      <w:r>
        <w:rPr>
          <w:rFonts w:ascii="宋体" w:hAnsi="宋体" w:eastAsia="宋体" w:cs="宋体"/>
          <w:sz w:val="28"/>
          <w:szCs w:val="28"/>
          <w:highlight w:val="none"/>
        </w:rPr>
        <w:t>4</w:t>
      </w:r>
      <w:r>
        <w:rPr>
          <w:rFonts w:hint="eastAsia" w:ascii="宋体" w:hAnsi="宋体" w:eastAsia="宋体" w:cs="宋体"/>
          <w:sz w:val="28"/>
          <w:szCs w:val="28"/>
          <w:highlight w:val="none"/>
        </w:rPr>
        <w:t>）.</w:t>
      </w:r>
      <w:r>
        <w:rPr>
          <w:rFonts w:ascii="宋体" w:hAnsi="宋体" w:eastAsia="宋体" w:cs="宋体"/>
          <w:sz w:val="28"/>
          <w:szCs w:val="28"/>
          <w:highlight w:val="none"/>
        </w:rPr>
        <w:t>其它违约责任按《中华人民共和国民法典》处理。</w:t>
      </w:r>
    </w:p>
    <w:p>
      <w:pPr>
        <w:spacing w:line="360" w:lineRule="auto"/>
        <w:ind w:left="540" w:hanging="540"/>
        <w:rPr>
          <w:rFonts w:ascii="宋体" w:hAnsi="宋体" w:eastAsia="宋体" w:cs="宋体"/>
          <w:sz w:val="28"/>
          <w:szCs w:val="28"/>
          <w:highlight w:val="none"/>
        </w:rPr>
      </w:pPr>
      <w:r>
        <w:rPr>
          <w:rFonts w:ascii="宋体" w:hAnsi="宋体" w:eastAsia="宋体" w:cs="宋体"/>
          <w:sz w:val="28"/>
          <w:szCs w:val="28"/>
          <w:highlight w:val="none"/>
        </w:rPr>
        <w:t>11</w:t>
      </w:r>
      <w:r>
        <w:rPr>
          <w:rFonts w:hint="eastAsia" w:ascii="宋体" w:hAnsi="宋体" w:eastAsia="宋体" w:cs="宋体"/>
          <w:sz w:val="28"/>
          <w:szCs w:val="28"/>
          <w:highlight w:val="none"/>
        </w:rPr>
        <w:t>.保密</w:t>
      </w:r>
    </w:p>
    <w:p>
      <w:pPr>
        <w:spacing w:line="360" w:lineRule="auto"/>
        <w:ind w:left="210" w:leftChars="100" w:firstLine="560" w:firstLineChars="200"/>
        <w:rPr>
          <w:rFonts w:ascii="宋体" w:hAnsi="宋体" w:eastAsia="宋体" w:cs="宋体"/>
          <w:sz w:val="28"/>
          <w:szCs w:val="28"/>
          <w:highlight w:val="none"/>
        </w:rPr>
      </w:pPr>
      <w:r>
        <w:rPr>
          <w:rFonts w:hint="eastAsia" w:ascii="宋体" w:hAnsi="宋体" w:eastAsia="宋体" w:cs="宋体"/>
          <w:sz w:val="28"/>
          <w:szCs w:val="28"/>
          <w:highlight w:val="none"/>
        </w:rPr>
        <w:t>项目中所涉及的双方的内部资料、数据及其他商业信息，未经对方许可，任何一方不得以任何形式用于本合同之外的目的，不得以任何形式向第三方透露。任何一方泄露的，相关方有权追究泄露方的经济和法律责任。</w:t>
      </w:r>
    </w:p>
    <w:p>
      <w:pPr>
        <w:spacing w:line="360" w:lineRule="auto"/>
        <w:ind w:left="540" w:hanging="540"/>
        <w:rPr>
          <w:rFonts w:ascii="宋体" w:hAnsi="宋体" w:eastAsia="宋体" w:cs="宋体"/>
          <w:sz w:val="28"/>
          <w:szCs w:val="28"/>
          <w:highlight w:val="none"/>
        </w:rPr>
      </w:pPr>
      <w:r>
        <w:rPr>
          <w:rFonts w:ascii="宋体" w:hAnsi="宋体" w:eastAsia="宋体" w:cs="宋体"/>
          <w:sz w:val="28"/>
          <w:szCs w:val="28"/>
          <w:highlight w:val="none"/>
        </w:rPr>
        <w:t>12</w:t>
      </w:r>
      <w:r>
        <w:rPr>
          <w:rFonts w:hint="eastAsia" w:ascii="宋体" w:hAnsi="宋体" w:eastAsia="宋体" w:cs="宋体"/>
          <w:sz w:val="28"/>
          <w:szCs w:val="28"/>
          <w:highlight w:val="none"/>
        </w:rPr>
        <w:t>.争议解决方式：双方如有争议，经协商无法解决时，任何一方可向甲方所在地有管辖权的人民法院提起诉讼。</w:t>
      </w:r>
    </w:p>
    <w:p>
      <w:pPr>
        <w:spacing w:line="360" w:lineRule="auto"/>
        <w:ind w:left="540" w:hanging="540"/>
        <w:rPr>
          <w:rFonts w:ascii="宋体" w:hAnsi="宋体" w:eastAsia="宋体" w:cs="宋体"/>
          <w:sz w:val="28"/>
          <w:szCs w:val="28"/>
          <w:highlight w:val="none"/>
        </w:rPr>
      </w:pPr>
      <w:r>
        <w:rPr>
          <w:rFonts w:ascii="宋体" w:hAnsi="宋体" w:eastAsia="宋体" w:cs="宋体"/>
          <w:sz w:val="28"/>
          <w:szCs w:val="28"/>
          <w:highlight w:val="none"/>
        </w:rPr>
        <w:t>13</w:t>
      </w:r>
      <w:r>
        <w:rPr>
          <w:rFonts w:hint="eastAsia" w:ascii="宋体" w:hAnsi="宋体" w:eastAsia="宋体" w:cs="宋体"/>
          <w:sz w:val="28"/>
          <w:szCs w:val="28"/>
          <w:highlight w:val="none"/>
        </w:rPr>
        <w:t>.本合同连同肆份附件共同组成，一式肆份，双方各执贰份，并自双方签字并盖章后立即生效。</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1</w:t>
      </w:r>
      <w:r>
        <w:rPr>
          <w:rFonts w:ascii="宋体" w:hAnsi="宋体" w:eastAsia="宋体" w:cs="宋体"/>
          <w:sz w:val="28"/>
          <w:szCs w:val="28"/>
          <w:highlight w:val="none"/>
        </w:rPr>
        <w:t>4</w:t>
      </w:r>
      <w:r>
        <w:rPr>
          <w:rFonts w:hint="eastAsia" w:ascii="宋体" w:hAnsi="宋体" w:eastAsia="宋体" w:cs="宋体"/>
          <w:sz w:val="28"/>
          <w:szCs w:val="28"/>
          <w:highlight w:val="none"/>
        </w:rPr>
        <w:t>.合同附件：</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 xml:space="preserve">   1、《中国大酒店</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采购项目报价清单》</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 xml:space="preserve">   2、《中国大酒店</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采购项目廉洁协议书》</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 xml:space="preserve">   </w:t>
      </w:r>
      <w:r>
        <w:rPr>
          <w:rFonts w:ascii="宋体" w:hAnsi="宋体" w:eastAsia="宋体" w:cs="宋体"/>
          <w:sz w:val="28"/>
          <w:szCs w:val="28"/>
          <w:highlight w:val="none"/>
        </w:rPr>
        <w:t>3</w:t>
      </w:r>
      <w:r>
        <w:rPr>
          <w:rFonts w:hint="eastAsia" w:ascii="宋体" w:hAnsi="宋体" w:eastAsia="宋体" w:cs="宋体"/>
          <w:sz w:val="28"/>
          <w:szCs w:val="28"/>
          <w:highlight w:val="none"/>
        </w:rPr>
        <w:t>、《工程质量保修书》</w:t>
      </w:r>
    </w:p>
    <w:p>
      <w:pPr>
        <w:spacing w:line="360" w:lineRule="auto"/>
        <w:rPr>
          <w:rFonts w:ascii="宋体" w:hAnsi="宋体" w:eastAsia="宋体" w:cs="宋体"/>
          <w:sz w:val="28"/>
          <w:szCs w:val="28"/>
          <w:highlight w:val="none"/>
        </w:rPr>
      </w:pPr>
    </w:p>
    <w:p>
      <w:pPr>
        <w:spacing w:line="360" w:lineRule="auto"/>
        <w:rPr>
          <w:rFonts w:ascii="宋体" w:hAnsi="宋体" w:eastAsia="宋体" w:cs="宋体"/>
          <w:sz w:val="28"/>
          <w:szCs w:val="28"/>
          <w:highlight w:val="none"/>
        </w:rPr>
      </w:pP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立合约方</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甲方：中国大酒店                      乙方：</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签约人：                              签约人：</w:t>
      </w:r>
    </w:p>
    <w:p>
      <w:pPr>
        <w:spacing w:line="360" w:lineRule="auto"/>
        <w:rPr>
          <w:rFonts w:ascii="宋体" w:hAnsi="宋体" w:eastAsia="宋体" w:cs="宋体"/>
          <w:sz w:val="28"/>
          <w:szCs w:val="28"/>
          <w:highlight w:val="none"/>
        </w:rPr>
      </w:pPr>
      <w:r>
        <w:rPr>
          <w:rFonts w:hint="eastAsia" w:ascii="宋体" w:hAnsi="宋体" w:eastAsia="宋体" w:cs="宋体"/>
          <w:sz w:val="28"/>
          <w:szCs w:val="28"/>
          <w:highlight w:val="none"/>
        </w:rPr>
        <w:t>日期：</w:t>
      </w:r>
      <w:bookmarkStart w:id="124" w:name="OLE_LINK52"/>
      <w:bookmarkStart w:id="125" w:name="OLE_LINK50"/>
      <w:bookmarkStart w:id="126" w:name="OLE_LINK54"/>
      <w:bookmarkStart w:id="127" w:name="OLE_LINK51"/>
      <w:bookmarkStart w:id="128" w:name="OLE_LINK53"/>
      <w:bookmarkStart w:id="129" w:name="OLE_LINK55"/>
      <w:r>
        <w:rPr>
          <w:rFonts w:hint="eastAsia" w:ascii="宋体" w:hAnsi="宋体" w:eastAsia="宋体" w:cs="宋体"/>
          <w:sz w:val="28"/>
          <w:szCs w:val="28"/>
          <w:highlight w:val="none"/>
        </w:rPr>
        <w:t xml:space="preserve">2024年  月  日                  </w:t>
      </w:r>
      <w:bookmarkEnd w:id="124"/>
      <w:bookmarkEnd w:id="125"/>
      <w:bookmarkEnd w:id="126"/>
      <w:bookmarkEnd w:id="127"/>
      <w:bookmarkEnd w:id="128"/>
      <w:bookmarkEnd w:id="129"/>
      <w:r>
        <w:rPr>
          <w:rFonts w:hint="eastAsia" w:ascii="宋体" w:hAnsi="宋体" w:eastAsia="宋体" w:cs="宋体"/>
          <w:sz w:val="28"/>
          <w:szCs w:val="28"/>
          <w:highlight w:val="none"/>
        </w:rPr>
        <w:t xml:space="preserve">日期：2024年  月  日                     </w:t>
      </w:r>
    </w:p>
    <w:p>
      <w:pPr>
        <w:rPr>
          <w:rFonts w:ascii="宋体" w:hAnsi="宋体" w:eastAsia="宋体" w:cs="宋体"/>
          <w:sz w:val="28"/>
          <w:szCs w:val="28"/>
          <w:highlight w:val="none"/>
        </w:rPr>
      </w:pPr>
    </w:p>
    <w:p>
      <w:pPr>
        <w:pStyle w:val="5"/>
        <w:rPr>
          <w:highlight w:val="none"/>
        </w:rPr>
      </w:pPr>
    </w:p>
    <w:p>
      <w:pPr>
        <w:tabs>
          <w:tab w:val="left" w:pos="8364"/>
        </w:tabs>
        <w:snapToGrid w:val="0"/>
        <w:spacing w:line="460" w:lineRule="exact"/>
        <w:jc w:val="left"/>
        <w:rPr>
          <w:rFonts w:ascii="宋体" w:hAnsi="宋体" w:eastAsia="宋体" w:cs="宋体"/>
          <w:b/>
          <w:sz w:val="28"/>
          <w:szCs w:val="28"/>
          <w:highlight w:val="none"/>
        </w:rPr>
      </w:pPr>
      <w:r>
        <w:rPr>
          <w:rFonts w:hint="eastAsia" w:ascii="宋体" w:hAnsi="宋体" w:eastAsia="宋体" w:cs="宋体"/>
          <w:b/>
          <w:sz w:val="28"/>
          <w:szCs w:val="28"/>
          <w:highlight w:val="none"/>
        </w:rPr>
        <w:t>合同附件一：</w:t>
      </w:r>
    </w:p>
    <w:p>
      <w:pPr>
        <w:tabs>
          <w:tab w:val="left" w:pos="8364"/>
        </w:tabs>
        <w:snapToGrid w:val="0"/>
        <w:spacing w:line="460" w:lineRule="exact"/>
        <w:jc w:val="left"/>
        <w:rPr>
          <w:rFonts w:ascii="宋体" w:hAnsi="宋体" w:eastAsia="宋体" w:cs="宋体"/>
          <w:b/>
          <w:sz w:val="28"/>
          <w:szCs w:val="28"/>
          <w:highlight w:val="none"/>
        </w:rPr>
      </w:pPr>
    </w:p>
    <w:p>
      <w:pPr>
        <w:tabs>
          <w:tab w:val="left" w:pos="8364"/>
        </w:tabs>
        <w:snapToGrid w:val="0"/>
        <w:spacing w:line="460" w:lineRule="exact"/>
        <w:jc w:val="center"/>
        <w:rPr>
          <w:rFonts w:ascii="宋体" w:hAnsi="宋体" w:eastAsia="宋体" w:cs="宋体"/>
          <w:b/>
          <w:sz w:val="36"/>
          <w:szCs w:val="28"/>
          <w:highlight w:val="none"/>
        </w:rPr>
      </w:pPr>
      <w:r>
        <w:rPr>
          <w:rFonts w:hint="eastAsia" w:ascii="宋体" w:hAnsi="宋体" w:eastAsia="宋体" w:cs="宋体"/>
          <w:b/>
          <w:sz w:val="36"/>
          <w:szCs w:val="28"/>
          <w:highlight w:val="none"/>
        </w:rPr>
        <w:t>中国大酒店</w:t>
      </w:r>
      <w:r>
        <w:rPr>
          <w:rFonts w:hint="eastAsia" w:ascii="宋体" w:hAnsi="宋体" w:eastAsia="宋体" w:cs="宋体"/>
          <w:b/>
          <w:sz w:val="36"/>
          <w:szCs w:val="28"/>
          <w:highlight w:val="none"/>
          <w:u w:val="single"/>
        </w:rPr>
        <w:t xml:space="preserve">           </w:t>
      </w:r>
      <w:r>
        <w:rPr>
          <w:rFonts w:hint="eastAsia" w:ascii="宋体" w:hAnsi="宋体" w:eastAsia="宋体" w:cs="宋体"/>
          <w:b/>
          <w:sz w:val="36"/>
          <w:szCs w:val="28"/>
          <w:highlight w:val="none"/>
        </w:rPr>
        <w:t>采购项目</w:t>
      </w:r>
    </w:p>
    <w:p>
      <w:pPr>
        <w:tabs>
          <w:tab w:val="left" w:pos="8364"/>
        </w:tabs>
        <w:snapToGrid w:val="0"/>
        <w:spacing w:line="460" w:lineRule="exact"/>
        <w:jc w:val="center"/>
        <w:rPr>
          <w:rFonts w:ascii="宋体" w:hAnsi="宋体" w:eastAsia="宋体" w:cs="宋体"/>
          <w:b/>
          <w:sz w:val="28"/>
          <w:szCs w:val="28"/>
          <w:highlight w:val="none"/>
        </w:rPr>
      </w:pPr>
      <w:r>
        <w:rPr>
          <w:rFonts w:hint="eastAsia" w:ascii="宋体" w:hAnsi="宋体" w:eastAsia="宋体" w:cs="宋体"/>
          <w:b/>
          <w:sz w:val="36"/>
          <w:szCs w:val="28"/>
          <w:highlight w:val="none"/>
        </w:rPr>
        <w:t>报价清单</w:t>
      </w:r>
    </w:p>
    <w:p>
      <w:pPr>
        <w:spacing w:line="240" w:lineRule="atLeast"/>
        <w:rPr>
          <w:rFonts w:ascii="宋体" w:hAnsi="宋体" w:eastAsia="宋体" w:cs="宋体"/>
          <w:b/>
          <w:sz w:val="28"/>
          <w:szCs w:val="28"/>
          <w:highlight w:val="none"/>
        </w:rPr>
      </w:pPr>
      <w:r>
        <w:rPr>
          <w:rFonts w:ascii="宋体" w:hAnsi="宋体" w:eastAsia="宋体" w:cs="宋体"/>
          <w:b/>
          <w:sz w:val="28"/>
          <w:szCs w:val="28"/>
          <w:highlight w:val="none"/>
        </w:rPr>
        <w:object>
          <v:shape id="_x0000_i1025" o:spt="75" type="#_x0000_t75" style="height:56.25pt;width:77.25pt;" o:ole="t" filled="f" o:preferrelative="t" stroked="f" coordsize="21600,21600">
            <v:path/>
            <v:fill on="f" focussize="0,0"/>
            <v:stroke on="f" joinstyle="miter"/>
            <v:imagedata r:id="rId6" o:title=""/>
            <o:lock v:ext="edit" aspectratio="t"/>
            <w10:wrap type="none"/>
            <w10:anchorlock/>
          </v:shape>
          <o:OLEObject Type="Embed" ProgID="Excel.Sheet.12" ShapeID="_x0000_i1025" DrawAspect="Icon" ObjectID="_1468075725" r:id="rId5">
            <o:LockedField>false</o:LockedField>
          </o:OLEObject>
        </w:object>
      </w: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spacing w:line="240" w:lineRule="atLeast"/>
        <w:rPr>
          <w:rFonts w:ascii="宋体" w:hAnsi="宋体" w:eastAsia="宋体" w:cs="宋体"/>
          <w:b/>
          <w:sz w:val="28"/>
          <w:szCs w:val="28"/>
          <w:highlight w:val="none"/>
        </w:rPr>
      </w:pPr>
    </w:p>
    <w:p>
      <w:pPr>
        <w:rPr>
          <w:rFonts w:ascii="宋体" w:hAnsi="宋体" w:eastAsia="宋体" w:cs="宋体"/>
          <w:b/>
          <w:sz w:val="28"/>
          <w:szCs w:val="28"/>
          <w:highlight w:val="none"/>
        </w:rPr>
      </w:pPr>
    </w:p>
    <w:p>
      <w:pPr>
        <w:pStyle w:val="2"/>
        <w:ind w:left="420" w:firstLine="420"/>
        <w:rPr>
          <w:highlight w:val="none"/>
        </w:rPr>
      </w:pPr>
    </w:p>
    <w:p>
      <w:pPr>
        <w:spacing w:line="240" w:lineRule="atLeast"/>
        <w:rPr>
          <w:rFonts w:ascii="宋体" w:hAnsi="宋体" w:eastAsia="宋体" w:cs="宋体"/>
          <w:b/>
          <w:sz w:val="28"/>
          <w:szCs w:val="28"/>
          <w:highlight w:val="none"/>
        </w:rPr>
      </w:pPr>
      <w:r>
        <w:rPr>
          <w:rFonts w:hint="eastAsia" w:ascii="宋体" w:hAnsi="宋体" w:eastAsia="宋体" w:cs="宋体"/>
          <w:b/>
          <w:sz w:val="28"/>
          <w:szCs w:val="28"/>
          <w:highlight w:val="none"/>
        </w:rPr>
        <w:t xml:space="preserve">合同附件二：                                               </w:t>
      </w:r>
    </w:p>
    <w:p>
      <w:pPr>
        <w:adjustRightInd w:val="0"/>
        <w:snapToGrid w:val="0"/>
        <w:spacing w:line="360" w:lineRule="auto"/>
        <w:jc w:val="center"/>
        <w:rPr>
          <w:rFonts w:ascii="宋体" w:hAnsi="宋体" w:eastAsia="宋体" w:cs="宋体"/>
          <w:b/>
          <w:sz w:val="28"/>
          <w:szCs w:val="28"/>
          <w:highlight w:val="none"/>
          <w:u w:val="single"/>
        </w:rPr>
      </w:pPr>
      <w:r>
        <w:rPr>
          <w:rFonts w:hint="eastAsia" w:ascii="宋体" w:hAnsi="宋体" w:eastAsia="宋体" w:cs="宋体"/>
          <w:b/>
          <w:sz w:val="28"/>
          <w:szCs w:val="28"/>
          <w:highlight w:val="none"/>
        </w:rPr>
        <w:t>中国大酒店</w:t>
      </w:r>
      <w:r>
        <w:rPr>
          <w:rFonts w:hint="eastAsia" w:ascii="宋体" w:hAnsi="宋体" w:eastAsia="宋体" w:cs="宋体"/>
          <w:b/>
          <w:sz w:val="28"/>
          <w:szCs w:val="28"/>
          <w:highlight w:val="none"/>
          <w:u w:val="single"/>
        </w:rPr>
        <w:t xml:space="preserve">          </w:t>
      </w:r>
      <w:r>
        <w:rPr>
          <w:rFonts w:hint="eastAsia" w:ascii="宋体" w:hAnsi="宋体" w:eastAsia="宋体" w:cs="宋体"/>
          <w:b/>
          <w:sz w:val="28"/>
          <w:szCs w:val="28"/>
          <w:highlight w:val="none"/>
        </w:rPr>
        <w:t>项目廉洁协议书</w:t>
      </w:r>
    </w:p>
    <w:p>
      <w:pPr>
        <w:adjustRightInd w:val="0"/>
        <w:snapToGrid w:val="0"/>
        <w:spacing w:line="560" w:lineRule="exact"/>
        <w:ind w:firstLine="560" w:firstLineChars="200"/>
        <w:jc w:val="lef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为加强采购项目廉洁风险防控，促进购销双方规范履职，廉洁从业，有效实现采购目标，保护购销双方权益，根据国家有关法律法规和中央、省、市纪委廉洁建设有关规定，采购方（甲方）</w:t>
      </w:r>
      <w:r>
        <w:rPr>
          <w:rFonts w:hint="eastAsia" w:ascii="宋体" w:hAnsi="宋体" w:eastAsia="宋体" w:cs="宋体"/>
          <w:color w:val="000000"/>
          <w:sz w:val="28"/>
          <w:szCs w:val="28"/>
          <w:highlight w:val="none"/>
          <w:u w:val="single"/>
        </w:rPr>
        <w:t>中国大酒店</w:t>
      </w:r>
      <w:r>
        <w:rPr>
          <w:rFonts w:hint="eastAsia" w:ascii="宋体" w:hAnsi="宋体" w:eastAsia="宋体" w:cs="宋体"/>
          <w:color w:val="000000"/>
          <w:sz w:val="28"/>
          <w:szCs w:val="28"/>
          <w:highlight w:val="none"/>
        </w:rPr>
        <w:t>与供应方（乙方）</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就《</w:t>
      </w:r>
      <w:r>
        <w:rPr>
          <w:rFonts w:hint="eastAsia" w:ascii="宋体" w:hAnsi="宋体" w:eastAsia="宋体" w:cs="宋体"/>
          <w:color w:val="000000"/>
          <w:sz w:val="28"/>
          <w:szCs w:val="28"/>
          <w:highlight w:val="none"/>
          <w:u w:val="single"/>
        </w:rPr>
        <w:t xml:space="preserve">中国大酒店            </w:t>
      </w:r>
      <w:r>
        <w:rPr>
          <w:rFonts w:hint="eastAsia" w:ascii="宋体" w:hAnsi="宋体" w:eastAsia="宋体" w:cs="宋体"/>
          <w:color w:val="000000"/>
          <w:sz w:val="28"/>
          <w:szCs w:val="28"/>
          <w:highlight w:val="none"/>
        </w:rPr>
        <w:t>采购项目合同》订立本廉洁协议书，以资双方共同遵照执行。</w:t>
      </w:r>
    </w:p>
    <w:p>
      <w:pPr>
        <w:adjustRightInd w:val="0"/>
        <w:snapToGrid w:val="0"/>
        <w:spacing w:line="560" w:lineRule="exact"/>
        <w:ind w:firstLine="562" w:firstLineChars="200"/>
        <w:jc w:val="left"/>
        <w:rPr>
          <w:rFonts w:ascii="宋体" w:hAnsi="宋体" w:eastAsia="宋体" w:cs="宋体"/>
          <w:color w:val="000000"/>
          <w:sz w:val="28"/>
          <w:szCs w:val="28"/>
          <w:highlight w:val="none"/>
        </w:rPr>
      </w:pPr>
      <w:r>
        <w:rPr>
          <w:rFonts w:hint="eastAsia" w:ascii="宋体" w:hAnsi="宋体" w:eastAsia="宋体" w:cs="宋体"/>
          <w:b/>
          <w:color w:val="000000"/>
          <w:sz w:val="28"/>
          <w:szCs w:val="28"/>
          <w:highlight w:val="none"/>
        </w:rPr>
        <w:t>第一条  甲乙双方的权利和义务</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（一）严格遵守国家关于市场准入、招标投标、物资服务采购等市场经济活动的法律法规、政策以及廉洁自律的规定，做到合法经营。</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（二）严格遵守招投标及采购相关法律法规及甲方关于招投标及采购的规定。前述合同签订后，双方严格执行合同文件，自觉履行合同约定的相关职责和义务。</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三）业务活动必须坚持公平、公开、公正、诚信、守信的原则，不得就前述合同中的相关物料设备的型号、规格、质量、数量、价格和验收方式，以及服务标准、服务内容等合同条款进行私下商谈或者达成默契，不得为获取不正当利益达成私下协议，不得损害国家和集体利益。</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（四）建立健全廉洁制度，开展廉洁教育，公布举报电话及监督方式。</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（五）发现对方在业务活动中有违反廉洁规定的行为或严重违反合同义务条款的行为，应及时提醒对方纠正。情节严重的，应向其上级相关部门反映和举报，相关部门处理的结果应及时向对方通报。</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（六）不得与相关权利方和利益方勾肩搭背，内外勾结，在本采购项目实施过程中非法谋利。</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（七）不得通过说情、批示、打招呼、暗示或强迫命令等形式，干扰、妨碍正常业务活动。</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（八）不得干扰、妨碍查处本采购项目中的违规违纪违法行为。</w:t>
      </w:r>
    </w:p>
    <w:p>
      <w:pPr>
        <w:adjustRightInd w:val="0"/>
        <w:snapToGrid w:val="0"/>
        <w:spacing w:line="560" w:lineRule="exact"/>
        <w:rPr>
          <w:rFonts w:ascii="宋体" w:hAnsi="宋体" w:eastAsia="宋体" w:cs="宋体"/>
          <w:b/>
          <w:color w:val="000000"/>
          <w:sz w:val="28"/>
          <w:szCs w:val="28"/>
          <w:highlight w:val="none"/>
        </w:rPr>
      </w:pPr>
      <w:r>
        <w:rPr>
          <w:rFonts w:hint="eastAsia" w:ascii="宋体" w:hAnsi="宋体" w:eastAsia="宋体" w:cs="宋体"/>
          <w:color w:val="000000"/>
          <w:sz w:val="28"/>
          <w:szCs w:val="28"/>
          <w:highlight w:val="none"/>
        </w:rPr>
        <w:t xml:space="preserve">    </w:t>
      </w:r>
      <w:r>
        <w:rPr>
          <w:rFonts w:hint="eastAsia" w:ascii="宋体" w:hAnsi="宋体" w:eastAsia="宋体" w:cs="宋体"/>
          <w:b/>
          <w:color w:val="000000"/>
          <w:sz w:val="28"/>
          <w:szCs w:val="28"/>
          <w:highlight w:val="none"/>
        </w:rPr>
        <w:t>第二条  甲方的义务</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甲方及甲方领导人员和从事本采购项目的工作人员（以下简称“甲方相关人员”），在项目实施的事前、事中和事后都须遵守以下规定：</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（一）甲方及甲方相关人员应按照公平、公正、公开和诚实守信的原则开展工作，为乙方提供公平的竞争环境与平台；</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二）甲方相关人员不得索要或接受与本采购项目有利益关系的单位及个人的礼品、礼金、红包、有价证券、支付凭证、纪念品、高档办公用品、土特产、通讯和交通工具、不动产、住房装修，或者宴请、外出旅游、消费娱乐等非正当利益；不得参与任何形式的赌博并通过赌博方式收受乙方财物；不得在乙方报销任何应由甲方及其相关人员支付的费用；</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三）甲方相关人员不得借本采购项目实施之机，为父母、配偶、子女及其他特定关系人谋取不正当利益；不得要求或接受乙方为其操办婚丧喜庆事宜提供方便；不得在乙方或与乙方有股权关联的企业兼职，不得向乙方介绍家属或者亲友从事与甲方业务有关的经济活动；</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四）甲方相关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spacing w:line="560" w:lineRule="exact"/>
        <w:ind w:firstLine="560" w:firstLineChars="200"/>
        <w:outlineLvl w:val="2"/>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（五）甲方相关人员不得利用职务之便收受乙方以回扣、手续费、加班费、咨询费、劳务费、协调费、辛苦费等各种名义给予或赠送的钱物；不得接受乙方给予或赠送的干股或红利；</w:t>
      </w:r>
    </w:p>
    <w:p>
      <w:pPr>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（六）甲方相关人员不得安排其父母、配偶、子女及其他特定关系人从事与本采购项目相关的材料设备供应、分包、劳务等经济活动；</w:t>
      </w:r>
    </w:p>
    <w:p>
      <w:pPr>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（七）甲方相关人员不得利用职权从事各种有偿中介活动，不得以任何理由向乙方指定材料、原料及服务供应商，不得要求乙方购买前述合同无关的材料和设备或者提供额外的服务内容；</w:t>
      </w:r>
    </w:p>
    <w:p>
      <w:pPr>
        <w:adjustRightInd w:val="0"/>
        <w:snapToGrid w:val="0"/>
        <w:spacing w:line="560" w:lineRule="exact"/>
        <w:ind w:firstLine="560" w:firstLineChars="200"/>
        <w:jc w:val="lef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（八）甲方及甲方相关人员不得违反国家法律法规党内规章制度及甲方内部的其他禁止性规定。</w:t>
      </w:r>
    </w:p>
    <w:p>
      <w:pPr>
        <w:spacing w:line="560" w:lineRule="exact"/>
        <w:ind w:firstLine="562" w:firstLineChars="200"/>
        <w:outlineLvl w:val="2"/>
        <w:rPr>
          <w:rFonts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第三条  乙方的义务</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乙方及其领导人员和该采购项目的工作人员（以下简称“乙方相关人员”）应与甲方及甲方相关人员保持正常的业务往来，严格执行法律法规规定，按照规定程序开展业务工作，在采购项目实施的事前、事中和事后都须遵守以下规定：</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（一）乙方及乙方相关人员不得在采购招投标或者磋商阶段以违反国家法律法规、党章党纪规定的方式获取不正当利益；</w:t>
      </w:r>
    </w:p>
    <w:p>
      <w:pPr>
        <w:adjustRightInd w:val="0"/>
        <w:snapToGrid w:val="0"/>
        <w:spacing w:line="560" w:lineRule="exact"/>
        <w:ind w:firstLine="42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二）乙方相关人员不得以任何理由向甲方及甲方相关人员行贿或馈赠礼金、有价证券、贵重礼品；不得以任何理由安排甲方及甲方相关人员参加可能影响相关业务公平、公开、公正、公平性的宴请及娱乐活动；不得以任何名义为甲方及甲方相关人员报销应由甲方单位或个人支付的任何费用；</w:t>
      </w:r>
    </w:p>
    <w:p>
      <w:pPr>
        <w:adjustRightInd w:val="0"/>
        <w:snapToGrid w:val="0"/>
        <w:spacing w:line="560" w:lineRule="exact"/>
        <w:ind w:firstLine="42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（三）乙方及乙方相关人员不得因前述合同履行向甲方、甲方相关人员及其亲属有输送利益的行为；</w:t>
      </w:r>
    </w:p>
    <w:p>
      <w:pPr>
        <w:adjustRightInd w:val="0"/>
        <w:snapToGrid w:val="0"/>
        <w:spacing w:line="560" w:lineRule="exact"/>
        <w:ind w:firstLine="42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（四）乙方及乙方相关人员不得为甲方、甲方相关人员及其亲属个人购置或提供通讯工具和高档办公用品等物品，也不得为甲方相关人员提供与工作无关的不动产、交通工具等；</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（五）乙方及乙方相关人员不得以回扣、手续费、加班费、咨询费、劳务费、协调费、辛苦费等各种名义向甲方及甲方相关人员给予或赠送钱物；不得向甲方及甲方相关人员提供干股或红利；</w:t>
      </w:r>
    </w:p>
    <w:p>
      <w:pPr>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（六）乙方及乙方相关人员不得以谋取非正当利益为目的，擅自与甲方或甲方相关人员就与本采购项目有关的业务问题进行私下商谈或者达成利益默契；</w:t>
      </w:r>
    </w:p>
    <w:p>
      <w:pPr>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（七）乙方及乙方相关人员不得违反国家法律法规及党内规章制度的其他禁止性规定；</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（八）乙方或乙方相关人员发现甲方相关人员有违反本廉洁协议书规定的，应向甲方举报。</w:t>
      </w:r>
    </w:p>
    <w:p>
      <w:pPr>
        <w:spacing w:line="560" w:lineRule="exact"/>
        <w:ind w:firstLine="562" w:firstLineChars="200"/>
        <w:outlineLvl w:val="2"/>
        <w:rPr>
          <w:rFonts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第四条  违约责任</w:t>
      </w:r>
    </w:p>
    <w:p>
      <w:pPr>
        <w:adjustRightInd w:val="0"/>
        <w:snapToGrid w:val="0"/>
        <w:spacing w:line="56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（一）甲方及甲方相关人员违反本廉洁协议书第一、二条，按管理权限，依据有关规定给予党纪、政纪或组织处理；涉嫌犯罪的，移交司法机关追究刑事责任；给乙方造成经济损失的，应予以赔偿。</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举报方式：中国大酒店三楼纪检监督室，电话86666888-3878或3379。</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（二）乙方及乙方相关人员违反本廉洁协议书第一、三条:</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（1）通过不正当手段中标或者签订合同的，依据国家和甲方有关规定给予处理，甲方有权取消中标资格或解除合同，并追究乙方相应责任； </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（2）应全额返还用不正当手段获取的非法所得；</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（3）给甲方造成经济损失的，乙方应予以赔偿；</w:t>
      </w:r>
    </w:p>
    <w:p>
      <w:pPr>
        <w:adjustRightInd w:val="0"/>
        <w:snapToGrid w:val="0"/>
        <w:spacing w:line="560" w:lineRule="exact"/>
        <w:ind w:firstLine="560" w:firstLineChars="200"/>
        <w:rPr>
          <w:rFonts w:ascii="宋体" w:hAnsi="宋体" w:eastAsia="宋体" w:cs="宋体"/>
          <w:sz w:val="28"/>
          <w:szCs w:val="28"/>
          <w:highlight w:val="none"/>
        </w:rPr>
      </w:pPr>
      <w:r>
        <w:rPr>
          <w:rFonts w:hint="eastAsia" w:ascii="宋体" w:hAnsi="宋体" w:eastAsia="宋体" w:cs="宋体"/>
          <w:color w:val="000000"/>
          <w:sz w:val="28"/>
          <w:szCs w:val="28"/>
          <w:highlight w:val="none"/>
        </w:rPr>
        <w:t>（4）甲方有权扣除</w:t>
      </w:r>
      <w:r>
        <w:rPr>
          <w:rFonts w:hint="eastAsia" w:ascii="宋体" w:hAnsi="宋体" w:eastAsia="宋体" w:cs="宋体"/>
          <w:sz w:val="28"/>
          <w:szCs w:val="28"/>
          <w:highlight w:val="none"/>
        </w:rPr>
        <w:t xml:space="preserve">乙方依据前述合同支付的全部履约保证金,如未提交履约保证金，甲方有权要求乙方支付该合同总金额20%作为违约金处罚（根据合同约定内容选择）； </w:t>
      </w:r>
    </w:p>
    <w:p>
      <w:pPr>
        <w:adjustRightInd w:val="0"/>
        <w:snapToGrid w:val="0"/>
        <w:spacing w:line="560" w:lineRule="exact"/>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（5）乙方将被甲方列入企业“黑名单”，禁止进入甲方企业（含下属公司）从事经营活动；情节严重的，甲方可以将相关情况通报乙方的行政主管部门或行业协会；构成犯罪的，移交司法机关追究法律责任。</w:t>
      </w:r>
    </w:p>
    <w:p>
      <w:pPr>
        <w:adjustRightInd w:val="0"/>
        <w:snapToGrid w:val="0"/>
        <w:spacing w:line="560" w:lineRule="exact"/>
        <w:ind w:firstLine="562" w:firstLineChars="200"/>
        <w:rPr>
          <w:rFonts w:ascii="宋体" w:hAnsi="宋体" w:eastAsia="宋体" w:cs="宋体"/>
          <w:color w:val="000000"/>
          <w:sz w:val="28"/>
          <w:szCs w:val="28"/>
          <w:highlight w:val="none"/>
        </w:rPr>
      </w:pPr>
      <w:r>
        <w:rPr>
          <w:rFonts w:hint="eastAsia" w:ascii="宋体" w:hAnsi="宋体" w:eastAsia="宋体" w:cs="宋体"/>
          <w:b/>
          <w:color w:val="000000"/>
          <w:sz w:val="28"/>
          <w:szCs w:val="28"/>
          <w:highlight w:val="none"/>
        </w:rPr>
        <w:t>第五条</w:t>
      </w:r>
      <w:r>
        <w:rPr>
          <w:rFonts w:hint="eastAsia" w:ascii="宋体" w:hAnsi="宋体" w:eastAsia="宋体" w:cs="宋体"/>
          <w:color w:val="000000"/>
          <w:sz w:val="28"/>
          <w:szCs w:val="28"/>
          <w:highlight w:val="none"/>
        </w:rPr>
        <w:t xml:space="preserve">  本廉洁协议书由双方或双方上级单位负责监督。甲乙双方或双方上级单位可以对本廉洁协议书履行情况进行检查。</w:t>
      </w:r>
    </w:p>
    <w:p>
      <w:pPr>
        <w:adjustRightInd w:val="0"/>
        <w:snapToGrid w:val="0"/>
        <w:spacing w:line="560" w:lineRule="exact"/>
        <w:ind w:firstLine="548" w:firstLineChars="195"/>
        <w:rPr>
          <w:rFonts w:ascii="宋体" w:hAnsi="宋体" w:eastAsia="宋体" w:cs="宋体"/>
          <w:color w:val="000000"/>
          <w:sz w:val="28"/>
          <w:szCs w:val="28"/>
          <w:highlight w:val="none"/>
        </w:rPr>
      </w:pPr>
      <w:r>
        <w:rPr>
          <w:rFonts w:hint="eastAsia" w:ascii="宋体" w:hAnsi="宋体" w:eastAsia="宋体" w:cs="宋体"/>
          <w:b/>
          <w:color w:val="000000"/>
          <w:sz w:val="28"/>
          <w:szCs w:val="28"/>
          <w:highlight w:val="none"/>
        </w:rPr>
        <w:t>第六条</w:t>
      </w:r>
      <w:r>
        <w:rPr>
          <w:rFonts w:hint="eastAsia" w:ascii="宋体" w:hAnsi="宋体" w:eastAsia="宋体" w:cs="宋体"/>
          <w:color w:val="000000"/>
          <w:sz w:val="28"/>
          <w:szCs w:val="28"/>
          <w:highlight w:val="none"/>
        </w:rPr>
        <w:t xml:space="preserve">  本合同作为前述合同的附件，并具有同等的法律效力，经合同双方签署立即生效。</w:t>
      </w:r>
    </w:p>
    <w:p>
      <w:pPr>
        <w:adjustRightInd w:val="0"/>
        <w:snapToGrid w:val="0"/>
        <w:spacing w:line="560" w:lineRule="exact"/>
        <w:ind w:firstLine="548" w:firstLineChars="195"/>
        <w:rPr>
          <w:rFonts w:ascii="宋体" w:hAnsi="宋体" w:eastAsia="宋体" w:cs="宋体"/>
          <w:color w:val="000000"/>
          <w:sz w:val="28"/>
          <w:szCs w:val="28"/>
          <w:highlight w:val="none"/>
        </w:rPr>
      </w:pPr>
      <w:r>
        <w:rPr>
          <w:rFonts w:hint="eastAsia" w:ascii="宋体" w:hAnsi="宋体" w:eastAsia="宋体" w:cs="宋体"/>
          <w:b/>
          <w:color w:val="000000"/>
          <w:sz w:val="28"/>
          <w:szCs w:val="28"/>
          <w:highlight w:val="none"/>
        </w:rPr>
        <w:t>第七条</w:t>
      </w:r>
      <w:r>
        <w:rPr>
          <w:rFonts w:hint="eastAsia" w:ascii="宋体" w:hAnsi="宋体" w:eastAsia="宋体" w:cs="宋体"/>
          <w:color w:val="000000"/>
          <w:sz w:val="28"/>
          <w:szCs w:val="28"/>
          <w:highlight w:val="none"/>
        </w:rPr>
        <w:t xml:space="preserve">  本合同一式肆份，由甲乙双方各执两份。</w:t>
      </w:r>
    </w:p>
    <w:p>
      <w:pPr>
        <w:adjustRightInd w:val="0"/>
        <w:snapToGrid w:val="0"/>
        <w:spacing w:line="560" w:lineRule="exact"/>
        <w:ind w:firstLine="480"/>
        <w:rPr>
          <w:rFonts w:ascii="宋体" w:hAnsi="宋体" w:eastAsia="宋体" w:cs="宋体"/>
          <w:color w:val="000000"/>
          <w:sz w:val="28"/>
          <w:szCs w:val="28"/>
          <w:highlight w:val="none"/>
        </w:rPr>
      </w:pPr>
    </w:p>
    <w:p>
      <w:pPr>
        <w:adjustRightInd w:val="0"/>
        <w:snapToGrid w:val="0"/>
        <w:spacing w:line="500" w:lineRule="exact"/>
        <w:ind w:firstLine="480"/>
        <w:rPr>
          <w:rFonts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甲乙双方确认在签订本廉洁协议书前已仔细阅读条款内容，甲乙双方对本廉洁协议书所产生的法律责任已清楚知悉并承诺遵守。</w:t>
      </w:r>
    </w:p>
    <w:p>
      <w:pPr>
        <w:adjustRightInd w:val="0"/>
        <w:snapToGrid w:val="0"/>
        <w:spacing w:line="500" w:lineRule="exact"/>
        <w:rPr>
          <w:rFonts w:ascii="宋体" w:hAnsi="宋体" w:eastAsia="宋体" w:cs="宋体"/>
          <w:color w:val="000000"/>
          <w:sz w:val="28"/>
          <w:szCs w:val="28"/>
          <w:highlight w:val="none"/>
        </w:rPr>
      </w:pPr>
    </w:p>
    <w:p>
      <w:pPr>
        <w:adjustRightInd w:val="0"/>
        <w:snapToGrid w:val="0"/>
        <w:spacing w:line="500" w:lineRule="exact"/>
        <w:rPr>
          <w:rFonts w:ascii="宋体" w:hAnsi="宋体" w:eastAsia="宋体" w:cs="宋体"/>
          <w:color w:val="000000"/>
          <w:sz w:val="28"/>
          <w:szCs w:val="28"/>
          <w:highlight w:val="none"/>
        </w:rPr>
      </w:pPr>
    </w:p>
    <w:p>
      <w:pPr>
        <w:adjustRightInd w:val="0"/>
        <w:snapToGrid w:val="0"/>
        <w:spacing w:line="50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甲方（盖章）：                        乙方（盖章）：</w:t>
      </w:r>
    </w:p>
    <w:p>
      <w:pPr>
        <w:adjustRightInd w:val="0"/>
        <w:snapToGrid w:val="0"/>
        <w:spacing w:line="50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法定代表人（签字）：                  法定代表人（签字）：</w:t>
      </w:r>
    </w:p>
    <w:p>
      <w:pPr>
        <w:adjustRightInd w:val="0"/>
        <w:snapToGrid w:val="0"/>
        <w:spacing w:line="50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（或）授权代表（签字）：              （或）授权代表（签字）：</w:t>
      </w:r>
    </w:p>
    <w:p>
      <w:pPr>
        <w:spacing w:line="500" w:lineRule="exact"/>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签订日期：                           签订日期：</w:t>
      </w:r>
    </w:p>
    <w:p>
      <w:pPr>
        <w:pStyle w:val="30"/>
        <w:spacing w:line="360" w:lineRule="auto"/>
        <w:ind w:firstLine="261"/>
        <w:rPr>
          <w:b/>
          <w:sz w:val="26"/>
          <w:szCs w:val="26"/>
          <w:highlight w:val="none"/>
        </w:rPr>
      </w:pPr>
    </w:p>
    <w:bookmarkEnd w:id="122"/>
    <w:bookmarkEnd w:id="123"/>
    <w:p>
      <w:pPr>
        <w:widowControl/>
        <w:spacing w:line="360" w:lineRule="auto"/>
        <w:rPr>
          <w:rFonts w:ascii="宋体" w:hAnsi="宋体" w:eastAsia="宋体" w:cs="宋体"/>
          <w:sz w:val="24"/>
          <w:szCs w:val="24"/>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2"/>
        <w:ind w:left="0" w:leftChars="0" w:firstLine="0" w:firstLineChars="0"/>
        <w:jc w:val="left"/>
        <w:rPr>
          <w:kern w:val="0"/>
          <w:sz w:val="20"/>
          <w:szCs w:val="20"/>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rFonts w:ascii="宋体" w:hAnsi="宋体" w:eastAsia="宋体" w:cs="宋体"/>
          <w:b/>
          <w:sz w:val="28"/>
          <w:szCs w:val="28"/>
          <w:highlight w:val="none"/>
        </w:rPr>
      </w:pPr>
      <w:r>
        <w:rPr>
          <w:rFonts w:hint="eastAsia" w:ascii="宋体" w:hAnsi="宋体" w:eastAsia="宋体" w:cs="宋体"/>
          <w:b/>
          <w:sz w:val="28"/>
          <w:szCs w:val="28"/>
          <w:highlight w:val="none"/>
        </w:rPr>
        <w:t>合同附件三：</w:t>
      </w:r>
    </w:p>
    <w:p>
      <w:pPr>
        <w:autoSpaceDE w:val="0"/>
        <w:autoSpaceDN w:val="0"/>
        <w:adjustRightInd w:val="0"/>
        <w:spacing w:line="360" w:lineRule="auto"/>
        <w:ind w:right="-13"/>
        <w:jc w:val="center"/>
        <w:rPr>
          <w:rFonts w:ascii="Times New Roman" w:hAnsi="Times New Roman" w:eastAsia="宋体" w:cs="Times New Roman"/>
          <w:kern w:val="0"/>
          <w:sz w:val="28"/>
          <w:szCs w:val="28"/>
          <w:highlight w:val="none"/>
        </w:rPr>
      </w:pPr>
      <w:r>
        <w:rPr>
          <w:rFonts w:hint="eastAsia" w:ascii="Times New Roman" w:hAnsi="Times New Roman" w:eastAsia="宋体" w:cs="Times New Roman"/>
          <w:kern w:val="0"/>
          <w:sz w:val="32"/>
          <w:szCs w:val="28"/>
          <w:highlight w:val="none"/>
        </w:rPr>
        <w:t>工程质量保修书</w:t>
      </w:r>
    </w:p>
    <w:p>
      <w:pPr>
        <w:autoSpaceDE w:val="0"/>
        <w:autoSpaceDN w:val="0"/>
        <w:adjustRightInd w:val="0"/>
        <w:spacing w:before="94" w:line="360" w:lineRule="auto"/>
        <w:ind w:left="101" w:leftChars="48" w:right="47" w:firstLine="420" w:firstLineChars="20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为保证本施工合同涉及的工程项目在合理使用期限内正常使用，合同双方当事人根据《中华人民共和国建筑法》、《建设工程质量管理条例》和《房屋建筑工程质量保修办法》等规定，经协商一致，订立本质量保修书。</w:t>
      </w:r>
    </w:p>
    <w:p>
      <w:pPr>
        <w:autoSpaceDE w:val="0"/>
        <w:autoSpaceDN w:val="0"/>
        <w:adjustRightInd w:val="0"/>
        <w:spacing w:before="36"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1. </w:t>
      </w:r>
      <w:r>
        <w:rPr>
          <w:rFonts w:hint="eastAsia" w:ascii="宋体" w:hAnsi="宋体" w:eastAsia="宋体" w:cs="Times New Roman"/>
          <w:kern w:val="0"/>
          <w:szCs w:val="21"/>
          <w:highlight w:val="none"/>
        </w:rPr>
        <w:t>质量保修范围</w:t>
      </w:r>
    </w:p>
    <w:p>
      <w:pPr>
        <w:autoSpaceDE w:val="0"/>
        <w:autoSpaceDN w:val="0"/>
        <w:adjustRightInd w:val="0"/>
        <w:spacing w:before="94" w:line="360" w:lineRule="auto"/>
        <w:ind w:left="101" w:leftChars="48" w:right="47" w:firstLine="420" w:firstLineChars="20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质量保修范围包括工程量清单内所包含的所有施工内容。</w:t>
      </w:r>
    </w:p>
    <w:p>
      <w:pPr>
        <w:autoSpaceDE w:val="0"/>
        <w:autoSpaceDN w:val="0"/>
        <w:adjustRightInd w:val="0"/>
        <w:spacing w:before="94" w:line="360" w:lineRule="auto"/>
        <w:ind w:right="47"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2. </w:t>
      </w:r>
      <w:r>
        <w:rPr>
          <w:rFonts w:hint="eastAsia" w:ascii="宋体" w:hAnsi="宋体" w:eastAsia="宋体" w:cs="Times New Roman"/>
          <w:kern w:val="0"/>
          <w:szCs w:val="21"/>
          <w:highlight w:val="none"/>
        </w:rPr>
        <w:t>质量保修期</w:t>
      </w:r>
    </w:p>
    <w:p>
      <w:pPr>
        <w:autoSpaceDE w:val="0"/>
        <w:autoSpaceDN w:val="0"/>
        <w:adjustRightInd w:val="0"/>
        <w:spacing w:before="94" w:line="360" w:lineRule="auto"/>
        <w:ind w:right="165"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2.1 </w:t>
      </w:r>
      <w:r>
        <w:rPr>
          <w:rFonts w:hint="eastAsia" w:ascii="宋体" w:hAnsi="宋体" w:eastAsia="宋体" w:cs="Times New Roman"/>
          <w:kern w:val="0"/>
          <w:szCs w:val="21"/>
          <w:highlight w:val="none"/>
        </w:rPr>
        <w:t>质量保修期从合同工程实际竣工之日算起。单项竣工验收的工程，按单项工程分别计算质量保修期。</w:t>
      </w:r>
    </w:p>
    <w:p>
      <w:pPr>
        <w:autoSpaceDE w:val="0"/>
        <w:autoSpaceDN w:val="0"/>
        <w:adjustRightInd w:val="0"/>
        <w:spacing w:before="52"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2.2 </w:t>
      </w:r>
      <w:r>
        <w:rPr>
          <w:rFonts w:hint="eastAsia" w:ascii="宋体" w:hAnsi="宋体" w:eastAsia="宋体" w:cs="Times New Roman"/>
          <w:kern w:val="0"/>
          <w:szCs w:val="21"/>
          <w:highlight w:val="none"/>
        </w:rPr>
        <w:t>合同工程质量保修期，合同双方当事人约定如下：</w:t>
      </w:r>
    </w:p>
    <w:p>
      <w:pPr>
        <w:autoSpaceDE w:val="0"/>
        <w:autoSpaceDN w:val="0"/>
        <w:adjustRightInd w:val="0"/>
        <w:spacing w:before="94" w:line="360" w:lineRule="auto"/>
        <w:ind w:left="581"/>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地基基础工程、主体结构工程为设计文件规定的合理使用年限；</w:t>
      </w:r>
    </w:p>
    <w:p>
      <w:pPr>
        <w:autoSpaceDE w:val="0"/>
        <w:autoSpaceDN w:val="0"/>
        <w:adjustRightInd w:val="0"/>
        <w:spacing w:before="94"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3. </w:t>
      </w:r>
      <w:r>
        <w:rPr>
          <w:rFonts w:hint="eastAsia" w:ascii="宋体" w:hAnsi="宋体" w:eastAsia="宋体" w:cs="Times New Roman"/>
          <w:kern w:val="0"/>
          <w:szCs w:val="21"/>
          <w:highlight w:val="none"/>
        </w:rPr>
        <w:t>质量保修责任</w:t>
      </w:r>
    </w:p>
    <w:p>
      <w:pPr>
        <w:autoSpaceDE w:val="0"/>
        <w:autoSpaceDN w:val="0"/>
        <w:adjustRightInd w:val="0"/>
        <w:spacing w:before="94" w:line="360" w:lineRule="auto"/>
        <w:ind w:left="101" w:leftChars="48" w:right="166"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3.1属于保修范围的项目，承包人应在接到发包人通知后的24小时内派人保修（紧急情况下需及时到位。承包人未能在规定时间内派人保修的，发包人可自行或委托第三方保修。</w:t>
      </w:r>
    </w:p>
    <w:p>
      <w:pPr>
        <w:autoSpaceDE w:val="0"/>
        <w:autoSpaceDN w:val="0"/>
        <w:adjustRightInd w:val="0"/>
        <w:spacing w:before="51" w:line="360" w:lineRule="auto"/>
        <w:ind w:firstLine="525" w:firstLineChars="250"/>
        <w:jc w:val="left"/>
        <w:rPr>
          <w:rFonts w:ascii="宋体" w:hAnsi="宋体" w:eastAsia="宋体" w:cs="Times New Roman"/>
          <w:kern w:val="0"/>
          <w:szCs w:val="21"/>
          <w:highlight w:val="none"/>
        </w:rPr>
      </w:pPr>
      <w:r>
        <w:rPr>
          <w:rFonts w:ascii="宋体" w:hAnsi="宋体" w:eastAsia="宋体" w:cs="Times New Roman"/>
          <w:kern w:val="0"/>
          <w:szCs w:val="21"/>
          <w:highlight w:val="none"/>
        </w:rPr>
        <w:t>3.2发生紧急抢修事故的，承包人在接到通知后，应立即到达事故现场抢修。</w:t>
      </w:r>
    </w:p>
    <w:p>
      <w:pPr>
        <w:autoSpaceDE w:val="0"/>
        <w:autoSpaceDN w:val="0"/>
        <w:adjustRightInd w:val="0"/>
        <w:spacing w:before="94" w:line="360" w:lineRule="auto"/>
        <w:ind w:left="101" w:leftChars="48" w:right="166"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3.3在国家规定的合理使用期限内，承包人应确保地基基础工程和主体结构的质量和安全。凡出现质量问题，应立即报告当地建设行政主管部门，经设计人提出保修方案后，承包人应立即实施保修。</w:t>
      </w:r>
    </w:p>
    <w:p>
      <w:pPr>
        <w:autoSpaceDE w:val="0"/>
        <w:autoSpaceDN w:val="0"/>
        <w:adjustRightInd w:val="0"/>
        <w:spacing w:before="94" w:line="360" w:lineRule="auto"/>
        <w:ind w:right="166"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3.4质量保修完成后，由发包人组织验收。</w:t>
      </w:r>
    </w:p>
    <w:p>
      <w:pPr>
        <w:autoSpaceDE w:val="0"/>
        <w:autoSpaceDN w:val="0"/>
        <w:adjustRightInd w:val="0"/>
        <w:spacing w:before="94"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 xml:space="preserve">4. </w:t>
      </w:r>
      <w:r>
        <w:rPr>
          <w:rFonts w:hint="eastAsia" w:ascii="宋体" w:hAnsi="宋体" w:eastAsia="宋体" w:cs="Times New Roman"/>
          <w:kern w:val="0"/>
          <w:szCs w:val="21"/>
          <w:highlight w:val="none"/>
        </w:rPr>
        <w:t>质量保修费用</w:t>
      </w:r>
    </w:p>
    <w:p>
      <w:pPr>
        <w:autoSpaceDE w:val="0"/>
        <w:autoSpaceDN w:val="0"/>
        <w:adjustRightInd w:val="0"/>
        <w:spacing w:before="94" w:line="360" w:lineRule="auto"/>
        <w:ind w:left="581"/>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质量保修等费用，由责任方承担。</w:t>
      </w:r>
    </w:p>
    <w:p>
      <w:pPr>
        <w:autoSpaceDE w:val="0"/>
        <w:autoSpaceDN w:val="0"/>
        <w:adjustRightInd w:val="0"/>
        <w:spacing w:before="94" w:line="360" w:lineRule="auto"/>
        <w:ind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5．其他</w:t>
      </w:r>
    </w:p>
    <w:p>
      <w:pPr>
        <w:autoSpaceDE w:val="0"/>
        <w:autoSpaceDN w:val="0"/>
        <w:adjustRightInd w:val="0"/>
        <w:spacing w:line="360" w:lineRule="auto"/>
        <w:ind w:left="101" w:leftChars="48" w:right="110"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5.1本质量保修书，由合同双方当事人在承包人向发包人提交竣工验收申请报告时签署，作为本合同的附件。</w:t>
      </w:r>
    </w:p>
    <w:p>
      <w:pPr>
        <w:autoSpaceDE w:val="0"/>
        <w:autoSpaceDN w:val="0"/>
        <w:adjustRightInd w:val="0"/>
        <w:spacing w:line="360" w:lineRule="auto"/>
        <w:ind w:left="101" w:leftChars="48" w:right="110" w:firstLine="420" w:firstLineChars="200"/>
        <w:jc w:val="left"/>
        <w:rPr>
          <w:rFonts w:ascii="宋体" w:hAnsi="宋体" w:eastAsia="宋体" w:cs="Times New Roman"/>
          <w:kern w:val="0"/>
          <w:szCs w:val="21"/>
          <w:highlight w:val="none"/>
        </w:rPr>
      </w:pPr>
      <w:r>
        <w:rPr>
          <w:rFonts w:ascii="宋体" w:hAnsi="宋体" w:eastAsia="宋体" w:cs="Times New Roman"/>
          <w:kern w:val="0"/>
          <w:szCs w:val="21"/>
          <w:highlight w:val="none"/>
        </w:rPr>
        <w:t>5.2本质量保修书，自合同双方当事人签署之日起生效，至质量保修期满后失效。</w:t>
      </w:r>
    </w:p>
    <w:p>
      <w:pPr>
        <w:autoSpaceDE w:val="0"/>
        <w:autoSpaceDN w:val="0"/>
        <w:adjustRightInd w:val="0"/>
        <w:spacing w:line="360" w:lineRule="auto"/>
        <w:ind w:left="101" w:leftChars="48" w:right="110" w:firstLine="420" w:firstLineChars="20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以下无正文</w:t>
      </w:r>
    </w:p>
    <w:p>
      <w:pPr>
        <w:autoSpaceDE w:val="0"/>
        <w:autoSpaceDN w:val="0"/>
        <w:adjustRightInd w:val="0"/>
        <w:spacing w:line="360" w:lineRule="auto"/>
        <w:ind w:left="101" w:right="110" w:firstLine="480"/>
        <w:jc w:val="left"/>
        <w:rPr>
          <w:rFonts w:ascii="宋体" w:hAnsi="宋体" w:eastAsia="宋体" w:cs="Times New Roman"/>
          <w:kern w:val="0"/>
          <w:szCs w:val="21"/>
          <w:highlight w:val="none"/>
        </w:rPr>
      </w:pP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1"/>
        <w:gridCol w:w="4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500" w:type="pct"/>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发包人（盖章）：</w:t>
            </w:r>
          </w:p>
        </w:tc>
        <w:tc>
          <w:tcPr>
            <w:tcW w:w="2500" w:type="pct"/>
            <w:tcBorders>
              <w:top w:val="single" w:color="auto" w:sz="4" w:space="0"/>
              <w:left w:val="nil"/>
              <w:bottom w:val="single" w:color="auto" w:sz="4" w:space="0"/>
              <w:right w:val="single" w:color="auto" w:sz="4" w:space="0"/>
            </w:tcBorders>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承包人（盖章）：</w:t>
            </w:r>
            <w:r>
              <w:rPr>
                <w:rFonts w:ascii="宋体" w:hAnsi="宋体" w:eastAsia="宋体" w:cs="Times New Roman"/>
                <w:kern w:val="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法定代表人：</w:t>
            </w:r>
          </w:p>
        </w:tc>
        <w:tc>
          <w:tcPr>
            <w:tcW w:w="2500" w:type="pct"/>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或委托代理人（签字）：</w:t>
            </w:r>
          </w:p>
        </w:tc>
        <w:tc>
          <w:tcPr>
            <w:tcW w:w="2500" w:type="pct"/>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或委托代理人（签字）：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日期：</w:t>
            </w:r>
            <w:r>
              <w:rPr>
                <w:rFonts w:ascii="宋体" w:hAnsi="宋体" w:eastAsia="宋体" w:cs="Times New Roman"/>
                <w:kern w:val="0"/>
                <w:szCs w:val="21"/>
                <w:highlight w:val="none"/>
              </w:rPr>
              <w:t xml:space="preserve">2024年  </w:t>
            </w:r>
            <w:r>
              <w:rPr>
                <w:rFonts w:hint="eastAsia" w:ascii="宋体" w:hAnsi="宋体" w:eastAsia="宋体" w:cs="Times New Roman"/>
                <w:kern w:val="0"/>
                <w:szCs w:val="21"/>
                <w:highlight w:val="none"/>
              </w:rPr>
              <w:t>月  日</w:t>
            </w:r>
          </w:p>
        </w:tc>
        <w:tc>
          <w:tcPr>
            <w:tcW w:w="2500" w:type="pct"/>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ind w:right="110"/>
              <w:jc w:val="left"/>
              <w:rPr>
                <w:rFonts w:ascii="宋体" w:hAnsi="宋体" w:eastAsia="宋体" w:cs="Times New Roman"/>
                <w:kern w:val="0"/>
                <w:szCs w:val="21"/>
                <w:highlight w:val="none"/>
              </w:rPr>
            </w:pPr>
            <w:r>
              <w:rPr>
                <w:rFonts w:hint="eastAsia" w:ascii="宋体" w:hAnsi="宋体" w:eastAsia="宋体" w:cs="Times New Roman"/>
                <w:kern w:val="0"/>
                <w:szCs w:val="21"/>
                <w:highlight w:val="none"/>
              </w:rPr>
              <w:t>日期：</w:t>
            </w:r>
            <w:r>
              <w:rPr>
                <w:rFonts w:ascii="宋体" w:hAnsi="宋体" w:eastAsia="宋体" w:cs="Times New Roman"/>
                <w:kern w:val="0"/>
                <w:szCs w:val="21"/>
                <w:highlight w:val="none"/>
              </w:rPr>
              <w:t xml:space="preserve">2024年  </w:t>
            </w:r>
            <w:r>
              <w:rPr>
                <w:rFonts w:hint="eastAsia" w:ascii="宋体" w:hAnsi="宋体" w:eastAsia="宋体" w:cs="Times New Roman"/>
                <w:kern w:val="0"/>
                <w:szCs w:val="21"/>
                <w:highlight w:val="none"/>
              </w:rPr>
              <w:t>月  日</w:t>
            </w:r>
          </w:p>
        </w:tc>
      </w:tr>
    </w:tbl>
    <w:p>
      <w:pPr>
        <w:pStyle w:val="2"/>
        <w:ind w:left="0" w:leftChars="0" w:firstLine="0" w:firstLineChars="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pStyle w:val="2"/>
        <w:ind w:left="420" w:firstLine="420"/>
        <w:rPr>
          <w:highlight w:val="none"/>
        </w:rPr>
      </w:pPr>
    </w:p>
    <w:p>
      <w:pPr>
        <w:pStyle w:val="5"/>
        <w:rPr>
          <w:highlight w:val="none"/>
        </w:rPr>
      </w:pPr>
    </w:p>
    <w:p>
      <w:pPr>
        <w:rPr>
          <w:highlight w:val="none"/>
        </w:rPr>
      </w:pPr>
    </w:p>
    <w:p>
      <w:pPr>
        <w:spacing w:line="502" w:lineRule="exact"/>
        <w:ind w:right="220"/>
        <w:jc w:val="center"/>
        <w:outlineLvl w:val="0"/>
        <w:rPr>
          <w:rFonts w:ascii="宋体" w:hAnsi="宋体" w:eastAsia="宋体" w:cs="宋体"/>
          <w:b/>
          <w:kern w:val="44"/>
          <w:sz w:val="44"/>
          <w:szCs w:val="20"/>
          <w:highlight w:val="none"/>
        </w:rPr>
      </w:pPr>
      <w:bookmarkStart w:id="130" w:name="_Toc508788683"/>
      <w:bookmarkStart w:id="131" w:name="_Toc31929"/>
      <w:bookmarkStart w:id="132" w:name="_Toc25173"/>
      <w:bookmarkStart w:id="133" w:name="_Toc7454661"/>
      <w:r>
        <w:rPr>
          <w:rFonts w:hint="eastAsia" w:ascii="宋体" w:hAnsi="宋体" w:eastAsia="宋体" w:cs="宋体"/>
          <w:b/>
          <w:kern w:val="44"/>
          <w:sz w:val="44"/>
          <w:szCs w:val="20"/>
          <w:highlight w:val="none"/>
        </w:rPr>
        <w:t>第二卷</w:t>
      </w:r>
      <w:bookmarkEnd w:id="130"/>
      <w:bookmarkEnd w:id="131"/>
      <w:bookmarkEnd w:id="132"/>
      <w:bookmarkEnd w:id="133"/>
    </w:p>
    <w:p>
      <w:pPr>
        <w:widowControl/>
        <w:spacing w:line="259" w:lineRule="auto"/>
        <w:ind w:right="1604"/>
        <w:jc w:val="right"/>
        <w:rPr>
          <w:rFonts w:ascii="宋体" w:hAnsi="宋体" w:eastAsia="宋体" w:cs="宋体"/>
          <w:sz w:val="22"/>
          <w:highlight w:val="none"/>
        </w:rPr>
      </w:pPr>
      <w:r>
        <w:rPr>
          <w:rFonts w:hint="eastAsia" w:ascii="宋体" w:hAnsi="宋体" w:eastAsia="宋体" w:cs="宋体"/>
          <w:b/>
          <w:sz w:val="44"/>
          <w:highlight w:val="none"/>
        </w:rPr>
        <w:br w:type="page"/>
      </w:r>
    </w:p>
    <w:p>
      <w:pPr>
        <w:spacing w:line="502" w:lineRule="exact"/>
        <w:ind w:right="220"/>
        <w:jc w:val="center"/>
        <w:outlineLvl w:val="0"/>
        <w:rPr>
          <w:rFonts w:ascii="宋体" w:hAnsi="宋体" w:eastAsia="宋体" w:cs="宋体"/>
          <w:b/>
          <w:sz w:val="44"/>
          <w:highlight w:val="none"/>
        </w:rPr>
      </w:pPr>
      <w:bookmarkStart w:id="134" w:name="_Toc7454662"/>
      <w:bookmarkStart w:id="135" w:name="_Toc508788684"/>
      <w:bookmarkStart w:id="136" w:name="_Toc4278"/>
      <w:r>
        <w:rPr>
          <w:rFonts w:hint="eastAsia" w:ascii="宋体" w:hAnsi="宋体" w:eastAsia="宋体" w:cs="宋体"/>
          <w:b/>
          <w:sz w:val="44"/>
          <w:highlight w:val="none"/>
        </w:rPr>
        <w:t>第五章</w:t>
      </w:r>
      <w:bookmarkEnd w:id="134"/>
      <w:bookmarkEnd w:id="135"/>
      <w:r>
        <w:rPr>
          <w:rFonts w:hint="eastAsia" w:ascii="宋体" w:hAnsi="宋体" w:eastAsia="宋体" w:cs="宋体"/>
          <w:b/>
          <w:sz w:val="44"/>
          <w:highlight w:val="none"/>
        </w:rPr>
        <w:t xml:space="preserve"> 供货要求</w:t>
      </w:r>
      <w:bookmarkEnd w:id="136"/>
    </w:p>
    <w:p>
      <w:pPr>
        <w:widowControl/>
        <w:spacing w:line="360" w:lineRule="auto"/>
        <w:jc w:val="left"/>
        <w:rPr>
          <w:rFonts w:ascii="宋体" w:hAnsi="宋体" w:eastAsia="宋体" w:cs="宋体"/>
          <w:sz w:val="24"/>
          <w:szCs w:val="24"/>
          <w:highlight w:val="none"/>
        </w:rPr>
      </w:pPr>
      <w:bookmarkStart w:id="137" w:name="_Toc7454663"/>
    </w:p>
    <w:bookmarkEnd w:id="137"/>
    <w:p>
      <w:pPr>
        <w:ind w:right="168"/>
        <w:jc w:val="center"/>
        <w:rPr>
          <w:rFonts w:ascii="宋体" w:hAnsi="宋体" w:eastAsia="宋体"/>
          <w:b/>
          <w:sz w:val="32"/>
          <w:szCs w:val="32"/>
          <w:highlight w:val="none"/>
        </w:rPr>
      </w:pPr>
      <w:r>
        <w:rPr>
          <w:rFonts w:hint="eastAsia" w:ascii="宋体" w:hAnsi="宋体" w:eastAsia="宋体"/>
          <w:b/>
          <w:sz w:val="32"/>
          <w:szCs w:val="32"/>
          <w:highlight w:val="none"/>
        </w:rPr>
        <w:t>中国大酒店1、2、5、6号电梯采购及相关服务项目需求书</w:t>
      </w:r>
    </w:p>
    <w:p>
      <w:pPr>
        <w:ind w:right="168"/>
        <w:rPr>
          <w:rFonts w:ascii="宋体" w:hAnsi="宋体" w:eastAsia="宋体"/>
          <w:b/>
          <w:sz w:val="32"/>
          <w:szCs w:val="32"/>
          <w:highlight w:val="none"/>
        </w:rPr>
      </w:pPr>
      <w:r>
        <w:rPr>
          <w:rFonts w:ascii="宋体" w:hAnsi="宋体" w:eastAsia="宋体"/>
          <w:b/>
          <w:sz w:val="32"/>
          <w:szCs w:val="32"/>
          <w:highlight w:val="none"/>
        </w:rPr>
        <w:drawing>
          <wp:inline distT="0" distB="0" distL="0" distR="0">
            <wp:extent cx="5667375" cy="7734300"/>
            <wp:effectExtent l="0" t="0" r="9525" b="0"/>
            <wp:docPr id="5" name="图片 5" descr="L:\Purchasing\Peter  Yang\工程\1、2、5、6号电梯采购及相关服务\需求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Purchasing\Peter  Yang\工程\1、2、5、6号电梯采购及相关服务\需求书.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70478" cy="7738535"/>
                    </a:xfrm>
                    <a:prstGeom prst="rect">
                      <a:avLst/>
                    </a:prstGeom>
                    <a:noFill/>
                    <a:ln>
                      <a:noFill/>
                    </a:ln>
                  </pic:spPr>
                </pic:pic>
              </a:graphicData>
            </a:graphic>
          </wp:inline>
        </w:drawing>
      </w:r>
    </w:p>
    <w:p>
      <w:pPr>
        <w:pStyle w:val="2"/>
        <w:ind w:left="0" w:leftChars="0" w:firstLine="0" w:firstLineChars="0"/>
        <w:rPr>
          <w:highlight w:val="none"/>
        </w:rPr>
      </w:pPr>
      <w:r>
        <w:rPr>
          <w:highlight w:val="none"/>
        </w:rPr>
        <w:drawing>
          <wp:inline distT="0" distB="0" distL="0" distR="0">
            <wp:extent cx="5667375" cy="8763000"/>
            <wp:effectExtent l="0" t="0" r="9525" b="0"/>
            <wp:docPr id="9" name="图片 9" descr="L:\Purchasing\Peter  Yang\工程\1、2、5、6号电梯采购及相关服务\需求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Purchasing\Peter  Yang\工程\1、2、5、6号电梯采购及相关服务\需求书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78867" cy="8780005"/>
                    </a:xfrm>
                    <a:prstGeom prst="rect">
                      <a:avLst/>
                    </a:prstGeom>
                    <a:noFill/>
                    <a:ln>
                      <a:noFill/>
                    </a:ln>
                  </pic:spPr>
                </pic:pic>
              </a:graphicData>
            </a:graphic>
          </wp:inline>
        </w:drawing>
      </w:r>
    </w:p>
    <w:p>
      <w:pPr>
        <w:pStyle w:val="5"/>
        <w:rPr>
          <w:highlight w:val="none"/>
        </w:rPr>
      </w:pPr>
      <w:r>
        <w:rPr>
          <w:highlight w:val="none"/>
        </w:rPr>
        <w:drawing>
          <wp:inline distT="0" distB="0" distL="0" distR="0">
            <wp:extent cx="5667375" cy="8753475"/>
            <wp:effectExtent l="0" t="0" r="9525" b="0"/>
            <wp:docPr id="10" name="图片 10" descr="L:\Purchasing\Peter  Yang\工程\1、2、5、6号电梯采购及相关服务\需求书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Purchasing\Peter  Yang\工程\1、2、5、6号电梯采购及相关服务\需求书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72447" cy="8760547"/>
                    </a:xfrm>
                    <a:prstGeom prst="rect">
                      <a:avLst/>
                    </a:prstGeom>
                    <a:noFill/>
                    <a:ln>
                      <a:noFill/>
                    </a:ln>
                  </pic:spPr>
                </pic:pic>
              </a:graphicData>
            </a:graphic>
          </wp:inline>
        </w:drawing>
      </w:r>
    </w:p>
    <w:p>
      <w:pPr>
        <w:rPr>
          <w:highlight w:val="none"/>
        </w:rPr>
      </w:pPr>
      <w:r>
        <w:rPr>
          <w:highlight w:val="none"/>
        </w:rPr>
        <w:drawing>
          <wp:inline distT="0" distB="0" distL="0" distR="0">
            <wp:extent cx="5667375" cy="8772525"/>
            <wp:effectExtent l="0" t="0" r="9525" b="0"/>
            <wp:docPr id="11" name="图片 11" descr="L:\Purchasing\Peter  Yang\工程\1、2、5、6号电梯采购及相关服务\需求书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Purchasing\Peter  Yang\工程\1、2、5、6号电梯采购及相关服务\需求书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73433" cy="8781139"/>
                    </a:xfrm>
                    <a:prstGeom prst="rect">
                      <a:avLst/>
                    </a:prstGeom>
                    <a:noFill/>
                    <a:ln>
                      <a:noFill/>
                    </a:ln>
                  </pic:spPr>
                </pic:pic>
              </a:graphicData>
            </a:graphic>
          </wp:inline>
        </w:drawing>
      </w:r>
    </w:p>
    <w:p>
      <w:pPr>
        <w:pStyle w:val="2"/>
        <w:ind w:left="0" w:leftChars="0" w:firstLine="0" w:firstLineChars="0"/>
        <w:rPr>
          <w:highlight w:val="none"/>
        </w:rPr>
      </w:pPr>
      <w:r>
        <w:rPr>
          <w:highlight w:val="none"/>
        </w:rPr>
        <w:drawing>
          <wp:inline distT="0" distB="0" distL="0" distR="0">
            <wp:extent cx="5667375" cy="8763000"/>
            <wp:effectExtent l="0" t="0" r="9525" b="0"/>
            <wp:docPr id="12" name="图片 12" descr="L:\Purchasing\Peter  Yang\工程\1、2、5、6号电梯采购及相关服务\需求书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Purchasing\Peter  Yang\工程\1、2、5、6号电梯采购及相关服务\需求书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74421" cy="8773131"/>
                    </a:xfrm>
                    <a:prstGeom prst="rect">
                      <a:avLst/>
                    </a:prstGeom>
                    <a:noFill/>
                    <a:ln>
                      <a:noFill/>
                    </a:ln>
                  </pic:spPr>
                </pic:pic>
              </a:graphicData>
            </a:graphic>
          </wp:inline>
        </w:drawing>
      </w:r>
    </w:p>
    <w:p>
      <w:pPr>
        <w:pStyle w:val="5"/>
        <w:rPr>
          <w:highlight w:val="none"/>
        </w:rPr>
      </w:pPr>
      <w:r>
        <w:rPr>
          <w:highlight w:val="none"/>
        </w:rPr>
        <w:drawing>
          <wp:inline distT="0" distB="0" distL="0" distR="0">
            <wp:extent cx="5667375" cy="8772525"/>
            <wp:effectExtent l="0" t="0" r="9525" b="0"/>
            <wp:docPr id="13" name="图片 13" descr="L:\Purchasing\Peter  Yang\工程\1、2、5、6号电梯采购及相关服务\需求书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Purchasing\Peter  Yang\工程\1、2、5、6号电梯采购及相关服务\需求书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73927" cy="8781902"/>
                    </a:xfrm>
                    <a:prstGeom prst="rect">
                      <a:avLst/>
                    </a:prstGeom>
                    <a:noFill/>
                    <a:ln>
                      <a:noFill/>
                    </a:ln>
                  </pic:spPr>
                </pic:pic>
              </a:graphicData>
            </a:graphic>
          </wp:inline>
        </w:drawing>
      </w:r>
    </w:p>
    <w:p>
      <w:pPr>
        <w:rPr>
          <w:highlight w:val="none"/>
        </w:rPr>
      </w:pPr>
      <w:r>
        <w:rPr>
          <w:highlight w:val="none"/>
        </w:rPr>
        <w:drawing>
          <wp:inline distT="0" distB="0" distL="0" distR="0">
            <wp:extent cx="5667375" cy="8734425"/>
            <wp:effectExtent l="0" t="0" r="9525" b="0"/>
            <wp:docPr id="14" name="图片 14" descr="L:\Purchasing\Peter  Yang\工程\1、2、5、6号电梯采购及相关服务\需求书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Purchasing\Peter  Yang\工程\1、2、5、6号电梯采购及相关服务\需求书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72940" cy="8742242"/>
                    </a:xfrm>
                    <a:prstGeom prst="rect">
                      <a:avLst/>
                    </a:prstGeom>
                    <a:noFill/>
                    <a:ln>
                      <a:noFill/>
                    </a:ln>
                  </pic:spPr>
                </pic:pic>
              </a:graphicData>
            </a:graphic>
          </wp:inline>
        </w:drawing>
      </w:r>
    </w:p>
    <w:p>
      <w:pPr>
        <w:pStyle w:val="2"/>
        <w:ind w:left="0" w:leftChars="0" w:firstLine="0" w:firstLineChars="0"/>
        <w:rPr>
          <w:highlight w:val="none"/>
        </w:rPr>
      </w:pPr>
      <w:r>
        <w:rPr>
          <w:highlight w:val="none"/>
        </w:rPr>
        <w:drawing>
          <wp:inline distT="0" distB="0" distL="0" distR="0">
            <wp:extent cx="5667375" cy="8772525"/>
            <wp:effectExtent l="0" t="0" r="9525" b="0"/>
            <wp:docPr id="15" name="图片 15" descr="L:\Purchasing\Peter  Yang\工程\1、2、5、6号电梯采购及相关服务\需求书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Purchasing\Peter  Yang\工程\1、2、5、6号电梯采购及相关服务\需求书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74421" cy="8782667"/>
                    </a:xfrm>
                    <a:prstGeom prst="rect">
                      <a:avLst/>
                    </a:prstGeom>
                    <a:noFill/>
                    <a:ln>
                      <a:noFill/>
                    </a:ln>
                  </pic:spPr>
                </pic:pic>
              </a:graphicData>
            </a:graphic>
          </wp:inline>
        </w:drawing>
      </w:r>
    </w:p>
    <w:p>
      <w:pPr>
        <w:pStyle w:val="5"/>
        <w:rPr>
          <w:highlight w:val="none"/>
        </w:rPr>
      </w:pPr>
      <w:r>
        <w:rPr>
          <w:highlight w:val="none"/>
        </w:rPr>
        <w:drawing>
          <wp:inline distT="0" distB="0" distL="0" distR="0">
            <wp:extent cx="5667375" cy="8743950"/>
            <wp:effectExtent l="0" t="0" r="9525" b="0"/>
            <wp:docPr id="16" name="图片 16" descr="L:\Purchasing\Peter  Yang\工程\1、2、5、6号电梯采购及相关服务\需求书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Purchasing\Peter  Yang\工程\1、2、5、6号电梯采购及相关服务\需求书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71954" cy="8750254"/>
                    </a:xfrm>
                    <a:prstGeom prst="rect">
                      <a:avLst/>
                    </a:prstGeom>
                    <a:noFill/>
                    <a:ln>
                      <a:noFill/>
                    </a:ln>
                  </pic:spPr>
                </pic:pic>
              </a:graphicData>
            </a:graphic>
          </wp:inline>
        </w:drawing>
      </w:r>
    </w:p>
    <w:p>
      <w:pPr>
        <w:rPr>
          <w:highlight w:val="none"/>
        </w:rPr>
      </w:pPr>
      <w:r>
        <w:rPr>
          <w:highlight w:val="none"/>
        </w:rPr>
        <w:drawing>
          <wp:inline distT="0" distB="0" distL="0" distR="0">
            <wp:extent cx="5667375" cy="8724900"/>
            <wp:effectExtent l="0" t="0" r="9525" b="0"/>
            <wp:docPr id="17" name="图片 17" descr="L:\Purchasing\Peter  Yang\工程\1、2、5、6号电梯采购及相关服务\需求书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Purchasing\Peter  Yang\工程\1、2、5、6号电梯采购及相关服务\需求书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71461" cy="8730431"/>
                    </a:xfrm>
                    <a:prstGeom prst="rect">
                      <a:avLst/>
                    </a:prstGeom>
                    <a:noFill/>
                    <a:ln>
                      <a:noFill/>
                    </a:ln>
                  </pic:spPr>
                </pic:pic>
              </a:graphicData>
            </a:graphic>
          </wp:inline>
        </w:drawing>
      </w:r>
    </w:p>
    <w:p>
      <w:pPr>
        <w:pStyle w:val="2"/>
        <w:ind w:left="0" w:leftChars="0" w:firstLine="0" w:firstLineChars="0"/>
        <w:rPr>
          <w:highlight w:val="none"/>
        </w:rPr>
      </w:pPr>
      <w:r>
        <w:rPr>
          <w:highlight w:val="none"/>
        </w:rPr>
        <w:drawing>
          <wp:inline distT="0" distB="0" distL="0" distR="0">
            <wp:extent cx="5667375" cy="8753475"/>
            <wp:effectExtent l="0" t="0" r="9525" b="0"/>
            <wp:docPr id="18" name="图片 18" descr="L:\Purchasing\Peter  Yang\工程\1、2、5、6号电梯采购及相关服务\需求书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Purchasing\Peter  Yang\工程\1、2、5、6号电梯采购及相关服务\需求书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674421" cy="8763595"/>
                    </a:xfrm>
                    <a:prstGeom prst="rect">
                      <a:avLst/>
                    </a:prstGeom>
                    <a:noFill/>
                    <a:ln>
                      <a:noFill/>
                    </a:ln>
                  </pic:spPr>
                </pic:pic>
              </a:graphicData>
            </a:graphic>
          </wp:inline>
        </w:drawing>
      </w:r>
    </w:p>
    <w:p>
      <w:pPr>
        <w:keepNext/>
        <w:keepLines/>
        <w:jc w:val="center"/>
        <w:outlineLvl w:val="0"/>
        <w:rPr>
          <w:rFonts w:ascii="宋体" w:hAnsi="宋体" w:eastAsia="宋体" w:cs="宋体"/>
          <w:b/>
          <w:kern w:val="44"/>
          <w:sz w:val="22"/>
          <w:szCs w:val="20"/>
          <w:highlight w:val="none"/>
        </w:rPr>
      </w:pPr>
      <w:bookmarkStart w:id="138" w:name="_Toc8315"/>
      <w:bookmarkStart w:id="139" w:name="_Toc7454664"/>
      <w:bookmarkStart w:id="140" w:name="_Toc508788695"/>
      <w:bookmarkStart w:id="141" w:name="_Toc13167"/>
      <w:r>
        <w:rPr>
          <w:rFonts w:hint="eastAsia" w:ascii="宋体" w:hAnsi="宋体" w:eastAsia="宋体" w:cs="宋体"/>
          <w:kern w:val="44"/>
          <w:sz w:val="44"/>
          <w:szCs w:val="20"/>
          <w:highlight w:val="none"/>
        </w:rPr>
        <w:t>第三卷</w:t>
      </w:r>
      <w:bookmarkEnd w:id="138"/>
      <w:bookmarkEnd w:id="139"/>
      <w:bookmarkEnd w:id="140"/>
      <w:r>
        <w:rPr>
          <w:rFonts w:hint="eastAsia" w:ascii="宋体" w:hAnsi="宋体" w:eastAsia="宋体" w:cs="宋体"/>
          <w:kern w:val="44"/>
          <w:sz w:val="44"/>
          <w:szCs w:val="20"/>
          <w:highlight w:val="none"/>
        </w:rPr>
        <w:br w:type="page"/>
      </w:r>
      <w:bookmarkEnd w:id="141"/>
    </w:p>
    <w:p>
      <w:pPr>
        <w:spacing w:line="502" w:lineRule="exact"/>
        <w:ind w:right="220"/>
        <w:jc w:val="center"/>
        <w:outlineLvl w:val="0"/>
        <w:rPr>
          <w:rFonts w:ascii="宋体" w:hAnsi="宋体" w:eastAsia="宋体" w:cs="宋体"/>
          <w:b/>
          <w:sz w:val="44"/>
          <w:highlight w:val="none"/>
        </w:rPr>
      </w:pPr>
      <w:bookmarkStart w:id="142" w:name="_Toc7454665"/>
      <w:bookmarkStart w:id="143" w:name="_Toc508788696"/>
      <w:bookmarkStart w:id="144" w:name="_Toc27812"/>
      <w:r>
        <w:rPr>
          <w:rFonts w:hint="eastAsia" w:ascii="宋体" w:hAnsi="宋体" w:eastAsia="宋体" w:cs="宋体"/>
          <w:b/>
          <w:sz w:val="44"/>
          <w:highlight w:val="none"/>
        </w:rPr>
        <w:t>第六章 投标文件格式</w:t>
      </w:r>
      <w:bookmarkEnd w:id="142"/>
      <w:bookmarkEnd w:id="143"/>
      <w:bookmarkEnd w:id="144"/>
    </w:p>
    <w:p>
      <w:pPr>
        <w:spacing w:line="360" w:lineRule="auto"/>
        <w:jc w:val="center"/>
        <w:rPr>
          <w:rFonts w:ascii="宋体" w:hAnsi="宋体" w:eastAsia="宋体" w:cs="宋体"/>
          <w:sz w:val="20"/>
          <w:highlight w:val="none"/>
          <w:u w:val="single"/>
        </w:rPr>
      </w:pPr>
      <w:r>
        <w:rPr>
          <w:rFonts w:hint="eastAsia" w:ascii="宋体" w:hAnsi="宋体" w:eastAsia="宋体" w:cs="宋体"/>
          <w:sz w:val="22"/>
          <w:highlight w:val="none"/>
        </w:rPr>
        <w:br w:type="page"/>
      </w:r>
      <w:r>
        <w:rPr>
          <w:rFonts w:hint="eastAsia" w:ascii="宋体" w:hAnsi="宋体" w:eastAsia="宋体" w:cs="宋体"/>
          <w:sz w:val="36"/>
          <w:highlight w:val="none"/>
          <w:u w:val="single"/>
        </w:rPr>
        <w:t>（招标项目名称）</w:t>
      </w:r>
    </w:p>
    <w:p>
      <w:pPr>
        <w:spacing w:line="360" w:lineRule="auto"/>
        <w:jc w:val="center"/>
        <w:rPr>
          <w:rFonts w:ascii="宋体" w:hAnsi="宋体" w:eastAsia="宋体" w:cs="宋体"/>
          <w:sz w:val="22"/>
          <w:highlight w:val="none"/>
        </w:rPr>
      </w:pPr>
    </w:p>
    <w:p>
      <w:pPr>
        <w:widowControl/>
        <w:spacing w:line="360" w:lineRule="auto"/>
        <w:jc w:val="center"/>
        <w:rPr>
          <w:rFonts w:ascii="宋体" w:hAnsi="宋体" w:eastAsia="宋体" w:cs="宋体"/>
          <w:sz w:val="44"/>
          <w:highlight w:val="none"/>
        </w:rPr>
      </w:pPr>
      <w:r>
        <w:rPr>
          <w:rFonts w:hint="eastAsia" w:ascii="宋体" w:hAnsi="宋体" w:eastAsia="宋体" w:cs="宋体"/>
          <w:sz w:val="44"/>
          <w:highlight w:val="none"/>
        </w:rPr>
        <w:t>投标文件</w:t>
      </w: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44"/>
          <w:highlight w:val="none"/>
        </w:rPr>
      </w:pPr>
    </w:p>
    <w:p>
      <w:pPr>
        <w:widowControl/>
        <w:spacing w:line="360" w:lineRule="auto"/>
        <w:jc w:val="center"/>
        <w:rPr>
          <w:rFonts w:ascii="宋体" w:hAnsi="宋体" w:eastAsia="宋体" w:cs="宋体"/>
          <w:sz w:val="22"/>
          <w:highlight w:val="none"/>
        </w:rPr>
      </w:pPr>
    </w:p>
    <w:p>
      <w:pPr>
        <w:widowControl/>
        <w:spacing w:line="360" w:lineRule="auto"/>
        <w:ind w:hanging="10"/>
        <w:jc w:val="left"/>
        <w:rPr>
          <w:rFonts w:ascii="宋体" w:hAnsi="宋体" w:eastAsia="宋体" w:cs="宋体"/>
          <w:sz w:val="28"/>
          <w:highlight w:val="none"/>
        </w:rPr>
      </w:pPr>
      <w:r>
        <w:rPr>
          <w:rFonts w:hint="eastAsia" w:ascii="宋体" w:hAnsi="宋体" w:eastAsia="宋体" w:cs="宋体"/>
          <w:sz w:val="28"/>
          <w:highlight w:val="none"/>
        </w:rPr>
        <w:t>投标人：（盖单位章）</w:t>
      </w:r>
    </w:p>
    <w:p>
      <w:pPr>
        <w:widowControl/>
        <w:spacing w:line="360" w:lineRule="auto"/>
        <w:ind w:hanging="10"/>
        <w:jc w:val="left"/>
        <w:rPr>
          <w:rFonts w:ascii="宋体" w:hAnsi="宋体" w:eastAsia="宋体" w:cs="宋体"/>
          <w:sz w:val="22"/>
          <w:highlight w:val="none"/>
        </w:rPr>
      </w:pPr>
      <w:r>
        <w:rPr>
          <w:rFonts w:hint="eastAsia" w:ascii="宋体" w:hAnsi="宋体" w:eastAsia="宋体" w:cs="宋体"/>
          <w:sz w:val="28"/>
          <w:highlight w:val="none"/>
        </w:rPr>
        <w:t>法定代表人（单位负责人）或其委托代理人：（签字或盖章）</w:t>
      </w:r>
    </w:p>
    <w:p>
      <w:pPr>
        <w:widowControl/>
        <w:tabs>
          <w:tab w:val="center" w:pos="4320"/>
          <w:tab w:val="center" w:pos="8723"/>
        </w:tabs>
        <w:spacing w:line="360" w:lineRule="auto"/>
        <w:jc w:val="center"/>
        <w:rPr>
          <w:rFonts w:ascii="宋体" w:hAnsi="宋体" w:eastAsia="宋体" w:cs="宋体"/>
          <w:highlight w:val="none"/>
        </w:rPr>
      </w:pPr>
      <w:r>
        <w:rPr>
          <w:rFonts w:hint="eastAsia" w:ascii="宋体" w:hAnsi="宋体" w:eastAsia="宋体" w:cs="宋体"/>
          <w:sz w:val="28"/>
          <w:highlight w:val="none"/>
        </w:rPr>
        <w:t>年    月    日</w:t>
      </w:r>
    </w:p>
    <w:p>
      <w:pPr>
        <w:widowControl/>
        <w:tabs>
          <w:tab w:val="center" w:pos="4320"/>
          <w:tab w:val="center" w:pos="8723"/>
        </w:tabs>
        <w:spacing w:after="127" w:line="259" w:lineRule="auto"/>
        <w:jc w:val="left"/>
        <w:rPr>
          <w:rFonts w:ascii="宋体" w:hAnsi="宋体" w:eastAsia="宋体" w:cs="宋体"/>
          <w:sz w:val="22"/>
          <w:highlight w:val="none"/>
        </w:rPr>
      </w:pPr>
      <w:r>
        <w:rPr>
          <w:rFonts w:hint="eastAsia" w:ascii="宋体" w:hAnsi="宋体" w:eastAsia="宋体" w:cs="宋体"/>
          <w:highlight w:val="none"/>
        </w:rPr>
        <w:br w:type="page"/>
      </w:r>
    </w:p>
    <w:p>
      <w:pPr>
        <w:keepNext/>
        <w:keepLines/>
        <w:widowControl/>
        <w:spacing w:line="360" w:lineRule="auto"/>
        <w:jc w:val="center"/>
        <w:rPr>
          <w:rFonts w:ascii="宋体" w:hAnsi="宋体" w:eastAsia="宋体" w:cs="宋体"/>
          <w:kern w:val="0"/>
          <w:sz w:val="32"/>
          <w:szCs w:val="20"/>
          <w:highlight w:val="none"/>
        </w:rPr>
      </w:pPr>
      <w:bookmarkStart w:id="145" w:name="_Toc508788697"/>
      <w:bookmarkStart w:id="146" w:name="_Toc19186"/>
      <w:bookmarkStart w:id="147" w:name="_Toc7454666"/>
      <w:r>
        <w:rPr>
          <w:rFonts w:hint="eastAsia" w:ascii="宋体" w:hAnsi="宋体" w:eastAsia="宋体" w:cs="宋体"/>
          <w:kern w:val="0"/>
          <w:sz w:val="32"/>
          <w:szCs w:val="20"/>
          <w:highlight w:val="none"/>
        </w:rPr>
        <w:t>目录</w:t>
      </w:r>
      <w:bookmarkEnd w:id="145"/>
      <w:bookmarkEnd w:id="146"/>
      <w:bookmarkEnd w:id="147"/>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一、投标函及投标函附录</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二、法定代表人（单位负责人）身份证明（适用于无委托代理人的情况）、授权委托书（适用于有委托代理人的情况）</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三、联合体协议书（本项目不接受联合体投标，不须提供联合体协议书）</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四、投标保证金</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五、商务和技术偏差表</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六、分项报价表</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七、资格审查资料</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八、近年财务状况表</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九、供货业绩情况表</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十、投标人资信证明材料</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十一、投标设备技术性能指标的详细描述</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十二、技术支持资料</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十三、技术服务和质保期服务计划</w:t>
      </w:r>
    </w:p>
    <w:p>
      <w:pPr>
        <w:widowControl/>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十四、其他资料</w:t>
      </w:r>
    </w:p>
    <w:p>
      <w:pPr>
        <w:keepNext/>
        <w:keepLines/>
        <w:widowControl/>
        <w:spacing w:line="360" w:lineRule="auto"/>
        <w:jc w:val="left"/>
        <w:rPr>
          <w:rFonts w:ascii="宋体" w:hAnsi="宋体" w:eastAsia="宋体" w:cs="宋体"/>
          <w:kern w:val="0"/>
          <w:sz w:val="22"/>
          <w:szCs w:val="20"/>
          <w:highlight w:val="none"/>
        </w:rPr>
      </w:pPr>
      <w:bookmarkStart w:id="148" w:name="_Toc508788698"/>
      <w:r>
        <w:rPr>
          <w:rFonts w:hint="eastAsia" w:ascii="宋体" w:hAnsi="宋体" w:eastAsia="宋体" w:cs="宋体"/>
          <w:kern w:val="0"/>
          <w:sz w:val="32"/>
          <w:szCs w:val="20"/>
          <w:highlight w:val="none"/>
        </w:rPr>
        <w:br w:type="page"/>
      </w:r>
      <w:bookmarkStart w:id="149" w:name="_Toc132"/>
      <w:bookmarkStart w:id="150" w:name="_Toc7454667"/>
      <w:r>
        <w:rPr>
          <w:rFonts w:hint="eastAsia" w:ascii="宋体" w:hAnsi="宋体" w:eastAsia="宋体" w:cs="宋体"/>
          <w:kern w:val="0"/>
          <w:sz w:val="32"/>
          <w:szCs w:val="20"/>
          <w:highlight w:val="none"/>
        </w:rPr>
        <w:t>一、投标函及投标函附录</w:t>
      </w:r>
      <w:bookmarkEnd w:id="148"/>
      <w:bookmarkEnd w:id="149"/>
      <w:bookmarkEnd w:id="150"/>
    </w:p>
    <w:p>
      <w:pPr>
        <w:keepNext/>
        <w:keepLines/>
        <w:widowControl/>
        <w:spacing w:line="360" w:lineRule="auto"/>
        <w:ind w:firstLine="480" w:firstLineChars="200"/>
        <w:jc w:val="left"/>
        <w:rPr>
          <w:rFonts w:ascii="宋体" w:hAnsi="宋体" w:eastAsia="宋体" w:cs="宋体"/>
          <w:kern w:val="0"/>
          <w:sz w:val="24"/>
          <w:szCs w:val="24"/>
          <w:highlight w:val="none"/>
        </w:rPr>
      </w:pPr>
      <w:bookmarkStart w:id="151" w:name="_Toc359594235"/>
      <w:bookmarkStart w:id="152" w:name="_Toc370676426"/>
      <w:bookmarkStart w:id="153" w:name="_Toc7454668"/>
      <w:bookmarkStart w:id="154" w:name="_Toc482188651"/>
      <w:bookmarkStart w:id="155" w:name="_Toc391394111"/>
      <w:bookmarkStart w:id="156" w:name="_Toc385943065"/>
      <w:bookmarkStart w:id="157" w:name="_Toc25543"/>
      <w:bookmarkStart w:id="158" w:name="_Toc492300721"/>
      <w:bookmarkStart w:id="159" w:name="_Toc508788699"/>
      <w:r>
        <w:rPr>
          <w:rFonts w:hint="eastAsia" w:ascii="宋体" w:hAnsi="宋体" w:eastAsia="宋体" w:cs="宋体"/>
          <w:kern w:val="0"/>
          <w:sz w:val="24"/>
          <w:szCs w:val="24"/>
          <w:highlight w:val="none"/>
        </w:rPr>
        <w:t>（一）投标函</w:t>
      </w:r>
      <w:bookmarkEnd w:id="151"/>
      <w:bookmarkEnd w:id="152"/>
      <w:bookmarkEnd w:id="153"/>
      <w:bookmarkEnd w:id="154"/>
      <w:bookmarkEnd w:id="155"/>
      <w:bookmarkEnd w:id="156"/>
      <w:bookmarkEnd w:id="157"/>
      <w:bookmarkEnd w:id="158"/>
    </w:p>
    <w:p>
      <w:pPr>
        <w:widowControl/>
        <w:spacing w:line="360" w:lineRule="auto"/>
        <w:jc w:val="left"/>
        <w:rPr>
          <w:rFonts w:ascii="宋体" w:hAnsi="宋体" w:eastAsia="宋体" w:cs="宋体"/>
          <w:sz w:val="24"/>
          <w:szCs w:val="24"/>
          <w:highlight w:val="none"/>
          <w:u w:val="single"/>
        </w:rPr>
      </w:pPr>
      <w:r>
        <w:rPr>
          <w:rFonts w:hint="eastAsia" w:ascii="宋体" w:hAnsi="宋体" w:eastAsia="宋体" w:cs="宋体"/>
          <w:sz w:val="24"/>
          <w:szCs w:val="24"/>
          <w:highlight w:val="none"/>
          <w:u w:val="single"/>
        </w:rPr>
        <w:t>（招标人名称）：</w:t>
      </w:r>
    </w:p>
    <w:p>
      <w:pPr>
        <w:spacing w:line="360" w:lineRule="auto"/>
        <w:rPr>
          <w:rFonts w:ascii="宋体" w:hAnsi="宋体" w:eastAsia="宋体" w:cs="Times New Roman"/>
          <w:sz w:val="24"/>
          <w:szCs w:val="28"/>
          <w:highlight w:val="none"/>
        </w:rPr>
      </w:pPr>
      <w:r>
        <w:rPr>
          <w:rFonts w:ascii="Times New Roman" w:hAnsi="Times New Roman" w:eastAsia="宋体" w:cs="Times New Roman"/>
          <w:szCs w:val="20"/>
          <w:highlight w:val="none"/>
        </w:rPr>
        <mc:AlternateContent>
          <mc:Choice Requires="wps">
            <w:drawing>
              <wp:anchor distT="0" distB="0" distL="114300" distR="114300" simplePos="0" relativeHeight="251663360" behindDoc="0" locked="0" layoutInCell="1" allowOverlap="1">
                <wp:simplePos x="0" y="0"/>
                <wp:positionH relativeFrom="column">
                  <wp:posOffset>4410075</wp:posOffset>
                </wp:positionH>
                <wp:positionV relativeFrom="paragraph">
                  <wp:posOffset>340360</wp:posOffset>
                </wp:positionV>
                <wp:extent cx="360045" cy="159385"/>
                <wp:effectExtent l="0" t="0" r="1905" b="0"/>
                <wp:wrapNone/>
                <wp:docPr id="20" name="Rectangle 5"/>
                <wp:cNvGraphicFramePr/>
                <a:graphic xmlns:a="http://schemas.openxmlformats.org/drawingml/2006/main">
                  <a:graphicData uri="http://schemas.microsoft.com/office/word/2010/wordprocessingShape">
                    <wps:wsp>
                      <wps:cNvSpPr>
                        <a:spLocks noChangeArrowheads="1"/>
                      </wps:cNvSpPr>
                      <wps:spPr bwMode="auto">
                        <a:xfrm>
                          <a:off x="0" y="0"/>
                          <a:ext cx="360045" cy="15938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347.25pt;margin-top:26.8pt;height:12.55pt;width:28.35pt;z-index:251663360;mso-width-relative:page;mso-height-relative:page;" fillcolor="#FFFFFF" filled="t" stroked="t" coordsize="21600,21600" o:gfxdata="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txoi2QAAAAkBAAAPAAAAAAAAAAEAIAAAACIAAABkcnMvZG93bnJldi54bWxQSwECFAAU&#10;AAAACACHTuJA8Of7fCkCAAByBAAADgAAAAAAAAABACAAAAAoAQAAZHJzL2Uyb0RvYy54bWxQSwUG&#10;AAAAAAYABgBZAQAAwwUAAAAA&#10;">
                <v:fill on="t" focussize="0,0"/>
                <v:stroke color="#000000" miterlimit="8" joinstyle="miter"/>
                <v:imagedata o:title=""/>
                <o:lock v:ext="edit" aspectratio="f"/>
              </v:rect>
            </w:pict>
          </mc:Fallback>
        </mc:AlternateContent>
      </w:r>
      <w:r>
        <w:rPr>
          <w:rFonts w:ascii="Times New Roman" w:hAnsi="Times New Roman" w:eastAsia="宋体" w:cs="Times New Roman"/>
          <w:szCs w:val="20"/>
          <w:highlight w:val="none"/>
        </w:rPr>
        <mc:AlternateContent>
          <mc:Choice Requires="wps">
            <w:drawing>
              <wp:anchor distT="0" distB="0" distL="114300" distR="114300" simplePos="0" relativeHeight="251662336" behindDoc="0" locked="0" layoutInCell="1" allowOverlap="1">
                <wp:simplePos x="0" y="0"/>
                <wp:positionH relativeFrom="margin">
                  <wp:posOffset>2795905</wp:posOffset>
                </wp:positionH>
                <wp:positionV relativeFrom="paragraph">
                  <wp:posOffset>349885</wp:posOffset>
                </wp:positionV>
                <wp:extent cx="360045" cy="159385"/>
                <wp:effectExtent l="0" t="0" r="20955" b="12065"/>
                <wp:wrapNone/>
                <wp:docPr id="19" name="Rectangle 5"/>
                <wp:cNvGraphicFramePr/>
                <a:graphic xmlns:a="http://schemas.openxmlformats.org/drawingml/2006/main">
                  <a:graphicData uri="http://schemas.microsoft.com/office/word/2010/wordprocessingShape">
                    <wps:wsp>
                      <wps:cNvSpPr>
                        <a:spLocks noChangeArrowheads="1"/>
                      </wps:cNvSpPr>
                      <wps:spPr bwMode="auto">
                        <a:xfrm>
                          <a:off x="0" y="0"/>
                          <a:ext cx="360045" cy="15938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0.15pt;margin-top:27.55pt;height:12.55pt;width:28.35pt;mso-position-horizontal-relative:margin;z-index:251662336;mso-width-relative:page;mso-height-relative:page;" fillcolor="#FFFFFF" filled="t" stroked="t" coordsize="21600,21600" o:gfxdata="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i2Ke2AAAAAkBAAAPAAAAAAAAAAEAIAAAACIAAABkcnMvZG93bnJldi54bWxQSwECFAAU&#10;AAAACACHTuJAyeEAmCoCAAByBAAADgAAAAAAAAABACAAAAAnAQAAZHJzL2Uyb0RvYy54bWxQSwUG&#10;AAAAAAYABgBZAQAAwwUAAAAA&#10;">
                <v:fill on="t" focussize="0,0"/>
                <v:stroke color="#000000" miterlimit="8" joinstyle="miter"/>
                <v:imagedata o:title=""/>
                <o:lock v:ext="edit" aspectratio="f"/>
              </v:rect>
            </w:pict>
          </mc:Fallback>
        </mc:AlternateContent>
      </w:r>
      <w:r>
        <w:rPr>
          <w:rFonts w:hint="eastAsia" w:ascii="宋体" w:hAnsi="宋体" w:eastAsia="宋体" w:cs="宋体"/>
          <w:sz w:val="24"/>
          <w:szCs w:val="24"/>
          <w:highlight w:val="none"/>
        </w:rPr>
        <w:t>1．我方已仔细研究了</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rPr>
        <w:t>招标文件的全部内容，愿意以不含税人民币（大写：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Times New Roman"/>
          <w:sz w:val="24"/>
          <w:szCs w:val="28"/>
          <w:highlight w:val="none"/>
        </w:rPr>
        <w:t xml:space="preserve">一般纳税人：     </w:t>
      </w:r>
      <w:r>
        <w:rPr>
          <w:rFonts w:ascii="宋体" w:hAnsi="宋体" w:eastAsia="宋体" w:cs="Times New Roman"/>
          <w:sz w:val="24"/>
          <w:szCs w:val="28"/>
          <w:highlight w:val="none"/>
        </w:rPr>
        <w:t xml:space="preserve">   </w:t>
      </w:r>
      <w:r>
        <w:rPr>
          <w:rFonts w:hint="eastAsia" w:ascii="宋体" w:hAnsi="宋体" w:eastAsia="宋体" w:cs="Times New Roman"/>
          <w:sz w:val="24"/>
          <w:szCs w:val="28"/>
          <w:highlight w:val="none"/>
        </w:rPr>
        <w:t xml:space="preserve">小规模纳税人： </w:t>
      </w:r>
      <w:r>
        <w:rPr>
          <w:rFonts w:ascii="宋体" w:hAnsi="宋体" w:eastAsia="宋体" w:cs="Times New Roman"/>
          <w:sz w:val="24"/>
          <w:szCs w:val="28"/>
          <w:highlight w:val="none"/>
        </w:rPr>
        <w:t xml:space="preserve">      </w:t>
      </w:r>
      <w:r>
        <w:rPr>
          <w:rFonts w:hint="eastAsia" w:ascii="宋体" w:hAnsi="宋体" w:eastAsia="宋体" w:cs="Times New Roman"/>
          <w:sz w:val="24"/>
          <w:szCs w:val="24"/>
          <w:highlight w:val="none"/>
        </w:rPr>
        <w:t>增值税专票税率</w:t>
      </w:r>
      <w:r>
        <w:rPr>
          <w:rFonts w:hint="eastAsia" w:ascii="宋体" w:hAnsi="宋体" w:eastAsia="宋体" w:cs="Times New Roman"/>
          <w:sz w:val="24"/>
          <w:szCs w:val="24"/>
          <w:highlight w:val="none"/>
          <w:u w:val="single"/>
        </w:rPr>
        <w:t xml:space="preserve">    </w:t>
      </w:r>
      <w:r>
        <w:rPr>
          <w:rFonts w:hint="eastAsia" w:ascii="宋体" w:hAnsi="宋体" w:eastAsia="宋体" w:cs="Times New Roman"/>
          <w:sz w:val="24"/>
          <w:szCs w:val="24"/>
          <w:highlight w:val="none"/>
        </w:rPr>
        <w:t>%，税额</w:t>
      </w:r>
      <w:r>
        <w:rPr>
          <w:rFonts w:hint="eastAsia" w:ascii="宋体" w:hAnsi="宋体" w:eastAsia="宋体" w:cs="Times New Roman"/>
          <w:sz w:val="24"/>
          <w:szCs w:val="24"/>
          <w:highlight w:val="none"/>
          <w:u w:val="single"/>
        </w:rPr>
        <w:t xml:space="preserve">       </w:t>
      </w:r>
      <w:r>
        <w:rPr>
          <w:rFonts w:hint="eastAsia" w:ascii="宋体" w:hAnsi="宋体" w:eastAsia="宋体" w:cs="Times New Roman"/>
          <w:sz w:val="24"/>
          <w:szCs w:val="24"/>
          <w:highlight w:val="none"/>
        </w:rPr>
        <w:t>元，含税人民币</w:t>
      </w:r>
      <w:r>
        <w:rPr>
          <w:rFonts w:hint="eastAsia" w:ascii="宋体" w:hAnsi="宋体" w:eastAsia="宋体" w:cs="宋体"/>
          <w:sz w:val="24"/>
          <w:szCs w:val="24"/>
          <w:highlight w:val="none"/>
        </w:rPr>
        <w:t>（大写：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）的投标总报价，提供本招标项所有设备及技术服务和质保期服务，并按合同约定履行义务。</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 我方的投标文件包括下列内容：</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（1）投标函及投标函附录；</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（2）法定代表人（单位负责人）身份证明（适用于无委托代理人的情况）、授权委托书（适用于有委托代理人的情况）；</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（3）联合体协议书（本项目不接受联合体投标，不须提供联合体协议书）；</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（4）投标保证金；</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（5）商务和技术偏差表；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（6）分项报价表；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（7）资格审查资料；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（8）近年财务状况表；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（9）供货业绩情况表；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（10）投标人资信证明材料；</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（11）投标设备技术性能指标的详细描述；</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（12）技术支持资料；</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（13）技术服务和质保期服务计划；</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（14）其他资料；</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投标文件的上述组成部分如存在内容不一致的，以投标函为准。</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3．我方承诺除商务和技术偏差表列出的偏差外，我方响应招标文件的全部要求。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4．我方承诺在招标文件规定的投标有效期内不撤销投标文件。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5．如我方中标，我方承诺：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（1）在收到中标通知书后，在中标通知书规定的期限内与你方签订合同；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（2）在签订合同时不向你方提出附加条件；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（3）按照招标文件要求提交履约保证金；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（4）在合同约定的期限内完成合同规定的全部义务。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6．我方在此声明，所递交的投标文件及有关资料内容完整、真实和准确，且不存在第二章“投标人须知”第 1.4.3 项规定的任何一种情形。</w:t>
      </w:r>
    </w:p>
    <w:p>
      <w:pPr>
        <w:widowControl/>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7．</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（其他补充说明）</w:t>
      </w:r>
    </w:p>
    <w:p>
      <w:pPr>
        <w:widowControl/>
        <w:spacing w:line="360" w:lineRule="auto"/>
        <w:ind w:firstLine="480" w:firstLineChars="200"/>
        <w:jc w:val="left"/>
        <w:rPr>
          <w:rFonts w:ascii="宋体" w:hAnsi="宋体" w:eastAsia="宋体" w:cs="宋体"/>
          <w:sz w:val="24"/>
          <w:szCs w:val="24"/>
          <w:highlight w:val="none"/>
        </w:rPr>
      </w:pPr>
      <w:bookmarkStart w:id="160" w:name="_Toc352691659"/>
      <w:bookmarkEnd w:id="160"/>
      <w:bookmarkStart w:id="161" w:name="_Toc16568"/>
      <w:bookmarkEnd w:id="161"/>
      <w:bookmarkStart w:id="162" w:name="_Toc16824"/>
      <w:bookmarkEnd w:id="162"/>
      <w:bookmarkStart w:id="163" w:name="_Toc352691660"/>
      <w:bookmarkEnd w:id="163"/>
      <w:bookmarkStart w:id="164" w:name="_Toc369531696"/>
      <w:bookmarkEnd w:id="164"/>
      <w:bookmarkStart w:id="165" w:name="_Toc369531695"/>
      <w:bookmarkEnd w:id="165"/>
    </w:p>
    <w:p>
      <w:pPr>
        <w:widowControl/>
        <w:spacing w:line="360" w:lineRule="auto"/>
        <w:ind w:firstLine="480" w:firstLineChars="200"/>
        <w:jc w:val="left"/>
        <w:rPr>
          <w:rFonts w:ascii="宋体" w:hAnsi="宋体" w:eastAsia="宋体" w:cs="宋体"/>
          <w:sz w:val="24"/>
          <w:szCs w:val="24"/>
          <w:highlight w:val="none"/>
        </w:rPr>
      </w:pP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（盖单位章）</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法定代表人（单位负责人）或其委托代理人：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rPr>
        <w:t xml:space="preserve">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网址：</w:t>
      </w:r>
      <w:r>
        <w:rPr>
          <w:rFonts w:hint="eastAsia" w:ascii="宋体" w:hAnsi="宋体" w:eastAsia="宋体" w:cs="宋体"/>
          <w:sz w:val="24"/>
          <w:szCs w:val="24"/>
          <w:highlight w:val="none"/>
          <w:u w:val="single"/>
        </w:rPr>
        <w:t xml:space="preserve">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电话：</w:t>
      </w:r>
      <w:r>
        <w:rPr>
          <w:rFonts w:hint="eastAsia" w:ascii="宋体" w:hAnsi="宋体" w:eastAsia="宋体" w:cs="宋体"/>
          <w:sz w:val="24"/>
          <w:szCs w:val="24"/>
          <w:highlight w:val="none"/>
          <w:u w:val="single"/>
        </w:rPr>
        <w:t xml:space="preserve">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传真：</w:t>
      </w:r>
      <w:r>
        <w:rPr>
          <w:rFonts w:hint="eastAsia" w:ascii="宋体" w:hAnsi="宋体" w:eastAsia="宋体" w:cs="宋体"/>
          <w:sz w:val="24"/>
          <w:szCs w:val="24"/>
          <w:highlight w:val="none"/>
          <w:u w:val="single"/>
        </w:rPr>
        <w:t xml:space="preserve">     </w:t>
      </w:r>
    </w:p>
    <w:p>
      <w:pPr>
        <w:widowControl/>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邮政编码：</w:t>
      </w:r>
      <w:r>
        <w:rPr>
          <w:rFonts w:hint="eastAsia" w:ascii="宋体" w:hAnsi="宋体" w:eastAsia="宋体" w:cs="宋体"/>
          <w:sz w:val="24"/>
          <w:szCs w:val="24"/>
          <w:highlight w:val="none"/>
          <w:u w:val="single"/>
        </w:rPr>
        <w:t xml:space="preserve">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bookmarkEnd w:id="159"/>
    </w:p>
    <w:p>
      <w:pPr>
        <w:keepNext/>
        <w:keepLines/>
        <w:widowControl/>
        <w:spacing w:line="360" w:lineRule="auto"/>
        <w:ind w:firstLine="480" w:firstLineChars="200"/>
        <w:jc w:val="left"/>
        <w:rPr>
          <w:rFonts w:ascii="宋体" w:hAnsi="宋体" w:eastAsia="宋体" w:cs="宋体"/>
          <w:kern w:val="0"/>
          <w:sz w:val="24"/>
          <w:szCs w:val="24"/>
          <w:highlight w:val="none"/>
        </w:rPr>
      </w:pPr>
      <w:bookmarkStart w:id="166" w:name="_Toc508788700"/>
      <w:r>
        <w:rPr>
          <w:rFonts w:hint="eastAsia" w:ascii="宋体" w:hAnsi="宋体" w:eastAsia="宋体" w:cs="宋体"/>
          <w:kern w:val="0"/>
          <w:sz w:val="24"/>
          <w:szCs w:val="24"/>
          <w:highlight w:val="none"/>
        </w:rPr>
        <w:br w:type="page"/>
      </w:r>
      <w:bookmarkStart w:id="167" w:name="_Toc7454669"/>
      <w:bookmarkStart w:id="168" w:name="_Toc28358"/>
      <w:r>
        <w:rPr>
          <w:rFonts w:hint="eastAsia" w:ascii="宋体" w:hAnsi="宋体" w:eastAsia="宋体" w:cs="宋体"/>
          <w:kern w:val="0"/>
          <w:sz w:val="24"/>
          <w:szCs w:val="24"/>
          <w:highlight w:val="none"/>
        </w:rPr>
        <w:t>（二）投标函附录</w:t>
      </w:r>
      <w:bookmarkEnd w:id="166"/>
      <w:bookmarkEnd w:id="167"/>
      <w:bookmarkEnd w:id="168"/>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2409"/>
        <w:gridCol w:w="4257"/>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序号</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条款名称</w:t>
            </w:r>
          </w:p>
        </w:tc>
        <w:tc>
          <w:tcPr>
            <w:tcW w:w="42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约定内容</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1</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交货期</w:t>
            </w:r>
          </w:p>
        </w:tc>
        <w:tc>
          <w:tcPr>
            <w:tcW w:w="425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highlight w:val="none"/>
              </w:rPr>
            </w:pPr>
            <w:r>
              <w:rPr>
                <w:rFonts w:hint="eastAsia" w:ascii="宋体" w:hAnsi="宋体" w:eastAsia="宋体" w:cs="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2</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投标内容</w:t>
            </w:r>
          </w:p>
        </w:tc>
        <w:tc>
          <w:tcPr>
            <w:tcW w:w="425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highlight w:val="none"/>
              </w:rPr>
            </w:pPr>
            <w:r>
              <w:rPr>
                <w:rFonts w:hint="eastAsia" w:ascii="宋体" w:hAnsi="宋体" w:eastAsia="宋体" w:cs="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3</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交货地点</w:t>
            </w:r>
          </w:p>
        </w:tc>
        <w:tc>
          <w:tcPr>
            <w:tcW w:w="425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highlight w:val="none"/>
              </w:rPr>
            </w:pPr>
            <w:r>
              <w:rPr>
                <w:rFonts w:hint="eastAsia" w:ascii="宋体" w:hAnsi="宋体" w:eastAsia="宋体" w:cs="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4</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合同价款确定方式</w:t>
            </w:r>
          </w:p>
        </w:tc>
        <w:tc>
          <w:tcPr>
            <w:tcW w:w="425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highlight w:val="none"/>
              </w:rPr>
            </w:pPr>
            <w:r>
              <w:rPr>
                <w:rFonts w:hint="eastAsia" w:ascii="宋体" w:hAnsi="宋体" w:eastAsia="宋体" w:cs="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5</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投标有效期</w:t>
            </w:r>
          </w:p>
        </w:tc>
        <w:tc>
          <w:tcPr>
            <w:tcW w:w="425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highlight w:val="none"/>
              </w:rPr>
            </w:pPr>
            <w:r>
              <w:rPr>
                <w:rFonts w:hint="eastAsia" w:ascii="宋体" w:hAnsi="宋体" w:eastAsia="宋体" w:cs="宋体"/>
                <w:b/>
                <w:highlight w:val="none"/>
              </w:rPr>
              <w:t>按招标文件要求</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6</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r>
              <w:rPr>
                <w:rFonts w:hint="eastAsia" w:ascii="宋体" w:hAnsi="宋体" w:eastAsia="宋体" w:cs="宋体"/>
                <w:b/>
                <w:highlight w:val="none"/>
              </w:rPr>
              <w:t>法 人 营 业</w:t>
            </w:r>
          </w:p>
          <w:p>
            <w:pPr>
              <w:jc w:val="center"/>
              <w:rPr>
                <w:rFonts w:ascii="宋体" w:hAnsi="宋体" w:eastAsia="宋体" w:cs="宋体"/>
                <w:b/>
                <w:highlight w:val="none"/>
              </w:rPr>
            </w:pPr>
            <w:r>
              <w:rPr>
                <w:rFonts w:hint="eastAsia" w:ascii="宋体" w:hAnsi="宋体" w:eastAsia="宋体" w:cs="宋体"/>
                <w:b/>
                <w:highlight w:val="none"/>
              </w:rPr>
              <w:t>执 照 证 号</w:t>
            </w:r>
          </w:p>
        </w:tc>
        <w:tc>
          <w:tcPr>
            <w:tcW w:w="425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
                <w:highlight w:val="none"/>
              </w:rPr>
            </w:pPr>
            <w:r>
              <w:rPr>
                <w:rFonts w:hint="eastAsia" w:ascii="宋体" w:hAnsi="宋体" w:eastAsia="宋体" w:cs="宋体"/>
                <w:b/>
                <w:highlight w:val="none"/>
              </w:rPr>
              <w:t>法 人 营 业</w:t>
            </w:r>
          </w:p>
          <w:p>
            <w:pPr>
              <w:jc w:val="left"/>
              <w:rPr>
                <w:rFonts w:ascii="宋体" w:hAnsi="宋体" w:eastAsia="宋体" w:cs="宋体"/>
                <w:b/>
                <w:highlight w:val="none"/>
              </w:rPr>
            </w:pPr>
            <w:r>
              <w:rPr>
                <w:rFonts w:hint="eastAsia" w:ascii="宋体" w:hAnsi="宋体" w:eastAsia="宋体" w:cs="宋体"/>
                <w:b/>
                <w:highlight w:val="none"/>
              </w:rPr>
              <w:t>执 照 证 号：</w:t>
            </w:r>
          </w:p>
        </w:tc>
        <w:tc>
          <w:tcPr>
            <w:tcW w:w="11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highlight w:val="none"/>
              </w:rPr>
            </w:pPr>
          </w:p>
        </w:tc>
      </w:tr>
    </w:tbl>
    <w:p>
      <w:pPr>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rPr>
        <w:t>投 标 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（盖单位章）</w:t>
      </w:r>
    </w:p>
    <w:p>
      <w:pPr>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rPr>
        <w:t>法定代表人（单位负责人）或其委托代理人：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keepNext/>
        <w:keepLines/>
        <w:widowControl/>
        <w:spacing w:line="360" w:lineRule="auto"/>
        <w:jc w:val="right"/>
        <w:rPr>
          <w:rFonts w:ascii="宋体" w:hAnsi="宋体" w:eastAsia="宋体" w:cs="宋体"/>
          <w:kern w:val="0"/>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keepNext/>
        <w:keepLines/>
        <w:widowControl/>
        <w:spacing w:line="360" w:lineRule="auto"/>
        <w:jc w:val="left"/>
        <w:rPr>
          <w:rFonts w:ascii="宋体" w:hAnsi="宋体" w:eastAsia="宋体" w:cs="宋体"/>
          <w:kern w:val="0"/>
          <w:sz w:val="32"/>
          <w:szCs w:val="20"/>
          <w:highlight w:val="none"/>
        </w:rPr>
      </w:pPr>
      <w:bookmarkStart w:id="169" w:name="_Toc11621"/>
      <w:bookmarkStart w:id="170" w:name="_Toc508788701"/>
      <w:r>
        <w:rPr>
          <w:rFonts w:hint="eastAsia" w:ascii="宋体" w:hAnsi="宋体" w:eastAsia="宋体" w:cs="宋体"/>
          <w:kern w:val="0"/>
          <w:sz w:val="24"/>
          <w:szCs w:val="24"/>
          <w:highlight w:val="none"/>
        </w:rPr>
        <w:br w:type="page"/>
      </w:r>
      <w:bookmarkStart w:id="171" w:name="_Toc7454670"/>
      <w:r>
        <w:rPr>
          <w:rFonts w:hint="eastAsia" w:ascii="宋体" w:hAnsi="宋体" w:eastAsia="宋体" w:cs="宋体"/>
          <w:kern w:val="0"/>
          <w:sz w:val="32"/>
          <w:szCs w:val="20"/>
          <w:highlight w:val="none"/>
        </w:rPr>
        <w:t>二、法定代表人（单位负责人）身份证明</w:t>
      </w:r>
      <w:bookmarkEnd w:id="169"/>
      <w:bookmarkEnd w:id="170"/>
      <w:bookmarkEnd w:id="171"/>
    </w:p>
    <w:p>
      <w:pPr>
        <w:widowControl/>
        <w:spacing w:line="360" w:lineRule="auto"/>
        <w:jc w:val="left"/>
        <w:rPr>
          <w:rFonts w:ascii="宋体" w:hAnsi="宋体" w:eastAsia="宋体" w:cs="宋体"/>
          <w:sz w:val="24"/>
          <w:szCs w:val="24"/>
          <w:highlight w:val="none"/>
        </w:rPr>
      </w:pP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投标人名称：</w:t>
      </w:r>
      <w:r>
        <w:rPr>
          <w:rFonts w:hint="eastAsia" w:ascii="宋体" w:hAnsi="宋体" w:eastAsia="宋体" w:cs="宋体"/>
          <w:sz w:val="24"/>
          <w:szCs w:val="24"/>
          <w:highlight w:val="none"/>
          <w:u w:val="single"/>
        </w:rPr>
        <w:t xml:space="preserve">     </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姓名：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性别：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系</w:t>
      </w:r>
      <w:r>
        <w:rPr>
          <w:rFonts w:hint="eastAsia" w:ascii="宋体" w:hAnsi="宋体" w:eastAsia="宋体" w:cs="宋体"/>
          <w:sz w:val="24"/>
          <w:szCs w:val="24"/>
          <w:highlight w:val="none"/>
          <w:u w:val="single"/>
        </w:rPr>
        <w:t>（投标人名称）</w:t>
      </w:r>
      <w:r>
        <w:rPr>
          <w:rFonts w:hint="eastAsia" w:ascii="宋体" w:hAnsi="宋体" w:eastAsia="宋体" w:cs="宋体"/>
          <w:sz w:val="24"/>
          <w:szCs w:val="24"/>
          <w:highlight w:val="none"/>
        </w:rPr>
        <w:t>的法定代表人（单位负责人）。</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特此证明。</w:t>
      </w:r>
    </w:p>
    <w:p>
      <w:pPr>
        <w:widowControl/>
        <w:spacing w:line="360" w:lineRule="auto"/>
        <w:ind w:firstLine="480" w:firstLineChars="200"/>
        <w:jc w:val="left"/>
        <w:rPr>
          <w:rFonts w:ascii="宋体" w:hAnsi="宋体" w:eastAsia="宋体" w:cs="宋体"/>
          <w:sz w:val="24"/>
          <w:szCs w:val="24"/>
          <w:highlight w:val="none"/>
        </w:rPr>
      </w:pP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附：法定代表人（单位负责人）身份证复印件。</w:t>
      </w:r>
    </w:p>
    <w:p>
      <w:pPr>
        <w:widowControl/>
        <w:spacing w:line="360" w:lineRule="auto"/>
        <w:ind w:firstLine="480" w:firstLineChars="200"/>
        <w:jc w:val="left"/>
        <w:rPr>
          <w:rFonts w:ascii="宋体" w:hAnsi="宋体" w:eastAsia="宋体" w:cs="宋体"/>
          <w:sz w:val="24"/>
          <w:szCs w:val="24"/>
          <w:highlight w:val="none"/>
        </w:rPr>
      </w:pP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注：本身份证明需由投标人加盖单位公章。</w:t>
      </w:r>
    </w:p>
    <w:p>
      <w:pPr>
        <w:widowControl/>
        <w:spacing w:line="360" w:lineRule="auto"/>
        <w:jc w:val="left"/>
        <w:rPr>
          <w:rFonts w:ascii="宋体" w:hAnsi="宋体" w:eastAsia="宋体" w:cs="宋体"/>
          <w:sz w:val="24"/>
          <w:szCs w:val="24"/>
          <w:highlight w:val="none"/>
        </w:rPr>
      </w:pPr>
    </w:p>
    <w:p>
      <w:pPr>
        <w:widowControl/>
        <w:spacing w:line="360" w:lineRule="auto"/>
        <w:jc w:val="left"/>
        <w:rPr>
          <w:rFonts w:ascii="宋体" w:hAnsi="宋体" w:eastAsia="宋体" w:cs="宋体"/>
          <w:sz w:val="24"/>
          <w:szCs w:val="24"/>
          <w:highlight w:val="none"/>
        </w:rPr>
      </w:pPr>
    </w:p>
    <w:p>
      <w:pPr>
        <w:widowControl/>
        <w:tabs>
          <w:tab w:val="center" w:pos="2956"/>
          <w:tab w:val="center" w:pos="7052"/>
        </w:tabs>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（盖单位章）</w:t>
      </w:r>
    </w:p>
    <w:p>
      <w:pPr>
        <w:widowControl/>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widowControl/>
        <w:spacing w:after="192" w:line="259" w:lineRule="auto"/>
        <w:jc w:val="left"/>
        <w:rPr>
          <w:rFonts w:ascii="宋体" w:hAnsi="宋体" w:eastAsia="宋体" w:cs="宋体"/>
          <w:kern w:val="0"/>
          <w:sz w:val="32"/>
          <w:szCs w:val="20"/>
          <w:highlight w:val="none"/>
        </w:rPr>
      </w:pPr>
      <w:r>
        <w:rPr>
          <w:rFonts w:hint="eastAsia" w:ascii="宋体" w:hAnsi="宋体" w:eastAsia="宋体" w:cs="宋体"/>
          <w:sz w:val="20"/>
          <w:highlight w:val="none"/>
        </w:rPr>
        <w:br w:type="page"/>
      </w:r>
      <w:bookmarkStart w:id="172" w:name="_Toc7454671"/>
      <w:bookmarkStart w:id="173" w:name="_Toc508788702"/>
      <w:bookmarkStart w:id="174" w:name="_Toc6371"/>
      <w:r>
        <w:rPr>
          <w:rFonts w:hint="eastAsia" w:ascii="宋体" w:hAnsi="宋体" w:eastAsia="宋体" w:cs="宋体"/>
          <w:kern w:val="0"/>
          <w:sz w:val="32"/>
          <w:szCs w:val="20"/>
          <w:highlight w:val="none"/>
        </w:rPr>
        <w:t>二、授权委托书</w:t>
      </w:r>
      <w:bookmarkEnd w:id="172"/>
      <w:bookmarkEnd w:id="173"/>
      <w:bookmarkEnd w:id="174"/>
    </w:p>
    <w:p>
      <w:pPr>
        <w:widowControl/>
        <w:spacing w:line="360" w:lineRule="auto"/>
        <w:ind w:firstLine="480" w:firstLineChars="200"/>
        <w:jc w:val="left"/>
        <w:rPr>
          <w:rFonts w:ascii="宋体" w:hAnsi="宋体" w:eastAsia="宋体" w:cs="宋体"/>
          <w:sz w:val="24"/>
          <w:szCs w:val="24"/>
          <w:highlight w:val="none"/>
        </w:rPr>
      </w:pPr>
    </w:p>
    <w:p>
      <w:pPr>
        <w:widowControl/>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本人</w:t>
      </w:r>
      <w:r>
        <w:rPr>
          <w:rFonts w:hint="eastAsia" w:ascii="宋体" w:hAnsi="宋体" w:eastAsia="宋体" w:cs="宋体"/>
          <w:sz w:val="24"/>
          <w:szCs w:val="24"/>
          <w:highlight w:val="none"/>
          <w:u w:val="single"/>
        </w:rPr>
        <w:t>（姓名）</w:t>
      </w:r>
      <w:r>
        <w:rPr>
          <w:rFonts w:hint="eastAsia" w:ascii="宋体" w:hAnsi="宋体" w:eastAsia="宋体" w:cs="宋体"/>
          <w:sz w:val="24"/>
          <w:szCs w:val="24"/>
          <w:highlight w:val="none"/>
        </w:rPr>
        <w:t>系</w:t>
      </w:r>
      <w:r>
        <w:rPr>
          <w:rFonts w:hint="eastAsia" w:ascii="宋体" w:hAnsi="宋体" w:eastAsia="宋体" w:cs="宋体"/>
          <w:sz w:val="24"/>
          <w:szCs w:val="24"/>
          <w:highlight w:val="none"/>
          <w:u w:val="single"/>
        </w:rPr>
        <w:t>（投标人名称）</w:t>
      </w:r>
      <w:r>
        <w:rPr>
          <w:rFonts w:hint="eastAsia" w:ascii="宋体" w:hAnsi="宋体" w:eastAsia="宋体" w:cs="宋体"/>
          <w:sz w:val="24"/>
          <w:szCs w:val="24"/>
          <w:highlight w:val="none"/>
        </w:rPr>
        <w:t>的法定代表人（单位负责人），现委托</w:t>
      </w:r>
      <w:r>
        <w:rPr>
          <w:rFonts w:hint="eastAsia" w:ascii="宋体" w:hAnsi="宋体" w:eastAsia="宋体" w:cs="宋体"/>
          <w:sz w:val="24"/>
          <w:szCs w:val="24"/>
          <w:highlight w:val="none"/>
          <w:u w:val="single"/>
        </w:rPr>
        <w:t>（姓名）</w:t>
      </w:r>
      <w:r>
        <w:rPr>
          <w:rFonts w:hint="eastAsia" w:ascii="宋体" w:hAnsi="宋体" w:eastAsia="宋体" w:cs="宋体"/>
          <w:sz w:val="24"/>
          <w:szCs w:val="24"/>
          <w:highlight w:val="none"/>
        </w:rPr>
        <w:t>为我方代理人。代理人根据授权，以我方名义签署、澄清确认、递交、撤回、修改设备招标项目投标文件、签订合同和处理有关事宜，其法律后果由我方承担。</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委托期限：</w:t>
      </w:r>
      <w:r>
        <w:rPr>
          <w:rFonts w:hint="eastAsia" w:ascii="宋体" w:hAnsi="宋体" w:eastAsia="宋体" w:cs="宋体"/>
          <w:sz w:val="24"/>
          <w:szCs w:val="24"/>
          <w:highlight w:val="none"/>
          <w:u w:val="single"/>
        </w:rPr>
        <w:t>投标截止之日起180日历天</w:t>
      </w:r>
      <w:r>
        <w:rPr>
          <w:rFonts w:hint="eastAsia" w:ascii="宋体" w:hAnsi="宋体" w:eastAsia="宋体" w:cs="宋体"/>
          <w:sz w:val="24"/>
          <w:szCs w:val="24"/>
          <w:highlight w:val="none"/>
        </w:rPr>
        <w:t>。</w:t>
      </w: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代理人无转委托权。</w:t>
      </w:r>
    </w:p>
    <w:p>
      <w:pPr>
        <w:widowControl/>
        <w:spacing w:line="360" w:lineRule="auto"/>
        <w:ind w:firstLine="480" w:firstLineChars="200"/>
        <w:jc w:val="left"/>
        <w:rPr>
          <w:rFonts w:ascii="宋体" w:hAnsi="宋体" w:eastAsia="宋体" w:cs="宋体"/>
          <w:sz w:val="24"/>
          <w:szCs w:val="24"/>
          <w:highlight w:val="none"/>
        </w:rPr>
      </w:pP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附：法定代表人（单位负责人）身份证复印件及委托代理人身份证复印件</w:t>
      </w:r>
    </w:p>
    <w:p>
      <w:pPr>
        <w:widowControl/>
        <w:spacing w:line="360" w:lineRule="auto"/>
        <w:ind w:firstLine="480" w:firstLineChars="200"/>
        <w:jc w:val="left"/>
        <w:rPr>
          <w:rFonts w:ascii="宋体" w:hAnsi="宋体" w:eastAsia="宋体" w:cs="宋体"/>
          <w:sz w:val="24"/>
          <w:szCs w:val="24"/>
          <w:highlight w:val="none"/>
        </w:rPr>
      </w:pPr>
    </w:p>
    <w:p>
      <w:pPr>
        <w:widowControl/>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注：本授权委托书需由投标人加盖单位公章并由其法定代表人（单位负责人）和委托代理人签字或盖章。</w:t>
      </w:r>
    </w:p>
    <w:p>
      <w:pPr>
        <w:spacing w:line="360" w:lineRule="auto"/>
        <w:ind w:firstLine="480" w:firstLineChars="200"/>
        <w:rPr>
          <w:rFonts w:ascii="宋体" w:hAnsi="宋体" w:eastAsia="宋体" w:cs="宋体"/>
          <w:sz w:val="24"/>
          <w:szCs w:val="24"/>
          <w:highlight w:val="none"/>
        </w:rPr>
      </w:pP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  标  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（盖单位章）</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法定代表人（单位负责人）：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身份证号码：</w:t>
      </w:r>
      <w:r>
        <w:rPr>
          <w:rFonts w:hint="eastAsia" w:ascii="宋体" w:hAnsi="宋体" w:eastAsia="宋体" w:cs="宋体"/>
          <w:sz w:val="24"/>
          <w:szCs w:val="24"/>
          <w:highlight w:val="none"/>
          <w:u w:val="single"/>
        </w:rPr>
        <w:t xml:space="preserve">     </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身份证号码：</w:t>
      </w:r>
      <w:r>
        <w:rPr>
          <w:rFonts w:hint="eastAsia" w:ascii="宋体" w:hAnsi="宋体" w:eastAsia="宋体" w:cs="宋体"/>
          <w:sz w:val="24"/>
          <w:szCs w:val="24"/>
          <w:highlight w:val="none"/>
          <w:u w:val="single"/>
        </w:rPr>
        <w:t xml:space="preserve">     </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widowControl/>
        <w:spacing w:line="360" w:lineRule="auto"/>
        <w:ind w:firstLine="480" w:firstLineChars="200"/>
        <w:jc w:val="right"/>
        <w:rPr>
          <w:rFonts w:ascii="宋体" w:hAnsi="宋体" w:eastAsia="宋体" w:cs="宋体"/>
          <w:sz w:val="22"/>
          <w:highlight w:val="none"/>
        </w:rPr>
      </w:pPr>
      <w:r>
        <w:rPr>
          <w:rFonts w:hint="eastAsia" w:ascii="宋体" w:hAnsi="宋体" w:eastAsia="宋体" w:cs="宋体"/>
          <w:sz w:val="24"/>
          <w:szCs w:val="24"/>
          <w:highlight w:val="none"/>
        </w:rPr>
        <w:br w:type="page"/>
      </w:r>
    </w:p>
    <w:p>
      <w:pPr>
        <w:keepNext/>
        <w:keepLines/>
        <w:widowControl/>
        <w:spacing w:line="360" w:lineRule="auto"/>
        <w:jc w:val="left"/>
        <w:rPr>
          <w:rFonts w:ascii="宋体" w:hAnsi="宋体" w:eastAsia="宋体" w:cs="宋体"/>
          <w:kern w:val="0"/>
          <w:sz w:val="32"/>
          <w:szCs w:val="20"/>
          <w:highlight w:val="none"/>
        </w:rPr>
      </w:pPr>
      <w:bookmarkStart w:id="175" w:name="_Toc508788703"/>
      <w:bookmarkStart w:id="176" w:name="_Toc7454672"/>
      <w:bookmarkStart w:id="177" w:name="_Toc19908"/>
      <w:r>
        <w:rPr>
          <w:rFonts w:hint="eastAsia" w:ascii="宋体" w:hAnsi="宋体" w:eastAsia="宋体" w:cs="宋体"/>
          <w:kern w:val="0"/>
          <w:sz w:val="32"/>
          <w:szCs w:val="20"/>
          <w:highlight w:val="none"/>
        </w:rPr>
        <w:t>三、联合体协议书</w:t>
      </w:r>
      <w:bookmarkEnd w:id="175"/>
      <w:bookmarkEnd w:id="176"/>
      <w:bookmarkEnd w:id="177"/>
    </w:p>
    <w:p>
      <w:pPr>
        <w:widowControl/>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（本项目不接受联合体投标，不要求提供联合体协议书）</w:t>
      </w:r>
    </w:p>
    <w:p>
      <w:pPr>
        <w:widowControl/>
        <w:tabs>
          <w:tab w:val="center" w:pos="5120"/>
          <w:tab w:val="center" w:pos="9417"/>
        </w:tabs>
        <w:spacing w:after="151" w:line="259" w:lineRule="auto"/>
        <w:rPr>
          <w:rFonts w:ascii="宋体" w:hAnsi="宋体" w:eastAsia="宋体" w:cs="宋体"/>
          <w:kern w:val="0"/>
          <w:sz w:val="32"/>
          <w:szCs w:val="20"/>
          <w:highlight w:val="none"/>
        </w:rPr>
      </w:pPr>
      <w:r>
        <w:rPr>
          <w:rFonts w:hint="eastAsia" w:ascii="宋体" w:hAnsi="宋体" w:eastAsia="宋体" w:cs="宋体"/>
          <w:highlight w:val="none"/>
        </w:rPr>
        <w:br w:type="page"/>
      </w:r>
      <w:bookmarkStart w:id="178" w:name="_Toc508788704"/>
      <w:bookmarkStart w:id="179" w:name="_Toc7454673"/>
      <w:bookmarkStart w:id="180" w:name="_Toc16579"/>
      <w:r>
        <w:rPr>
          <w:rFonts w:hint="eastAsia" w:ascii="宋体" w:hAnsi="宋体" w:eastAsia="宋体" w:cs="宋体"/>
          <w:kern w:val="0"/>
          <w:sz w:val="32"/>
          <w:szCs w:val="20"/>
          <w:highlight w:val="none"/>
        </w:rPr>
        <w:t>四、投标保证金</w:t>
      </w:r>
      <w:bookmarkEnd w:id="178"/>
      <w:bookmarkEnd w:id="179"/>
      <w:bookmarkEnd w:id="180"/>
    </w:p>
    <w:p>
      <w:pPr>
        <w:widowControl/>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（具体要求详见招标文件第二章《投标人须知前附表》条款号3.4.1的规定。）</w:t>
      </w:r>
    </w:p>
    <w:p>
      <w:pPr>
        <w:tabs>
          <w:tab w:val="left" w:pos="567"/>
        </w:tabs>
        <w:spacing w:after="120"/>
        <w:rPr>
          <w:rFonts w:ascii="宋体" w:hAnsi="宋体" w:eastAsia="宋体" w:cs="宋体"/>
          <w:szCs w:val="24"/>
          <w:highlight w:val="none"/>
        </w:rPr>
      </w:pPr>
    </w:p>
    <w:p>
      <w:pPr>
        <w:widowControl/>
        <w:spacing w:after="175" w:line="259" w:lineRule="auto"/>
        <w:ind w:right="161"/>
        <w:jc w:val="right"/>
        <w:rPr>
          <w:rFonts w:ascii="宋体" w:hAnsi="宋体" w:eastAsia="宋体" w:cs="宋体"/>
          <w:sz w:val="22"/>
          <w:highlight w:val="none"/>
        </w:rPr>
      </w:pPr>
    </w:p>
    <w:p>
      <w:pPr>
        <w:widowControl/>
        <w:spacing w:line="259" w:lineRule="auto"/>
        <w:ind w:left="2160"/>
        <w:jc w:val="left"/>
        <w:rPr>
          <w:rFonts w:ascii="宋体" w:hAnsi="宋体" w:eastAsia="宋体" w:cs="宋体"/>
          <w:highlight w:val="none"/>
        </w:rPr>
      </w:pPr>
    </w:p>
    <w:p>
      <w:pPr>
        <w:widowControl/>
        <w:spacing w:line="259" w:lineRule="auto"/>
        <w:jc w:val="left"/>
        <w:rPr>
          <w:rFonts w:ascii="宋体" w:hAnsi="宋体" w:eastAsia="宋体" w:cs="宋体"/>
          <w:kern w:val="0"/>
          <w:sz w:val="32"/>
          <w:szCs w:val="20"/>
          <w:highlight w:val="none"/>
        </w:rPr>
      </w:pPr>
      <w:r>
        <w:rPr>
          <w:rFonts w:hint="eastAsia" w:ascii="宋体" w:hAnsi="宋体" w:eastAsia="宋体" w:cs="宋体"/>
          <w:highlight w:val="none"/>
        </w:rPr>
        <w:br w:type="page"/>
      </w:r>
      <w:bookmarkStart w:id="181" w:name="_Toc7454674"/>
      <w:bookmarkStart w:id="182" w:name="_Toc3024"/>
      <w:bookmarkStart w:id="183" w:name="_Toc520184746"/>
      <w:r>
        <w:rPr>
          <w:rFonts w:hint="eastAsia" w:ascii="宋体" w:hAnsi="宋体" w:eastAsia="宋体" w:cs="宋体"/>
          <w:kern w:val="0"/>
          <w:sz w:val="32"/>
          <w:szCs w:val="20"/>
          <w:highlight w:val="none"/>
        </w:rPr>
        <w:t>五、</w:t>
      </w:r>
      <w:bookmarkEnd w:id="181"/>
      <w:bookmarkEnd w:id="182"/>
      <w:bookmarkEnd w:id="183"/>
      <w:r>
        <w:rPr>
          <w:rFonts w:hint="eastAsia" w:ascii="宋体" w:hAnsi="宋体" w:eastAsia="宋体" w:cs="宋体"/>
          <w:kern w:val="0"/>
          <w:sz w:val="32"/>
          <w:szCs w:val="20"/>
          <w:highlight w:val="none"/>
        </w:rPr>
        <w:t>商务和技术偏差表</w:t>
      </w:r>
    </w:p>
    <w:p>
      <w:pPr>
        <w:tabs>
          <w:tab w:val="left" w:pos="1200"/>
        </w:tabs>
        <w:spacing w:line="360" w:lineRule="auto"/>
        <w:jc w:val="center"/>
        <w:rPr>
          <w:rFonts w:ascii="宋体" w:hAnsi="宋体" w:eastAsia="宋体" w:cs="宋体"/>
          <w:bCs/>
          <w:sz w:val="24"/>
          <w:szCs w:val="24"/>
          <w:highlight w:val="none"/>
        </w:rPr>
      </w:pPr>
      <w:r>
        <w:rPr>
          <w:rFonts w:hint="eastAsia" w:ascii="宋体" w:hAnsi="宋体" w:eastAsia="宋体" w:cs="宋体"/>
          <w:bCs/>
          <w:sz w:val="24"/>
          <w:szCs w:val="24"/>
          <w:highlight w:val="none"/>
        </w:rPr>
        <w:t>商务和技术偏差表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2227"/>
        <w:gridCol w:w="3277"/>
        <w:gridCol w:w="1439"/>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413" w:type="pct"/>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序号</w:t>
            </w:r>
          </w:p>
        </w:tc>
        <w:tc>
          <w:tcPr>
            <w:tcW w:w="1218" w:type="pct"/>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招标文件章节及条款号</w:t>
            </w:r>
          </w:p>
        </w:tc>
        <w:tc>
          <w:tcPr>
            <w:tcW w:w="1792" w:type="pct"/>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投标文件章节及条款号</w:t>
            </w:r>
          </w:p>
        </w:tc>
        <w:tc>
          <w:tcPr>
            <w:tcW w:w="787" w:type="pct"/>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是否偏离（无偏离/正偏离/负偏离）</w:t>
            </w:r>
          </w:p>
        </w:tc>
        <w:tc>
          <w:tcPr>
            <w:tcW w:w="787" w:type="pct"/>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1</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2</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3</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4</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5</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6</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7</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8</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9</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10</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3" w:type="pct"/>
            <w:vAlign w:val="center"/>
          </w:tcPr>
          <w:p>
            <w:pPr>
              <w:rPr>
                <w:rFonts w:ascii="宋体" w:hAnsi="宋体" w:eastAsia="宋体" w:cs="宋体"/>
                <w:szCs w:val="21"/>
                <w:highlight w:val="none"/>
              </w:rPr>
            </w:pPr>
            <w:r>
              <w:rPr>
                <w:rFonts w:hint="eastAsia" w:ascii="宋体" w:hAnsi="宋体" w:eastAsia="宋体" w:cs="宋体"/>
                <w:szCs w:val="21"/>
                <w:highlight w:val="none"/>
              </w:rPr>
              <w:t>……</w:t>
            </w:r>
          </w:p>
        </w:tc>
        <w:tc>
          <w:tcPr>
            <w:tcW w:w="1218" w:type="pct"/>
            <w:vAlign w:val="center"/>
          </w:tcPr>
          <w:p>
            <w:pPr>
              <w:rPr>
                <w:rFonts w:ascii="宋体" w:hAnsi="宋体" w:eastAsia="宋体" w:cs="宋体"/>
                <w:szCs w:val="21"/>
                <w:highlight w:val="none"/>
              </w:rPr>
            </w:pPr>
          </w:p>
        </w:tc>
        <w:tc>
          <w:tcPr>
            <w:tcW w:w="1792"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c>
          <w:tcPr>
            <w:tcW w:w="787" w:type="pct"/>
            <w:vAlign w:val="center"/>
          </w:tcPr>
          <w:p>
            <w:pPr>
              <w:rPr>
                <w:rFonts w:ascii="宋体" w:hAnsi="宋体" w:eastAsia="宋体" w:cs="宋体"/>
                <w:szCs w:val="21"/>
                <w:highlight w:val="none"/>
              </w:rPr>
            </w:pPr>
          </w:p>
        </w:tc>
      </w:tr>
    </w:tbl>
    <w:p>
      <w:p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注：投标人保证：除商务和技术偏差表列出的偏差外，投标人响应招标文件的全部要求。</w:t>
      </w:r>
    </w:p>
    <w:p>
      <w:pPr>
        <w:keepNext/>
        <w:keepLines/>
        <w:widowControl/>
        <w:spacing w:line="360" w:lineRule="auto"/>
        <w:jc w:val="left"/>
        <w:rPr>
          <w:rFonts w:ascii="宋体" w:hAnsi="宋体" w:eastAsia="宋体" w:cs="宋体"/>
          <w:kern w:val="0"/>
          <w:sz w:val="32"/>
          <w:szCs w:val="20"/>
          <w:highlight w:val="none"/>
        </w:rPr>
      </w:pPr>
      <w:r>
        <w:rPr>
          <w:rFonts w:hint="eastAsia" w:ascii="宋体" w:hAnsi="宋体" w:eastAsia="宋体" w:cs="宋体"/>
          <w:szCs w:val="24"/>
          <w:highlight w:val="none"/>
        </w:rPr>
        <w:br w:type="page"/>
      </w:r>
    </w:p>
    <w:p>
      <w:pPr>
        <w:keepNext/>
        <w:keepLines/>
        <w:widowControl/>
        <w:spacing w:line="360" w:lineRule="auto"/>
        <w:jc w:val="left"/>
        <w:rPr>
          <w:rFonts w:ascii="宋体" w:hAnsi="宋体" w:eastAsia="宋体" w:cs="宋体"/>
          <w:kern w:val="0"/>
          <w:sz w:val="32"/>
          <w:szCs w:val="20"/>
          <w:highlight w:val="none"/>
        </w:rPr>
      </w:pPr>
      <w:r>
        <w:rPr>
          <w:rFonts w:hint="eastAsia" w:ascii="宋体" w:hAnsi="宋体" w:eastAsia="宋体" w:cs="宋体"/>
          <w:kern w:val="0"/>
          <w:sz w:val="32"/>
          <w:szCs w:val="20"/>
          <w:highlight w:val="none"/>
        </w:rPr>
        <w:t>六、分项报价表</w:t>
      </w:r>
    </w:p>
    <w:p>
      <w:pPr>
        <w:widowControl/>
        <w:spacing w:line="360" w:lineRule="auto"/>
        <w:jc w:val="left"/>
        <w:rPr>
          <w:rFonts w:ascii="宋体" w:hAnsi="宋体" w:eastAsia="宋体" w:cs="宋体"/>
          <w:b/>
          <w:kern w:val="0"/>
          <w:sz w:val="22"/>
          <w:szCs w:val="20"/>
          <w:highlight w:val="none"/>
        </w:rPr>
      </w:pPr>
      <w:r>
        <w:rPr>
          <w:rFonts w:hint="eastAsia" w:ascii="宋体" w:hAnsi="宋体" w:eastAsia="宋体" w:cs="宋体"/>
          <w:b/>
          <w:kern w:val="0"/>
          <w:sz w:val="22"/>
          <w:szCs w:val="20"/>
          <w:highlight w:val="none"/>
        </w:rPr>
        <w:t>1.报价清单（另附）</w:t>
      </w:r>
      <w:r>
        <w:rPr>
          <w:rFonts w:hint="eastAsia" w:ascii="宋体" w:hAnsi="宋体" w:eastAsia="宋体" w:cs="宋体"/>
          <w:b/>
          <w:bCs/>
          <w:sz w:val="32"/>
          <w:szCs w:val="32"/>
          <w:highlight w:val="none"/>
        </w:rPr>
        <w:br w:type="page"/>
      </w:r>
      <w:r>
        <w:rPr>
          <w:rFonts w:hint="eastAsia" w:ascii="宋体" w:hAnsi="宋体" w:eastAsia="宋体" w:cs="宋体"/>
          <w:b/>
          <w:kern w:val="0"/>
          <w:sz w:val="22"/>
          <w:szCs w:val="20"/>
          <w:highlight w:val="none"/>
        </w:rPr>
        <w:t>2.</w:t>
      </w:r>
      <w:r>
        <w:rPr>
          <w:rFonts w:hint="eastAsia" w:ascii="宋体" w:hAnsi="宋体" w:eastAsia="宋体" w:cs="宋体"/>
          <w:highlight w:val="none"/>
        </w:rPr>
        <w:t xml:space="preserve"> </w:t>
      </w:r>
      <w:r>
        <w:rPr>
          <w:rFonts w:hint="eastAsia" w:ascii="宋体" w:hAnsi="宋体" w:eastAsia="宋体" w:cs="宋体"/>
          <w:b/>
          <w:kern w:val="0"/>
          <w:sz w:val="22"/>
          <w:szCs w:val="20"/>
          <w:highlight w:val="none"/>
        </w:rPr>
        <w:t>电梯（垂直）货物主要部件（材料、配套件）清单</w:t>
      </w:r>
    </w:p>
    <w:p>
      <w:pPr>
        <w:widowControl/>
        <w:snapToGrid w:val="0"/>
        <w:jc w:val="center"/>
        <w:rPr>
          <w:rFonts w:ascii="宋体" w:hAnsi="宋体" w:eastAsia="宋体" w:cs="宋体"/>
          <w:b/>
          <w:kern w:val="0"/>
          <w:sz w:val="22"/>
          <w:szCs w:val="20"/>
          <w:highlight w:val="none"/>
        </w:rPr>
      </w:pPr>
    </w:p>
    <w:p>
      <w:pPr>
        <w:widowControl/>
        <w:snapToGrid w:val="0"/>
        <w:jc w:val="center"/>
        <w:rPr>
          <w:rFonts w:ascii="宋体" w:hAnsi="宋体" w:eastAsia="宋体" w:cs="宋体"/>
          <w:b/>
          <w:kern w:val="0"/>
          <w:sz w:val="22"/>
          <w:szCs w:val="20"/>
          <w:highlight w:val="none"/>
        </w:rPr>
      </w:pPr>
    </w:p>
    <w:p>
      <w:pPr>
        <w:widowControl/>
        <w:snapToGrid w:val="0"/>
        <w:jc w:val="center"/>
        <w:rPr>
          <w:rFonts w:ascii="宋体" w:hAnsi="宋体" w:eastAsia="宋体" w:cs="宋体"/>
          <w:b/>
          <w:kern w:val="0"/>
          <w:sz w:val="28"/>
          <w:szCs w:val="28"/>
          <w:highlight w:val="none"/>
        </w:rPr>
      </w:pPr>
      <w:r>
        <w:rPr>
          <w:rFonts w:hint="eastAsia" w:ascii="宋体" w:hAnsi="宋体" w:eastAsia="宋体" w:cs="宋体"/>
          <w:b/>
          <w:kern w:val="0"/>
          <w:sz w:val="28"/>
          <w:szCs w:val="28"/>
          <w:highlight w:val="none"/>
        </w:rPr>
        <w:t>电梯（垂直）货物主要部件（材料、配套件）清单</w:t>
      </w:r>
    </w:p>
    <w:p>
      <w:pPr>
        <w:widowControl/>
        <w:snapToGrid w:val="0"/>
        <w:jc w:val="center"/>
        <w:rPr>
          <w:rFonts w:ascii="宋体" w:hAnsi="宋体" w:eastAsia="宋体" w:cs="宋体"/>
          <w:szCs w:val="20"/>
          <w:highlight w:val="none"/>
        </w:rPr>
      </w:pPr>
    </w:p>
    <w:p>
      <w:pPr>
        <w:widowControl/>
        <w:tabs>
          <w:tab w:val="left" w:pos="6275"/>
        </w:tabs>
        <w:snapToGrid w:val="0"/>
        <w:jc w:val="left"/>
        <w:rPr>
          <w:rFonts w:ascii="宋体" w:hAnsi="宋体" w:eastAsia="宋体" w:cs="宋体"/>
          <w:szCs w:val="20"/>
          <w:highlight w:val="none"/>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1003"/>
        <w:gridCol w:w="2126"/>
        <w:gridCol w:w="1979"/>
        <w:gridCol w:w="2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tblHeader/>
          <w:jc w:val="center"/>
        </w:trPr>
        <w:tc>
          <w:tcPr>
            <w:tcW w:w="1003" w:type="dxa"/>
            <w:tcBorders>
              <w:top w:val="double" w:color="auto" w:sz="4"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b/>
                <w:kern w:val="0"/>
                <w:szCs w:val="20"/>
                <w:highlight w:val="none"/>
                <w:lang w:eastAsia="en-US"/>
              </w:rPr>
            </w:pPr>
            <w:r>
              <w:rPr>
                <w:rFonts w:hint="eastAsia" w:ascii="宋体" w:hAnsi="宋体" w:eastAsia="宋体" w:cs="宋体"/>
                <w:b/>
                <w:kern w:val="0"/>
                <w:szCs w:val="20"/>
                <w:highlight w:val="none"/>
                <w:lang w:eastAsia="en-US"/>
              </w:rPr>
              <w:t>序号</w:t>
            </w:r>
          </w:p>
        </w:tc>
        <w:tc>
          <w:tcPr>
            <w:tcW w:w="2126" w:type="dxa"/>
            <w:tcBorders>
              <w:top w:val="double" w:color="auto" w:sz="4" w:space="0"/>
              <w:left w:val="single" w:color="auto" w:sz="6" w:space="0"/>
              <w:bottom w:val="single" w:color="auto" w:sz="6" w:space="0"/>
              <w:right w:val="single" w:color="auto" w:sz="6" w:space="0"/>
            </w:tcBorders>
            <w:vAlign w:val="center"/>
          </w:tcPr>
          <w:p>
            <w:pPr>
              <w:widowControl/>
              <w:snapToGrid w:val="0"/>
              <w:jc w:val="center"/>
              <w:rPr>
                <w:rFonts w:ascii="宋体" w:hAnsi="宋体" w:eastAsia="宋体" w:cs="宋体"/>
                <w:b/>
                <w:kern w:val="0"/>
                <w:szCs w:val="20"/>
                <w:highlight w:val="none"/>
                <w:lang w:eastAsia="en-US"/>
              </w:rPr>
            </w:pPr>
            <w:r>
              <w:rPr>
                <w:rFonts w:hint="eastAsia" w:ascii="宋体" w:hAnsi="宋体" w:eastAsia="宋体" w:cs="宋体"/>
                <w:b/>
                <w:kern w:val="0"/>
                <w:szCs w:val="20"/>
                <w:highlight w:val="none"/>
                <w:lang w:eastAsia="en-US"/>
              </w:rPr>
              <w:t>部件名称</w:t>
            </w:r>
          </w:p>
        </w:tc>
        <w:tc>
          <w:tcPr>
            <w:tcW w:w="1979" w:type="dxa"/>
            <w:tcBorders>
              <w:top w:val="double" w:color="auto" w:sz="4" w:space="0"/>
              <w:left w:val="single" w:color="auto" w:sz="6" w:space="0"/>
              <w:bottom w:val="single" w:color="auto" w:sz="6" w:space="0"/>
              <w:right w:val="single" w:color="auto" w:sz="6" w:space="0"/>
            </w:tcBorders>
            <w:vAlign w:val="center"/>
          </w:tcPr>
          <w:p>
            <w:pPr>
              <w:widowControl/>
              <w:snapToGrid w:val="0"/>
              <w:jc w:val="center"/>
              <w:rPr>
                <w:rFonts w:ascii="宋体" w:hAnsi="宋体" w:eastAsia="宋体" w:cs="宋体"/>
                <w:b/>
                <w:kern w:val="0"/>
                <w:szCs w:val="20"/>
                <w:highlight w:val="none"/>
              </w:rPr>
            </w:pPr>
            <w:r>
              <w:rPr>
                <w:rFonts w:hint="eastAsia" w:ascii="宋体" w:hAnsi="宋体" w:eastAsia="宋体" w:cs="宋体"/>
                <w:b/>
                <w:kern w:val="0"/>
                <w:szCs w:val="20"/>
                <w:highlight w:val="none"/>
              </w:rPr>
              <w:t>品牌或供应商</w:t>
            </w:r>
          </w:p>
        </w:tc>
        <w:tc>
          <w:tcPr>
            <w:tcW w:w="2282" w:type="dxa"/>
            <w:tcBorders>
              <w:top w:val="double" w:color="auto" w:sz="4" w:space="0"/>
              <w:left w:val="single" w:color="auto" w:sz="6" w:space="0"/>
              <w:bottom w:val="single" w:color="auto" w:sz="6" w:space="0"/>
              <w:right w:val="double" w:color="auto" w:sz="4" w:space="0"/>
            </w:tcBorders>
            <w:vAlign w:val="center"/>
          </w:tcPr>
          <w:p>
            <w:pPr>
              <w:widowControl/>
              <w:snapToGrid w:val="0"/>
              <w:jc w:val="center"/>
              <w:rPr>
                <w:rFonts w:ascii="宋体" w:hAnsi="宋体" w:eastAsia="宋体" w:cs="宋体"/>
                <w:b/>
                <w:kern w:val="0"/>
                <w:szCs w:val="20"/>
                <w:highlight w:val="none"/>
              </w:rPr>
            </w:pPr>
            <w:r>
              <w:rPr>
                <w:rFonts w:hint="eastAsia" w:ascii="宋体" w:hAnsi="宋体" w:eastAsia="宋体" w:cs="宋体"/>
                <w:b/>
                <w:kern w:val="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jc w:val="left"/>
              <w:rPr>
                <w:rFonts w:ascii="宋体" w:hAnsi="宋体" w:eastAsia="宋体" w:cs="宋体"/>
                <w:b/>
                <w:spacing w:val="10"/>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single" w:color="auto" w:sz="6"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single" w:color="auto" w:sz="6"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single" w:color="auto" w:sz="6"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1003" w:type="dxa"/>
            <w:tcBorders>
              <w:top w:val="single" w:color="auto" w:sz="6" w:space="0"/>
              <w:left w:val="double" w:color="auto" w:sz="4" w:space="0"/>
              <w:bottom w:val="double" w:color="auto" w:sz="4" w:space="0"/>
              <w:right w:val="single" w:color="auto" w:sz="6" w:space="0"/>
            </w:tcBorders>
            <w:vAlign w:val="center"/>
          </w:tcPr>
          <w:p>
            <w:pPr>
              <w:widowControl/>
              <w:snapToGrid w:val="0"/>
              <w:jc w:val="center"/>
              <w:rPr>
                <w:rFonts w:ascii="宋体" w:hAnsi="宋体" w:eastAsia="宋体" w:cs="宋体"/>
                <w:kern w:val="0"/>
                <w:szCs w:val="20"/>
                <w:highlight w:val="none"/>
                <w:lang w:eastAsia="en-US"/>
              </w:rPr>
            </w:pPr>
          </w:p>
        </w:tc>
        <w:tc>
          <w:tcPr>
            <w:tcW w:w="2126" w:type="dxa"/>
            <w:tcBorders>
              <w:top w:val="single" w:color="auto" w:sz="6" w:space="0"/>
              <w:left w:val="single" w:color="auto" w:sz="6" w:space="0"/>
              <w:bottom w:val="double" w:color="auto" w:sz="4"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1979" w:type="dxa"/>
            <w:tcBorders>
              <w:top w:val="single" w:color="auto" w:sz="6" w:space="0"/>
              <w:left w:val="single" w:color="auto" w:sz="6" w:space="0"/>
              <w:bottom w:val="double" w:color="auto" w:sz="4" w:space="0"/>
              <w:right w:val="single" w:color="auto" w:sz="6" w:space="0"/>
            </w:tcBorders>
            <w:vAlign w:val="center"/>
          </w:tcPr>
          <w:p>
            <w:pPr>
              <w:widowControl/>
              <w:snapToGrid w:val="0"/>
              <w:ind w:firstLine="420"/>
              <w:jc w:val="left"/>
              <w:rPr>
                <w:rFonts w:ascii="宋体" w:hAnsi="宋体" w:eastAsia="宋体" w:cs="宋体"/>
                <w:kern w:val="0"/>
                <w:szCs w:val="20"/>
                <w:highlight w:val="none"/>
                <w:lang w:eastAsia="en-US"/>
              </w:rPr>
            </w:pPr>
          </w:p>
        </w:tc>
        <w:tc>
          <w:tcPr>
            <w:tcW w:w="2282" w:type="dxa"/>
            <w:tcBorders>
              <w:top w:val="single" w:color="auto" w:sz="6" w:space="0"/>
              <w:left w:val="single" w:color="auto" w:sz="6" w:space="0"/>
              <w:bottom w:val="double" w:color="auto" w:sz="4" w:space="0"/>
              <w:right w:val="double" w:color="auto" w:sz="4" w:space="0"/>
            </w:tcBorders>
          </w:tcPr>
          <w:p>
            <w:pPr>
              <w:widowControl/>
              <w:snapToGrid w:val="0"/>
              <w:ind w:firstLine="420"/>
              <w:jc w:val="left"/>
              <w:rPr>
                <w:rFonts w:ascii="宋体" w:hAnsi="宋体" w:eastAsia="宋体" w:cs="宋体"/>
                <w:kern w:val="0"/>
                <w:szCs w:val="20"/>
                <w:highlight w:val="none"/>
                <w:lang w:eastAsia="en-US"/>
              </w:rPr>
            </w:pPr>
          </w:p>
        </w:tc>
      </w:tr>
    </w:tbl>
    <w:p>
      <w:pPr>
        <w:widowControl/>
        <w:tabs>
          <w:tab w:val="left" w:pos="6275"/>
        </w:tabs>
        <w:jc w:val="left"/>
        <w:rPr>
          <w:rFonts w:ascii="宋体" w:hAnsi="宋体" w:eastAsia="宋体" w:cs="宋体"/>
          <w:b/>
          <w:szCs w:val="20"/>
          <w:highlight w:val="none"/>
        </w:rPr>
      </w:pPr>
    </w:p>
    <w:p>
      <w:pPr>
        <w:widowControl/>
        <w:ind w:left="712" w:hanging="711" w:hangingChars="339"/>
        <w:jc w:val="left"/>
        <w:rPr>
          <w:rFonts w:ascii="宋体" w:hAnsi="宋体" w:eastAsia="宋体" w:cs="宋体"/>
          <w:kern w:val="0"/>
          <w:szCs w:val="20"/>
          <w:highlight w:val="none"/>
        </w:rPr>
      </w:pPr>
    </w:p>
    <w:p>
      <w:pPr>
        <w:widowControl/>
        <w:ind w:left="712" w:hanging="711" w:hangingChars="339"/>
        <w:jc w:val="left"/>
        <w:rPr>
          <w:rFonts w:ascii="宋体" w:hAnsi="宋体" w:eastAsia="宋体" w:cs="宋体"/>
          <w:kern w:val="0"/>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jc w:val="left"/>
        <w:rPr>
          <w:rFonts w:ascii="宋体" w:hAnsi="宋体" w:eastAsia="宋体" w:cs="宋体"/>
          <w:b/>
          <w:kern w:val="0"/>
          <w:sz w:val="22"/>
          <w:szCs w:val="20"/>
          <w:highlight w:val="none"/>
        </w:rPr>
      </w:pPr>
      <w:r>
        <w:rPr>
          <w:rFonts w:hint="eastAsia" w:ascii="宋体" w:hAnsi="宋体" w:eastAsia="宋体" w:cs="宋体"/>
          <w:b/>
          <w:kern w:val="0"/>
          <w:sz w:val="22"/>
          <w:szCs w:val="20"/>
          <w:highlight w:val="none"/>
        </w:rPr>
        <w:t>3.</w:t>
      </w:r>
      <w:r>
        <w:rPr>
          <w:rFonts w:hint="eastAsia" w:ascii="宋体" w:hAnsi="宋体" w:eastAsia="宋体" w:cs="宋体"/>
          <w:highlight w:val="none"/>
        </w:rPr>
        <w:t xml:space="preserve"> </w:t>
      </w:r>
      <w:r>
        <w:rPr>
          <w:rFonts w:hint="eastAsia" w:ascii="宋体" w:hAnsi="宋体" w:eastAsia="宋体" w:cs="宋体"/>
          <w:b/>
          <w:kern w:val="0"/>
          <w:sz w:val="22"/>
          <w:szCs w:val="20"/>
          <w:highlight w:val="none"/>
        </w:rPr>
        <w:t>电梯（垂直）货物备品备件清单</w:t>
      </w:r>
    </w:p>
    <w:p>
      <w:pPr>
        <w:widowControl/>
        <w:snapToGrid w:val="0"/>
        <w:spacing w:line="360" w:lineRule="auto"/>
        <w:ind w:left="4620" w:leftChars="2200" w:firstLine="360"/>
        <w:jc w:val="left"/>
        <w:rPr>
          <w:rFonts w:ascii="宋体" w:hAnsi="宋体" w:eastAsia="宋体" w:cs="宋体"/>
          <w:kern w:val="0"/>
          <w:sz w:val="22"/>
          <w:szCs w:val="20"/>
          <w:highlight w:val="none"/>
        </w:rPr>
      </w:pPr>
    </w:p>
    <w:p>
      <w:pPr>
        <w:widowControl/>
        <w:snapToGrid w:val="0"/>
        <w:jc w:val="center"/>
        <w:rPr>
          <w:rFonts w:ascii="宋体" w:hAnsi="宋体" w:eastAsia="宋体" w:cs="宋体"/>
          <w:b/>
          <w:kern w:val="0"/>
          <w:sz w:val="28"/>
          <w:szCs w:val="28"/>
          <w:highlight w:val="none"/>
        </w:rPr>
      </w:pPr>
      <w:r>
        <w:rPr>
          <w:rFonts w:hint="eastAsia" w:ascii="宋体" w:hAnsi="宋体" w:eastAsia="宋体" w:cs="宋体"/>
          <w:b/>
          <w:kern w:val="0"/>
          <w:sz w:val="28"/>
          <w:szCs w:val="28"/>
          <w:highlight w:val="none"/>
        </w:rPr>
        <w:t>电梯（垂直）货物备品备件清单</w:t>
      </w:r>
    </w:p>
    <w:p>
      <w:pPr>
        <w:widowControl/>
        <w:snapToGrid w:val="0"/>
        <w:jc w:val="center"/>
        <w:rPr>
          <w:rFonts w:ascii="宋体" w:hAnsi="宋体" w:eastAsia="宋体" w:cs="宋体"/>
          <w:szCs w:val="20"/>
          <w:highlight w:val="none"/>
        </w:rPr>
      </w:pPr>
    </w:p>
    <w:p>
      <w:pPr>
        <w:widowControl/>
        <w:tabs>
          <w:tab w:val="left" w:pos="6275"/>
        </w:tabs>
        <w:snapToGrid w:val="0"/>
        <w:jc w:val="left"/>
        <w:rPr>
          <w:rFonts w:ascii="宋体" w:hAnsi="宋体" w:eastAsia="宋体" w:cs="宋体"/>
          <w:szCs w:val="20"/>
          <w:highlight w:val="none"/>
        </w:rPr>
      </w:pPr>
      <w:r>
        <w:rPr>
          <w:rFonts w:hint="eastAsia" w:ascii="宋体" w:hAnsi="宋体" w:eastAsia="宋体" w:cs="宋体"/>
          <w:szCs w:val="20"/>
          <w:highlight w:val="none"/>
        </w:rPr>
        <w:t xml:space="preserve">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728"/>
        <w:gridCol w:w="1544"/>
        <w:gridCol w:w="2405"/>
        <w:gridCol w:w="1095"/>
        <w:gridCol w:w="1853"/>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1058" w:hRule="atLeast"/>
          <w:tblHeader/>
          <w:jc w:val="center"/>
        </w:trPr>
        <w:tc>
          <w:tcPr>
            <w:tcW w:w="728" w:type="dxa"/>
            <w:vAlign w:val="center"/>
          </w:tcPr>
          <w:p>
            <w:pPr>
              <w:widowControl/>
              <w:snapToGrid w:val="0"/>
              <w:jc w:val="center"/>
              <w:rPr>
                <w:rFonts w:ascii="宋体" w:hAnsi="宋体" w:eastAsia="宋体" w:cs="宋体"/>
                <w:b/>
                <w:kern w:val="0"/>
                <w:szCs w:val="20"/>
                <w:highlight w:val="none"/>
                <w:lang w:eastAsia="en-US"/>
              </w:rPr>
            </w:pPr>
            <w:r>
              <w:rPr>
                <w:rFonts w:hint="eastAsia" w:ascii="宋体" w:hAnsi="宋体" w:eastAsia="宋体" w:cs="宋体"/>
                <w:b/>
                <w:kern w:val="0"/>
                <w:szCs w:val="20"/>
                <w:highlight w:val="none"/>
                <w:lang w:eastAsia="en-US"/>
              </w:rPr>
              <w:t>序号</w:t>
            </w:r>
          </w:p>
        </w:tc>
        <w:tc>
          <w:tcPr>
            <w:tcW w:w="1544" w:type="dxa"/>
            <w:vAlign w:val="center"/>
          </w:tcPr>
          <w:p>
            <w:pPr>
              <w:widowControl/>
              <w:snapToGrid w:val="0"/>
              <w:jc w:val="center"/>
              <w:rPr>
                <w:rFonts w:ascii="宋体" w:hAnsi="宋体" w:eastAsia="宋体" w:cs="宋体"/>
                <w:b/>
                <w:kern w:val="0"/>
                <w:szCs w:val="20"/>
                <w:highlight w:val="none"/>
                <w:lang w:eastAsia="en-US"/>
              </w:rPr>
            </w:pPr>
            <w:r>
              <w:rPr>
                <w:rFonts w:hint="eastAsia" w:ascii="宋体" w:hAnsi="宋体" w:eastAsia="宋体" w:cs="宋体"/>
                <w:b/>
                <w:kern w:val="0"/>
                <w:szCs w:val="20"/>
                <w:highlight w:val="none"/>
              </w:rPr>
              <w:t>备件</w:t>
            </w:r>
            <w:r>
              <w:rPr>
                <w:rFonts w:hint="eastAsia" w:ascii="宋体" w:hAnsi="宋体" w:eastAsia="宋体" w:cs="宋体"/>
                <w:b/>
                <w:kern w:val="0"/>
                <w:szCs w:val="20"/>
                <w:highlight w:val="none"/>
                <w:lang w:eastAsia="en-US"/>
              </w:rPr>
              <w:t>名称</w:t>
            </w:r>
          </w:p>
        </w:tc>
        <w:tc>
          <w:tcPr>
            <w:tcW w:w="2405" w:type="dxa"/>
            <w:vAlign w:val="center"/>
          </w:tcPr>
          <w:p>
            <w:pPr>
              <w:widowControl/>
              <w:snapToGrid w:val="0"/>
              <w:jc w:val="center"/>
              <w:rPr>
                <w:rFonts w:ascii="宋体" w:hAnsi="宋体" w:eastAsia="宋体" w:cs="宋体"/>
                <w:b/>
                <w:kern w:val="0"/>
                <w:szCs w:val="20"/>
                <w:highlight w:val="none"/>
                <w:lang w:eastAsia="en-US"/>
              </w:rPr>
            </w:pPr>
            <w:r>
              <w:rPr>
                <w:rFonts w:hint="eastAsia" w:ascii="宋体" w:hAnsi="宋体" w:eastAsia="宋体" w:cs="宋体"/>
                <w:b/>
                <w:kern w:val="0"/>
                <w:szCs w:val="20"/>
                <w:highlight w:val="none"/>
                <w:lang w:eastAsia="en-US"/>
              </w:rPr>
              <w:t>规格型号</w:t>
            </w:r>
          </w:p>
        </w:tc>
        <w:tc>
          <w:tcPr>
            <w:tcW w:w="1095" w:type="dxa"/>
            <w:vAlign w:val="center"/>
          </w:tcPr>
          <w:p>
            <w:pPr>
              <w:widowControl/>
              <w:snapToGrid w:val="0"/>
              <w:jc w:val="center"/>
              <w:rPr>
                <w:rFonts w:ascii="宋体" w:hAnsi="宋体" w:eastAsia="宋体" w:cs="宋体"/>
                <w:b/>
                <w:kern w:val="0"/>
                <w:szCs w:val="20"/>
                <w:highlight w:val="none"/>
              </w:rPr>
            </w:pPr>
            <w:r>
              <w:rPr>
                <w:rFonts w:hint="eastAsia" w:ascii="宋体" w:hAnsi="宋体" w:eastAsia="宋体" w:cs="宋体"/>
                <w:b/>
                <w:kern w:val="0"/>
                <w:szCs w:val="20"/>
                <w:highlight w:val="none"/>
              </w:rPr>
              <w:t>单位</w:t>
            </w:r>
          </w:p>
        </w:tc>
        <w:tc>
          <w:tcPr>
            <w:tcW w:w="1853" w:type="dxa"/>
            <w:vAlign w:val="center"/>
          </w:tcPr>
          <w:p>
            <w:pPr>
              <w:widowControl/>
              <w:snapToGrid w:val="0"/>
              <w:jc w:val="center"/>
              <w:rPr>
                <w:rFonts w:ascii="宋体" w:hAnsi="宋体" w:eastAsia="宋体" w:cs="宋体"/>
                <w:b/>
                <w:kern w:val="0"/>
                <w:szCs w:val="20"/>
                <w:highlight w:val="none"/>
              </w:rPr>
            </w:pPr>
            <w:r>
              <w:rPr>
                <w:rFonts w:hint="eastAsia" w:ascii="宋体" w:hAnsi="宋体" w:eastAsia="宋体" w:cs="宋体"/>
                <w:b/>
                <w:kern w:val="0"/>
                <w:szCs w:val="20"/>
                <w:highlight w:val="none"/>
              </w:rPr>
              <w:t>综合单价</w:t>
            </w:r>
          </w:p>
          <w:p>
            <w:pPr>
              <w:widowControl/>
              <w:snapToGrid w:val="0"/>
              <w:jc w:val="center"/>
              <w:rPr>
                <w:rFonts w:ascii="宋体" w:hAnsi="宋体" w:eastAsia="宋体" w:cs="宋体"/>
                <w:b/>
                <w:kern w:val="0"/>
                <w:szCs w:val="20"/>
                <w:highlight w:val="none"/>
              </w:rPr>
            </w:pPr>
            <w:r>
              <w:rPr>
                <w:rFonts w:hint="eastAsia" w:ascii="宋体" w:hAnsi="宋体" w:eastAsia="宋体" w:cs="宋体"/>
                <w:b/>
                <w:kern w:val="0"/>
                <w:szCs w:val="20"/>
                <w:highlight w:val="none"/>
              </w:rPr>
              <w:t>（人民币：元）</w:t>
            </w:r>
          </w:p>
        </w:tc>
        <w:tc>
          <w:tcPr>
            <w:tcW w:w="1513" w:type="dxa"/>
            <w:vAlign w:val="center"/>
          </w:tcPr>
          <w:p>
            <w:pPr>
              <w:widowControl/>
              <w:snapToGrid w:val="0"/>
              <w:jc w:val="center"/>
              <w:rPr>
                <w:rFonts w:ascii="宋体" w:hAnsi="宋体" w:eastAsia="宋体" w:cs="宋体"/>
                <w:b/>
                <w:kern w:val="0"/>
                <w:szCs w:val="20"/>
                <w:highlight w:val="none"/>
              </w:rPr>
            </w:pPr>
            <w:r>
              <w:rPr>
                <w:rFonts w:hint="eastAsia" w:ascii="宋体" w:hAnsi="宋体" w:eastAsia="宋体" w:cs="宋体"/>
                <w:b/>
                <w:kern w:val="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center"/>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67" w:hRule="atLeast"/>
          <w:jc w:val="center"/>
        </w:trPr>
        <w:tc>
          <w:tcPr>
            <w:tcW w:w="728" w:type="dxa"/>
            <w:vAlign w:val="center"/>
          </w:tcPr>
          <w:p>
            <w:pPr>
              <w:widowControl/>
              <w:snapToGrid w:val="0"/>
              <w:jc w:val="center"/>
              <w:rPr>
                <w:rFonts w:ascii="宋体" w:hAnsi="宋体" w:eastAsia="宋体" w:cs="宋体"/>
                <w:kern w:val="0"/>
                <w:szCs w:val="20"/>
                <w:highlight w:val="none"/>
                <w:lang w:eastAsia="en-US"/>
              </w:rPr>
            </w:pPr>
          </w:p>
        </w:tc>
        <w:tc>
          <w:tcPr>
            <w:tcW w:w="1544" w:type="dxa"/>
            <w:vAlign w:val="center"/>
          </w:tcPr>
          <w:p>
            <w:pPr>
              <w:widowControl/>
              <w:snapToGrid w:val="0"/>
              <w:jc w:val="left"/>
              <w:rPr>
                <w:rFonts w:ascii="宋体" w:hAnsi="宋体" w:eastAsia="宋体" w:cs="宋体"/>
                <w:kern w:val="0"/>
                <w:szCs w:val="20"/>
                <w:highlight w:val="none"/>
                <w:lang w:eastAsia="en-US"/>
              </w:rPr>
            </w:pPr>
          </w:p>
        </w:tc>
        <w:tc>
          <w:tcPr>
            <w:tcW w:w="2405" w:type="dxa"/>
            <w:vAlign w:val="center"/>
          </w:tcPr>
          <w:p>
            <w:pPr>
              <w:widowControl/>
              <w:snapToGrid w:val="0"/>
              <w:ind w:firstLine="420"/>
              <w:jc w:val="left"/>
              <w:rPr>
                <w:rFonts w:ascii="宋体" w:hAnsi="宋体" w:eastAsia="宋体" w:cs="宋体"/>
                <w:kern w:val="0"/>
                <w:szCs w:val="20"/>
                <w:highlight w:val="none"/>
                <w:lang w:eastAsia="en-US"/>
              </w:rPr>
            </w:pPr>
          </w:p>
        </w:tc>
        <w:tc>
          <w:tcPr>
            <w:tcW w:w="1095" w:type="dxa"/>
            <w:vAlign w:val="center"/>
          </w:tcPr>
          <w:p>
            <w:pPr>
              <w:widowControl/>
              <w:snapToGrid w:val="0"/>
              <w:jc w:val="center"/>
              <w:rPr>
                <w:rFonts w:ascii="宋体" w:hAnsi="宋体" w:eastAsia="宋体" w:cs="宋体"/>
                <w:b/>
                <w:kern w:val="0"/>
                <w:szCs w:val="20"/>
                <w:highlight w:val="none"/>
                <w:lang w:eastAsia="en-US"/>
              </w:rPr>
            </w:pPr>
          </w:p>
        </w:tc>
        <w:tc>
          <w:tcPr>
            <w:tcW w:w="1853" w:type="dxa"/>
            <w:vAlign w:val="center"/>
          </w:tcPr>
          <w:p>
            <w:pPr>
              <w:widowControl/>
              <w:snapToGrid w:val="0"/>
              <w:ind w:firstLine="420"/>
              <w:jc w:val="left"/>
              <w:rPr>
                <w:rFonts w:ascii="宋体" w:hAnsi="宋体" w:eastAsia="宋体" w:cs="宋体"/>
                <w:kern w:val="0"/>
                <w:szCs w:val="20"/>
                <w:highlight w:val="none"/>
                <w:lang w:eastAsia="en-US"/>
              </w:rPr>
            </w:pPr>
          </w:p>
        </w:tc>
        <w:tc>
          <w:tcPr>
            <w:tcW w:w="1513" w:type="dxa"/>
          </w:tcPr>
          <w:p>
            <w:pPr>
              <w:widowControl/>
              <w:snapToGrid w:val="0"/>
              <w:ind w:firstLine="420"/>
              <w:jc w:val="left"/>
              <w:rPr>
                <w:rFonts w:ascii="宋体" w:hAnsi="宋体" w:eastAsia="宋体" w:cs="宋体"/>
                <w:kern w:val="0"/>
                <w:szCs w:val="20"/>
                <w:highlight w:val="none"/>
                <w:lang w:eastAsia="en-US"/>
              </w:rPr>
            </w:pPr>
          </w:p>
        </w:tc>
      </w:tr>
    </w:tbl>
    <w:p>
      <w:pPr>
        <w:widowControl/>
        <w:ind w:left="712" w:hanging="711" w:hangingChars="339"/>
        <w:jc w:val="left"/>
        <w:rPr>
          <w:rFonts w:ascii="宋体" w:hAnsi="宋体" w:eastAsia="宋体" w:cs="宋体"/>
          <w:kern w:val="0"/>
          <w:szCs w:val="20"/>
          <w:highlight w:val="none"/>
        </w:rPr>
      </w:pPr>
    </w:p>
    <w:p>
      <w:pPr>
        <w:widowControl/>
        <w:ind w:left="712" w:hanging="711" w:hangingChars="339"/>
        <w:jc w:val="left"/>
        <w:rPr>
          <w:rFonts w:ascii="宋体" w:hAnsi="宋体" w:eastAsia="宋体" w:cs="宋体"/>
          <w:kern w:val="0"/>
          <w:szCs w:val="20"/>
          <w:highlight w:val="none"/>
        </w:rPr>
      </w:pPr>
      <w:r>
        <w:rPr>
          <w:rFonts w:hint="eastAsia" w:ascii="宋体" w:hAnsi="宋体" w:eastAsia="宋体" w:cs="宋体"/>
          <w:kern w:val="0"/>
          <w:szCs w:val="20"/>
          <w:highlight w:val="none"/>
        </w:rPr>
        <w:t>注：1、投标人必须提交质保期满后2年内的备品备件清单。</w:t>
      </w:r>
    </w:p>
    <w:p>
      <w:pPr>
        <w:widowControl/>
        <w:ind w:left="712" w:hanging="711" w:hangingChars="339"/>
        <w:jc w:val="left"/>
        <w:rPr>
          <w:rFonts w:ascii="宋体" w:hAnsi="宋体" w:eastAsia="宋体" w:cs="宋体"/>
          <w:kern w:val="0"/>
          <w:szCs w:val="20"/>
          <w:highlight w:val="none"/>
        </w:rPr>
      </w:pPr>
      <w:r>
        <w:rPr>
          <w:rFonts w:hint="eastAsia" w:ascii="宋体" w:hAnsi="宋体" w:eastAsia="宋体" w:cs="宋体"/>
          <w:kern w:val="0"/>
          <w:szCs w:val="20"/>
          <w:highlight w:val="none"/>
        </w:rPr>
        <w:t xml:space="preserve">    2、此费用不计入投标总价。质保期满后2年内，如招标人需要，投标人将以不超过上表清单价格将备品备件供应给招标人。</w:t>
      </w:r>
    </w:p>
    <w:p>
      <w:pPr>
        <w:widowControl/>
        <w:ind w:left="712" w:hanging="711" w:hangingChars="339"/>
        <w:jc w:val="left"/>
        <w:rPr>
          <w:rFonts w:ascii="宋体" w:hAnsi="宋体" w:eastAsia="宋体" w:cs="宋体"/>
          <w:kern w:val="0"/>
          <w:szCs w:val="20"/>
          <w:highlight w:val="none"/>
        </w:rPr>
      </w:pPr>
      <w:r>
        <w:rPr>
          <w:rFonts w:hint="eastAsia" w:ascii="宋体" w:hAnsi="宋体" w:eastAsia="宋体" w:cs="宋体"/>
          <w:kern w:val="0"/>
          <w:szCs w:val="20"/>
          <w:highlight w:val="none"/>
        </w:rPr>
        <w:t xml:space="preserve">    3、表中的综合单价为全费用综合单价，包括但不限于材料费、运输费、管理费、利润、税金等一切费用。</w:t>
      </w:r>
    </w:p>
    <w:p>
      <w:pPr>
        <w:widowControl/>
        <w:ind w:left="712" w:hanging="711" w:hangingChars="339"/>
        <w:jc w:val="left"/>
        <w:rPr>
          <w:rFonts w:ascii="宋体" w:hAnsi="宋体" w:eastAsia="宋体" w:cs="宋体"/>
          <w:kern w:val="0"/>
          <w:szCs w:val="20"/>
          <w:highlight w:val="none"/>
        </w:rPr>
      </w:pPr>
    </w:p>
    <w:p>
      <w:pPr>
        <w:widowControl/>
        <w:jc w:val="left"/>
        <w:rPr>
          <w:rFonts w:ascii="宋体" w:hAnsi="宋体" w:eastAsia="宋体" w:cs="宋体"/>
          <w:kern w:val="0"/>
          <w:sz w:val="32"/>
          <w:szCs w:val="20"/>
          <w:highlight w:val="none"/>
        </w:rPr>
      </w:pPr>
      <w:r>
        <w:rPr>
          <w:rFonts w:hint="eastAsia" w:ascii="宋体" w:hAnsi="宋体" w:eastAsia="宋体" w:cs="宋体"/>
          <w:b/>
          <w:kern w:val="0"/>
          <w:sz w:val="22"/>
          <w:szCs w:val="20"/>
          <w:highlight w:val="none"/>
        </w:rPr>
        <w:br w:type="page"/>
      </w:r>
      <w:bookmarkStart w:id="184" w:name="_Toc520184749"/>
      <w:bookmarkStart w:id="185" w:name="_Toc7454678"/>
      <w:bookmarkStart w:id="186" w:name="_Toc11379"/>
      <w:r>
        <w:rPr>
          <w:rFonts w:hint="eastAsia" w:ascii="宋体" w:hAnsi="宋体" w:eastAsia="宋体" w:cs="宋体"/>
          <w:kern w:val="0"/>
          <w:sz w:val="32"/>
          <w:szCs w:val="20"/>
          <w:highlight w:val="none"/>
        </w:rPr>
        <w:t>七、</w:t>
      </w:r>
      <w:bookmarkEnd w:id="184"/>
      <w:bookmarkEnd w:id="185"/>
      <w:bookmarkEnd w:id="186"/>
      <w:r>
        <w:rPr>
          <w:rFonts w:hint="eastAsia" w:ascii="宋体" w:hAnsi="宋体" w:eastAsia="宋体" w:cs="宋体"/>
          <w:kern w:val="0"/>
          <w:sz w:val="32"/>
          <w:szCs w:val="20"/>
          <w:highlight w:val="none"/>
        </w:rPr>
        <w:t>资格审查资料</w:t>
      </w:r>
    </w:p>
    <w:p>
      <w:pPr>
        <w:widowControl/>
        <w:jc w:val="left"/>
        <w:rPr>
          <w:rFonts w:ascii="黑体" w:hAnsi="黑体" w:eastAsia="黑体" w:cs="宋体"/>
          <w:color w:val="000000"/>
          <w:kern w:val="0"/>
          <w:sz w:val="28"/>
          <w:szCs w:val="28"/>
          <w:highlight w:val="none"/>
        </w:rPr>
      </w:pPr>
      <w:r>
        <w:rPr>
          <w:rFonts w:hint="eastAsia" w:ascii="黑体" w:hAnsi="黑体" w:eastAsia="黑体" w:cs="宋体"/>
          <w:color w:val="000000"/>
          <w:kern w:val="0"/>
          <w:sz w:val="28"/>
          <w:szCs w:val="28"/>
          <w:highlight w:val="none"/>
        </w:rPr>
        <w:t>（一）基本情况表</w:t>
      </w:r>
    </w:p>
    <w:p>
      <w:pPr>
        <w:ind w:firstLine="420" w:firstLineChars="200"/>
        <w:rPr>
          <w:rFonts w:ascii="Times New Roman" w:hAnsi="Times New Roman" w:eastAsia="宋体" w:cs="Times New Roman"/>
          <w:szCs w:val="24"/>
          <w:highlight w:val="none"/>
        </w:rPr>
      </w:pPr>
    </w:p>
    <w:p>
      <w:pPr>
        <w:spacing w:line="360" w:lineRule="auto"/>
        <w:jc w:val="center"/>
        <w:rPr>
          <w:rFonts w:ascii="宋体" w:hAnsi="宋体" w:eastAsia="宋体" w:cs="宋体"/>
          <w:sz w:val="24"/>
          <w:szCs w:val="24"/>
          <w:highlight w:val="none"/>
        </w:rPr>
      </w:pPr>
      <w:bookmarkStart w:id="187" w:name="_Toc19280"/>
      <w:bookmarkStart w:id="188" w:name="_Toc520184750"/>
      <w:bookmarkStart w:id="189" w:name="_Toc7454679"/>
      <w:r>
        <w:rPr>
          <w:rFonts w:hint="eastAsia" w:ascii="宋体" w:hAnsi="宋体" w:eastAsia="宋体" w:cs="宋体"/>
          <w:sz w:val="24"/>
          <w:szCs w:val="24"/>
          <w:highlight w:val="none"/>
        </w:rPr>
        <w:t>基本情况表</w:t>
      </w:r>
      <w:bookmarkEnd w:id="187"/>
      <w:bookmarkEnd w:id="188"/>
      <w:bookmarkEnd w:id="189"/>
    </w:p>
    <w:tbl>
      <w:tblPr>
        <w:tblStyle w:val="31"/>
        <w:tblW w:w="985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70"/>
        <w:gridCol w:w="995"/>
        <w:gridCol w:w="2566"/>
        <w:gridCol w:w="1427"/>
        <w:gridCol w:w="25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投标人名称</w:t>
            </w:r>
          </w:p>
        </w:tc>
        <w:tc>
          <w:tcPr>
            <w:tcW w:w="7585" w:type="dxa"/>
            <w:gridSpan w:val="4"/>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注册资金</w:t>
            </w:r>
          </w:p>
        </w:tc>
        <w:tc>
          <w:tcPr>
            <w:tcW w:w="3561" w:type="dxa"/>
            <w:gridSpan w:val="2"/>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成立时间</w:t>
            </w:r>
          </w:p>
        </w:tc>
        <w:tc>
          <w:tcPr>
            <w:tcW w:w="259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注册地址</w:t>
            </w:r>
          </w:p>
        </w:tc>
        <w:tc>
          <w:tcPr>
            <w:tcW w:w="7585" w:type="dxa"/>
            <w:gridSpan w:val="4"/>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邮政编码</w:t>
            </w:r>
          </w:p>
        </w:tc>
        <w:tc>
          <w:tcPr>
            <w:tcW w:w="3561" w:type="dxa"/>
            <w:gridSpan w:val="2"/>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员工总数</w:t>
            </w:r>
          </w:p>
        </w:tc>
        <w:tc>
          <w:tcPr>
            <w:tcW w:w="259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vMerge w:val="restart"/>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联系方式</w:t>
            </w:r>
          </w:p>
        </w:tc>
        <w:tc>
          <w:tcPr>
            <w:tcW w:w="995"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联系人</w:t>
            </w:r>
          </w:p>
        </w:tc>
        <w:tc>
          <w:tcPr>
            <w:tcW w:w="2566"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电 话</w:t>
            </w:r>
          </w:p>
        </w:tc>
        <w:tc>
          <w:tcPr>
            <w:tcW w:w="259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highlight w:val="none"/>
              </w:rPr>
            </w:pPr>
          </w:p>
        </w:tc>
        <w:tc>
          <w:tcPr>
            <w:tcW w:w="995"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网 址</w:t>
            </w:r>
          </w:p>
        </w:tc>
        <w:tc>
          <w:tcPr>
            <w:tcW w:w="2566"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传  真</w:t>
            </w:r>
          </w:p>
        </w:tc>
        <w:tc>
          <w:tcPr>
            <w:tcW w:w="259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法定代表人</w:t>
            </w:r>
          </w:p>
          <w:p>
            <w:pPr>
              <w:topLinePunct/>
              <w:jc w:val="center"/>
              <w:rPr>
                <w:rFonts w:ascii="宋体" w:hAnsi="宋体" w:eastAsia="宋体" w:cs="宋体"/>
                <w:szCs w:val="21"/>
                <w:highlight w:val="none"/>
              </w:rPr>
            </w:pPr>
            <w:r>
              <w:rPr>
                <w:rFonts w:hint="eastAsia" w:ascii="宋体" w:hAnsi="宋体" w:eastAsia="宋体" w:cs="宋体"/>
                <w:szCs w:val="21"/>
                <w:highlight w:val="none"/>
              </w:rPr>
              <w:t>（单位负责人）</w:t>
            </w:r>
          </w:p>
        </w:tc>
        <w:tc>
          <w:tcPr>
            <w:tcW w:w="995"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姓名</w:t>
            </w:r>
          </w:p>
        </w:tc>
        <w:tc>
          <w:tcPr>
            <w:tcW w:w="2566"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c>
          <w:tcPr>
            <w:tcW w:w="142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电话</w:t>
            </w:r>
          </w:p>
        </w:tc>
        <w:tc>
          <w:tcPr>
            <w:tcW w:w="2597"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投标人须知要求投标</w:t>
            </w:r>
          </w:p>
          <w:p>
            <w:pPr>
              <w:topLinePunct/>
              <w:jc w:val="center"/>
              <w:rPr>
                <w:rFonts w:ascii="宋体" w:hAnsi="宋体" w:eastAsia="宋体" w:cs="宋体"/>
                <w:szCs w:val="21"/>
                <w:highlight w:val="none"/>
              </w:rPr>
            </w:pPr>
            <w:r>
              <w:rPr>
                <w:rFonts w:hint="eastAsia" w:ascii="宋体" w:hAnsi="宋体" w:eastAsia="宋体" w:cs="宋体"/>
                <w:szCs w:val="21"/>
                <w:highlight w:val="none"/>
              </w:rPr>
              <w:t>人需具有的各类资质</w:t>
            </w:r>
          </w:p>
          <w:p>
            <w:pPr>
              <w:topLinePunct/>
              <w:jc w:val="center"/>
              <w:rPr>
                <w:rFonts w:ascii="宋体" w:hAnsi="宋体" w:eastAsia="宋体" w:cs="宋体"/>
                <w:szCs w:val="21"/>
                <w:highlight w:val="none"/>
              </w:rPr>
            </w:pPr>
            <w:r>
              <w:rPr>
                <w:rFonts w:hint="eastAsia" w:ascii="宋体" w:hAnsi="宋体" w:eastAsia="宋体" w:cs="宋体"/>
                <w:szCs w:val="21"/>
                <w:highlight w:val="none"/>
              </w:rPr>
              <w:t>证书</w:t>
            </w:r>
          </w:p>
        </w:tc>
        <w:tc>
          <w:tcPr>
            <w:tcW w:w="7585" w:type="dxa"/>
            <w:gridSpan w:val="4"/>
            <w:tcBorders>
              <w:top w:val="single" w:color="auto" w:sz="4" w:space="0"/>
              <w:left w:val="single" w:color="auto" w:sz="4" w:space="0"/>
              <w:bottom w:val="single" w:color="auto" w:sz="4" w:space="0"/>
              <w:right w:val="single" w:color="auto" w:sz="4" w:space="0"/>
            </w:tcBorders>
            <w:vAlign w:val="center"/>
          </w:tcPr>
          <w:p>
            <w:pPr>
              <w:topLinePunct/>
              <w:ind w:firstLine="105" w:firstLineChars="50"/>
              <w:jc w:val="center"/>
              <w:rPr>
                <w:rFonts w:ascii="宋体" w:hAnsi="宋体" w:eastAsia="宋体" w:cs="宋体"/>
                <w:szCs w:val="21"/>
                <w:highlight w:val="none"/>
              </w:rPr>
            </w:pPr>
            <w:r>
              <w:rPr>
                <w:rFonts w:hint="eastAsia" w:ascii="宋体" w:hAnsi="宋体" w:eastAsia="宋体" w:cs="宋体"/>
                <w:szCs w:val="21"/>
                <w:highlight w:val="none"/>
              </w:rPr>
              <w:t>类型：                    等级：      证书号：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tcPr>
          <w:p>
            <w:pPr>
              <w:rPr>
                <w:rFonts w:ascii="宋体" w:hAnsi="宋体" w:eastAsia="宋体" w:cs="宋体"/>
                <w:szCs w:val="21"/>
                <w:highlight w:val="none"/>
              </w:rPr>
            </w:pPr>
            <w:r>
              <w:rPr>
                <w:rFonts w:hint="eastAsia" w:ascii="宋体" w:hAnsi="宋体" w:eastAsia="宋体" w:cs="宋体"/>
                <w:szCs w:val="21"/>
                <w:highlight w:val="none"/>
              </w:rPr>
              <w:t>基本账户开户银行</w:t>
            </w:r>
          </w:p>
        </w:tc>
        <w:tc>
          <w:tcPr>
            <w:tcW w:w="7585" w:type="dxa"/>
            <w:gridSpan w:val="4"/>
            <w:tcBorders>
              <w:top w:val="single" w:color="auto" w:sz="4" w:space="0"/>
              <w:left w:val="single" w:color="auto" w:sz="4" w:space="0"/>
              <w:bottom w:val="single" w:color="auto" w:sz="4" w:space="0"/>
              <w:right w:val="single" w:color="auto" w:sz="4" w:space="0"/>
            </w:tcBorders>
            <w:vAlign w:val="center"/>
          </w:tcPr>
          <w:p>
            <w:pPr>
              <w:topLinePunct/>
              <w:ind w:firstLine="105" w:firstLineChars="50"/>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bottom w:val="single" w:color="auto" w:sz="4" w:space="0"/>
              <w:right w:val="single" w:color="auto" w:sz="4" w:space="0"/>
            </w:tcBorders>
          </w:tcPr>
          <w:p>
            <w:pPr>
              <w:rPr>
                <w:rFonts w:ascii="宋体" w:hAnsi="宋体" w:eastAsia="宋体" w:cs="宋体"/>
                <w:szCs w:val="21"/>
                <w:highlight w:val="none"/>
              </w:rPr>
            </w:pPr>
            <w:r>
              <w:rPr>
                <w:rFonts w:hint="eastAsia" w:ascii="宋体" w:hAnsi="宋体" w:eastAsia="宋体" w:cs="宋体"/>
                <w:szCs w:val="21"/>
                <w:highlight w:val="none"/>
              </w:rPr>
              <w:t>基本账户银行账号</w:t>
            </w:r>
          </w:p>
        </w:tc>
        <w:tc>
          <w:tcPr>
            <w:tcW w:w="7585" w:type="dxa"/>
            <w:gridSpan w:val="4"/>
            <w:tcBorders>
              <w:top w:val="single" w:color="auto" w:sz="4" w:space="0"/>
              <w:left w:val="single" w:color="auto" w:sz="4" w:space="0"/>
              <w:bottom w:val="single" w:color="auto" w:sz="4" w:space="0"/>
              <w:right w:val="single" w:color="auto" w:sz="4" w:space="0"/>
            </w:tcBorders>
            <w:vAlign w:val="center"/>
          </w:tcPr>
          <w:p>
            <w:pPr>
              <w:topLinePunct/>
              <w:ind w:firstLine="105" w:firstLineChars="50"/>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right w:val="single" w:color="auto" w:sz="4" w:space="0"/>
            </w:tcBorders>
          </w:tcPr>
          <w:p>
            <w:pPr>
              <w:rPr>
                <w:rFonts w:ascii="宋体" w:hAnsi="宋体" w:eastAsia="宋体" w:cs="宋体"/>
                <w:szCs w:val="21"/>
                <w:highlight w:val="none"/>
              </w:rPr>
            </w:pPr>
            <w:r>
              <w:rPr>
                <w:rFonts w:hint="eastAsia" w:ascii="宋体" w:hAnsi="宋体" w:eastAsia="宋体" w:cs="宋体"/>
                <w:szCs w:val="21"/>
                <w:highlight w:val="none"/>
              </w:rPr>
              <w:t>投标人关联企业情况（包括但不限于：母公司、全资子公司或与投</w:t>
            </w:r>
          </w:p>
          <w:p>
            <w:pPr>
              <w:rPr>
                <w:rFonts w:ascii="宋体" w:hAnsi="宋体" w:eastAsia="宋体" w:cs="宋体"/>
                <w:szCs w:val="21"/>
                <w:highlight w:val="none"/>
              </w:rPr>
            </w:pPr>
            <w:r>
              <w:rPr>
                <w:rFonts w:hint="eastAsia" w:ascii="宋体" w:hAnsi="宋体" w:eastAsia="宋体" w:cs="宋体"/>
                <w:szCs w:val="21"/>
                <w:highlight w:val="none"/>
              </w:rPr>
              <w:t>标人法定代表人（单位负责人）为同一人或存在控股管理关系的不同单位）</w:t>
            </w:r>
          </w:p>
        </w:tc>
        <w:tc>
          <w:tcPr>
            <w:tcW w:w="7585" w:type="dxa"/>
            <w:gridSpan w:val="4"/>
            <w:tcBorders>
              <w:top w:val="single" w:color="auto" w:sz="4" w:space="0"/>
              <w:left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right w:val="single" w:color="auto" w:sz="4" w:space="0"/>
            </w:tcBorders>
          </w:tcPr>
          <w:p>
            <w:pPr>
              <w:rPr>
                <w:rFonts w:ascii="宋体" w:hAnsi="宋体" w:eastAsia="宋体" w:cs="宋体"/>
                <w:szCs w:val="21"/>
                <w:highlight w:val="none"/>
              </w:rPr>
            </w:pPr>
            <w:r>
              <w:rPr>
                <w:rFonts w:hint="eastAsia" w:ascii="宋体" w:hAnsi="宋体" w:eastAsia="宋体" w:cs="宋体"/>
                <w:szCs w:val="21"/>
                <w:highlight w:val="none"/>
              </w:rPr>
              <w:t>投标设备制造商名称</w:t>
            </w:r>
          </w:p>
        </w:tc>
        <w:tc>
          <w:tcPr>
            <w:tcW w:w="7585" w:type="dxa"/>
            <w:gridSpan w:val="4"/>
            <w:tcBorders>
              <w:top w:val="single" w:color="auto" w:sz="4" w:space="0"/>
              <w:left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270" w:type="dxa"/>
            <w:tcBorders>
              <w:top w:val="single" w:color="auto" w:sz="4" w:space="0"/>
              <w:left w:val="single" w:color="auto" w:sz="4" w:space="0"/>
              <w:right w:val="single" w:color="auto" w:sz="4" w:space="0"/>
            </w:tcBorders>
          </w:tcPr>
          <w:p>
            <w:pPr>
              <w:rPr>
                <w:rFonts w:ascii="宋体" w:hAnsi="宋体" w:eastAsia="宋体" w:cs="宋体"/>
                <w:szCs w:val="21"/>
                <w:highlight w:val="none"/>
              </w:rPr>
            </w:pPr>
            <w:r>
              <w:rPr>
                <w:rFonts w:hint="eastAsia" w:ascii="宋体" w:hAnsi="宋体" w:eastAsia="宋体" w:cs="宋体"/>
                <w:szCs w:val="21"/>
                <w:highlight w:val="none"/>
              </w:rPr>
              <w:t>投标人须知要求投标设备制造商需具有的资质证书</w:t>
            </w:r>
          </w:p>
        </w:tc>
        <w:tc>
          <w:tcPr>
            <w:tcW w:w="7585" w:type="dxa"/>
            <w:gridSpan w:val="4"/>
            <w:tcBorders>
              <w:top w:val="single" w:color="auto" w:sz="4" w:space="0"/>
              <w:left w:val="single" w:color="auto" w:sz="4" w:space="0"/>
              <w:right w:val="single" w:color="auto" w:sz="4" w:space="0"/>
            </w:tcBorders>
            <w:vAlign w:val="center"/>
          </w:tcPr>
          <w:p>
            <w:pPr>
              <w:topLinePunct/>
              <w:jc w:val="center"/>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27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r>
              <w:rPr>
                <w:rFonts w:hint="eastAsia" w:ascii="宋体" w:hAnsi="宋体" w:eastAsia="宋体" w:cs="宋体"/>
                <w:szCs w:val="21"/>
                <w:highlight w:val="none"/>
              </w:rPr>
              <w:t>备注</w:t>
            </w:r>
          </w:p>
        </w:tc>
        <w:tc>
          <w:tcPr>
            <w:tcW w:w="7585" w:type="dxa"/>
            <w:gridSpan w:val="4"/>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1"/>
                <w:highlight w:val="none"/>
              </w:rPr>
            </w:pPr>
          </w:p>
        </w:tc>
      </w:tr>
    </w:tbl>
    <w:p>
      <w:pPr>
        <w:spacing w:line="400" w:lineRule="exact"/>
        <w:rPr>
          <w:rFonts w:ascii="宋体" w:hAnsi="宋体" w:eastAsia="宋体" w:cs="宋体"/>
          <w:sz w:val="24"/>
          <w:szCs w:val="24"/>
          <w:highlight w:val="none"/>
        </w:rPr>
      </w:pPr>
    </w:p>
    <w:p>
      <w:pPr>
        <w:spacing w:line="400" w:lineRule="exact"/>
        <w:rPr>
          <w:rFonts w:ascii="宋体" w:hAnsi="宋体" w:eastAsia="宋体" w:cs="宋体"/>
          <w:sz w:val="24"/>
          <w:szCs w:val="24"/>
          <w:highlight w:val="none"/>
        </w:rPr>
      </w:pPr>
      <w:r>
        <w:rPr>
          <w:rFonts w:hint="eastAsia" w:ascii="宋体" w:hAnsi="宋体" w:eastAsia="宋体" w:cs="宋体"/>
          <w:sz w:val="24"/>
          <w:szCs w:val="24"/>
          <w:highlight w:val="none"/>
        </w:rPr>
        <w:t>注：1. 投标人应根据</w:t>
      </w:r>
      <w:r>
        <w:rPr>
          <w:rFonts w:hint="eastAsia" w:ascii="宋体" w:hAnsi="宋体" w:eastAsia="宋体" w:cs="宋体"/>
          <w:b/>
          <w:sz w:val="24"/>
          <w:szCs w:val="24"/>
          <w:highlight w:val="none"/>
          <w:u w:val="single"/>
        </w:rPr>
        <w:t>投标人资格要求</w:t>
      </w:r>
      <w:r>
        <w:rPr>
          <w:rFonts w:hint="eastAsia" w:ascii="宋体" w:hAnsi="宋体" w:eastAsia="宋体" w:cs="宋体"/>
          <w:sz w:val="24"/>
          <w:szCs w:val="24"/>
          <w:highlight w:val="none"/>
        </w:rPr>
        <w:t>在本表后附相关证明材料。</w:t>
      </w:r>
    </w:p>
    <w:p>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2. 如果投标人须知第1.4.1项对投标设备制造商的资质提出了要求，投标人应根据在本表后附相关资质证书扫描件。</w:t>
      </w:r>
    </w:p>
    <w:p>
      <w:pPr>
        <w:spacing w:line="360" w:lineRule="auto"/>
        <w:jc w:val="left"/>
        <w:rPr>
          <w:rFonts w:ascii="宋体" w:hAnsi="宋体" w:eastAsia="宋体" w:cs="宋体"/>
          <w:b/>
          <w:bCs/>
          <w:sz w:val="32"/>
          <w:szCs w:val="32"/>
          <w:highlight w:val="none"/>
        </w:rPr>
      </w:pPr>
    </w:p>
    <w:p>
      <w:pPr>
        <w:spacing w:line="240" w:lineRule="auto"/>
        <w:jc w:val="left"/>
        <w:rPr>
          <w:rFonts w:ascii="宋体" w:hAnsi="宋体" w:eastAsia="宋体" w:cs="宋体"/>
          <w:b/>
          <w:bCs/>
          <w:sz w:val="32"/>
          <w:szCs w:val="32"/>
          <w:highlight w:val="none"/>
        </w:rPr>
      </w:pPr>
      <w:r>
        <w:rPr>
          <w:rFonts w:ascii="宋体" w:hAnsi="宋体" w:eastAsia="宋体" w:cs="宋体"/>
          <w:b/>
          <w:bCs/>
          <w:sz w:val="32"/>
          <w:szCs w:val="32"/>
          <w:highlight w:val="none"/>
        </w:rPr>
        <w:br w:type="page"/>
      </w:r>
    </w:p>
    <w:p>
      <w:pPr>
        <w:pStyle w:val="16"/>
      </w:pPr>
    </w:p>
    <w:p>
      <w:pPr>
        <w:widowControl/>
        <w:jc w:val="left"/>
        <w:rPr>
          <w:rFonts w:ascii="黑体" w:hAnsi="黑体" w:eastAsia="黑体" w:cs="宋体"/>
          <w:color w:val="000000"/>
          <w:kern w:val="0"/>
          <w:sz w:val="28"/>
          <w:szCs w:val="28"/>
          <w:highlight w:val="none"/>
        </w:rPr>
      </w:pPr>
      <w:r>
        <w:rPr>
          <w:rFonts w:hint="eastAsia" w:ascii="黑体" w:hAnsi="黑体" w:eastAsia="黑体" w:cs="宋体"/>
          <w:color w:val="000000"/>
          <w:kern w:val="0"/>
          <w:sz w:val="28"/>
          <w:szCs w:val="28"/>
          <w:highlight w:val="none"/>
        </w:rPr>
        <w:t>（二）投标人声明</w:t>
      </w:r>
    </w:p>
    <w:p>
      <w:pPr>
        <w:widowControl/>
        <w:snapToGrid w:val="0"/>
        <w:spacing w:before="260" w:after="260" w:line="360" w:lineRule="auto"/>
        <w:ind w:right="384"/>
        <w:jc w:val="center"/>
        <w:rPr>
          <w:rFonts w:ascii="宋体" w:hAnsi="宋体" w:eastAsia="宋体" w:cs="宋体"/>
          <w:kern w:val="0"/>
          <w:szCs w:val="21"/>
          <w:highlight w:val="none"/>
        </w:rPr>
      </w:pPr>
      <w:r>
        <w:rPr>
          <w:rFonts w:hint="eastAsia" w:ascii="宋体" w:hAnsi="宋体" w:eastAsia="宋体" w:cs="宋体"/>
          <w:kern w:val="0"/>
          <w:szCs w:val="21"/>
          <w:highlight w:val="none"/>
        </w:rPr>
        <w:t>投标人声明</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lang w:val="en-US" w:eastAsia="zh-CN"/>
        </w:rPr>
        <w:t>广州市越秀区建设和水务局</w:t>
      </w:r>
      <w:r>
        <w:rPr>
          <w:rFonts w:hint="eastAsia" w:ascii="宋体" w:hAnsi="宋体" w:eastAsia="宋体" w:cs="宋体"/>
          <w:kern w:val="0"/>
          <w:szCs w:val="21"/>
          <w:highlight w:val="none"/>
        </w:rPr>
        <w:t>、本招标项目招标人及招标监管机构：</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本公司就参加</w:t>
      </w:r>
      <w:r>
        <w:rPr>
          <w:rFonts w:hint="eastAsia" w:ascii="宋体" w:hAnsi="宋体" w:eastAsia="宋体" w:cs="宋体"/>
          <w:kern w:val="0"/>
          <w:szCs w:val="21"/>
          <w:highlight w:val="none"/>
          <w:u w:val="single"/>
        </w:rPr>
        <w:t>                项目</w:t>
      </w:r>
      <w:r>
        <w:rPr>
          <w:rFonts w:ascii="宋体" w:hAnsi="宋体" w:eastAsia="宋体" w:cs="宋体"/>
          <w:kern w:val="0"/>
          <w:szCs w:val="21"/>
          <w:highlight w:val="none"/>
        </w:rPr>
        <w:t>投标工作，作出郑重声明：</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一、本公司保证投标登记材料及其后提供的一切材料都是真实的。</w:t>
      </w:r>
      <w:r>
        <w:rPr>
          <w:rFonts w:ascii="宋体" w:hAnsi="宋体" w:eastAsia="宋体" w:cs="宋体"/>
          <w:kern w:val="0"/>
          <w:szCs w:val="21"/>
          <w:highlight w:val="none"/>
        </w:rPr>
        <w:t>如我司成为本项目中标候选人，我司同意并授权招标人将我司投标文件商务部分的人员、业绩、奖项等资料进行公示。</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二、本公司保证不与其他单位围标、串标，不出让投标资格，不向招标人或评标委员会成员行贿。</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三、本公司不存在招标文件第二章投标人须知第1.4.3项所规定的任何一种情形。</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四、本公司及其有隶属关系的机构，没有参加本项目招标文件的编写工作；本公司与本次招标的招标代理机构没有隶属关系或其他利害关系。</w:t>
      </w:r>
    </w:p>
    <w:p>
      <w:pPr>
        <w:snapToGrid w:val="0"/>
        <w:spacing w:line="360" w:lineRule="auto"/>
        <w:ind w:firstLine="420" w:firstLineChars="200"/>
        <w:rPr>
          <w:rFonts w:ascii="宋体" w:hAnsi="宋体" w:eastAsia="宋体" w:cs="宋体"/>
          <w:kern w:val="0"/>
          <w:szCs w:val="21"/>
          <w:highlight w:val="none"/>
        </w:rPr>
      </w:pPr>
      <w:r>
        <w:rPr>
          <w:rFonts w:ascii="宋体" w:hAnsi="宋体" w:eastAsia="宋体" w:cs="宋体"/>
          <w:kern w:val="0"/>
          <w:szCs w:val="21"/>
          <w:highlight w:val="none"/>
        </w:rPr>
        <w:t>五、本公司承诺，中标后严格执行安全生产相关管理规定。</w:t>
      </w:r>
    </w:p>
    <w:p>
      <w:pPr>
        <w:snapToGrid w:val="0"/>
        <w:spacing w:line="360" w:lineRule="auto"/>
        <w:ind w:firstLine="420" w:firstLineChars="200"/>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六、法定代表人为同一人的两个及两个以上法人，母公司、全资子公司及其控股公司，不得在该项目中同时投标，否则全部取消资格。</w:t>
      </w:r>
    </w:p>
    <w:p>
      <w:pPr>
        <w:snapToGrid w:val="0"/>
        <w:spacing w:line="360" w:lineRule="auto"/>
        <w:ind w:firstLine="420" w:firstLineChars="200"/>
        <w:rPr>
          <w:rFonts w:ascii="宋体" w:hAnsi="宋体" w:eastAsia="宋体" w:cs="宋体"/>
          <w:kern w:val="0"/>
          <w:szCs w:val="21"/>
          <w:highlight w:val="none"/>
        </w:rPr>
      </w:pPr>
      <w:r>
        <w:rPr>
          <w:rFonts w:ascii="宋体" w:hAnsi="宋体" w:eastAsia="宋体" w:cs="宋体"/>
          <w:kern w:val="0"/>
          <w:szCs w:val="21"/>
          <w:highlight w:val="none"/>
        </w:rPr>
        <w:t>本公司违反上述保证，或本声明陈述与事实不符，经查实，本公司愿意接受公开通报，承担由此带来的法律后果。</w:t>
      </w:r>
    </w:p>
    <w:p>
      <w:pPr>
        <w:snapToGrid w:val="0"/>
        <w:spacing w:line="360" w:lineRule="auto"/>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特此声明。</w:t>
      </w:r>
    </w:p>
    <w:p>
      <w:pPr>
        <w:snapToGrid w:val="0"/>
        <w:spacing w:line="360" w:lineRule="auto"/>
        <w:ind w:firstLine="3780" w:firstLineChars="1800"/>
        <w:rPr>
          <w:rFonts w:ascii="宋体" w:hAnsi="宋体" w:eastAsia="宋体" w:cs="宋体"/>
          <w:kern w:val="0"/>
          <w:szCs w:val="21"/>
          <w:highlight w:val="none"/>
        </w:rPr>
      </w:pPr>
      <w:r>
        <w:rPr>
          <w:rFonts w:hint="eastAsia" w:ascii="宋体" w:hAnsi="宋体" w:eastAsia="宋体" w:cs="宋体"/>
          <w:kern w:val="0"/>
          <w:szCs w:val="21"/>
          <w:highlight w:val="none"/>
        </w:rPr>
        <w:t>声明企业：            (企业公章)</w:t>
      </w:r>
    </w:p>
    <w:p>
      <w:pPr>
        <w:snapToGrid w:val="0"/>
        <w:spacing w:line="360" w:lineRule="auto"/>
        <w:ind w:firstLine="3721" w:firstLineChars="1772"/>
        <w:rPr>
          <w:rFonts w:ascii="宋体" w:hAnsi="宋体" w:eastAsia="宋体" w:cs="宋体"/>
          <w:kern w:val="0"/>
          <w:szCs w:val="21"/>
          <w:highlight w:val="none"/>
        </w:rPr>
      </w:pPr>
      <w:r>
        <w:rPr>
          <w:rFonts w:hint="eastAsia" w:ascii="宋体" w:hAnsi="宋体" w:eastAsia="宋体" w:cs="宋体"/>
          <w:kern w:val="0"/>
          <w:szCs w:val="21"/>
          <w:highlight w:val="none"/>
        </w:rPr>
        <w:t>法定代表人（单位负责人）签字：</w:t>
      </w:r>
    </w:p>
    <w:p>
      <w:pPr>
        <w:ind w:firstLine="420" w:firstLineChars="200"/>
        <w:jc w:val="right"/>
        <w:rPr>
          <w:rFonts w:ascii="Times New Roman" w:hAnsi="Times New Roman" w:eastAsia="宋体" w:cs="Times New Roman"/>
          <w:szCs w:val="24"/>
          <w:highlight w:val="none"/>
        </w:rPr>
      </w:pPr>
      <w:r>
        <w:rPr>
          <w:rFonts w:hint="eastAsia" w:ascii="宋体" w:hAnsi="宋体" w:eastAsia="宋体" w:cs="宋体"/>
          <w:kern w:val="0"/>
          <w:szCs w:val="21"/>
          <w:highlight w:val="none"/>
        </w:rPr>
        <w:t>年   月   日</w:t>
      </w: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widowControl/>
        <w:jc w:val="left"/>
        <w:rPr>
          <w:rFonts w:ascii="宋体" w:hAnsi="宋体" w:eastAsia="宋体" w:cs="宋体"/>
          <w:kern w:val="0"/>
          <w:sz w:val="24"/>
          <w:szCs w:val="24"/>
          <w:highlight w:val="none"/>
        </w:rPr>
      </w:pPr>
      <w:r>
        <w:rPr>
          <w:rFonts w:hint="eastAsia" w:ascii="黑体" w:hAnsi="黑体" w:eastAsia="黑体" w:cs="宋体"/>
          <w:color w:val="000000"/>
          <w:kern w:val="0"/>
          <w:sz w:val="28"/>
          <w:szCs w:val="28"/>
          <w:highlight w:val="none"/>
        </w:rPr>
        <w:t xml:space="preserve">（三）制造商授权书 </w:t>
      </w:r>
    </w:p>
    <w:p>
      <w:pPr>
        <w:widowControl/>
        <w:jc w:val="center"/>
        <w:rPr>
          <w:rFonts w:ascii="宋体" w:hAnsi="宋体" w:eastAsia="宋体" w:cs="宋体"/>
          <w:kern w:val="0"/>
          <w:sz w:val="24"/>
          <w:szCs w:val="24"/>
          <w:highlight w:val="none"/>
        </w:rPr>
      </w:pPr>
      <w:r>
        <w:rPr>
          <w:rFonts w:hint="eastAsia" w:ascii="黑体" w:hAnsi="黑体" w:eastAsia="黑体" w:cs="宋体"/>
          <w:color w:val="000000"/>
          <w:kern w:val="0"/>
          <w:sz w:val="28"/>
          <w:szCs w:val="28"/>
          <w:highlight w:val="none"/>
        </w:rPr>
        <w:t>制造商授权书</w:t>
      </w:r>
    </w:p>
    <w:p>
      <w:pPr>
        <w:widowControl/>
        <w:jc w:val="left"/>
        <w:rPr>
          <w:rFonts w:ascii="宋体" w:hAnsi="宋体" w:eastAsia="宋体" w:cs="宋体"/>
          <w:kern w:val="0"/>
          <w:sz w:val="24"/>
          <w:szCs w:val="24"/>
          <w:highlight w:val="none"/>
          <w:u w:val="single"/>
        </w:rPr>
      </w:pPr>
      <w:r>
        <w:rPr>
          <w:rFonts w:hint="eastAsia" w:ascii="宋体" w:hAnsi="宋体" w:eastAsia="宋体" w:cs="宋体"/>
          <w:color w:val="000000"/>
          <w:kern w:val="0"/>
          <w:szCs w:val="21"/>
          <w:highlight w:val="none"/>
        </w:rPr>
        <w:t>致：</w:t>
      </w:r>
      <w:r>
        <w:rPr>
          <w:rFonts w:ascii="Times New Roman" w:hAnsi="Times New Roman" w:eastAsia="宋体" w:cs="Times New Roman"/>
          <w:color w:val="000000"/>
          <w:kern w:val="0"/>
          <w:szCs w:val="21"/>
          <w:highlight w:val="non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 xml:space="preserve">（招标人） </w:t>
      </w:r>
    </w:p>
    <w:p>
      <w:pPr>
        <w:widowControl/>
        <w:ind w:firstLine="420" w:firstLineChars="200"/>
        <w:jc w:val="left"/>
        <w:rPr>
          <w:rFonts w:ascii="宋体" w:hAnsi="宋体" w:eastAsia="宋体" w:cs="宋体"/>
          <w:kern w:val="0"/>
          <w:sz w:val="24"/>
          <w:szCs w:val="24"/>
          <w:highlight w:val="none"/>
        </w:rPr>
      </w:pPr>
      <w:r>
        <w:rPr>
          <w:rFonts w:hint="eastAsia" w:ascii="宋体" w:hAnsi="宋体" w:eastAsia="宋体" w:cs="宋体"/>
          <w:color w:val="000000"/>
          <w:kern w:val="0"/>
          <w:szCs w:val="21"/>
          <w:highlight w:val="none"/>
        </w:rPr>
        <w:t>我单位</w:t>
      </w:r>
      <w:r>
        <w:rPr>
          <w:rFonts w:ascii="Times New Roman" w:hAnsi="Times New Roman" w:eastAsia="宋体" w:cs="Times New Roman"/>
          <w:color w:val="000000"/>
          <w:kern w:val="0"/>
          <w:szCs w:val="21"/>
          <w:highlight w:val="non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（制造商名称）</w:t>
      </w:r>
      <w:r>
        <w:rPr>
          <w:rFonts w:hint="eastAsia" w:ascii="宋体" w:hAnsi="宋体" w:eastAsia="宋体" w:cs="宋体"/>
          <w:color w:val="000000"/>
          <w:kern w:val="0"/>
          <w:szCs w:val="21"/>
          <w:highlight w:val="none"/>
        </w:rPr>
        <w:t>是按</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（国家／地区名称）</w:t>
      </w:r>
      <w:r>
        <w:rPr>
          <w:rFonts w:hint="eastAsia" w:ascii="宋体" w:hAnsi="宋体" w:eastAsia="宋体" w:cs="宋体"/>
          <w:color w:val="000000"/>
          <w:kern w:val="0"/>
          <w:szCs w:val="21"/>
          <w:highlight w:val="none"/>
        </w:rPr>
        <w:t>法律成立的一家制造商，主要营业地点设在</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（制造商地址）</w:t>
      </w:r>
      <w:r>
        <w:rPr>
          <w:rFonts w:hint="eastAsia" w:ascii="宋体" w:hAnsi="宋体" w:eastAsia="宋体" w:cs="宋体"/>
          <w:color w:val="000000"/>
          <w:kern w:val="0"/>
          <w:szCs w:val="21"/>
          <w:highlight w:val="none"/>
        </w:rPr>
        <w:t>。兹授权按</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（国家／地区名称）</w:t>
      </w:r>
      <w:r>
        <w:rPr>
          <w:rFonts w:hint="eastAsia" w:ascii="宋体" w:hAnsi="宋体" w:eastAsia="宋体" w:cs="宋体"/>
          <w:color w:val="000000"/>
          <w:kern w:val="0"/>
          <w:szCs w:val="21"/>
          <w:highlight w:val="none"/>
        </w:rPr>
        <w:t>的法律正式成立的，主要营业地点设在</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（投标人的单位地址）</w:t>
      </w:r>
      <w:r>
        <w:rPr>
          <w:rFonts w:hint="eastAsia" w:ascii="宋体" w:hAnsi="宋体" w:eastAsia="宋体" w:cs="宋体"/>
          <w:color w:val="000000"/>
          <w:kern w:val="0"/>
          <w:szCs w:val="21"/>
          <w:highlight w:val="none"/>
        </w:rPr>
        <w:t>的</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（投标人名称）</w:t>
      </w:r>
      <w:r>
        <w:rPr>
          <w:rFonts w:hint="eastAsia" w:ascii="宋体" w:hAnsi="宋体" w:eastAsia="宋体" w:cs="宋体"/>
          <w:color w:val="000000"/>
          <w:kern w:val="0"/>
          <w:szCs w:val="21"/>
          <w:highlight w:val="none"/>
        </w:rPr>
        <w:t>以我单位制造的</w:t>
      </w:r>
      <w:r>
        <w:rPr>
          <w:rFonts w:ascii="Times New Roman" w:hAnsi="Times New Roman" w:eastAsia="宋体" w:cs="Times New Roman"/>
          <w:color w:val="000000"/>
          <w:kern w:val="0"/>
          <w:szCs w:val="21"/>
          <w:highlight w:val="non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（设备名称）</w:t>
      </w:r>
      <w:r>
        <w:rPr>
          <w:rFonts w:hint="eastAsia" w:ascii="宋体" w:hAnsi="宋体" w:eastAsia="宋体" w:cs="宋体"/>
          <w:color w:val="000000"/>
          <w:kern w:val="0"/>
          <w:szCs w:val="21"/>
          <w:highlight w:val="none"/>
        </w:rPr>
        <w:t>进行</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u w:val="single"/>
        </w:rPr>
        <w:t>（项目名称）</w:t>
      </w:r>
      <w:r>
        <w:rPr>
          <w:rFonts w:hint="eastAsia" w:ascii="宋体" w:hAnsi="宋体" w:eastAsia="宋体" w:cs="宋体"/>
          <w:color w:val="000000"/>
          <w:kern w:val="0"/>
          <w:szCs w:val="21"/>
          <w:highlight w:val="none"/>
        </w:rPr>
        <w:t xml:space="preserve">投标活动。我单位同意按照中标合同供货，并对产品质量承担责任。 </w:t>
      </w:r>
    </w:p>
    <w:p>
      <w:pPr>
        <w:widowControl/>
        <w:jc w:val="left"/>
        <w:rPr>
          <w:rFonts w:ascii="宋体" w:hAnsi="宋体" w:eastAsia="宋体" w:cs="宋体"/>
          <w:color w:val="000000"/>
          <w:kern w:val="0"/>
          <w:szCs w:val="21"/>
          <w:highlight w:val="none"/>
        </w:rPr>
      </w:pPr>
      <w:r>
        <w:rPr>
          <w:rFonts w:hint="eastAsia" w:ascii="宋体" w:hAnsi="宋体" w:eastAsia="宋体" w:cs="宋体"/>
          <w:color w:val="000000"/>
          <w:kern w:val="0"/>
          <w:szCs w:val="21"/>
          <w:highlight w:val="none"/>
        </w:rPr>
        <w:t>授权期限：</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rPr>
        <w:t xml:space="preserve">。 </w:t>
      </w:r>
    </w:p>
    <w:p>
      <w:pPr>
        <w:ind w:firstLine="420" w:firstLineChars="200"/>
        <w:rPr>
          <w:rFonts w:ascii="Times New Roman" w:hAnsi="Times New Roman" w:eastAsia="宋体" w:cs="Times New Roman"/>
          <w:szCs w:val="24"/>
          <w:highlight w:val="none"/>
        </w:rPr>
      </w:pPr>
    </w:p>
    <w:p>
      <w:pPr>
        <w:ind w:firstLine="420" w:firstLineChars="200"/>
        <w:rPr>
          <w:rFonts w:ascii="Times New Roman" w:hAnsi="Times New Roman" w:eastAsia="宋体" w:cs="Times New Roman"/>
          <w:szCs w:val="24"/>
          <w:highlight w:val="none"/>
        </w:rPr>
      </w:pPr>
    </w:p>
    <w:p>
      <w:pPr>
        <w:widowControl/>
        <w:jc w:val="left"/>
        <w:rPr>
          <w:rFonts w:ascii="宋体" w:hAnsi="宋体" w:eastAsia="宋体" w:cs="宋体"/>
          <w:kern w:val="0"/>
          <w:sz w:val="24"/>
          <w:szCs w:val="24"/>
          <w:highlight w:val="none"/>
        </w:rPr>
      </w:pPr>
      <w:r>
        <w:rPr>
          <w:rFonts w:hint="eastAsia" w:ascii="宋体" w:hAnsi="宋体" w:eastAsia="宋体" w:cs="宋体"/>
          <w:color w:val="000000"/>
          <w:kern w:val="0"/>
          <w:szCs w:val="21"/>
          <w:highlight w:val="none"/>
        </w:rPr>
        <w:t>投标人名称：</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rPr>
        <w:t>（盖单位章）</w:t>
      </w:r>
      <w:r>
        <w:rPr>
          <w:rFonts w:ascii="Times New Roman" w:hAnsi="Times New Roman" w:eastAsia="宋体" w:cs="Times New Roman"/>
          <w:color w:val="000000"/>
          <w:kern w:val="0"/>
          <w:szCs w:val="21"/>
          <w:highlight w:val="none"/>
        </w:rPr>
        <w:t xml:space="preserve"> </w:t>
      </w:r>
      <w:r>
        <w:rPr>
          <w:rFonts w:hint="eastAsia"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rPr>
        <w:t>制造商名称：</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宋体" w:hAnsi="宋体" w:eastAsia="宋体" w:cs="宋体"/>
          <w:color w:val="000000"/>
          <w:kern w:val="0"/>
          <w:szCs w:val="21"/>
          <w:highlight w:val="none"/>
        </w:rPr>
        <w:t xml:space="preserve">单位章） </w:t>
      </w:r>
    </w:p>
    <w:p>
      <w:pPr>
        <w:widowControl/>
        <w:jc w:val="left"/>
        <w:rPr>
          <w:rFonts w:ascii="宋体" w:hAnsi="宋体" w:eastAsia="宋体" w:cs="宋体"/>
          <w:kern w:val="0"/>
          <w:sz w:val="24"/>
          <w:szCs w:val="24"/>
          <w:highlight w:val="none"/>
        </w:rPr>
      </w:pPr>
      <w:r>
        <w:rPr>
          <w:rFonts w:hint="eastAsia" w:ascii="宋体" w:hAnsi="宋体" w:eastAsia="宋体" w:cs="宋体"/>
          <w:color w:val="000000"/>
          <w:kern w:val="0"/>
          <w:szCs w:val="21"/>
          <w:highlight w:val="none"/>
        </w:rPr>
        <w:t>签字人职务：</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rPr>
        <w:t>签字人职务：</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p>
    <w:p>
      <w:pPr>
        <w:widowControl/>
        <w:jc w:val="left"/>
        <w:rPr>
          <w:rFonts w:ascii="宋体" w:hAnsi="宋体" w:eastAsia="宋体" w:cs="宋体"/>
          <w:kern w:val="0"/>
          <w:sz w:val="24"/>
          <w:szCs w:val="24"/>
          <w:highlight w:val="none"/>
        </w:rPr>
      </w:pPr>
      <w:r>
        <w:rPr>
          <w:rFonts w:hint="eastAsia" w:ascii="宋体" w:hAnsi="宋体" w:eastAsia="宋体" w:cs="宋体"/>
          <w:color w:val="000000"/>
          <w:kern w:val="0"/>
          <w:szCs w:val="21"/>
          <w:highlight w:val="none"/>
        </w:rPr>
        <w:t>签字人姓名：</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rPr>
        <w:t>签字人姓名：</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p>
    <w:p>
      <w:pPr>
        <w:spacing w:line="360" w:lineRule="auto"/>
        <w:jc w:val="left"/>
        <w:rPr>
          <w:rFonts w:ascii="宋体" w:hAnsi="宋体" w:eastAsia="宋体" w:cs="宋体"/>
          <w:b/>
          <w:bCs/>
          <w:sz w:val="32"/>
          <w:szCs w:val="32"/>
          <w:highlight w:val="none"/>
        </w:rPr>
      </w:pPr>
      <w:r>
        <w:rPr>
          <w:rFonts w:hint="eastAsia" w:ascii="宋体" w:hAnsi="宋体" w:eastAsia="宋体" w:cs="宋体"/>
          <w:color w:val="000000"/>
          <w:kern w:val="0"/>
          <w:szCs w:val="21"/>
          <w:highlight w:val="none"/>
        </w:rPr>
        <w:t>签字人签名：</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rPr>
        <w:t>签字人签名 :</w:t>
      </w:r>
      <w:r>
        <w:rPr>
          <w:rFonts w:ascii="Times New Roman" w:hAnsi="Times New Roman" w:eastAsia="宋体" w:cs="Times New Roman"/>
          <w:color w:val="000000"/>
          <w:kern w:val="0"/>
          <w:szCs w:val="21"/>
          <w:highlight w:val="none"/>
        </w:rPr>
        <w:t xml:space="preserve"> </w:t>
      </w:r>
      <w:r>
        <w:rPr>
          <w:rFonts w:hint="eastAsia" w:ascii="宋体" w:hAnsi="宋体" w:eastAsia="宋体" w:cs="宋体"/>
          <w:color w:val="000000"/>
          <w:kern w:val="0"/>
          <w:szCs w:val="21"/>
          <w:highlight w:val="none"/>
          <w:u w:val="single"/>
        </w:rPr>
        <w:t xml:space="preserve">           </w:t>
      </w:r>
      <w:r>
        <w:rPr>
          <w:rFonts w:ascii="Times New Roman" w:hAnsi="Times New Roman" w:eastAsia="宋体" w:cs="Times New Roman"/>
          <w:color w:val="000000"/>
          <w:kern w:val="0"/>
          <w:szCs w:val="21"/>
          <w:highlight w:val="none"/>
          <w:u w:val="single"/>
        </w:rPr>
        <w:t xml:space="preserve"> </w:t>
      </w:r>
      <w:r>
        <w:rPr>
          <w:rFonts w:hint="eastAsia" w:ascii="Times New Roman" w:hAnsi="Times New Roman" w:eastAsia="宋体" w:cs="Times New Roman"/>
          <w:color w:val="000000"/>
          <w:kern w:val="0"/>
          <w:szCs w:val="21"/>
          <w:highlight w:val="none"/>
          <w:u w:val="single"/>
        </w:rPr>
        <w:t xml:space="preserve">                </w:t>
      </w:r>
    </w:p>
    <w:p>
      <w:pPr>
        <w:spacing w:line="360" w:lineRule="auto"/>
        <w:jc w:val="left"/>
        <w:rPr>
          <w:rFonts w:ascii="宋体" w:hAnsi="宋体" w:eastAsia="宋体" w:cs="宋体"/>
          <w:b/>
          <w:bCs/>
          <w:sz w:val="32"/>
          <w:szCs w:val="32"/>
          <w:highlight w:val="none"/>
        </w:rPr>
      </w:pPr>
    </w:p>
    <w:p>
      <w:pPr>
        <w:spacing w:line="360" w:lineRule="auto"/>
        <w:jc w:val="center"/>
        <w:rPr>
          <w:rFonts w:ascii="宋体" w:hAnsi="宋体" w:eastAsia="宋体" w:cs="宋体"/>
          <w:kern w:val="0"/>
          <w:sz w:val="32"/>
          <w:szCs w:val="20"/>
          <w:highlight w:val="none"/>
        </w:rPr>
      </w:pPr>
      <w:r>
        <w:rPr>
          <w:rFonts w:hint="eastAsia" w:ascii="宋体" w:hAnsi="宋体" w:eastAsia="宋体" w:cs="宋体"/>
          <w:b/>
          <w:bCs/>
          <w:sz w:val="32"/>
          <w:szCs w:val="32"/>
          <w:highlight w:val="none"/>
        </w:rPr>
        <w:br w:type="page"/>
      </w:r>
      <w:bookmarkStart w:id="190" w:name="_Toc520184751"/>
      <w:bookmarkStart w:id="191" w:name="_Toc26682"/>
      <w:bookmarkStart w:id="192" w:name="_Toc7454680"/>
      <w:r>
        <w:rPr>
          <w:rFonts w:hint="eastAsia" w:ascii="宋体" w:hAnsi="宋体" w:eastAsia="宋体" w:cs="宋体"/>
          <w:kern w:val="0"/>
          <w:sz w:val="32"/>
          <w:szCs w:val="20"/>
          <w:highlight w:val="none"/>
        </w:rPr>
        <w:t>八、近年财务状况表</w:t>
      </w:r>
    </w:p>
    <w:bookmarkEnd w:id="190"/>
    <w:bookmarkEnd w:id="191"/>
    <w:bookmarkEnd w:id="192"/>
    <w:p>
      <w:pPr>
        <w:spacing w:line="400" w:lineRule="exact"/>
        <w:jc w:val="left"/>
        <w:rPr>
          <w:rFonts w:ascii="宋体" w:hAnsi="宋体" w:eastAsia="宋体" w:cs="宋体"/>
          <w:kern w:val="0"/>
          <w:sz w:val="32"/>
          <w:szCs w:val="20"/>
          <w:highlight w:val="none"/>
        </w:rPr>
      </w:pPr>
      <w:bookmarkStart w:id="193" w:name="_Toc520184752"/>
      <w:r>
        <w:rPr>
          <w:rFonts w:hint="eastAsia" w:ascii="宋体" w:hAnsi="宋体" w:eastAsia="宋体" w:cs="宋体"/>
          <w:b/>
          <w:bCs/>
          <w:sz w:val="32"/>
          <w:szCs w:val="32"/>
          <w:highlight w:val="none"/>
        </w:rPr>
        <w:br w:type="page"/>
      </w:r>
      <w:bookmarkStart w:id="194" w:name="_Toc6823"/>
      <w:bookmarkStart w:id="195" w:name="_Toc7454681"/>
      <w:r>
        <w:rPr>
          <w:rFonts w:hint="eastAsia" w:ascii="宋体" w:hAnsi="宋体" w:eastAsia="宋体" w:cs="宋体"/>
          <w:kern w:val="0"/>
          <w:sz w:val="32"/>
          <w:szCs w:val="20"/>
          <w:highlight w:val="none"/>
        </w:rPr>
        <w:t>九、供货业绩情况表</w:t>
      </w:r>
      <w:bookmarkEnd w:id="193"/>
      <w:bookmarkEnd w:id="194"/>
      <w:bookmarkEnd w:id="195"/>
    </w:p>
    <w:p>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供货业绩情况表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0"/>
        <w:gridCol w:w="6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4"/>
                <w:highlight w:val="none"/>
              </w:rPr>
            </w:pPr>
            <w:r>
              <w:rPr>
                <w:rFonts w:hint="eastAsia" w:ascii="宋体" w:hAnsi="宋体" w:eastAsia="宋体" w:cs="宋体"/>
                <w:szCs w:val="24"/>
                <w:highlight w:val="none"/>
              </w:rPr>
              <w:t>设备名称</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highlight w:val="none"/>
              </w:rPr>
            </w:pPr>
            <w:r>
              <w:rPr>
                <w:rFonts w:hint="eastAsia" w:ascii="宋体" w:hAnsi="宋体" w:eastAsia="宋体" w:cs="宋体"/>
                <w:highlight w:val="none"/>
              </w:rPr>
              <w:t>规格和型号</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highlight w:val="none"/>
              </w:rPr>
            </w:pPr>
            <w:r>
              <w:rPr>
                <w:rFonts w:hint="eastAsia" w:ascii="宋体" w:hAnsi="宋体" w:eastAsia="宋体" w:cs="宋体"/>
                <w:highlight w:val="none"/>
              </w:rPr>
              <w:t>项目名称</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highlight w:val="none"/>
              </w:rPr>
            </w:pPr>
            <w:r>
              <w:rPr>
                <w:rFonts w:hint="eastAsia" w:ascii="宋体" w:hAnsi="宋体" w:eastAsia="宋体" w:cs="宋体"/>
                <w:highlight w:val="none"/>
              </w:rPr>
              <w:t>买方名称</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highlight w:val="none"/>
              </w:rPr>
            </w:pPr>
            <w:r>
              <w:rPr>
                <w:rFonts w:hint="eastAsia" w:ascii="宋体" w:hAnsi="宋体" w:eastAsia="宋体" w:cs="宋体"/>
                <w:highlight w:val="none"/>
              </w:rPr>
              <w:t>买方联系人及电话</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highlight w:val="none"/>
              </w:rPr>
            </w:pPr>
            <w:r>
              <w:rPr>
                <w:rFonts w:hint="eastAsia" w:ascii="宋体" w:hAnsi="宋体" w:eastAsia="宋体" w:cs="宋体"/>
                <w:highlight w:val="none"/>
              </w:rPr>
              <w:t>合同价格</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4"/>
                <w:highlight w:val="none"/>
              </w:rPr>
            </w:pPr>
            <w:r>
              <w:rPr>
                <w:rFonts w:hint="eastAsia" w:ascii="宋体" w:hAnsi="宋体" w:eastAsia="宋体" w:cs="宋体"/>
                <w:szCs w:val="24"/>
                <w:highlight w:val="none"/>
              </w:rPr>
              <w:t>项目概况及投标人履</w:t>
            </w:r>
          </w:p>
          <w:p>
            <w:pPr>
              <w:topLinePunct/>
              <w:jc w:val="center"/>
              <w:rPr>
                <w:rFonts w:ascii="宋体" w:hAnsi="宋体" w:eastAsia="宋体" w:cs="宋体"/>
                <w:szCs w:val="24"/>
                <w:highlight w:val="none"/>
              </w:rPr>
            </w:pPr>
            <w:r>
              <w:rPr>
                <w:rFonts w:hint="eastAsia" w:ascii="宋体" w:hAnsi="宋体" w:eastAsia="宋体" w:cs="宋体"/>
                <w:szCs w:val="24"/>
                <w:highlight w:val="none"/>
              </w:rPr>
              <w:t>约情况</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p>
            <w:pPr>
              <w:topLinePunct/>
              <w:rPr>
                <w:rFonts w:ascii="宋体" w:hAnsi="宋体" w:eastAsia="宋体" w:cs="宋体"/>
                <w:szCs w:val="24"/>
                <w:highlight w:val="none"/>
              </w:rPr>
            </w:pPr>
          </w:p>
          <w:p>
            <w:pPr>
              <w:topLinePunct/>
              <w:rPr>
                <w:rFonts w:ascii="宋体" w:hAnsi="宋体" w:eastAsia="宋体" w:cs="宋体"/>
                <w:szCs w:val="24"/>
                <w:highlight w:val="none"/>
              </w:rPr>
            </w:pPr>
          </w:p>
          <w:p>
            <w:pPr>
              <w:topLinePunct/>
              <w:rPr>
                <w:rFonts w:ascii="宋体" w:hAnsi="宋体" w:eastAsia="宋体" w:cs="宋体"/>
                <w:szCs w:val="24"/>
                <w:highlight w:val="none"/>
              </w:rPr>
            </w:pPr>
          </w:p>
          <w:p>
            <w:pPr>
              <w:topLinePunct/>
              <w:rPr>
                <w:rFonts w:ascii="宋体" w:hAnsi="宋体" w:eastAsia="宋体" w:cs="宋体"/>
                <w:szCs w:val="24"/>
                <w:highlight w:val="none"/>
              </w:rPr>
            </w:pPr>
          </w:p>
          <w:p>
            <w:pPr>
              <w:topLinePunct/>
              <w:rPr>
                <w:rFonts w:ascii="宋体" w:hAnsi="宋体" w:eastAsia="宋体" w:cs="宋体"/>
                <w:szCs w:val="24"/>
                <w:highlight w:val="none"/>
              </w:rPr>
            </w:pPr>
          </w:p>
          <w:p>
            <w:pPr>
              <w:topLinePunct/>
              <w:rPr>
                <w:rFonts w:ascii="宋体" w:hAnsi="宋体" w:eastAsia="宋体" w:cs="宋体"/>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0" w:type="dxa"/>
            <w:tcBorders>
              <w:top w:val="single" w:color="auto" w:sz="4" w:space="0"/>
              <w:left w:val="single" w:color="auto" w:sz="4" w:space="0"/>
              <w:bottom w:val="single" w:color="auto" w:sz="4" w:space="0"/>
              <w:right w:val="single" w:color="auto" w:sz="4" w:space="0"/>
            </w:tcBorders>
            <w:vAlign w:val="center"/>
          </w:tcPr>
          <w:p>
            <w:pPr>
              <w:topLinePunct/>
              <w:jc w:val="center"/>
              <w:rPr>
                <w:rFonts w:ascii="宋体" w:hAnsi="宋体" w:eastAsia="宋体" w:cs="宋体"/>
                <w:szCs w:val="24"/>
                <w:highlight w:val="none"/>
              </w:rPr>
            </w:pPr>
            <w:r>
              <w:rPr>
                <w:rFonts w:hint="eastAsia" w:ascii="宋体" w:hAnsi="宋体" w:eastAsia="宋体" w:cs="宋体"/>
                <w:szCs w:val="24"/>
                <w:highlight w:val="none"/>
              </w:rPr>
              <w:t>备注</w:t>
            </w:r>
          </w:p>
        </w:tc>
        <w:tc>
          <w:tcPr>
            <w:tcW w:w="6782" w:type="dxa"/>
            <w:tcBorders>
              <w:top w:val="single" w:color="auto" w:sz="4" w:space="0"/>
              <w:left w:val="single" w:color="auto" w:sz="4" w:space="0"/>
              <w:bottom w:val="single" w:color="auto" w:sz="4" w:space="0"/>
              <w:right w:val="single" w:color="auto" w:sz="4" w:space="0"/>
            </w:tcBorders>
            <w:vAlign w:val="center"/>
          </w:tcPr>
          <w:p>
            <w:pPr>
              <w:topLinePunct/>
              <w:rPr>
                <w:rFonts w:ascii="宋体" w:hAnsi="宋体" w:eastAsia="宋体" w:cs="宋体"/>
                <w:szCs w:val="24"/>
                <w:highlight w:val="none"/>
              </w:rPr>
            </w:pPr>
          </w:p>
        </w:tc>
      </w:tr>
    </w:tbl>
    <w:p>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注：投标人应根据评标办法的要求在本表后附相关证明材料。</w:t>
      </w:r>
    </w:p>
    <w:p>
      <w:pPr>
        <w:spacing w:line="400" w:lineRule="exact"/>
        <w:jc w:val="left"/>
        <w:rPr>
          <w:rFonts w:ascii="宋体" w:hAnsi="宋体" w:eastAsia="宋体" w:cs="宋体"/>
          <w:kern w:val="0"/>
          <w:sz w:val="32"/>
          <w:szCs w:val="20"/>
          <w:highlight w:val="none"/>
        </w:rPr>
      </w:pPr>
      <w:bookmarkStart w:id="196" w:name="_Toc520184753"/>
      <w:r>
        <w:rPr>
          <w:rFonts w:hint="eastAsia" w:ascii="宋体" w:hAnsi="宋体" w:eastAsia="宋体" w:cs="宋体"/>
          <w:b/>
          <w:bCs/>
          <w:sz w:val="32"/>
          <w:szCs w:val="32"/>
          <w:highlight w:val="none"/>
        </w:rPr>
        <w:br w:type="page"/>
      </w:r>
      <w:bookmarkEnd w:id="196"/>
      <w:bookmarkStart w:id="197" w:name="_Toc520184754"/>
      <w:bookmarkStart w:id="198" w:name="_Toc7454683"/>
      <w:bookmarkStart w:id="199" w:name="_Toc6971"/>
      <w:r>
        <w:rPr>
          <w:rFonts w:hint="eastAsia" w:ascii="宋体" w:hAnsi="宋体" w:eastAsia="宋体" w:cs="宋体"/>
          <w:kern w:val="0"/>
          <w:sz w:val="32"/>
          <w:szCs w:val="20"/>
          <w:highlight w:val="none"/>
        </w:rPr>
        <w:t>十、资信证明材料（如有）</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投标人应根据评标办法的要求后附相关证明材料。</w:t>
      </w:r>
      <w:bookmarkEnd w:id="197"/>
      <w:bookmarkEnd w:id="198"/>
      <w:bookmarkEnd w:id="199"/>
    </w:p>
    <w:p>
      <w:pPr>
        <w:spacing w:line="400" w:lineRule="exact"/>
        <w:jc w:val="left"/>
        <w:rPr>
          <w:rFonts w:ascii="宋体" w:hAnsi="宋体" w:eastAsia="宋体" w:cs="宋体"/>
          <w:kern w:val="0"/>
          <w:sz w:val="32"/>
          <w:szCs w:val="20"/>
          <w:highlight w:val="none"/>
        </w:rPr>
      </w:pPr>
      <w:bookmarkStart w:id="200" w:name="_Toc520184755"/>
      <w:r>
        <w:rPr>
          <w:rFonts w:hint="eastAsia" w:ascii="宋体" w:hAnsi="宋体" w:eastAsia="宋体" w:cs="宋体"/>
          <w:b/>
          <w:bCs/>
          <w:sz w:val="32"/>
          <w:szCs w:val="32"/>
          <w:highlight w:val="none"/>
        </w:rPr>
        <w:br w:type="page"/>
      </w:r>
      <w:bookmarkEnd w:id="200"/>
      <w:bookmarkStart w:id="201" w:name="_Toc520184757"/>
      <w:r>
        <w:rPr>
          <w:rFonts w:hint="eastAsia" w:ascii="宋体" w:hAnsi="宋体" w:eastAsia="宋体" w:cs="宋体"/>
          <w:kern w:val="0"/>
          <w:sz w:val="32"/>
          <w:szCs w:val="20"/>
          <w:highlight w:val="none"/>
        </w:rPr>
        <w:t>十一、</w:t>
      </w:r>
      <w:bookmarkEnd w:id="201"/>
      <w:r>
        <w:rPr>
          <w:rFonts w:hint="eastAsia" w:ascii="宋体" w:hAnsi="宋体" w:eastAsia="宋体" w:cs="宋体"/>
          <w:kern w:val="0"/>
          <w:sz w:val="32"/>
          <w:szCs w:val="20"/>
          <w:highlight w:val="none"/>
        </w:rPr>
        <w:t>投标设备技术性能指标的详细描述</w:t>
      </w:r>
    </w:p>
    <w:p>
      <w:pPr>
        <w:ind w:firstLine="420"/>
        <w:rPr>
          <w:rFonts w:ascii="宋体" w:hAnsi="宋体" w:eastAsia="宋体" w:cs="宋体"/>
          <w:highlight w:val="none"/>
        </w:rPr>
      </w:pPr>
      <w:r>
        <w:rPr>
          <w:rFonts w:hint="eastAsia" w:ascii="宋体" w:hAnsi="宋体" w:eastAsia="宋体" w:cs="宋体"/>
          <w:highlight w:val="none"/>
        </w:rPr>
        <w:t>（格式由投标人自拟）</w:t>
      </w:r>
    </w:p>
    <w:p>
      <w:pPr>
        <w:keepNext/>
        <w:keepLines/>
        <w:widowControl/>
        <w:spacing w:line="360" w:lineRule="auto"/>
        <w:jc w:val="left"/>
        <w:rPr>
          <w:rFonts w:ascii="宋体" w:hAnsi="宋体" w:eastAsia="宋体" w:cs="宋体"/>
          <w:kern w:val="0"/>
          <w:sz w:val="32"/>
          <w:szCs w:val="20"/>
          <w:highlight w:val="none"/>
        </w:rPr>
      </w:pPr>
      <w:r>
        <w:rPr>
          <w:rFonts w:hint="eastAsia" w:ascii="宋体" w:hAnsi="宋体" w:eastAsia="宋体" w:cs="宋体"/>
          <w:kern w:val="0"/>
          <w:sz w:val="32"/>
          <w:szCs w:val="20"/>
          <w:highlight w:val="none"/>
        </w:rPr>
        <w:br w:type="page"/>
      </w:r>
      <w:bookmarkStart w:id="202" w:name="_Toc21972"/>
      <w:bookmarkStart w:id="203" w:name="_Toc7454687"/>
      <w:r>
        <w:rPr>
          <w:rFonts w:hint="eastAsia" w:ascii="宋体" w:hAnsi="宋体" w:eastAsia="宋体" w:cs="宋体"/>
          <w:kern w:val="0"/>
          <w:sz w:val="32"/>
          <w:szCs w:val="20"/>
          <w:highlight w:val="none"/>
        </w:rPr>
        <w:t>十二、技术支持资料</w:t>
      </w:r>
    </w:p>
    <w:p>
      <w:pPr>
        <w:ind w:firstLine="420"/>
        <w:rPr>
          <w:rFonts w:ascii="宋体" w:hAnsi="宋体" w:eastAsia="宋体" w:cs="宋体"/>
          <w:highlight w:val="none"/>
        </w:rPr>
      </w:pPr>
      <w:r>
        <w:rPr>
          <w:rFonts w:hint="eastAsia" w:ascii="宋体" w:hAnsi="宋体" w:eastAsia="宋体" w:cs="宋体"/>
          <w:highlight w:val="none"/>
        </w:rPr>
        <w:t>（格式由投标人自拟）</w:t>
      </w:r>
    </w:p>
    <w:p>
      <w:pPr>
        <w:keepNext/>
        <w:keepLines/>
        <w:widowControl/>
        <w:spacing w:line="360" w:lineRule="auto"/>
        <w:jc w:val="left"/>
        <w:rPr>
          <w:rFonts w:ascii="宋体" w:hAnsi="宋体" w:eastAsia="宋体" w:cs="宋体"/>
          <w:kern w:val="0"/>
          <w:sz w:val="32"/>
          <w:szCs w:val="20"/>
          <w:highlight w:val="none"/>
        </w:rPr>
      </w:pPr>
      <w:r>
        <w:rPr>
          <w:rFonts w:hint="eastAsia" w:ascii="宋体" w:hAnsi="宋体" w:eastAsia="宋体" w:cs="宋体"/>
          <w:kern w:val="0"/>
          <w:sz w:val="32"/>
          <w:szCs w:val="20"/>
          <w:highlight w:val="none"/>
        </w:rPr>
        <w:br w:type="page"/>
      </w:r>
      <w:r>
        <w:rPr>
          <w:rFonts w:hint="eastAsia" w:ascii="宋体" w:hAnsi="宋体" w:eastAsia="宋体" w:cs="宋体"/>
          <w:kern w:val="0"/>
          <w:sz w:val="32"/>
          <w:szCs w:val="20"/>
          <w:highlight w:val="none"/>
        </w:rPr>
        <w:t>十三、技术服务和质保期服务计划</w:t>
      </w:r>
    </w:p>
    <w:p>
      <w:pPr>
        <w:ind w:firstLine="420"/>
        <w:rPr>
          <w:rFonts w:ascii="宋体" w:hAnsi="宋体" w:eastAsia="宋体" w:cs="宋体"/>
          <w:highlight w:val="none"/>
        </w:rPr>
      </w:pPr>
      <w:r>
        <w:rPr>
          <w:rFonts w:hint="eastAsia" w:ascii="宋体" w:hAnsi="宋体" w:eastAsia="宋体" w:cs="宋体"/>
          <w:highlight w:val="none"/>
        </w:rPr>
        <w:t>（格式由投标人自拟）</w:t>
      </w:r>
    </w:p>
    <w:p>
      <w:pPr>
        <w:keepNext/>
        <w:keepLines/>
        <w:widowControl/>
        <w:spacing w:line="360" w:lineRule="auto"/>
        <w:jc w:val="left"/>
        <w:rPr>
          <w:rFonts w:ascii="宋体" w:hAnsi="宋体" w:eastAsia="宋体" w:cs="宋体"/>
          <w:kern w:val="0"/>
          <w:sz w:val="32"/>
          <w:szCs w:val="20"/>
          <w:highlight w:val="none"/>
        </w:rPr>
      </w:pPr>
      <w:r>
        <w:rPr>
          <w:rFonts w:hint="eastAsia" w:ascii="宋体" w:hAnsi="宋体" w:eastAsia="宋体" w:cs="宋体"/>
          <w:kern w:val="0"/>
          <w:sz w:val="32"/>
          <w:szCs w:val="20"/>
          <w:highlight w:val="none"/>
        </w:rPr>
        <w:br w:type="page"/>
      </w:r>
      <w:r>
        <w:rPr>
          <w:rFonts w:hint="eastAsia" w:ascii="宋体" w:hAnsi="宋体" w:eastAsia="宋体" w:cs="宋体"/>
          <w:kern w:val="0"/>
          <w:sz w:val="32"/>
          <w:szCs w:val="20"/>
          <w:highlight w:val="none"/>
        </w:rPr>
        <w:t>十四、其他资料</w:t>
      </w:r>
      <w:bookmarkEnd w:id="202"/>
      <w:bookmarkEnd w:id="203"/>
    </w:p>
    <w:p>
      <w:pPr>
        <w:rPr>
          <w:rFonts w:ascii="宋体" w:hAnsi="宋体" w:eastAsia="宋体" w:cs="宋体"/>
          <w:sz w:val="24"/>
          <w:szCs w:val="24"/>
          <w:highlight w:val="none"/>
        </w:rPr>
      </w:pPr>
      <w:r>
        <w:rPr>
          <w:rFonts w:hint="eastAsia" w:ascii="宋体" w:hAnsi="宋体" w:eastAsia="宋体" w:cs="宋体"/>
          <w:sz w:val="24"/>
          <w:szCs w:val="24"/>
          <w:highlight w:val="none"/>
        </w:rPr>
        <w:t>投标人认为其他应该提供的材料</w:t>
      </w:r>
    </w:p>
    <w:p>
      <w:pPr>
        <w:widowControl/>
        <w:spacing w:after="160" w:line="259" w:lineRule="auto"/>
        <w:jc w:val="left"/>
        <w:rPr>
          <w:rFonts w:ascii="宋体" w:hAnsi="宋体" w:eastAsia="宋体" w:cs="宋体"/>
          <w:sz w:val="22"/>
          <w:highlight w:val="none"/>
        </w:rPr>
      </w:pPr>
      <w:r>
        <w:rPr>
          <w:rFonts w:hint="eastAsia" w:ascii="宋体" w:hAnsi="宋体" w:eastAsia="宋体" w:cs="宋体"/>
          <w:spacing w:val="-2"/>
          <w:highlight w:val="none"/>
        </w:rPr>
        <w:t>（投</w:t>
      </w:r>
      <w:r>
        <w:rPr>
          <w:rFonts w:hint="eastAsia" w:ascii="宋体" w:hAnsi="宋体" w:eastAsia="宋体" w:cs="宋体"/>
          <w:highlight w:val="none"/>
        </w:rPr>
        <w:t>标</w:t>
      </w:r>
      <w:r>
        <w:rPr>
          <w:rFonts w:hint="eastAsia" w:ascii="宋体" w:hAnsi="宋体" w:eastAsia="宋体" w:cs="宋体"/>
          <w:spacing w:val="-2"/>
          <w:highlight w:val="none"/>
        </w:rPr>
        <w:t>人</w:t>
      </w:r>
      <w:r>
        <w:rPr>
          <w:rFonts w:hint="eastAsia" w:ascii="宋体" w:hAnsi="宋体" w:eastAsia="宋体" w:cs="宋体"/>
          <w:highlight w:val="none"/>
        </w:rPr>
        <w:t>应</w:t>
      </w:r>
      <w:r>
        <w:rPr>
          <w:rFonts w:hint="eastAsia" w:ascii="宋体" w:hAnsi="宋体" w:eastAsia="宋体" w:cs="宋体"/>
          <w:spacing w:val="-2"/>
          <w:highlight w:val="none"/>
        </w:rPr>
        <w:t>根</w:t>
      </w:r>
      <w:r>
        <w:rPr>
          <w:rFonts w:hint="eastAsia" w:ascii="宋体" w:hAnsi="宋体" w:eastAsia="宋体" w:cs="宋体"/>
          <w:highlight w:val="none"/>
        </w:rPr>
        <w:t>据</w:t>
      </w:r>
      <w:r>
        <w:rPr>
          <w:rFonts w:hint="eastAsia" w:ascii="宋体" w:hAnsi="宋体" w:eastAsia="宋体" w:cs="宋体"/>
          <w:spacing w:val="-2"/>
          <w:highlight w:val="none"/>
        </w:rPr>
        <w:t>评标办法的</w:t>
      </w:r>
      <w:r>
        <w:rPr>
          <w:rFonts w:hint="eastAsia" w:ascii="宋体" w:hAnsi="宋体" w:eastAsia="宋体" w:cs="宋体"/>
          <w:highlight w:val="none"/>
        </w:rPr>
        <w:t>要</w:t>
      </w:r>
      <w:r>
        <w:rPr>
          <w:rFonts w:hint="eastAsia" w:ascii="宋体" w:hAnsi="宋体" w:eastAsia="宋体" w:cs="宋体"/>
          <w:spacing w:val="-2"/>
          <w:highlight w:val="none"/>
        </w:rPr>
        <w:t>求</w:t>
      </w:r>
      <w:r>
        <w:rPr>
          <w:rFonts w:hint="eastAsia" w:ascii="宋体" w:hAnsi="宋体" w:eastAsia="宋体" w:cs="宋体"/>
          <w:highlight w:val="none"/>
        </w:rPr>
        <w:t>附</w:t>
      </w:r>
      <w:r>
        <w:rPr>
          <w:rFonts w:hint="eastAsia" w:ascii="宋体" w:hAnsi="宋体" w:eastAsia="宋体" w:cs="宋体"/>
          <w:spacing w:val="-2"/>
          <w:highlight w:val="none"/>
        </w:rPr>
        <w:t>相</w:t>
      </w:r>
      <w:r>
        <w:rPr>
          <w:rFonts w:hint="eastAsia" w:ascii="宋体" w:hAnsi="宋体" w:eastAsia="宋体" w:cs="宋体"/>
          <w:highlight w:val="none"/>
        </w:rPr>
        <w:t>关</w:t>
      </w:r>
      <w:r>
        <w:rPr>
          <w:rFonts w:hint="eastAsia" w:ascii="宋体" w:hAnsi="宋体" w:eastAsia="宋体" w:cs="宋体"/>
          <w:spacing w:val="-2"/>
          <w:highlight w:val="none"/>
        </w:rPr>
        <w:t>证</w:t>
      </w:r>
      <w:r>
        <w:rPr>
          <w:rFonts w:hint="eastAsia" w:ascii="宋体" w:hAnsi="宋体" w:eastAsia="宋体" w:cs="宋体"/>
          <w:highlight w:val="none"/>
        </w:rPr>
        <w:t>明</w:t>
      </w:r>
      <w:r>
        <w:rPr>
          <w:rFonts w:hint="eastAsia" w:ascii="宋体" w:hAnsi="宋体" w:eastAsia="宋体" w:cs="宋体"/>
          <w:spacing w:val="-2"/>
          <w:highlight w:val="none"/>
        </w:rPr>
        <w:t>材</w:t>
      </w:r>
      <w:r>
        <w:rPr>
          <w:rFonts w:hint="eastAsia" w:ascii="宋体" w:hAnsi="宋体" w:eastAsia="宋体" w:cs="宋体"/>
          <w:highlight w:val="none"/>
        </w:rPr>
        <w:t>料。</w:t>
      </w:r>
      <w:r>
        <w:rPr>
          <w:rFonts w:hint="eastAsia" w:ascii="宋体" w:hAnsi="宋体" w:eastAsia="宋体" w:cs="宋体"/>
          <w:spacing w:val="-2"/>
          <w:highlight w:val="none"/>
        </w:rPr>
        <w:t>）</w:t>
      </w:r>
    </w:p>
    <w:p>
      <w:pPr>
        <w:widowControl/>
        <w:spacing w:after="160" w:line="259" w:lineRule="auto"/>
        <w:jc w:val="left"/>
        <w:rPr>
          <w:rFonts w:ascii="宋体" w:hAnsi="宋体" w:eastAsia="宋体" w:cs="宋体"/>
          <w:sz w:val="22"/>
          <w:highlight w:val="none"/>
        </w:rPr>
      </w:pPr>
      <w:r>
        <w:rPr>
          <w:rFonts w:hint="eastAsia" w:ascii="宋体" w:hAnsi="宋体" w:eastAsia="宋体" w:cs="宋体"/>
          <w:sz w:val="22"/>
          <w:highlight w:val="none"/>
        </w:rPr>
        <w:t>包括但不限于以下资料：</w:t>
      </w:r>
    </w:p>
    <w:p>
      <w:pPr>
        <w:widowControl/>
        <w:tabs>
          <w:tab w:val="left" w:pos="720"/>
        </w:tabs>
        <w:spacing w:line="500" w:lineRule="exact"/>
        <w:jc w:val="center"/>
        <w:rPr>
          <w:rFonts w:ascii="宋体" w:hAnsi="宋体" w:eastAsia="宋体" w:cs="宋体"/>
          <w:b/>
          <w:bCs/>
          <w:kern w:val="44"/>
          <w:sz w:val="40"/>
          <w:highlight w:val="none"/>
        </w:rPr>
      </w:pPr>
    </w:p>
    <w:p>
      <w:pPr>
        <w:widowControl/>
        <w:tabs>
          <w:tab w:val="left" w:pos="720"/>
        </w:tabs>
        <w:spacing w:line="500" w:lineRule="exact"/>
        <w:jc w:val="center"/>
        <w:rPr>
          <w:rFonts w:ascii="宋体" w:hAnsi="宋体" w:eastAsia="宋体" w:cs="宋体"/>
          <w:b/>
          <w:bCs/>
          <w:kern w:val="44"/>
          <w:sz w:val="40"/>
          <w:highlight w:val="none"/>
        </w:rPr>
      </w:pPr>
      <w:r>
        <w:rPr>
          <w:rFonts w:hint="eastAsia" w:ascii="宋体" w:hAnsi="宋体" w:eastAsia="宋体" w:cs="宋体"/>
          <w:b/>
          <w:bCs/>
          <w:kern w:val="44"/>
          <w:sz w:val="40"/>
          <w:highlight w:val="none"/>
        </w:rPr>
        <w:t>关于响应电梯轿厢尺寸及交货期的承诺函</w:t>
      </w:r>
    </w:p>
    <w:p>
      <w:pPr>
        <w:widowControl/>
        <w:tabs>
          <w:tab w:val="left" w:pos="720"/>
        </w:tabs>
        <w:spacing w:line="500" w:lineRule="exact"/>
        <w:jc w:val="center"/>
        <w:rPr>
          <w:rFonts w:ascii="宋体" w:hAnsi="宋体" w:eastAsia="宋体" w:cs="宋体"/>
          <w:b/>
          <w:bCs/>
          <w:kern w:val="44"/>
          <w:sz w:val="40"/>
          <w:highlight w:val="none"/>
        </w:rPr>
      </w:pPr>
    </w:p>
    <w:p>
      <w:pPr>
        <w:widowControl/>
        <w:tabs>
          <w:tab w:val="left" w:pos="720"/>
        </w:tabs>
        <w:spacing w:line="500" w:lineRule="exact"/>
        <w:jc w:val="left"/>
        <w:rPr>
          <w:rFonts w:ascii="宋体" w:hAnsi="宋体" w:eastAsia="宋体" w:cs="宋体"/>
          <w:sz w:val="28"/>
          <w:szCs w:val="28"/>
          <w:highlight w:val="none"/>
        </w:rPr>
      </w:pPr>
      <w:r>
        <w:rPr>
          <w:rFonts w:hint="eastAsia" w:ascii="宋体" w:hAnsi="宋体" w:eastAsia="宋体" w:cs="宋体"/>
          <w:sz w:val="28"/>
          <w:szCs w:val="28"/>
          <w:highlight w:val="none"/>
        </w:rPr>
        <w:t>致招标人：</w:t>
      </w:r>
    </w:p>
    <w:p>
      <w:pPr>
        <w:widowControl/>
        <w:tabs>
          <w:tab w:val="left" w:pos="720"/>
        </w:tabs>
        <w:spacing w:line="500" w:lineRule="exact"/>
        <w:jc w:val="left"/>
        <w:rPr>
          <w:rFonts w:ascii="宋体" w:hAnsi="宋体" w:eastAsia="宋体" w:cs="宋体"/>
          <w:sz w:val="28"/>
          <w:szCs w:val="28"/>
          <w:highlight w:val="none"/>
        </w:rPr>
      </w:pPr>
      <w:r>
        <w:rPr>
          <w:rFonts w:hint="eastAsia" w:ascii="宋体" w:hAnsi="宋体" w:eastAsia="宋体" w:cs="宋体"/>
          <w:sz w:val="28"/>
          <w:szCs w:val="28"/>
          <w:highlight w:val="none"/>
        </w:rPr>
        <w:t xml:space="preserve">    我公司已收到</w:t>
      </w:r>
      <w:r>
        <w:rPr>
          <w:rFonts w:hint="eastAsia" w:ascii="宋体" w:hAnsi="宋体" w:eastAsia="宋体" w:cs="宋体"/>
          <w:sz w:val="28"/>
          <w:szCs w:val="28"/>
          <w:highlight w:val="none"/>
          <w:u w:val="single"/>
        </w:rPr>
        <w:t>中国大酒店1、2、5、6号电梯采购及相关服务项目</w:t>
      </w:r>
      <w:r>
        <w:rPr>
          <w:rFonts w:hint="eastAsia" w:ascii="宋体" w:hAnsi="宋体" w:eastAsia="宋体" w:cs="宋体"/>
          <w:sz w:val="28"/>
          <w:szCs w:val="28"/>
          <w:highlight w:val="none"/>
        </w:rPr>
        <w:t>的招标电梯轿厢尺寸，现作出以下承诺：若我公司中标，我方提供的产品无条件满足本项目的招标电梯轿厢尺寸要求，我方承诺将按招标文件要求及投标承诺完成供货、安装及相关服务，我司承诺交货期为</w:t>
      </w:r>
      <w:r>
        <w:rPr>
          <w:rFonts w:hint="eastAsia" w:ascii="宋体" w:hAnsi="宋体" w:eastAsia="宋体" w:cs="宋体"/>
          <w:sz w:val="28"/>
          <w:szCs w:val="28"/>
          <w:highlight w:val="none"/>
          <w:u w:val="single"/>
        </w:rPr>
        <w:t>（按招标文件约定）</w:t>
      </w:r>
      <w:r>
        <w:rPr>
          <w:rFonts w:hint="eastAsia" w:ascii="宋体" w:hAnsi="宋体" w:eastAsia="宋体" w:cs="宋体"/>
          <w:sz w:val="28"/>
          <w:szCs w:val="28"/>
          <w:highlight w:val="none"/>
        </w:rPr>
        <w:t>，交货地点为</w:t>
      </w:r>
      <w:r>
        <w:rPr>
          <w:rFonts w:hint="eastAsia" w:ascii="宋体" w:hAnsi="宋体" w:eastAsia="宋体" w:cs="宋体"/>
          <w:sz w:val="28"/>
          <w:szCs w:val="28"/>
          <w:highlight w:val="none"/>
          <w:u w:val="single"/>
        </w:rPr>
        <w:t>（按招标文件约定）</w:t>
      </w:r>
      <w:r>
        <w:rPr>
          <w:rFonts w:hint="eastAsia" w:ascii="宋体" w:hAnsi="宋体" w:eastAsia="宋体" w:cs="宋体"/>
          <w:sz w:val="28"/>
          <w:szCs w:val="28"/>
          <w:highlight w:val="none"/>
        </w:rPr>
        <w:t>。如我司违背上述承诺，我司同意招标人取消我司的中标资格</w:t>
      </w:r>
      <w:r>
        <w:rPr>
          <w:rFonts w:hint="eastAsia" w:ascii="宋体" w:hAnsi="宋体" w:eastAsia="宋体" w:cs="宋体"/>
          <w:sz w:val="28"/>
          <w:szCs w:val="28"/>
          <w:highlight w:val="none"/>
          <w:lang w:val="en-US" w:eastAsia="zh-CN"/>
        </w:rPr>
        <w:t>或终止合同事宜</w:t>
      </w:r>
      <w:r>
        <w:rPr>
          <w:rFonts w:hint="eastAsia" w:ascii="宋体" w:hAnsi="宋体" w:eastAsia="宋体" w:cs="宋体"/>
          <w:sz w:val="28"/>
          <w:szCs w:val="28"/>
          <w:highlight w:val="none"/>
        </w:rPr>
        <w:t>。</w:t>
      </w:r>
    </w:p>
    <w:p>
      <w:pPr>
        <w:widowControl/>
        <w:tabs>
          <w:tab w:val="left" w:pos="720"/>
        </w:tabs>
        <w:spacing w:line="500" w:lineRule="exact"/>
        <w:jc w:val="center"/>
        <w:rPr>
          <w:rFonts w:ascii="宋体" w:hAnsi="宋体" w:eastAsia="宋体" w:cs="宋体"/>
          <w:sz w:val="24"/>
          <w:highlight w:val="none"/>
        </w:rPr>
      </w:pPr>
    </w:p>
    <w:p>
      <w:pPr>
        <w:widowControl/>
        <w:snapToGrid w:val="0"/>
        <w:spacing w:line="360" w:lineRule="auto"/>
        <w:ind w:left="4620" w:leftChars="2200" w:firstLine="360"/>
        <w:jc w:val="left"/>
        <w:rPr>
          <w:rFonts w:ascii="宋体" w:hAnsi="宋体" w:eastAsia="宋体" w:cs="宋体"/>
          <w:kern w:val="0"/>
          <w:sz w:val="28"/>
          <w:szCs w:val="28"/>
          <w:highlight w:val="none"/>
        </w:rPr>
      </w:pPr>
    </w:p>
    <w:p>
      <w:pPr>
        <w:widowControl/>
        <w:snapToGrid w:val="0"/>
        <w:spacing w:line="360" w:lineRule="auto"/>
        <w:ind w:left="4620" w:leftChars="2200" w:firstLine="360"/>
        <w:jc w:val="left"/>
        <w:rPr>
          <w:rFonts w:ascii="宋体" w:hAnsi="宋体" w:eastAsia="宋体" w:cs="宋体"/>
          <w:kern w:val="0"/>
          <w:sz w:val="28"/>
          <w:szCs w:val="28"/>
          <w:highlight w:val="none"/>
        </w:rPr>
      </w:pPr>
    </w:p>
    <w:p>
      <w:pPr>
        <w:widowControl/>
        <w:snapToGrid w:val="0"/>
        <w:spacing w:line="360" w:lineRule="auto"/>
        <w:jc w:val="left"/>
        <w:rPr>
          <w:rFonts w:ascii="宋体" w:hAnsi="宋体" w:eastAsia="宋体" w:cs="宋体"/>
          <w:kern w:val="0"/>
          <w:sz w:val="28"/>
          <w:szCs w:val="28"/>
          <w:highlight w:val="none"/>
        </w:rPr>
      </w:pPr>
      <w:r>
        <w:rPr>
          <w:rFonts w:hint="eastAsia" w:ascii="宋体" w:hAnsi="宋体" w:eastAsia="宋体" w:cs="宋体"/>
          <w:kern w:val="0"/>
          <w:sz w:val="28"/>
          <w:szCs w:val="28"/>
          <w:highlight w:val="none"/>
        </w:rPr>
        <w:t xml:space="preserve">投标人（公章）：   </w:t>
      </w:r>
    </w:p>
    <w:p>
      <w:pPr>
        <w:widowControl/>
        <w:snapToGrid w:val="0"/>
        <w:spacing w:line="360" w:lineRule="auto"/>
        <w:ind w:right="1120"/>
        <w:rPr>
          <w:rFonts w:ascii="宋体" w:hAnsi="宋体" w:eastAsia="宋体" w:cs="宋体"/>
          <w:kern w:val="0"/>
          <w:sz w:val="28"/>
          <w:szCs w:val="28"/>
          <w:highlight w:val="none"/>
        </w:rPr>
      </w:pPr>
      <w:r>
        <w:rPr>
          <w:rFonts w:hint="eastAsia" w:ascii="宋体" w:hAnsi="宋体" w:eastAsia="宋体" w:cs="宋体"/>
          <w:kern w:val="0"/>
          <w:sz w:val="28"/>
          <w:szCs w:val="28"/>
          <w:highlight w:val="none"/>
        </w:rPr>
        <w:t>法定代表人（单位负责人）或其授权代理人（签名或盖章）：</w:t>
      </w:r>
    </w:p>
    <w:p>
      <w:pPr>
        <w:widowControl/>
        <w:snapToGrid w:val="0"/>
        <w:spacing w:line="360" w:lineRule="auto"/>
        <w:jc w:val="left"/>
        <w:rPr>
          <w:rFonts w:ascii="宋体" w:hAnsi="宋体" w:eastAsia="宋体" w:cs="宋体"/>
          <w:kern w:val="0"/>
          <w:sz w:val="28"/>
          <w:szCs w:val="28"/>
          <w:highlight w:val="none"/>
        </w:rPr>
      </w:pPr>
      <w:r>
        <w:rPr>
          <w:rFonts w:hint="eastAsia" w:ascii="宋体" w:hAnsi="宋体" w:eastAsia="宋体" w:cs="宋体"/>
          <w:kern w:val="0"/>
          <w:sz w:val="28"/>
          <w:szCs w:val="28"/>
          <w:highlight w:val="none"/>
        </w:rPr>
        <w:t>日   期：</w:t>
      </w:r>
    </w:p>
    <w:p>
      <w:pPr>
        <w:widowControl/>
        <w:spacing w:after="160" w:line="259" w:lineRule="auto"/>
        <w:jc w:val="left"/>
        <w:rPr>
          <w:rFonts w:ascii="宋体" w:hAnsi="宋体" w:eastAsia="宋体" w:cs="宋体"/>
          <w:highlight w:val="none"/>
        </w:rPr>
      </w:pPr>
    </w:p>
    <w:p>
      <w:pPr>
        <w:tabs>
          <w:tab w:val="left" w:pos="567"/>
        </w:tabs>
        <w:spacing w:after="120"/>
        <w:ind w:left="420" w:leftChars="200" w:firstLine="420" w:firstLineChars="200"/>
        <w:rPr>
          <w:rFonts w:ascii="宋体" w:hAnsi="宋体" w:eastAsia="宋体" w:cs="宋体"/>
          <w:szCs w:val="24"/>
          <w:highlight w:val="none"/>
        </w:rPr>
      </w:pPr>
    </w:p>
    <w:p>
      <w:pPr>
        <w:rPr>
          <w:rFonts w:ascii="宋体" w:hAnsi="宋体" w:eastAsia="宋体" w:cs="宋体"/>
          <w:highlight w:val="none"/>
        </w:rPr>
      </w:pPr>
    </w:p>
    <w:p>
      <w:pPr>
        <w:rPr>
          <w:rFonts w:ascii="宋体" w:hAnsi="宋体" w:eastAsia="宋体" w:cs="宋体"/>
          <w:highlight w:val="none"/>
        </w:rPr>
      </w:pPr>
    </w:p>
    <w:p>
      <w:pPr>
        <w:rPr>
          <w:rFonts w:ascii="宋体" w:hAnsi="宋体" w:eastAsia="宋体" w:cs="宋体"/>
          <w:highlight w:val="none"/>
        </w:rPr>
      </w:pPr>
    </w:p>
    <w:p>
      <w:pPr>
        <w:rPr>
          <w:rFonts w:ascii="宋体" w:hAnsi="宋体" w:eastAsia="宋体" w:cs="宋体"/>
          <w:highlight w:val="none"/>
        </w:rPr>
      </w:pPr>
    </w:p>
    <w:p>
      <w:pPr>
        <w:tabs>
          <w:tab w:val="left" w:pos="567"/>
        </w:tabs>
        <w:spacing w:after="120"/>
        <w:rPr>
          <w:rFonts w:ascii="宋体" w:hAnsi="宋体" w:eastAsia="宋体" w:cs="宋体"/>
          <w:szCs w:val="24"/>
          <w:highlight w:val="none"/>
        </w:rPr>
      </w:pPr>
    </w:p>
    <w:p>
      <w:pPr>
        <w:tabs>
          <w:tab w:val="left" w:pos="567"/>
        </w:tabs>
        <w:spacing w:after="120"/>
        <w:rPr>
          <w:rFonts w:ascii="宋体" w:hAnsi="宋体" w:eastAsia="宋体" w:cs="宋体"/>
          <w:kern w:val="0"/>
          <w:sz w:val="32"/>
          <w:szCs w:val="20"/>
          <w:highlight w:val="none"/>
        </w:rPr>
      </w:pPr>
    </w:p>
    <w:p>
      <w:pPr>
        <w:rPr>
          <w:highlight w:val="none"/>
        </w:rPr>
      </w:pPr>
    </w:p>
    <w:sectPr>
      <w:pgSz w:w="11906" w:h="16838"/>
      <w:pgMar w:top="1440" w:right="1800" w:bottom="1440" w:left="11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 New Roman Bold">
    <w:altName w:val="Times New Roman"/>
    <w:panose1 w:val="02020803070505020304"/>
    <w:charset w:val="00"/>
    <w:family w:val="roman"/>
    <w:pitch w:val="default"/>
    <w:sig w:usb0="00000000" w:usb1="00000000" w:usb2="00000000" w:usb3="00000000" w:csb0="00000001"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NiYjhkNGVlOTk0MTBiNzRmNTZkYTcyMWIyMGZmNjMifQ=="/>
    <w:docVar w:name="KSO_WPS_MARK_KEY" w:val="ab9940d1-069c-4fc0-8463-f995cd393664"/>
  </w:docVars>
  <w:rsids>
    <w:rsidRoot w:val="00DB3C76"/>
    <w:rsid w:val="0003297C"/>
    <w:rsid w:val="000C6AAE"/>
    <w:rsid w:val="0014430C"/>
    <w:rsid w:val="00153777"/>
    <w:rsid w:val="002205BF"/>
    <w:rsid w:val="00241F58"/>
    <w:rsid w:val="00283BF1"/>
    <w:rsid w:val="0029172E"/>
    <w:rsid w:val="002E0AE5"/>
    <w:rsid w:val="00302E7A"/>
    <w:rsid w:val="00316262"/>
    <w:rsid w:val="00341A37"/>
    <w:rsid w:val="003B279B"/>
    <w:rsid w:val="003E2EB3"/>
    <w:rsid w:val="004537C7"/>
    <w:rsid w:val="0048195A"/>
    <w:rsid w:val="00484D9D"/>
    <w:rsid w:val="0052259B"/>
    <w:rsid w:val="005B0C1B"/>
    <w:rsid w:val="005E2FC2"/>
    <w:rsid w:val="005F7E0A"/>
    <w:rsid w:val="0060009F"/>
    <w:rsid w:val="00646EEA"/>
    <w:rsid w:val="00684BFF"/>
    <w:rsid w:val="006C5FEE"/>
    <w:rsid w:val="00737BC7"/>
    <w:rsid w:val="00762AF4"/>
    <w:rsid w:val="007A0D4A"/>
    <w:rsid w:val="00896683"/>
    <w:rsid w:val="00997CFA"/>
    <w:rsid w:val="009D2844"/>
    <w:rsid w:val="009F5FF5"/>
    <w:rsid w:val="00A02CA6"/>
    <w:rsid w:val="00A16923"/>
    <w:rsid w:val="00A701FE"/>
    <w:rsid w:val="00A8185A"/>
    <w:rsid w:val="00A97953"/>
    <w:rsid w:val="00B34354"/>
    <w:rsid w:val="00B456D6"/>
    <w:rsid w:val="00B8726A"/>
    <w:rsid w:val="00BB123F"/>
    <w:rsid w:val="00BF01B8"/>
    <w:rsid w:val="00BF50F9"/>
    <w:rsid w:val="00C009C7"/>
    <w:rsid w:val="00C125B9"/>
    <w:rsid w:val="00C2295F"/>
    <w:rsid w:val="00C4246B"/>
    <w:rsid w:val="00D602FC"/>
    <w:rsid w:val="00D715B1"/>
    <w:rsid w:val="00D87D65"/>
    <w:rsid w:val="00DA00D1"/>
    <w:rsid w:val="00DA58CA"/>
    <w:rsid w:val="00DB3C76"/>
    <w:rsid w:val="00DB4956"/>
    <w:rsid w:val="00DD0A76"/>
    <w:rsid w:val="00E33119"/>
    <w:rsid w:val="00E50851"/>
    <w:rsid w:val="00EA4AA2"/>
    <w:rsid w:val="00F11170"/>
    <w:rsid w:val="00F83DD4"/>
    <w:rsid w:val="01F4228B"/>
    <w:rsid w:val="05A7604D"/>
    <w:rsid w:val="06DC0977"/>
    <w:rsid w:val="07D4164E"/>
    <w:rsid w:val="082A2212"/>
    <w:rsid w:val="084C7436"/>
    <w:rsid w:val="0967021B"/>
    <w:rsid w:val="0B4B60CB"/>
    <w:rsid w:val="0D2070E4"/>
    <w:rsid w:val="0EC73CBB"/>
    <w:rsid w:val="0ED0372F"/>
    <w:rsid w:val="0ED15283"/>
    <w:rsid w:val="0EDA2E2B"/>
    <w:rsid w:val="10C5012D"/>
    <w:rsid w:val="1143392C"/>
    <w:rsid w:val="122D7C33"/>
    <w:rsid w:val="14EC0DDF"/>
    <w:rsid w:val="16A714F2"/>
    <w:rsid w:val="182E2830"/>
    <w:rsid w:val="1A72339E"/>
    <w:rsid w:val="1B1D4C62"/>
    <w:rsid w:val="1B214753"/>
    <w:rsid w:val="1CCC6118"/>
    <w:rsid w:val="203617DE"/>
    <w:rsid w:val="249E5066"/>
    <w:rsid w:val="25CB3C39"/>
    <w:rsid w:val="286D23DB"/>
    <w:rsid w:val="2ABA5B52"/>
    <w:rsid w:val="2B2D158E"/>
    <w:rsid w:val="2DC01BA9"/>
    <w:rsid w:val="2DD61195"/>
    <w:rsid w:val="31B87A50"/>
    <w:rsid w:val="32E75E2A"/>
    <w:rsid w:val="33107D3E"/>
    <w:rsid w:val="358A50B1"/>
    <w:rsid w:val="36FB7B18"/>
    <w:rsid w:val="396A6AEB"/>
    <w:rsid w:val="39702BBD"/>
    <w:rsid w:val="39E81075"/>
    <w:rsid w:val="3A3C265B"/>
    <w:rsid w:val="3DD047C3"/>
    <w:rsid w:val="3DFF227A"/>
    <w:rsid w:val="3E9F0678"/>
    <w:rsid w:val="3EC34324"/>
    <w:rsid w:val="402700DD"/>
    <w:rsid w:val="41CB210F"/>
    <w:rsid w:val="424C3CC7"/>
    <w:rsid w:val="45573C4E"/>
    <w:rsid w:val="45F04700"/>
    <w:rsid w:val="47A112DD"/>
    <w:rsid w:val="495C4A24"/>
    <w:rsid w:val="4996233E"/>
    <w:rsid w:val="4A6824E5"/>
    <w:rsid w:val="4A730392"/>
    <w:rsid w:val="4AA85A47"/>
    <w:rsid w:val="4ED84B31"/>
    <w:rsid w:val="4F4E2AE0"/>
    <w:rsid w:val="4FEA4324"/>
    <w:rsid w:val="504626E2"/>
    <w:rsid w:val="51957A2F"/>
    <w:rsid w:val="552D196B"/>
    <w:rsid w:val="56DF0A43"/>
    <w:rsid w:val="5BC36B85"/>
    <w:rsid w:val="5BE10DB9"/>
    <w:rsid w:val="5F3622DC"/>
    <w:rsid w:val="609603C4"/>
    <w:rsid w:val="62A274F4"/>
    <w:rsid w:val="64CE041C"/>
    <w:rsid w:val="64F8164D"/>
    <w:rsid w:val="66512F9D"/>
    <w:rsid w:val="677B5BA0"/>
    <w:rsid w:val="67FB6E68"/>
    <w:rsid w:val="680C2876"/>
    <w:rsid w:val="6A871BB1"/>
    <w:rsid w:val="6BDC2A1B"/>
    <w:rsid w:val="6C610E2B"/>
    <w:rsid w:val="6D6369ED"/>
    <w:rsid w:val="6DEC4558"/>
    <w:rsid w:val="740A456F"/>
    <w:rsid w:val="78F47F26"/>
    <w:rsid w:val="7AC06311"/>
    <w:rsid w:val="7CF76F0E"/>
    <w:rsid w:val="7FD923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qFormat="1" w:unhideWhenUsed="0" w:uiPriority="99"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link w:val="45"/>
    <w:qFormat/>
    <w:uiPriority w:val="0"/>
    <w:pPr>
      <w:keepNext/>
      <w:keepLines/>
      <w:spacing w:before="340" w:after="330" w:line="576" w:lineRule="auto"/>
      <w:outlineLvl w:val="0"/>
    </w:pPr>
    <w:rPr>
      <w:rFonts w:ascii="Times New Roman" w:hAnsi="Times New Roman" w:eastAsia="宋体" w:cs="Times New Roman"/>
      <w:b/>
      <w:kern w:val="44"/>
      <w:sz w:val="44"/>
      <w:szCs w:val="20"/>
    </w:rPr>
  </w:style>
  <w:style w:type="paragraph" w:styleId="7">
    <w:name w:val="heading 2"/>
    <w:basedOn w:val="1"/>
    <w:next w:val="1"/>
    <w:link w:val="46"/>
    <w:qFormat/>
    <w:uiPriority w:val="0"/>
    <w:pPr>
      <w:keepNext/>
      <w:keepLines/>
      <w:tabs>
        <w:tab w:val="left" w:pos="720"/>
      </w:tabs>
      <w:spacing w:before="260" w:after="260" w:line="416" w:lineRule="auto"/>
      <w:outlineLvl w:val="1"/>
    </w:pPr>
    <w:rPr>
      <w:rFonts w:ascii="Arial" w:hAnsi="Arial" w:eastAsia="黑体" w:cs="Times New Roman"/>
      <w:b/>
      <w:bCs/>
      <w:kern w:val="0"/>
      <w:sz w:val="32"/>
      <w:szCs w:val="32"/>
    </w:rPr>
  </w:style>
  <w:style w:type="paragraph" w:styleId="8">
    <w:name w:val="heading 3"/>
    <w:basedOn w:val="1"/>
    <w:next w:val="1"/>
    <w:link w:val="47"/>
    <w:qFormat/>
    <w:uiPriority w:val="0"/>
    <w:pPr>
      <w:keepNext/>
      <w:keepLines/>
      <w:spacing w:before="260" w:after="260" w:line="416" w:lineRule="auto"/>
      <w:outlineLvl w:val="2"/>
    </w:pPr>
    <w:rPr>
      <w:rFonts w:ascii="Calibri" w:hAnsi="Calibri" w:eastAsia="宋体" w:cs="Times New Roman"/>
      <w:b/>
      <w:bCs/>
      <w:kern w:val="0"/>
      <w:sz w:val="32"/>
      <w:szCs w:val="32"/>
    </w:rPr>
  </w:style>
  <w:style w:type="paragraph" w:styleId="9">
    <w:name w:val="heading 4"/>
    <w:basedOn w:val="1"/>
    <w:next w:val="1"/>
    <w:link w:val="48"/>
    <w:qFormat/>
    <w:uiPriority w:val="0"/>
    <w:pPr>
      <w:keepNext/>
      <w:keepLines/>
      <w:widowControl/>
      <w:tabs>
        <w:tab w:val="left" w:pos="864"/>
      </w:tabs>
      <w:spacing w:before="120" w:after="180"/>
      <w:outlineLvl w:val="3"/>
    </w:pPr>
    <w:rPr>
      <w:rFonts w:ascii="Times New Roman Bold" w:hAnsi="Times New Roman Bold" w:eastAsia="宋体" w:cs="Times New Roman"/>
      <w:b/>
      <w:kern w:val="0"/>
      <w:sz w:val="24"/>
      <w:szCs w:val="20"/>
      <w:lang w:val="en-GB" w:eastAsia="en-US"/>
    </w:rPr>
  </w:style>
  <w:style w:type="paragraph" w:styleId="10">
    <w:name w:val="heading 5"/>
    <w:basedOn w:val="1"/>
    <w:next w:val="1"/>
    <w:link w:val="49"/>
    <w:qFormat/>
    <w:uiPriority w:val="0"/>
    <w:pPr>
      <w:keepNext/>
      <w:tabs>
        <w:tab w:val="left" w:pos="1008"/>
      </w:tabs>
      <w:spacing w:line="360" w:lineRule="auto"/>
      <w:outlineLvl w:val="4"/>
    </w:pPr>
    <w:rPr>
      <w:rFonts w:ascii="Arial" w:hAnsi="Arial" w:eastAsia="宋体" w:cs="Times New Roman"/>
      <w:b/>
      <w:bCs/>
      <w:iCs/>
      <w:kern w:val="0"/>
      <w:sz w:val="20"/>
      <w:szCs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link w:val="63"/>
    <w:qFormat/>
    <w:uiPriority w:val="0"/>
    <w:pPr>
      <w:tabs>
        <w:tab w:val="left" w:pos="567"/>
      </w:tabs>
      <w:spacing w:after="120" w:line="240" w:lineRule="auto"/>
      <w:ind w:left="200" w:firstLine="200" w:firstLineChars="200"/>
    </w:pPr>
    <w:rPr>
      <w:kern w:val="2"/>
      <w:sz w:val="21"/>
      <w:szCs w:val="24"/>
    </w:rPr>
  </w:style>
  <w:style w:type="paragraph" w:styleId="3">
    <w:name w:val="Body Text Indent"/>
    <w:basedOn w:val="1"/>
    <w:next w:val="4"/>
    <w:link w:val="55"/>
    <w:qFormat/>
    <w:uiPriority w:val="0"/>
    <w:pPr>
      <w:tabs>
        <w:tab w:val="left" w:pos="567"/>
      </w:tabs>
      <w:spacing w:line="360" w:lineRule="auto"/>
      <w:ind w:left="420" w:leftChars="200"/>
    </w:pPr>
    <w:rPr>
      <w:rFonts w:ascii="Calibri" w:hAnsi="Calibri" w:eastAsia="宋体" w:cs="Times New Roman"/>
      <w:kern w:val="0"/>
      <w:sz w:val="20"/>
      <w:szCs w:val="21"/>
    </w:rPr>
  </w:style>
  <w:style w:type="paragraph" w:styleId="4">
    <w:name w:val="envelope return"/>
    <w:basedOn w:val="1"/>
    <w:qFormat/>
    <w:uiPriority w:val="0"/>
    <w:pPr>
      <w:snapToGrid w:val="0"/>
    </w:pPr>
    <w:rPr>
      <w:rFonts w:ascii="Arial" w:hAnsi="Arial" w:eastAsia="宋体" w:cs="Times New Roman"/>
      <w:szCs w:val="24"/>
    </w:rPr>
  </w:style>
  <w:style w:type="paragraph" w:styleId="5">
    <w:name w:val="Body Text"/>
    <w:basedOn w:val="1"/>
    <w:next w:val="1"/>
    <w:link w:val="54"/>
    <w:qFormat/>
    <w:uiPriority w:val="0"/>
    <w:pPr>
      <w:spacing w:after="120"/>
    </w:pPr>
    <w:rPr>
      <w:rFonts w:ascii="Calibri" w:hAnsi="Calibri" w:eastAsia="宋体" w:cs="Times New Roman"/>
      <w:kern w:val="0"/>
      <w:sz w:val="20"/>
      <w:szCs w:val="20"/>
    </w:rPr>
  </w:style>
  <w:style w:type="paragraph" w:styleId="11">
    <w:name w:val="Normal Indent"/>
    <w:basedOn w:val="1"/>
    <w:link w:val="50"/>
    <w:qFormat/>
    <w:uiPriority w:val="0"/>
    <w:pPr>
      <w:ind w:firstLine="420" w:firstLineChars="200"/>
    </w:pPr>
    <w:rPr>
      <w:rFonts w:ascii="Times New Roman" w:hAnsi="Times New Roman" w:eastAsia="宋体" w:cs="Times New Roman"/>
      <w:szCs w:val="24"/>
    </w:rPr>
  </w:style>
  <w:style w:type="paragraph" w:styleId="12">
    <w:name w:val="Document Map"/>
    <w:basedOn w:val="1"/>
    <w:link w:val="51"/>
    <w:semiHidden/>
    <w:qFormat/>
    <w:uiPriority w:val="0"/>
    <w:pPr>
      <w:shd w:val="clear" w:color="auto" w:fill="000080"/>
    </w:pPr>
    <w:rPr>
      <w:rFonts w:ascii="Calibri" w:hAnsi="Calibri" w:eastAsia="宋体" w:cs="Times New Roman"/>
      <w:kern w:val="0"/>
      <w:sz w:val="20"/>
      <w:szCs w:val="20"/>
    </w:rPr>
  </w:style>
  <w:style w:type="paragraph" w:styleId="13">
    <w:name w:val="annotation text"/>
    <w:basedOn w:val="1"/>
    <w:link w:val="52"/>
    <w:qFormat/>
    <w:uiPriority w:val="0"/>
    <w:pPr>
      <w:jc w:val="left"/>
    </w:pPr>
    <w:rPr>
      <w:rFonts w:ascii="Calibri" w:hAnsi="Calibri" w:eastAsia="宋体" w:cs="Times New Roman"/>
      <w:kern w:val="0"/>
      <w:sz w:val="20"/>
      <w:szCs w:val="20"/>
    </w:rPr>
  </w:style>
  <w:style w:type="paragraph" w:styleId="14">
    <w:name w:val="Body Text 3"/>
    <w:basedOn w:val="1"/>
    <w:link w:val="53"/>
    <w:qFormat/>
    <w:uiPriority w:val="0"/>
    <w:pPr>
      <w:spacing w:after="120"/>
    </w:pPr>
    <w:rPr>
      <w:rFonts w:ascii="Calibri" w:hAnsi="Calibri" w:eastAsia="宋体" w:cs="Times New Roman"/>
      <w:kern w:val="0"/>
      <w:sz w:val="16"/>
      <w:szCs w:val="16"/>
    </w:rPr>
  </w:style>
  <w:style w:type="paragraph" w:styleId="15">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rPr>
  </w:style>
  <w:style w:type="paragraph" w:styleId="16">
    <w:name w:val="Plain Text"/>
    <w:basedOn w:val="1"/>
    <w:next w:val="1"/>
    <w:link w:val="56"/>
    <w:qFormat/>
    <w:uiPriority w:val="99"/>
    <w:rPr>
      <w:rFonts w:ascii="宋体" w:hAnsi="Courier New" w:eastAsia="宋体" w:cs="Times New Roman"/>
      <w:kern w:val="0"/>
      <w:sz w:val="20"/>
      <w:szCs w:val="21"/>
    </w:rPr>
  </w:style>
  <w:style w:type="paragraph" w:styleId="17">
    <w:name w:val="Date"/>
    <w:basedOn w:val="1"/>
    <w:next w:val="1"/>
    <w:link w:val="57"/>
    <w:qFormat/>
    <w:uiPriority w:val="0"/>
    <w:pPr>
      <w:ind w:left="100" w:leftChars="2500"/>
    </w:pPr>
    <w:rPr>
      <w:rFonts w:ascii="Calibri" w:hAnsi="Calibri" w:eastAsia="宋体" w:cs="Times New Roman"/>
      <w:kern w:val="0"/>
      <w:sz w:val="20"/>
      <w:szCs w:val="24"/>
    </w:rPr>
  </w:style>
  <w:style w:type="paragraph" w:styleId="18">
    <w:name w:val="Body Text Indent 2"/>
    <w:basedOn w:val="1"/>
    <w:link w:val="58"/>
    <w:qFormat/>
    <w:uiPriority w:val="0"/>
    <w:pPr>
      <w:spacing w:after="120" w:line="480" w:lineRule="auto"/>
      <w:ind w:left="420" w:leftChars="200"/>
    </w:pPr>
    <w:rPr>
      <w:rFonts w:ascii="Calibri" w:hAnsi="Calibri" w:eastAsia="宋体" w:cs="Times New Roman"/>
      <w:kern w:val="0"/>
      <w:sz w:val="20"/>
      <w:szCs w:val="24"/>
    </w:rPr>
  </w:style>
  <w:style w:type="paragraph" w:styleId="19">
    <w:name w:val="Balloon Text"/>
    <w:basedOn w:val="1"/>
    <w:link w:val="59"/>
    <w:semiHidden/>
    <w:qFormat/>
    <w:uiPriority w:val="0"/>
    <w:rPr>
      <w:rFonts w:ascii="Calibri" w:hAnsi="Calibri" w:eastAsia="宋体" w:cs="Times New Roman"/>
      <w:kern w:val="0"/>
      <w:sz w:val="18"/>
      <w:szCs w:val="18"/>
    </w:rPr>
  </w:style>
  <w:style w:type="paragraph" w:styleId="20">
    <w:name w:val="footer"/>
    <w:basedOn w:val="1"/>
    <w:link w:val="44"/>
    <w:unhideWhenUsed/>
    <w:qFormat/>
    <w:uiPriority w:val="99"/>
    <w:pPr>
      <w:tabs>
        <w:tab w:val="center" w:pos="4153"/>
        <w:tab w:val="right" w:pos="8306"/>
      </w:tabs>
      <w:snapToGrid w:val="0"/>
      <w:jc w:val="left"/>
    </w:pPr>
    <w:rPr>
      <w:sz w:val="18"/>
      <w:szCs w:val="18"/>
    </w:rPr>
  </w:style>
  <w:style w:type="paragraph" w:styleId="21">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widowControl/>
      <w:spacing w:after="100" w:line="276" w:lineRule="auto"/>
      <w:jc w:val="left"/>
    </w:pPr>
    <w:rPr>
      <w:rFonts w:ascii="Calibri" w:hAnsi="Calibri" w:eastAsia="宋体" w:cs="Times New Roman"/>
      <w:kern w:val="0"/>
      <w:sz w:val="22"/>
    </w:rPr>
  </w:style>
  <w:style w:type="paragraph" w:styleId="23">
    <w:name w:val="List"/>
    <w:basedOn w:val="1"/>
    <w:qFormat/>
    <w:uiPriority w:val="0"/>
    <w:pPr>
      <w:ind w:left="200" w:hanging="200" w:hangingChars="200"/>
    </w:pPr>
    <w:rPr>
      <w:rFonts w:ascii="Times New Roman" w:hAnsi="Times New Roman" w:eastAsia="宋体" w:cs="Times New Roman"/>
      <w:szCs w:val="24"/>
    </w:rPr>
  </w:style>
  <w:style w:type="paragraph" w:styleId="24">
    <w:name w:val="toc 6"/>
    <w:basedOn w:val="1"/>
    <w:next w:val="1"/>
    <w:qFormat/>
    <w:uiPriority w:val="0"/>
    <w:pPr>
      <w:ind w:left="2100" w:leftChars="1000"/>
    </w:pPr>
    <w:rPr>
      <w:rFonts w:ascii="Times New Roman" w:hAnsi="Times New Roman" w:eastAsia="宋体" w:cs="Times New Roman"/>
      <w:szCs w:val="24"/>
    </w:rPr>
  </w:style>
  <w:style w:type="paragraph" w:styleId="25">
    <w:name w:val="toc 2"/>
    <w:basedOn w:val="1"/>
    <w:next w:val="1"/>
    <w:unhideWhenUsed/>
    <w:qFormat/>
    <w:uiPriority w:val="39"/>
    <w:pPr>
      <w:widowControl/>
      <w:spacing w:after="100" w:line="276" w:lineRule="auto"/>
      <w:ind w:left="220"/>
      <w:jc w:val="left"/>
    </w:pPr>
    <w:rPr>
      <w:rFonts w:ascii="Calibri" w:hAnsi="Calibri" w:eastAsia="宋体" w:cs="Times New Roman"/>
      <w:kern w:val="0"/>
      <w:sz w:val="22"/>
    </w:rPr>
  </w:style>
  <w:style w:type="paragraph" w:styleId="26">
    <w:name w:val="Body Text 2"/>
    <w:basedOn w:val="1"/>
    <w:qFormat/>
    <w:uiPriority w:val="0"/>
    <w:pPr>
      <w:spacing w:after="120" w:line="480" w:lineRule="auto"/>
    </w:pPr>
    <w:rPr>
      <w:rFonts w:ascii="Times New Roman" w:hAnsi="Times New Roman"/>
      <w:kern w:val="0"/>
      <w:sz w:val="20"/>
    </w:rPr>
  </w:style>
  <w:style w:type="paragraph" w:styleId="27">
    <w:name w:val="HTML Preformatted"/>
    <w:basedOn w:val="1"/>
    <w:link w:val="60"/>
    <w:qFormat/>
    <w:uiPriority w:val="99"/>
    <w:rPr>
      <w:rFonts w:ascii="Courier New" w:hAnsi="Courier New" w:eastAsia="宋体" w:cs="Times New Roman"/>
      <w:kern w:val="0"/>
      <w:sz w:val="20"/>
      <w:szCs w:val="20"/>
    </w:rPr>
  </w:style>
  <w:style w:type="paragraph" w:styleId="2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9">
    <w:name w:val="annotation subject"/>
    <w:basedOn w:val="13"/>
    <w:next w:val="13"/>
    <w:link w:val="61"/>
    <w:semiHidden/>
    <w:qFormat/>
    <w:uiPriority w:val="0"/>
    <w:rPr>
      <w:b/>
      <w:bCs/>
    </w:rPr>
  </w:style>
  <w:style w:type="paragraph" w:styleId="30">
    <w:name w:val="Body Text First Indent"/>
    <w:basedOn w:val="5"/>
    <w:link w:val="62"/>
    <w:qFormat/>
    <w:uiPriority w:val="0"/>
    <w:pPr>
      <w:ind w:firstLine="420" w:firstLineChars="100"/>
    </w:pPr>
  </w:style>
  <w:style w:type="table" w:styleId="32">
    <w:name w:val="Table Grid"/>
    <w:basedOn w:val="3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4">
    <w:name w:val="Strong"/>
    <w:qFormat/>
    <w:uiPriority w:val="22"/>
    <w:rPr>
      <w:b/>
      <w:bCs/>
    </w:rPr>
  </w:style>
  <w:style w:type="character" w:styleId="35">
    <w:name w:val="page number"/>
    <w:qFormat/>
    <w:uiPriority w:val="0"/>
  </w:style>
  <w:style w:type="character" w:styleId="36">
    <w:name w:val="FollowedHyperlink"/>
    <w:unhideWhenUsed/>
    <w:qFormat/>
    <w:uiPriority w:val="99"/>
    <w:rPr>
      <w:color w:val="800080"/>
      <w:u w:val="single"/>
    </w:rPr>
  </w:style>
  <w:style w:type="character" w:styleId="37">
    <w:name w:val="HTML Definition"/>
    <w:basedOn w:val="33"/>
    <w:semiHidden/>
    <w:unhideWhenUsed/>
    <w:qFormat/>
    <w:uiPriority w:val="99"/>
    <w:rPr>
      <w:b/>
      <w:i/>
      <w:color w:val="FFFFFF"/>
      <w:sz w:val="18"/>
      <w:szCs w:val="18"/>
      <w:vertAlign w:val="baseline"/>
    </w:rPr>
  </w:style>
  <w:style w:type="character" w:styleId="38">
    <w:name w:val="Hyperlink"/>
    <w:qFormat/>
    <w:uiPriority w:val="99"/>
    <w:rPr>
      <w:color w:val="0000FF"/>
      <w:u w:val="single"/>
    </w:rPr>
  </w:style>
  <w:style w:type="character" w:styleId="39">
    <w:name w:val="HTML Code"/>
    <w:basedOn w:val="33"/>
    <w:semiHidden/>
    <w:unhideWhenUsed/>
    <w:qFormat/>
    <w:uiPriority w:val="99"/>
    <w:rPr>
      <w:rFonts w:hint="default" w:ascii="Consolas" w:hAnsi="Consolas" w:eastAsia="Consolas" w:cs="Consolas"/>
      <w:color w:val="C7254E"/>
      <w:sz w:val="21"/>
      <w:szCs w:val="21"/>
      <w:shd w:val="clear" w:color="auto" w:fill="F9F2F4"/>
    </w:rPr>
  </w:style>
  <w:style w:type="character" w:styleId="40">
    <w:name w:val="annotation reference"/>
    <w:qFormat/>
    <w:uiPriority w:val="0"/>
    <w:rPr>
      <w:rFonts w:cs="Times New Roman"/>
      <w:sz w:val="21"/>
    </w:rPr>
  </w:style>
  <w:style w:type="character" w:styleId="41">
    <w:name w:val="HTML Keyboard"/>
    <w:basedOn w:val="33"/>
    <w:semiHidden/>
    <w:unhideWhenUsed/>
    <w:qFormat/>
    <w:uiPriority w:val="99"/>
    <w:rPr>
      <w:rFonts w:ascii="Consolas" w:hAnsi="Consolas" w:eastAsia="Consolas" w:cs="Consolas"/>
      <w:color w:val="FFFFFF"/>
      <w:sz w:val="21"/>
      <w:szCs w:val="21"/>
      <w:shd w:val="clear" w:color="auto" w:fill="333333"/>
    </w:rPr>
  </w:style>
  <w:style w:type="character" w:styleId="42">
    <w:name w:val="HTML Sample"/>
    <w:basedOn w:val="33"/>
    <w:semiHidden/>
    <w:unhideWhenUsed/>
    <w:qFormat/>
    <w:uiPriority w:val="99"/>
    <w:rPr>
      <w:rFonts w:hint="default" w:ascii="Consolas" w:hAnsi="Consolas" w:eastAsia="Consolas" w:cs="Consolas"/>
      <w:color w:val="5292C6"/>
      <w:sz w:val="21"/>
      <w:szCs w:val="21"/>
      <w:u w:val="none"/>
    </w:rPr>
  </w:style>
  <w:style w:type="character" w:customStyle="1" w:styleId="43">
    <w:name w:val="页眉 字符"/>
    <w:basedOn w:val="33"/>
    <w:link w:val="21"/>
    <w:qFormat/>
    <w:uiPriority w:val="0"/>
    <w:rPr>
      <w:sz w:val="18"/>
      <w:szCs w:val="18"/>
    </w:rPr>
  </w:style>
  <w:style w:type="character" w:customStyle="1" w:styleId="44">
    <w:name w:val="页脚 字符"/>
    <w:basedOn w:val="33"/>
    <w:link w:val="20"/>
    <w:qFormat/>
    <w:uiPriority w:val="99"/>
    <w:rPr>
      <w:sz w:val="18"/>
      <w:szCs w:val="18"/>
    </w:rPr>
  </w:style>
  <w:style w:type="character" w:customStyle="1" w:styleId="45">
    <w:name w:val="标题 1 字符"/>
    <w:basedOn w:val="33"/>
    <w:link w:val="6"/>
    <w:qFormat/>
    <w:uiPriority w:val="0"/>
    <w:rPr>
      <w:rFonts w:ascii="Times New Roman" w:hAnsi="Times New Roman" w:eastAsia="宋体" w:cs="Times New Roman"/>
      <w:b/>
      <w:kern w:val="44"/>
      <w:sz w:val="44"/>
      <w:szCs w:val="20"/>
    </w:rPr>
  </w:style>
  <w:style w:type="character" w:customStyle="1" w:styleId="46">
    <w:name w:val="标题 2 字符"/>
    <w:basedOn w:val="33"/>
    <w:link w:val="7"/>
    <w:qFormat/>
    <w:uiPriority w:val="0"/>
    <w:rPr>
      <w:rFonts w:ascii="Arial" w:hAnsi="Arial" w:eastAsia="黑体" w:cs="Times New Roman"/>
      <w:b/>
      <w:bCs/>
      <w:kern w:val="0"/>
      <w:sz w:val="32"/>
      <w:szCs w:val="32"/>
    </w:rPr>
  </w:style>
  <w:style w:type="character" w:customStyle="1" w:styleId="47">
    <w:name w:val="标题 3 字符"/>
    <w:basedOn w:val="33"/>
    <w:link w:val="8"/>
    <w:qFormat/>
    <w:uiPriority w:val="0"/>
    <w:rPr>
      <w:rFonts w:ascii="Calibri" w:hAnsi="Calibri" w:eastAsia="宋体" w:cs="Times New Roman"/>
      <w:b/>
      <w:bCs/>
      <w:kern w:val="0"/>
      <w:sz w:val="32"/>
      <w:szCs w:val="32"/>
    </w:rPr>
  </w:style>
  <w:style w:type="character" w:customStyle="1" w:styleId="48">
    <w:name w:val="标题 4 字符"/>
    <w:basedOn w:val="33"/>
    <w:link w:val="9"/>
    <w:qFormat/>
    <w:uiPriority w:val="0"/>
    <w:rPr>
      <w:rFonts w:ascii="Times New Roman Bold" w:hAnsi="Times New Roman Bold" w:eastAsia="宋体" w:cs="Times New Roman"/>
      <w:b/>
      <w:kern w:val="0"/>
      <w:sz w:val="24"/>
      <w:szCs w:val="20"/>
      <w:lang w:val="en-GB" w:eastAsia="en-US"/>
    </w:rPr>
  </w:style>
  <w:style w:type="character" w:customStyle="1" w:styleId="49">
    <w:name w:val="标题 5 字符"/>
    <w:basedOn w:val="33"/>
    <w:link w:val="10"/>
    <w:qFormat/>
    <w:uiPriority w:val="0"/>
    <w:rPr>
      <w:rFonts w:ascii="Arial" w:hAnsi="Arial" w:eastAsia="宋体" w:cs="Times New Roman"/>
      <w:b/>
      <w:bCs/>
      <w:iCs/>
      <w:kern w:val="0"/>
      <w:sz w:val="20"/>
      <w:szCs w:val="21"/>
    </w:rPr>
  </w:style>
  <w:style w:type="character" w:customStyle="1" w:styleId="50">
    <w:name w:val="正文缩进 字符"/>
    <w:link w:val="11"/>
    <w:qFormat/>
    <w:uiPriority w:val="0"/>
    <w:rPr>
      <w:rFonts w:ascii="Times New Roman" w:hAnsi="Times New Roman" w:eastAsia="宋体" w:cs="Times New Roman"/>
      <w:szCs w:val="24"/>
    </w:rPr>
  </w:style>
  <w:style w:type="character" w:customStyle="1" w:styleId="51">
    <w:name w:val="文档结构图 字符"/>
    <w:basedOn w:val="33"/>
    <w:link w:val="12"/>
    <w:semiHidden/>
    <w:qFormat/>
    <w:uiPriority w:val="0"/>
    <w:rPr>
      <w:rFonts w:ascii="Calibri" w:hAnsi="Calibri" w:eastAsia="宋体" w:cs="Times New Roman"/>
      <w:kern w:val="0"/>
      <w:sz w:val="20"/>
      <w:szCs w:val="20"/>
      <w:shd w:val="clear" w:color="auto" w:fill="000080"/>
    </w:rPr>
  </w:style>
  <w:style w:type="character" w:customStyle="1" w:styleId="52">
    <w:name w:val="批注文字 字符"/>
    <w:basedOn w:val="33"/>
    <w:link w:val="13"/>
    <w:qFormat/>
    <w:uiPriority w:val="0"/>
    <w:rPr>
      <w:rFonts w:ascii="Calibri" w:hAnsi="Calibri" w:eastAsia="宋体" w:cs="Times New Roman"/>
      <w:kern w:val="0"/>
      <w:sz w:val="20"/>
      <w:szCs w:val="20"/>
    </w:rPr>
  </w:style>
  <w:style w:type="character" w:customStyle="1" w:styleId="53">
    <w:name w:val="正文文本 3 字符"/>
    <w:basedOn w:val="33"/>
    <w:link w:val="14"/>
    <w:qFormat/>
    <w:uiPriority w:val="0"/>
    <w:rPr>
      <w:rFonts w:ascii="Calibri" w:hAnsi="Calibri" w:eastAsia="宋体" w:cs="Times New Roman"/>
      <w:kern w:val="0"/>
      <w:sz w:val="16"/>
      <w:szCs w:val="16"/>
    </w:rPr>
  </w:style>
  <w:style w:type="character" w:customStyle="1" w:styleId="54">
    <w:name w:val="正文文本 字符"/>
    <w:basedOn w:val="33"/>
    <w:link w:val="5"/>
    <w:qFormat/>
    <w:uiPriority w:val="0"/>
    <w:rPr>
      <w:rFonts w:ascii="Calibri" w:hAnsi="Calibri" w:eastAsia="宋体" w:cs="Times New Roman"/>
      <w:kern w:val="0"/>
      <w:sz w:val="20"/>
      <w:szCs w:val="20"/>
    </w:rPr>
  </w:style>
  <w:style w:type="character" w:customStyle="1" w:styleId="55">
    <w:name w:val="正文文本缩进 字符"/>
    <w:basedOn w:val="33"/>
    <w:link w:val="3"/>
    <w:qFormat/>
    <w:uiPriority w:val="0"/>
    <w:rPr>
      <w:rFonts w:ascii="Calibri" w:hAnsi="Calibri" w:eastAsia="宋体" w:cs="Times New Roman"/>
      <w:kern w:val="0"/>
      <w:sz w:val="20"/>
      <w:szCs w:val="21"/>
    </w:rPr>
  </w:style>
  <w:style w:type="character" w:customStyle="1" w:styleId="56">
    <w:name w:val="纯文本 字符"/>
    <w:basedOn w:val="33"/>
    <w:link w:val="16"/>
    <w:qFormat/>
    <w:uiPriority w:val="99"/>
    <w:rPr>
      <w:rFonts w:ascii="宋体" w:hAnsi="Courier New" w:eastAsia="宋体" w:cs="Times New Roman"/>
      <w:kern w:val="0"/>
      <w:sz w:val="20"/>
      <w:szCs w:val="21"/>
    </w:rPr>
  </w:style>
  <w:style w:type="character" w:customStyle="1" w:styleId="57">
    <w:name w:val="日期 字符"/>
    <w:basedOn w:val="33"/>
    <w:link w:val="17"/>
    <w:qFormat/>
    <w:uiPriority w:val="0"/>
    <w:rPr>
      <w:rFonts w:ascii="Calibri" w:hAnsi="Calibri" w:eastAsia="宋体" w:cs="Times New Roman"/>
      <w:kern w:val="0"/>
      <w:sz w:val="20"/>
      <w:szCs w:val="24"/>
    </w:rPr>
  </w:style>
  <w:style w:type="character" w:customStyle="1" w:styleId="58">
    <w:name w:val="正文文本缩进 2 字符"/>
    <w:basedOn w:val="33"/>
    <w:link w:val="18"/>
    <w:qFormat/>
    <w:uiPriority w:val="0"/>
    <w:rPr>
      <w:rFonts w:ascii="Calibri" w:hAnsi="Calibri" w:eastAsia="宋体" w:cs="Times New Roman"/>
      <w:kern w:val="0"/>
      <w:sz w:val="20"/>
      <w:szCs w:val="24"/>
    </w:rPr>
  </w:style>
  <w:style w:type="character" w:customStyle="1" w:styleId="59">
    <w:name w:val="批注框文本 字符"/>
    <w:basedOn w:val="33"/>
    <w:link w:val="19"/>
    <w:semiHidden/>
    <w:qFormat/>
    <w:uiPriority w:val="0"/>
    <w:rPr>
      <w:rFonts w:ascii="Calibri" w:hAnsi="Calibri" w:eastAsia="宋体" w:cs="Times New Roman"/>
      <w:kern w:val="0"/>
      <w:sz w:val="18"/>
      <w:szCs w:val="18"/>
    </w:rPr>
  </w:style>
  <w:style w:type="character" w:customStyle="1" w:styleId="60">
    <w:name w:val="HTML 预设格式 字符"/>
    <w:basedOn w:val="33"/>
    <w:link w:val="27"/>
    <w:qFormat/>
    <w:uiPriority w:val="99"/>
    <w:rPr>
      <w:rFonts w:ascii="Courier New" w:hAnsi="Courier New" w:eastAsia="宋体" w:cs="Times New Roman"/>
      <w:kern w:val="0"/>
      <w:sz w:val="20"/>
      <w:szCs w:val="20"/>
    </w:rPr>
  </w:style>
  <w:style w:type="character" w:customStyle="1" w:styleId="61">
    <w:name w:val="批注主题 字符"/>
    <w:basedOn w:val="52"/>
    <w:link w:val="29"/>
    <w:semiHidden/>
    <w:qFormat/>
    <w:uiPriority w:val="0"/>
    <w:rPr>
      <w:rFonts w:ascii="Calibri" w:hAnsi="Calibri" w:eastAsia="宋体" w:cs="Times New Roman"/>
      <w:b/>
      <w:bCs/>
      <w:kern w:val="0"/>
      <w:sz w:val="20"/>
      <w:szCs w:val="20"/>
    </w:rPr>
  </w:style>
  <w:style w:type="character" w:customStyle="1" w:styleId="62">
    <w:name w:val="正文首行缩进 字符"/>
    <w:basedOn w:val="54"/>
    <w:link w:val="30"/>
    <w:qFormat/>
    <w:uiPriority w:val="0"/>
    <w:rPr>
      <w:rFonts w:ascii="Calibri" w:hAnsi="Calibri" w:eastAsia="宋体" w:cs="Times New Roman"/>
      <w:kern w:val="0"/>
      <w:sz w:val="20"/>
      <w:szCs w:val="20"/>
    </w:rPr>
  </w:style>
  <w:style w:type="character" w:customStyle="1" w:styleId="63">
    <w:name w:val="正文首行缩进 2 字符"/>
    <w:basedOn w:val="55"/>
    <w:link w:val="2"/>
    <w:qFormat/>
    <w:uiPriority w:val="0"/>
    <w:rPr>
      <w:rFonts w:ascii="Calibri" w:hAnsi="Calibri" w:eastAsia="宋体" w:cs="Times New Roman"/>
      <w:kern w:val="0"/>
      <w:sz w:val="20"/>
      <w:szCs w:val="24"/>
    </w:rPr>
  </w:style>
  <w:style w:type="character" w:customStyle="1" w:styleId="64">
    <w:name w:val="Arial 10"/>
    <w:qFormat/>
    <w:uiPriority w:val="0"/>
    <w:rPr>
      <w:rFonts w:ascii="Arial" w:hAnsi="Arial"/>
      <w:sz w:val="20"/>
    </w:rPr>
  </w:style>
  <w:style w:type="character" w:customStyle="1" w:styleId="65">
    <w:name w:val="日期 Char1"/>
    <w:qFormat/>
    <w:uiPriority w:val="0"/>
    <w:rPr>
      <w:rFonts w:ascii="Calibri" w:hAnsi="Calibri"/>
      <w:kern w:val="2"/>
      <w:sz w:val="21"/>
      <w:szCs w:val="22"/>
    </w:rPr>
  </w:style>
  <w:style w:type="character" w:customStyle="1" w:styleId="66">
    <w:name w:val="纯文本 Char"/>
    <w:qFormat/>
    <w:uiPriority w:val="0"/>
    <w:rPr>
      <w:rFonts w:ascii="宋体" w:hAnsi="Courier New" w:cs="Courier New"/>
      <w:szCs w:val="21"/>
    </w:rPr>
  </w:style>
  <w:style w:type="character" w:customStyle="1" w:styleId="67">
    <w:name w:val="HTML 预设格式 Char"/>
    <w:qFormat/>
    <w:uiPriority w:val="0"/>
    <w:rPr>
      <w:rFonts w:ascii="Courier New" w:hAnsi="Courier New" w:cs="Courier New"/>
    </w:rPr>
  </w:style>
  <w:style w:type="character" w:customStyle="1" w:styleId="68">
    <w:name w:val="NormalCharacter"/>
    <w:qFormat/>
    <w:uiPriority w:val="0"/>
  </w:style>
  <w:style w:type="character" w:customStyle="1" w:styleId="69">
    <w:name w:val="日期 Char"/>
    <w:qFormat/>
    <w:uiPriority w:val="0"/>
    <w:rPr>
      <w:szCs w:val="24"/>
    </w:rPr>
  </w:style>
  <w:style w:type="character" w:customStyle="1" w:styleId="70">
    <w:name w:val="正文文本缩进 Char1"/>
    <w:qFormat/>
    <w:uiPriority w:val="0"/>
    <w:rPr>
      <w:rFonts w:ascii="Calibri" w:hAnsi="Calibri"/>
      <w:kern w:val="2"/>
      <w:sz w:val="21"/>
      <w:szCs w:val="22"/>
    </w:rPr>
  </w:style>
  <w:style w:type="character" w:customStyle="1" w:styleId="71">
    <w:name w:val="首行缩进2字符 Char"/>
    <w:link w:val="72"/>
    <w:qFormat/>
    <w:uiPriority w:val="0"/>
    <w:rPr>
      <w:bCs/>
      <w:sz w:val="24"/>
      <w:szCs w:val="24"/>
    </w:rPr>
  </w:style>
  <w:style w:type="paragraph" w:customStyle="1" w:styleId="72">
    <w:name w:val="首行缩进2字符"/>
    <w:basedOn w:val="1"/>
    <w:next w:val="1"/>
    <w:link w:val="71"/>
    <w:qFormat/>
    <w:uiPriority w:val="0"/>
    <w:pPr>
      <w:spacing w:line="360" w:lineRule="auto"/>
      <w:ind w:firstLine="200" w:firstLineChars="200"/>
    </w:pPr>
    <w:rPr>
      <w:bCs/>
      <w:sz w:val="24"/>
      <w:szCs w:val="24"/>
    </w:rPr>
  </w:style>
  <w:style w:type="character" w:customStyle="1" w:styleId="73">
    <w:name w:val="样式 (符号) 宋体 小三 加粗 黑色"/>
    <w:qFormat/>
    <w:uiPriority w:val="0"/>
    <w:rPr>
      <w:b/>
      <w:bCs/>
      <w:color w:val="000000"/>
      <w:sz w:val="30"/>
    </w:rPr>
  </w:style>
  <w:style w:type="character" w:customStyle="1" w:styleId="74">
    <w:name w:val="cucd-0 Char"/>
    <w:qFormat/>
    <w:uiPriority w:val="99"/>
    <w:rPr>
      <w:kern w:val="2"/>
      <w:sz w:val="24"/>
      <w:szCs w:val="24"/>
      <w:lang w:val="en-US" w:eastAsia="zh-CN" w:bidi="ar-SA"/>
    </w:rPr>
  </w:style>
  <w:style w:type="character" w:customStyle="1" w:styleId="75">
    <w:name w:val="正文文本缩进 2 Char"/>
    <w:qFormat/>
    <w:uiPriority w:val="0"/>
    <w:rPr>
      <w:szCs w:val="24"/>
    </w:rPr>
  </w:style>
  <w:style w:type="character" w:customStyle="1" w:styleId="76">
    <w:name w:val="正文文本缩进 Char"/>
    <w:qFormat/>
    <w:uiPriority w:val="0"/>
    <w:rPr>
      <w:szCs w:val="21"/>
    </w:rPr>
  </w:style>
  <w:style w:type="character" w:customStyle="1" w:styleId="77">
    <w:name w:val="批注文字 Char"/>
    <w:qFormat/>
    <w:locked/>
    <w:uiPriority w:val="0"/>
    <w:rPr>
      <w:rFonts w:eastAsia="宋体"/>
    </w:rPr>
  </w:style>
  <w:style w:type="character" w:customStyle="1" w:styleId="78">
    <w:name w:val="Arial 12 Fett"/>
    <w:qFormat/>
    <w:uiPriority w:val="0"/>
    <w:rPr>
      <w:rFonts w:ascii="Arial" w:hAnsi="Arial"/>
      <w:b/>
      <w:sz w:val="24"/>
    </w:rPr>
  </w:style>
  <w:style w:type="character" w:customStyle="1" w:styleId="79">
    <w:name w:val="fontstyle11"/>
    <w:qFormat/>
    <w:uiPriority w:val="0"/>
    <w:rPr>
      <w:rFonts w:hint="default" w:ascii="Times New Roman" w:hAnsi="Times New Roman" w:cs="Times New Roman"/>
      <w:color w:val="000000"/>
      <w:sz w:val="22"/>
      <w:szCs w:val="22"/>
    </w:rPr>
  </w:style>
  <w:style w:type="character" w:customStyle="1" w:styleId="80">
    <w:name w:val="cucd-0 Char Char"/>
    <w:link w:val="81"/>
    <w:qFormat/>
    <w:uiPriority w:val="0"/>
    <w:rPr>
      <w:sz w:val="24"/>
      <w:szCs w:val="24"/>
    </w:rPr>
  </w:style>
  <w:style w:type="paragraph" w:customStyle="1" w:styleId="81">
    <w:name w:val="cucd-0"/>
    <w:link w:val="80"/>
    <w:qFormat/>
    <w:uiPriority w:val="0"/>
    <w:pPr>
      <w:spacing w:line="360" w:lineRule="auto"/>
      <w:ind w:firstLine="480" w:firstLineChars="200"/>
    </w:pPr>
    <w:rPr>
      <w:rFonts w:asciiTheme="minorHAnsi" w:hAnsiTheme="minorHAnsi" w:eastAsiaTheme="minorEastAsia" w:cstheme="minorBidi"/>
      <w:kern w:val="2"/>
      <w:sz w:val="24"/>
      <w:szCs w:val="24"/>
      <w:lang w:val="en-US" w:eastAsia="zh-CN" w:bidi="ar-SA"/>
    </w:rPr>
  </w:style>
  <w:style w:type="character" w:customStyle="1" w:styleId="82">
    <w:name w:val="HTML 预设格式 Char1"/>
    <w:qFormat/>
    <w:uiPriority w:val="0"/>
    <w:rPr>
      <w:rFonts w:ascii="Courier New" w:hAnsi="Courier New" w:cs="Courier New"/>
      <w:kern w:val="2"/>
    </w:rPr>
  </w:style>
  <w:style w:type="character" w:customStyle="1" w:styleId="83">
    <w:name w:val="fontstyle01"/>
    <w:qFormat/>
    <w:uiPriority w:val="0"/>
    <w:rPr>
      <w:rFonts w:hint="eastAsia" w:ascii="宋体" w:hAnsi="宋体" w:eastAsia="宋体"/>
      <w:color w:val="000000"/>
      <w:sz w:val="22"/>
      <w:szCs w:val="22"/>
    </w:rPr>
  </w:style>
  <w:style w:type="character" w:customStyle="1" w:styleId="84">
    <w:name w:val="正文文本缩进 2 Char1"/>
    <w:qFormat/>
    <w:uiPriority w:val="0"/>
    <w:rPr>
      <w:rFonts w:ascii="Calibri" w:hAnsi="Calibri"/>
      <w:kern w:val="2"/>
      <w:sz w:val="21"/>
      <w:szCs w:val="22"/>
    </w:rPr>
  </w:style>
  <w:style w:type="character" w:customStyle="1" w:styleId="85">
    <w:name w:val="纯文本 Char1"/>
    <w:qFormat/>
    <w:uiPriority w:val="0"/>
    <w:rPr>
      <w:rFonts w:ascii="宋体" w:hAnsi="Courier New" w:cs="Courier New"/>
      <w:kern w:val="2"/>
      <w:sz w:val="21"/>
      <w:szCs w:val="21"/>
    </w:rPr>
  </w:style>
  <w:style w:type="paragraph" w:customStyle="1" w:styleId="86">
    <w:name w:val="cucd-1"/>
    <w:next w:val="87"/>
    <w:qFormat/>
    <w:uiPriority w:val="0"/>
    <w:pPr>
      <w:pageBreakBefore/>
      <w:tabs>
        <w:tab w:val="left" w:pos="3260"/>
      </w:tabs>
      <w:spacing w:afterLines="50" w:line="360" w:lineRule="auto"/>
      <w:outlineLvl w:val="0"/>
    </w:pPr>
    <w:rPr>
      <w:rFonts w:ascii="Calibri" w:hAnsi="Calibri" w:eastAsia="黑体" w:cs="Times New Roman"/>
      <w:b/>
      <w:kern w:val="2"/>
      <w:sz w:val="28"/>
      <w:szCs w:val="28"/>
      <w:lang w:val="en-US" w:eastAsia="zh-CN" w:bidi="ar-SA"/>
    </w:rPr>
  </w:style>
  <w:style w:type="paragraph" w:customStyle="1" w:styleId="87">
    <w:name w:val="cucd-2"/>
    <w:next w:val="88"/>
    <w:qFormat/>
    <w:uiPriority w:val="0"/>
    <w:pPr>
      <w:tabs>
        <w:tab w:val="left" w:pos="567"/>
      </w:tabs>
      <w:spacing w:line="360" w:lineRule="auto"/>
      <w:outlineLvl w:val="1"/>
    </w:pPr>
    <w:rPr>
      <w:rFonts w:ascii="宋体" w:hAnsi="宋体" w:eastAsia="宋体" w:cs="Times New Roman"/>
      <w:b/>
      <w:kern w:val="2"/>
      <w:sz w:val="21"/>
      <w:szCs w:val="21"/>
      <w:lang w:val="en-US" w:eastAsia="zh-CN" w:bidi="ar-SA"/>
    </w:rPr>
  </w:style>
  <w:style w:type="paragraph" w:customStyle="1" w:styleId="88">
    <w:name w:val="cucd-3"/>
    <w:next w:val="1"/>
    <w:qFormat/>
    <w:uiPriority w:val="0"/>
    <w:pPr>
      <w:tabs>
        <w:tab w:val="left" w:pos="1276"/>
      </w:tabs>
      <w:spacing w:line="360" w:lineRule="auto"/>
      <w:outlineLvl w:val="2"/>
    </w:pPr>
    <w:rPr>
      <w:rFonts w:ascii="Calibri" w:hAnsi="Calibri" w:eastAsia="宋体" w:cs="Times New Roman"/>
      <w:kern w:val="2"/>
      <w:sz w:val="21"/>
      <w:szCs w:val="21"/>
      <w:lang w:val="en-US" w:eastAsia="zh-CN" w:bidi="ar-SA"/>
    </w:rPr>
  </w:style>
  <w:style w:type="paragraph" w:customStyle="1" w:styleId="89">
    <w:name w:val="WPSOffice手动目录 1"/>
    <w:qFormat/>
    <w:uiPriority w:val="0"/>
    <w:rPr>
      <w:rFonts w:ascii="Calibri" w:hAnsi="Calibri" w:eastAsia="宋体" w:cs="Times New Roman"/>
      <w:lang w:val="en-US" w:eastAsia="zh-CN" w:bidi="ar-SA"/>
    </w:rPr>
  </w:style>
  <w:style w:type="paragraph" w:customStyle="1" w:styleId="90">
    <w:name w:val="默认段落字体 Para Char"/>
    <w:basedOn w:val="1"/>
    <w:qFormat/>
    <w:uiPriority w:val="0"/>
    <w:rPr>
      <w:rFonts w:ascii="Times New Roman" w:hAnsi="Times New Roman" w:eastAsia="宋体" w:cs="Times New Roman"/>
      <w:szCs w:val="24"/>
    </w:rPr>
  </w:style>
  <w:style w:type="paragraph" w:customStyle="1" w:styleId="91">
    <w:name w:val="TOC 标题11"/>
    <w:basedOn w:val="6"/>
    <w:next w:val="1"/>
    <w:qFormat/>
    <w:uiPriority w:val="0"/>
    <w:pPr>
      <w:widowControl/>
      <w:spacing w:before="480" w:after="0" w:line="276" w:lineRule="auto"/>
      <w:jc w:val="left"/>
      <w:outlineLvl w:val="9"/>
    </w:pPr>
    <w:rPr>
      <w:rFonts w:ascii="Cambria" w:hAnsi="Cambria"/>
      <w:color w:val="365F91"/>
      <w:kern w:val="0"/>
      <w:sz w:val="28"/>
    </w:rPr>
  </w:style>
  <w:style w:type="paragraph" w:customStyle="1" w:styleId="92">
    <w:name w:val="首行缩进"/>
    <w:basedOn w:val="1"/>
    <w:next w:val="1"/>
    <w:qFormat/>
    <w:uiPriority w:val="0"/>
    <w:pPr>
      <w:ind w:firstLine="200" w:firstLineChars="200"/>
    </w:pPr>
    <w:rPr>
      <w:rFonts w:ascii="Times New Roman" w:hAnsi="Times New Roman" w:eastAsia="宋体" w:cs="Times New Roman"/>
      <w:szCs w:val="24"/>
    </w:rPr>
  </w:style>
  <w:style w:type="paragraph" w:customStyle="1" w:styleId="93">
    <w:name w:val="Text7-1 Char"/>
    <w:basedOn w:val="1"/>
    <w:qFormat/>
    <w:uiPriority w:val="0"/>
    <w:pPr>
      <w:adjustRightInd w:val="0"/>
      <w:textAlignment w:val="baseline"/>
    </w:pPr>
    <w:rPr>
      <w:rFonts w:ascii="Times New Roman" w:hAnsi="Times New Roman" w:eastAsia="宋体" w:cs="Times New Roman"/>
      <w:kern w:val="0"/>
      <w:sz w:val="24"/>
      <w:szCs w:val="24"/>
    </w:rPr>
  </w:style>
  <w:style w:type="paragraph" w:customStyle="1" w:styleId="94">
    <w:name w:val="表格1"/>
    <w:basedOn w:val="1"/>
    <w:qFormat/>
    <w:uiPriority w:val="0"/>
    <w:pPr>
      <w:adjustRightInd w:val="0"/>
      <w:textAlignment w:val="baseline"/>
    </w:pPr>
    <w:rPr>
      <w:rFonts w:ascii="Times New Roman" w:hAnsi="Times New Roman" w:eastAsia="宋体" w:cs="Times New Roman"/>
      <w:kern w:val="24"/>
      <w:szCs w:val="21"/>
    </w:rPr>
  </w:style>
  <w:style w:type="paragraph" w:customStyle="1" w:styleId="95">
    <w:name w:val="Default"/>
    <w:qFormat/>
    <w:uiPriority w:val="0"/>
    <w:pPr>
      <w:widowControl w:val="0"/>
      <w:autoSpaceDE w:val="0"/>
      <w:autoSpaceDN w:val="0"/>
      <w:adjustRightInd w:val="0"/>
    </w:pPr>
    <w:rPr>
      <w:rFonts w:ascii="Arial" w:hAnsi="Arial" w:eastAsia="宋体" w:cs="Times New Roman"/>
      <w:color w:val="000000"/>
      <w:sz w:val="24"/>
      <w:lang w:val="en-US" w:eastAsia="zh-CN" w:bidi="ar-SA"/>
    </w:rPr>
  </w:style>
  <w:style w:type="paragraph" w:customStyle="1" w:styleId="96">
    <w:name w:val="TOC 标题1"/>
    <w:basedOn w:val="6"/>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97">
    <w:name w:val="列出段落1"/>
    <w:basedOn w:val="1"/>
    <w:qFormat/>
    <w:uiPriority w:val="99"/>
    <w:pPr>
      <w:ind w:firstLine="420" w:firstLineChars="200"/>
    </w:pPr>
    <w:rPr>
      <w:rFonts w:ascii="Calibri" w:hAnsi="Calibri" w:eastAsia="宋体" w:cs="Times New Roman"/>
      <w:szCs w:val="20"/>
    </w:rPr>
  </w:style>
  <w:style w:type="paragraph" w:customStyle="1" w:styleId="98">
    <w:name w:val="Char Char1 Char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99">
    <w:name w:val="表格"/>
    <w:basedOn w:val="1"/>
    <w:qFormat/>
    <w:uiPriority w:val="0"/>
    <w:pPr>
      <w:tabs>
        <w:tab w:val="left" w:pos="737"/>
      </w:tabs>
      <w:adjustRightInd w:val="0"/>
      <w:spacing w:before="60" w:after="60" w:line="240" w:lineRule="atLeast"/>
      <w:jc w:val="center"/>
      <w:textAlignment w:val="bottom"/>
    </w:pPr>
    <w:rPr>
      <w:rFonts w:ascii="Times New Roman" w:hAnsi="Times New Roman" w:eastAsia="宋体" w:cs="Times New Roman"/>
      <w:kern w:val="0"/>
      <w:szCs w:val="21"/>
    </w:rPr>
  </w:style>
  <w:style w:type="paragraph" w:customStyle="1" w:styleId="100">
    <w:name w:val="Char Char2 Char Char Char Char Char Char"/>
    <w:basedOn w:val="1"/>
    <w:qFormat/>
    <w:uiPriority w:val="0"/>
    <w:pPr>
      <w:spacing w:line="360" w:lineRule="auto"/>
    </w:pPr>
    <w:rPr>
      <w:rFonts w:ascii="宋体" w:hAnsi="宋体" w:eastAsia="宋体" w:cs="Times New Roman"/>
      <w:sz w:val="22"/>
      <w:szCs w:val="24"/>
    </w:rPr>
  </w:style>
  <w:style w:type="paragraph" w:customStyle="1" w:styleId="101">
    <w:name w:val="Char"/>
    <w:basedOn w:val="1"/>
    <w:qFormat/>
    <w:uiPriority w:val="0"/>
    <w:rPr>
      <w:rFonts w:ascii="Times New Roman" w:hAnsi="Times New Roman" w:eastAsia="宋体" w:cs="Times New Roman"/>
      <w:szCs w:val="24"/>
    </w:rPr>
  </w:style>
  <w:style w:type="paragraph" w:customStyle="1" w:styleId="102">
    <w:name w:val="Char1"/>
    <w:basedOn w:val="1"/>
    <w:qFormat/>
    <w:uiPriority w:val="0"/>
    <w:rPr>
      <w:rFonts w:ascii="Times New Roman" w:hAnsi="Times New Roman" w:eastAsia="宋体" w:cs="Times New Roman"/>
      <w:szCs w:val="21"/>
    </w:rPr>
  </w:style>
  <w:style w:type="paragraph" w:customStyle="1" w:styleId="103">
    <w:name w:val="修订1"/>
    <w:unhideWhenUsed/>
    <w:qFormat/>
    <w:uiPriority w:val="99"/>
    <w:rPr>
      <w:rFonts w:ascii="Calibri" w:hAnsi="Calibri" w:eastAsia="宋体" w:cs="Times New Roman"/>
      <w:kern w:val="2"/>
      <w:sz w:val="21"/>
      <w:szCs w:val="22"/>
      <w:lang w:val="en-US" w:eastAsia="zh-CN" w:bidi="ar-SA"/>
    </w:rPr>
  </w:style>
  <w:style w:type="paragraph" w:customStyle="1" w:styleId="104">
    <w:name w:val="Char Char Char1 Char"/>
    <w:basedOn w:val="12"/>
    <w:qFormat/>
    <w:uiPriority w:val="0"/>
    <w:rPr>
      <w:rFonts w:ascii="Tahoma" w:hAnsi="Tahoma"/>
      <w:sz w:val="24"/>
      <w:szCs w:val="24"/>
    </w:rPr>
  </w:style>
  <w:style w:type="paragraph" w:customStyle="1" w:styleId="105">
    <w:name w:val="默认段落字体 Para Char Char Char Char"/>
    <w:basedOn w:val="1"/>
    <w:qFormat/>
    <w:uiPriority w:val="0"/>
    <w:pPr>
      <w:spacing w:line="480" w:lineRule="exact"/>
      <w:outlineLvl w:val="3"/>
    </w:pPr>
    <w:rPr>
      <w:rFonts w:ascii="Times New Roman" w:hAnsi="Times New Roman" w:eastAsia="宋体" w:cs="Times New Roman"/>
      <w:b/>
      <w:sz w:val="24"/>
      <w:szCs w:val="24"/>
    </w:rPr>
  </w:style>
  <w:style w:type="paragraph" w:customStyle="1" w:styleId="106">
    <w:name w:val="正文1"/>
    <w:qFormat/>
    <w:uiPriority w:val="0"/>
    <w:pPr>
      <w:ind w:firstLine="360"/>
    </w:pPr>
    <w:rPr>
      <w:rFonts w:hint="eastAsia" w:ascii="Calibri" w:hAnsi="Calibri" w:eastAsia="宋体" w:cs="Times New Roman"/>
      <w:sz w:val="22"/>
      <w:lang w:val="en-US" w:eastAsia="en-US" w:bidi="ar-SA"/>
    </w:rPr>
  </w:style>
  <w:style w:type="paragraph" w:customStyle="1" w:styleId="107">
    <w:name w:val="样式1"/>
    <w:basedOn w:val="1"/>
    <w:qFormat/>
    <w:uiPriority w:val="0"/>
    <w:pPr>
      <w:adjustRightInd w:val="0"/>
      <w:spacing w:line="420" w:lineRule="auto"/>
      <w:jc w:val="center"/>
      <w:textAlignment w:val="baseline"/>
    </w:pPr>
    <w:rPr>
      <w:rFonts w:ascii="宋体" w:hAnsi="新宋体" w:eastAsia="新宋体" w:cs="Times New Roman"/>
      <w:kern w:val="0"/>
      <w:sz w:val="24"/>
      <w:szCs w:val="21"/>
    </w:rPr>
  </w:style>
  <w:style w:type="paragraph" w:customStyle="1" w:styleId="108">
    <w:name w:val="Char2"/>
    <w:basedOn w:val="1"/>
    <w:qFormat/>
    <w:uiPriority w:val="0"/>
    <w:rPr>
      <w:rFonts w:ascii="Times New Roman" w:hAnsi="Times New Roman" w:eastAsia="宋体" w:cs="Times New Roman"/>
      <w:szCs w:val="24"/>
    </w:rPr>
  </w:style>
  <w:style w:type="paragraph" w:customStyle="1" w:styleId="109">
    <w:name w:val="Char Char Char Char"/>
    <w:basedOn w:val="1"/>
    <w:qFormat/>
    <w:uiPriority w:val="0"/>
    <w:rPr>
      <w:rFonts w:ascii="Times New Roman" w:hAnsi="Times New Roman" w:eastAsia="宋体" w:cs="Times New Roman"/>
      <w:szCs w:val="21"/>
    </w:rPr>
  </w:style>
  <w:style w:type="paragraph" w:customStyle="1" w:styleId="110">
    <w:name w:val="Table Paragraph"/>
    <w:basedOn w:val="1"/>
    <w:semiHidden/>
    <w:qFormat/>
    <w:uiPriority w:val="0"/>
    <w:pPr>
      <w:autoSpaceDE w:val="0"/>
      <w:autoSpaceDN w:val="0"/>
      <w:adjustRightInd w:val="0"/>
      <w:jc w:val="left"/>
    </w:pPr>
    <w:rPr>
      <w:rFonts w:ascii="Calibri" w:hAnsi="Calibri" w:eastAsia="宋体" w:cs="Times New Roman"/>
      <w:kern w:val="0"/>
      <w:sz w:val="24"/>
      <w:szCs w:val="24"/>
    </w:rPr>
  </w:style>
  <w:style w:type="paragraph" w:styleId="111">
    <w:name w:val="List Paragraph"/>
    <w:basedOn w:val="1"/>
    <w:qFormat/>
    <w:uiPriority w:val="99"/>
    <w:pPr>
      <w:ind w:firstLine="420" w:firstLineChars="200"/>
    </w:pPr>
  </w:style>
  <w:style w:type="character" w:customStyle="1" w:styleId="112">
    <w:name w:val="username"/>
    <w:basedOn w:val="33"/>
    <w:qFormat/>
    <w:uiPriority w:val="0"/>
  </w:style>
  <w:style w:type="character" w:customStyle="1" w:styleId="113">
    <w:name w:val="title24"/>
    <w:basedOn w:val="33"/>
    <w:qFormat/>
    <w:uiPriority w:val="0"/>
  </w:style>
  <w:style w:type="character" w:customStyle="1" w:styleId="114">
    <w:name w:val="title23"/>
    <w:basedOn w:val="33"/>
    <w:qFormat/>
    <w:uiPriority w:val="0"/>
  </w:style>
  <w:style w:type="character" w:customStyle="1" w:styleId="115">
    <w:name w:val="title22"/>
    <w:basedOn w:val="3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package" Target="embeddings/Workbook1.xlsx"/><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92</Pages>
  <Words>32890</Words>
  <Characters>34699</Characters>
  <DocSecurity>0</DocSecurity>
  <Lines>275</Lines>
  <Paragraphs>77</Paragraphs>
  <ScaleCrop>false</ScaleCrop>
  <LinksUpToDate>false</LinksUpToDate>
  <CharactersWithSpaces>36387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2024-05-10T09:50:00Z</dcterms:created>
  <dcterms:modified xsi:type="dcterms:W3CDTF">2024-08-28T07:38:36Z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9DC8846538054411B49477071070A78A_13</vt:lpwstr>
  </property>
</Properties>
</file>